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CE03C" w14:textId="77777777" w:rsidR="00A126FA" w:rsidRPr="00B67592" w:rsidRDefault="00283684">
      <w:pPr>
        <w:jc w:val="center"/>
        <w:rPr>
          <w:rFonts w:asciiTheme="minorHAnsi" w:hAnsiTheme="minorHAnsi" w:cstheme="minorHAnsi"/>
          <w:b/>
          <w:bCs/>
          <w:sz w:val="23"/>
          <w:szCs w:val="23"/>
        </w:rPr>
      </w:pPr>
      <w:r w:rsidRPr="00B67592">
        <w:rPr>
          <w:rFonts w:asciiTheme="minorHAnsi" w:hAnsiTheme="minorHAnsi" w:cstheme="minorHAnsi"/>
          <w:b/>
          <w:bCs/>
          <w:sz w:val="23"/>
          <w:szCs w:val="23"/>
        </w:rPr>
        <w:t xml:space="preserve">PROGRAM </w:t>
      </w:r>
      <w:r w:rsidR="00A126FA" w:rsidRPr="00B67592">
        <w:rPr>
          <w:rFonts w:asciiTheme="minorHAnsi" w:hAnsiTheme="minorHAnsi" w:cstheme="minorHAnsi"/>
          <w:b/>
          <w:bCs/>
          <w:sz w:val="23"/>
          <w:szCs w:val="23"/>
        </w:rPr>
        <w:t>INFORMATION DOCUMENT (PID)</w:t>
      </w:r>
    </w:p>
    <w:p w14:paraId="3ED322A8" w14:textId="77777777" w:rsidR="00A126FA" w:rsidRPr="00B67592" w:rsidRDefault="00A126FA">
      <w:pPr>
        <w:jc w:val="center"/>
        <w:rPr>
          <w:rFonts w:asciiTheme="minorHAnsi" w:hAnsiTheme="minorHAnsi" w:cstheme="minorHAnsi"/>
          <w:b/>
          <w:bCs/>
          <w:sz w:val="23"/>
          <w:szCs w:val="23"/>
        </w:rPr>
      </w:pPr>
      <w:r w:rsidRPr="00B67592">
        <w:rPr>
          <w:rFonts w:asciiTheme="minorHAnsi" w:hAnsiTheme="minorHAnsi" w:cstheme="minorHAnsi"/>
          <w:b/>
          <w:bCs/>
          <w:sz w:val="23"/>
          <w:szCs w:val="23"/>
        </w:rPr>
        <w:t>CONCEPT STAGE</w:t>
      </w:r>
      <w:bookmarkStart w:id="0" w:name="_GoBack"/>
      <w:bookmarkEnd w:id="0"/>
    </w:p>
    <w:p w14:paraId="44E55E19" w14:textId="2290E944" w:rsidR="00283684" w:rsidRPr="00B67592" w:rsidRDefault="00861483" w:rsidP="00B15E63">
      <w:pPr>
        <w:ind w:left="6768"/>
        <w:rPr>
          <w:rFonts w:asciiTheme="minorHAnsi" w:hAnsiTheme="minorHAnsi" w:cstheme="minorHAnsi"/>
          <w:sz w:val="23"/>
          <w:szCs w:val="23"/>
        </w:rPr>
      </w:pPr>
      <w:r>
        <w:rPr>
          <w:rFonts w:asciiTheme="minorHAnsi" w:hAnsiTheme="minorHAnsi" w:cstheme="minorHAnsi"/>
          <w:sz w:val="23"/>
          <w:szCs w:val="23"/>
        </w:rPr>
        <w:t>July 21, 2017</w:t>
      </w:r>
    </w:p>
    <w:p w14:paraId="2E57C178" w14:textId="03DDF5EA" w:rsidR="001D607D" w:rsidRPr="00B67592" w:rsidRDefault="001D607D" w:rsidP="00B15E63">
      <w:pPr>
        <w:ind w:left="6768" w:right="720"/>
        <w:rPr>
          <w:rFonts w:asciiTheme="minorHAnsi" w:hAnsiTheme="minorHAnsi" w:cstheme="minorHAnsi"/>
          <w:sz w:val="23"/>
          <w:szCs w:val="23"/>
        </w:rPr>
      </w:pPr>
      <w:r w:rsidRPr="00B67592">
        <w:rPr>
          <w:rFonts w:asciiTheme="minorHAnsi" w:hAnsiTheme="minorHAnsi" w:cstheme="minorHAnsi"/>
          <w:sz w:val="23"/>
          <w:szCs w:val="23"/>
        </w:rPr>
        <w:t>Report No.:</w:t>
      </w:r>
      <w:r w:rsidR="00401603">
        <w:rPr>
          <w:rFonts w:asciiTheme="minorHAnsi" w:hAnsiTheme="minorHAnsi" w:cstheme="minorHAnsi"/>
          <w:sz w:val="23"/>
          <w:szCs w:val="23"/>
        </w:rPr>
        <w:t xml:space="preserve"> 120763</w:t>
      </w:r>
      <w:r w:rsidRPr="00B67592">
        <w:rPr>
          <w:rFonts w:asciiTheme="minorHAnsi" w:hAnsiTheme="minorHAnsi" w:cstheme="minorHAnsi"/>
          <w:sz w:val="23"/>
          <w:szCs w:val="23"/>
        </w:rPr>
        <w:t xml:space="preserve">  </w:t>
      </w:r>
    </w:p>
    <w:p w14:paraId="341BC074" w14:textId="77777777" w:rsidR="00C67E15" w:rsidRPr="00B67592" w:rsidRDefault="00C67E15">
      <w:pPr>
        <w:jc w:val="center"/>
        <w:rPr>
          <w:rFonts w:asciiTheme="minorHAnsi" w:hAnsiTheme="minorHAnsi" w:cstheme="minorHAnsi"/>
          <w:b/>
          <w:bCs/>
          <w:i/>
          <w:sz w:val="23"/>
          <w:szCs w:val="23"/>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RPr="00B67592" w14:paraId="71105232" w14:textId="77777777" w:rsidTr="009835DC">
        <w:tc>
          <w:tcPr>
            <w:tcW w:w="3420" w:type="dxa"/>
            <w:tcBorders>
              <w:top w:val="single" w:sz="4" w:space="0" w:color="auto"/>
              <w:left w:val="single" w:sz="4" w:space="0" w:color="auto"/>
              <w:bottom w:val="single" w:sz="4" w:space="0" w:color="auto"/>
              <w:right w:val="single" w:sz="4" w:space="0" w:color="auto"/>
            </w:tcBorders>
          </w:tcPr>
          <w:p w14:paraId="27B2FD2E"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Operation Name</w:t>
            </w:r>
          </w:p>
        </w:tc>
        <w:tc>
          <w:tcPr>
            <w:tcW w:w="6120" w:type="dxa"/>
            <w:tcBorders>
              <w:top w:val="single" w:sz="4" w:space="0" w:color="auto"/>
              <w:left w:val="single" w:sz="4" w:space="0" w:color="auto"/>
              <w:bottom w:val="single" w:sz="4" w:space="0" w:color="auto"/>
              <w:right w:val="single" w:sz="4" w:space="0" w:color="auto"/>
            </w:tcBorders>
          </w:tcPr>
          <w:p w14:paraId="18A79BCA" w14:textId="02E755C8" w:rsidR="001D607D" w:rsidRPr="00B67592" w:rsidRDefault="002217BE" w:rsidP="008F5A7B">
            <w:pPr>
              <w:rPr>
                <w:rFonts w:asciiTheme="minorHAnsi" w:hAnsiTheme="minorHAnsi" w:cstheme="minorHAnsi"/>
                <w:sz w:val="23"/>
                <w:szCs w:val="23"/>
              </w:rPr>
            </w:pPr>
            <w:bookmarkStart w:id="1" w:name="PROJECTNAME"/>
            <w:r w:rsidRPr="00B67592">
              <w:rPr>
                <w:rFonts w:asciiTheme="minorHAnsi" w:hAnsiTheme="minorHAnsi" w:cstheme="minorHAnsi"/>
                <w:sz w:val="23"/>
                <w:szCs w:val="23"/>
              </w:rPr>
              <w:t xml:space="preserve">MG </w:t>
            </w:r>
            <w:r w:rsidR="007A2FA3" w:rsidRPr="00B67592">
              <w:rPr>
                <w:rFonts w:asciiTheme="minorHAnsi" w:hAnsiTheme="minorHAnsi" w:cstheme="minorHAnsi"/>
                <w:sz w:val="23"/>
                <w:szCs w:val="23"/>
              </w:rPr>
              <w:t>–</w:t>
            </w:r>
            <w:r w:rsidRPr="00B67592">
              <w:rPr>
                <w:rFonts w:asciiTheme="minorHAnsi" w:hAnsiTheme="minorHAnsi" w:cstheme="minorHAnsi"/>
                <w:sz w:val="23"/>
                <w:szCs w:val="23"/>
              </w:rPr>
              <w:t xml:space="preserve"> </w:t>
            </w:r>
            <w:bookmarkEnd w:id="1"/>
            <w:r w:rsidR="008F5A7B">
              <w:rPr>
                <w:rFonts w:asciiTheme="minorHAnsi" w:hAnsiTheme="minorHAnsi" w:cstheme="minorHAnsi"/>
                <w:sz w:val="23"/>
                <w:szCs w:val="23"/>
              </w:rPr>
              <w:t xml:space="preserve">Public Finance Sustainability </w:t>
            </w:r>
            <w:r w:rsidR="007A2FA3" w:rsidRPr="00B67592">
              <w:rPr>
                <w:rFonts w:asciiTheme="minorHAnsi" w:hAnsiTheme="minorHAnsi" w:cstheme="minorHAnsi"/>
                <w:sz w:val="23"/>
                <w:szCs w:val="23"/>
              </w:rPr>
              <w:t xml:space="preserve">and Investment </w:t>
            </w:r>
            <w:r w:rsidR="008F5A7B">
              <w:rPr>
                <w:rFonts w:asciiTheme="minorHAnsi" w:hAnsiTheme="minorHAnsi" w:cstheme="minorHAnsi"/>
                <w:sz w:val="23"/>
                <w:szCs w:val="23"/>
              </w:rPr>
              <w:t xml:space="preserve">II </w:t>
            </w:r>
            <w:r w:rsidR="007A2FA3" w:rsidRPr="00B67592">
              <w:rPr>
                <w:rFonts w:asciiTheme="minorHAnsi" w:hAnsiTheme="minorHAnsi" w:cstheme="minorHAnsi"/>
                <w:sz w:val="23"/>
                <w:szCs w:val="23"/>
              </w:rPr>
              <w:t>DPO</w:t>
            </w:r>
          </w:p>
        </w:tc>
      </w:tr>
      <w:tr w:rsidR="001D607D" w:rsidRPr="00B67592" w14:paraId="1519BEE2" w14:textId="77777777" w:rsidTr="009835DC">
        <w:tc>
          <w:tcPr>
            <w:tcW w:w="3420" w:type="dxa"/>
            <w:tcBorders>
              <w:top w:val="single" w:sz="4" w:space="0" w:color="auto"/>
              <w:left w:val="single" w:sz="4" w:space="0" w:color="auto"/>
              <w:bottom w:val="single" w:sz="4" w:space="0" w:color="auto"/>
              <w:right w:val="single" w:sz="4" w:space="0" w:color="auto"/>
            </w:tcBorders>
          </w:tcPr>
          <w:p w14:paraId="1A2E42C0"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Region</w:t>
            </w:r>
          </w:p>
        </w:tc>
        <w:tc>
          <w:tcPr>
            <w:tcW w:w="6120" w:type="dxa"/>
            <w:tcBorders>
              <w:top w:val="single" w:sz="4" w:space="0" w:color="auto"/>
              <w:left w:val="single" w:sz="4" w:space="0" w:color="auto"/>
              <w:bottom w:val="single" w:sz="4" w:space="0" w:color="auto"/>
              <w:right w:val="single" w:sz="4" w:space="0" w:color="auto"/>
            </w:tcBorders>
          </w:tcPr>
          <w:p w14:paraId="7BC37984" w14:textId="77777777" w:rsidR="001D607D" w:rsidRPr="00B67592" w:rsidRDefault="002217BE" w:rsidP="009835DC">
            <w:pPr>
              <w:rPr>
                <w:rFonts w:asciiTheme="minorHAnsi" w:hAnsiTheme="minorHAnsi" w:cstheme="minorHAnsi"/>
                <w:sz w:val="23"/>
                <w:szCs w:val="23"/>
              </w:rPr>
            </w:pPr>
            <w:bookmarkStart w:id="2" w:name="REGION"/>
            <w:r w:rsidRPr="00B67592">
              <w:rPr>
                <w:rFonts w:asciiTheme="minorHAnsi" w:hAnsiTheme="minorHAnsi" w:cstheme="minorHAnsi"/>
                <w:sz w:val="23"/>
                <w:szCs w:val="23"/>
              </w:rPr>
              <w:t>AFRICA</w:t>
            </w:r>
            <w:bookmarkEnd w:id="2"/>
          </w:p>
        </w:tc>
      </w:tr>
      <w:tr w:rsidR="001D607D" w:rsidRPr="00B67592" w14:paraId="4BD535D3" w14:textId="77777777" w:rsidTr="009835DC">
        <w:tc>
          <w:tcPr>
            <w:tcW w:w="3420" w:type="dxa"/>
            <w:tcBorders>
              <w:top w:val="single" w:sz="4" w:space="0" w:color="auto"/>
              <w:left w:val="single" w:sz="4" w:space="0" w:color="auto"/>
              <w:bottom w:val="single" w:sz="4" w:space="0" w:color="auto"/>
              <w:right w:val="single" w:sz="4" w:space="0" w:color="auto"/>
            </w:tcBorders>
          </w:tcPr>
          <w:p w14:paraId="17BC9662"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Country</w:t>
            </w:r>
          </w:p>
        </w:tc>
        <w:tc>
          <w:tcPr>
            <w:tcW w:w="6120" w:type="dxa"/>
            <w:tcBorders>
              <w:top w:val="single" w:sz="4" w:space="0" w:color="auto"/>
              <w:left w:val="single" w:sz="4" w:space="0" w:color="auto"/>
              <w:bottom w:val="single" w:sz="4" w:space="0" w:color="auto"/>
              <w:right w:val="single" w:sz="4" w:space="0" w:color="auto"/>
            </w:tcBorders>
          </w:tcPr>
          <w:p w14:paraId="38E1DC82" w14:textId="77777777" w:rsidR="001D607D" w:rsidRPr="00B67592" w:rsidRDefault="002217BE" w:rsidP="009835DC">
            <w:pPr>
              <w:rPr>
                <w:rFonts w:asciiTheme="minorHAnsi" w:hAnsiTheme="minorHAnsi" w:cstheme="minorHAnsi"/>
                <w:sz w:val="23"/>
                <w:szCs w:val="23"/>
              </w:rPr>
            </w:pPr>
            <w:bookmarkStart w:id="3" w:name="COUNTRY"/>
            <w:r w:rsidRPr="00B67592">
              <w:rPr>
                <w:rFonts w:asciiTheme="minorHAnsi" w:hAnsiTheme="minorHAnsi" w:cstheme="minorHAnsi"/>
                <w:sz w:val="23"/>
                <w:szCs w:val="23"/>
              </w:rPr>
              <w:t>Madagascar</w:t>
            </w:r>
            <w:bookmarkEnd w:id="3"/>
          </w:p>
        </w:tc>
      </w:tr>
      <w:tr w:rsidR="001D607D" w:rsidRPr="00B67592" w14:paraId="6A78CA84" w14:textId="77777777" w:rsidTr="009835DC">
        <w:tc>
          <w:tcPr>
            <w:tcW w:w="3420" w:type="dxa"/>
            <w:tcBorders>
              <w:top w:val="single" w:sz="4" w:space="0" w:color="auto"/>
              <w:left w:val="single" w:sz="4" w:space="0" w:color="auto"/>
              <w:bottom w:val="single" w:sz="4" w:space="0" w:color="auto"/>
              <w:right w:val="single" w:sz="4" w:space="0" w:color="auto"/>
            </w:tcBorders>
          </w:tcPr>
          <w:p w14:paraId="4D7ECE3F"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Sector</w:t>
            </w:r>
          </w:p>
        </w:tc>
        <w:tc>
          <w:tcPr>
            <w:tcW w:w="6120" w:type="dxa"/>
            <w:tcBorders>
              <w:top w:val="single" w:sz="4" w:space="0" w:color="auto"/>
              <w:left w:val="single" w:sz="4" w:space="0" w:color="auto"/>
              <w:bottom w:val="single" w:sz="4" w:space="0" w:color="auto"/>
              <w:right w:val="single" w:sz="4" w:space="0" w:color="auto"/>
            </w:tcBorders>
          </w:tcPr>
          <w:p w14:paraId="14BB24A0" w14:textId="4F6E0632" w:rsidR="001D607D" w:rsidRPr="00B67592" w:rsidRDefault="002217BE" w:rsidP="009835DC">
            <w:pPr>
              <w:rPr>
                <w:rFonts w:asciiTheme="minorHAnsi" w:hAnsiTheme="minorHAnsi" w:cstheme="minorHAnsi"/>
                <w:sz w:val="23"/>
                <w:szCs w:val="23"/>
              </w:rPr>
            </w:pPr>
            <w:bookmarkStart w:id="4" w:name="SECTOR"/>
            <w:r w:rsidRPr="00B67592">
              <w:rPr>
                <w:rFonts w:asciiTheme="minorHAnsi" w:hAnsiTheme="minorHAnsi" w:cstheme="minorHAnsi"/>
                <w:sz w:val="23"/>
                <w:szCs w:val="23"/>
              </w:rPr>
              <w:t>General public administration sector (50%);</w:t>
            </w:r>
            <w:r w:rsidR="00B649DA" w:rsidRPr="00B67592">
              <w:rPr>
                <w:rFonts w:asciiTheme="minorHAnsi" w:hAnsiTheme="minorHAnsi" w:cstheme="minorHAnsi"/>
                <w:sz w:val="23"/>
                <w:szCs w:val="23"/>
              </w:rPr>
              <w:t xml:space="preserve"> </w:t>
            </w:r>
            <w:r w:rsidRPr="00B67592">
              <w:rPr>
                <w:rFonts w:asciiTheme="minorHAnsi" w:hAnsiTheme="minorHAnsi" w:cstheme="minorHAnsi"/>
                <w:sz w:val="23"/>
                <w:szCs w:val="23"/>
              </w:rPr>
              <w:t>Central government administration (50%)</w:t>
            </w:r>
            <w:bookmarkEnd w:id="4"/>
          </w:p>
        </w:tc>
      </w:tr>
      <w:tr w:rsidR="001D607D" w:rsidRPr="00B67592" w14:paraId="14309BBD" w14:textId="77777777" w:rsidTr="009835DC">
        <w:tc>
          <w:tcPr>
            <w:tcW w:w="3420" w:type="dxa"/>
            <w:tcBorders>
              <w:top w:val="single" w:sz="4" w:space="0" w:color="auto"/>
              <w:left w:val="single" w:sz="4" w:space="0" w:color="auto"/>
              <w:bottom w:val="single" w:sz="4" w:space="0" w:color="auto"/>
              <w:right w:val="single" w:sz="4" w:space="0" w:color="auto"/>
            </w:tcBorders>
          </w:tcPr>
          <w:p w14:paraId="36FE133A"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Operation ID</w:t>
            </w:r>
          </w:p>
        </w:tc>
        <w:tc>
          <w:tcPr>
            <w:tcW w:w="6120" w:type="dxa"/>
            <w:tcBorders>
              <w:top w:val="single" w:sz="4" w:space="0" w:color="auto"/>
              <w:left w:val="single" w:sz="4" w:space="0" w:color="auto"/>
              <w:bottom w:val="single" w:sz="4" w:space="0" w:color="auto"/>
              <w:right w:val="single" w:sz="4" w:space="0" w:color="auto"/>
            </w:tcBorders>
          </w:tcPr>
          <w:p w14:paraId="4C3479C7" w14:textId="57FE66AB" w:rsidR="001D607D" w:rsidRPr="00B67592" w:rsidRDefault="00314679" w:rsidP="007A2FA3">
            <w:pPr>
              <w:rPr>
                <w:rFonts w:asciiTheme="minorHAnsi" w:hAnsiTheme="minorHAnsi" w:cstheme="minorHAnsi"/>
                <w:sz w:val="23"/>
                <w:szCs w:val="23"/>
              </w:rPr>
            </w:pPr>
            <w:r w:rsidRPr="00B67592">
              <w:rPr>
                <w:rFonts w:asciiTheme="minorHAnsi" w:hAnsiTheme="minorHAnsi" w:cstheme="minorHAnsi"/>
                <w:sz w:val="23"/>
                <w:szCs w:val="23"/>
              </w:rPr>
              <w:t>P164137</w:t>
            </w:r>
          </w:p>
        </w:tc>
      </w:tr>
      <w:tr w:rsidR="001D607D" w:rsidRPr="00B67592" w14:paraId="329262AB" w14:textId="77777777" w:rsidTr="009835DC">
        <w:tc>
          <w:tcPr>
            <w:tcW w:w="3420" w:type="dxa"/>
            <w:tcBorders>
              <w:top w:val="single" w:sz="4" w:space="0" w:color="auto"/>
              <w:left w:val="single" w:sz="4" w:space="0" w:color="auto"/>
              <w:bottom w:val="single" w:sz="4" w:space="0" w:color="auto"/>
              <w:right w:val="single" w:sz="4" w:space="0" w:color="auto"/>
            </w:tcBorders>
          </w:tcPr>
          <w:p w14:paraId="27D37056"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Lending Instrument</w:t>
            </w:r>
          </w:p>
        </w:tc>
        <w:tc>
          <w:tcPr>
            <w:tcW w:w="6120" w:type="dxa"/>
            <w:tcBorders>
              <w:top w:val="single" w:sz="4" w:space="0" w:color="auto"/>
              <w:left w:val="single" w:sz="4" w:space="0" w:color="auto"/>
              <w:bottom w:val="single" w:sz="4" w:space="0" w:color="auto"/>
              <w:right w:val="single" w:sz="4" w:space="0" w:color="auto"/>
            </w:tcBorders>
          </w:tcPr>
          <w:p w14:paraId="75896270" w14:textId="41E477DC" w:rsidR="001D607D" w:rsidRPr="00B67592" w:rsidRDefault="002217BE" w:rsidP="00425825">
            <w:pPr>
              <w:rPr>
                <w:rFonts w:asciiTheme="minorHAnsi" w:hAnsiTheme="minorHAnsi" w:cstheme="minorHAnsi"/>
                <w:sz w:val="23"/>
                <w:szCs w:val="23"/>
              </w:rPr>
            </w:pPr>
            <w:bookmarkStart w:id="5" w:name="INSTR_NAME"/>
            <w:r w:rsidRPr="00B67592">
              <w:rPr>
                <w:rFonts w:asciiTheme="minorHAnsi" w:hAnsiTheme="minorHAnsi" w:cstheme="minorHAnsi"/>
                <w:sz w:val="23"/>
                <w:szCs w:val="23"/>
              </w:rPr>
              <w:t xml:space="preserve">Development Policy </w:t>
            </w:r>
            <w:bookmarkEnd w:id="5"/>
            <w:r w:rsidR="00425825" w:rsidRPr="00B67592">
              <w:rPr>
                <w:rFonts w:asciiTheme="minorHAnsi" w:hAnsiTheme="minorHAnsi" w:cstheme="minorHAnsi"/>
                <w:sz w:val="23"/>
                <w:szCs w:val="23"/>
              </w:rPr>
              <w:t>Financing</w:t>
            </w:r>
          </w:p>
        </w:tc>
      </w:tr>
      <w:tr w:rsidR="001D607D" w:rsidRPr="00B67592" w14:paraId="58525972" w14:textId="77777777" w:rsidTr="009835DC">
        <w:tc>
          <w:tcPr>
            <w:tcW w:w="3420" w:type="dxa"/>
            <w:tcBorders>
              <w:top w:val="single" w:sz="4" w:space="0" w:color="auto"/>
              <w:left w:val="single" w:sz="4" w:space="0" w:color="auto"/>
              <w:bottom w:val="single" w:sz="4" w:space="0" w:color="auto"/>
              <w:right w:val="single" w:sz="4" w:space="0" w:color="auto"/>
            </w:tcBorders>
          </w:tcPr>
          <w:p w14:paraId="34DFF6E4"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Borrower(s)</w:t>
            </w:r>
          </w:p>
        </w:tc>
        <w:tc>
          <w:tcPr>
            <w:tcW w:w="6120" w:type="dxa"/>
            <w:tcBorders>
              <w:top w:val="single" w:sz="4" w:space="0" w:color="auto"/>
              <w:left w:val="single" w:sz="4" w:space="0" w:color="auto"/>
              <w:bottom w:val="single" w:sz="4" w:space="0" w:color="auto"/>
              <w:right w:val="single" w:sz="4" w:space="0" w:color="auto"/>
            </w:tcBorders>
          </w:tcPr>
          <w:p w14:paraId="0F0F4839" w14:textId="0BFE2FB1" w:rsidR="001D607D" w:rsidRPr="00B67592" w:rsidRDefault="00314679" w:rsidP="009835DC">
            <w:pPr>
              <w:rPr>
                <w:rFonts w:asciiTheme="minorHAnsi" w:hAnsiTheme="minorHAnsi" w:cstheme="minorHAnsi"/>
                <w:sz w:val="23"/>
                <w:szCs w:val="23"/>
              </w:rPr>
            </w:pPr>
            <w:r w:rsidRPr="00B67592">
              <w:rPr>
                <w:rFonts w:asciiTheme="minorHAnsi" w:hAnsiTheme="minorHAnsi" w:cstheme="minorHAnsi"/>
                <w:sz w:val="23"/>
                <w:szCs w:val="23"/>
              </w:rPr>
              <w:t xml:space="preserve">Republic of Madagascar </w:t>
            </w:r>
          </w:p>
        </w:tc>
      </w:tr>
      <w:tr w:rsidR="001D607D" w:rsidRPr="00B67592" w14:paraId="2BADB00D" w14:textId="77777777" w:rsidTr="009835DC">
        <w:trPr>
          <w:trHeight w:val="140"/>
        </w:trPr>
        <w:tc>
          <w:tcPr>
            <w:tcW w:w="3420" w:type="dxa"/>
            <w:tcBorders>
              <w:top w:val="single" w:sz="4" w:space="0" w:color="auto"/>
              <w:left w:val="single" w:sz="4" w:space="0" w:color="auto"/>
              <w:bottom w:val="nil"/>
              <w:right w:val="single" w:sz="4" w:space="0" w:color="auto"/>
            </w:tcBorders>
          </w:tcPr>
          <w:p w14:paraId="6A3E40BB"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Implementing Agency</w:t>
            </w:r>
          </w:p>
        </w:tc>
        <w:tc>
          <w:tcPr>
            <w:tcW w:w="6120" w:type="dxa"/>
            <w:tcBorders>
              <w:top w:val="single" w:sz="4" w:space="0" w:color="auto"/>
              <w:left w:val="single" w:sz="4" w:space="0" w:color="auto"/>
              <w:bottom w:val="nil"/>
              <w:right w:val="single" w:sz="4" w:space="0" w:color="auto"/>
            </w:tcBorders>
          </w:tcPr>
          <w:p w14:paraId="7146295C" w14:textId="1BBBCDED" w:rsidR="001D607D" w:rsidRPr="00B67592" w:rsidRDefault="00314679" w:rsidP="009835DC">
            <w:pPr>
              <w:rPr>
                <w:rFonts w:asciiTheme="minorHAnsi" w:hAnsiTheme="minorHAnsi" w:cstheme="minorHAnsi"/>
                <w:sz w:val="23"/>
                <w:szCs w:val="23"/>
              </w:rPr>
            </w:pPr>
            <w:bookmarkStart w:id="6" w:name="IMPLEMENTINGAGENCY"/>
            <w:bookmarkEnd w:id="6"/>
            <w:r w:rsidRPr="00B67592">
              <w:rPr>
                <w:rFonts w:asciiTheme="minorHAnsi" w:hAnsiTheme="minorHAnsi" w:cstheme="minorHAnsi"/>
                <w:sz w:val="23"/>
                <w:szCs w:val="23"/>
              </w:rPr>
              <w:t>Ministry of Finance and Budget</w:t>
            </w:r>
          </w:p>
        </w:tc>
      </w:tr>
      <w:tr w:rsidR="001D607D" w:rsidRPr="00B67592" w14:paraId="6A156C5B" w14:textId="77777777" w:rsidTr="009835DC">
        <w:tc>
          <w:tcPr>
            <w:tcW w:w="3420" w:type="dxa"/>
            <w:tcBorders>
              <w:top w:val="single" w:sz="4" w:space="0" w:color="auto"/>
              <w:left w:val="single" w:sz="4" w:space="0" w:color="auto"/>
              <w:bottom w:val="single" w:sz="4" w:space="0" w:color="auto"/>
              <w:right w:val="single" w:sz="4" w:space="0" w:color="auto"/>
            </w:tcBorders>
          </w:tcPr>
          <w:p w14:paraId="41479F7D"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Date PID Prepared</w:t>
            </w:r>
          </w:p>
        </w:tc>
        <w:tc>
          <w:tcPr>
            <w:tcW w:w="6120" w:type="dxa"/>
            <w:tcBorders>
              <w:top w:val="single" w:sz="4" w:space="0" w:color="auto"/>
              <w:left w:val="single" w:sz="4" w:space="0" w:color="auto"/>
              <w:bottom w:val="single" w:sz="4" w:space="0" w:color="auto"/>
              <w:right w:val="single" w:sz="4" w:space="0" w:color="auto"/>
            </w:tcBorders>
          </w:tcPr>
          <w:p w14:paraId="73BE6429" w14:textId="1EE28F2B" w:rsidR="001D607D" w:rsidRPr="00B67592" w:rsidRDefault="00861483" w:rsidP="009835DC">
            <w:pPr>
              <w:rPr>
                <w:rFonts w:asciiTheme="minorHAnsi" w:hAnsiTheme="minorHAnsi" w:cstheme="minorHAnsi"/>
                <w:sz w:val="23"/>
                <w:szCs w:val="23"/>
              </w:rPr>
            </w:pPr>
            <w:r>
              <w:rPr>
                <w:rFonts w:asciiTheme="minorHAnsi" w:hAnsiTheme="minorHAnsi" w:cstheme="minorHAnsi"/>
                <w:sz w:val="23"/>
                <w:szCs w:val="23"/>
              </w:rPr>
              <w:t>July 21, 2017</w:t>
            </w:r>
          </w:p>
        </w:tc>
      </w:tr>
      <w:tr w:rsidR="001D607D" w:rsidRPr="00B67592" w14:paraId="68684882" w14:textId="77777777" w:rsidTr="009835DC">
        <w:tc>
          <w:tcPr>
            <w:tcW w:w="3420" w:type="dxa"/>
            <w:tcBorders>
              <w:top w:val="single" w:sz="4" w:space="0" w:color="auto"/>
              <w:left w:val="single" w:sz="4" w:space="0" w:color="auto"/>
              <w:bottom w:val="single" w:sz="4" w:space="0" w:color="auto"/>
              <w:right w:val="single" w:sz="4" w:space="0" w:color="auto"/>
            </w:tcBorders>
          </w:tcPr>
          <w:p w14:paraId="52EADBD0"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Estimated Date of Appraisal</w:t>
            </w:r>
          </w:p>
        </w:tc>
        <w:tc>
          <w:tcPr>
            <w:tcW w:w="6120" w:type="dxa"/>
            <w:tcBorders>
              <w:top w:val="single" w:sz="4" w:space="0" w:color="auto"/>
              <w:left w:val="single" w:sz="4" w:space="0" w:color="auto"/>
              <w:bottom w:val="single" w:sz="4" w:space="0" w:color="auto"/>
              <w:right w:val="single" w:sz="4" w:space="0" w:color="auto"/>
            </w:tcBorders>
          </w:tcPr>
          <w:p w14:paraId="16FFA4F7" w14:textId="5FCC1D3E" w:rsidR="001D607D" w:rsidRPr="00B67592" w:rsidRDefault="001D607D" w:rsidP="009835DC">
            <w:pPr>
              <w:rPr>
                <w:rFonts w:asciiTheme="minorHAnsi" w:hAnsiTheme="minorHAnsi" w:cstheme="minorHAnsi"/>
                <w:sz w:val="23"/>
                <w:szCs w:val="23"/>
              </w:rPr>
            </w:pPr>
          </w:p>
        </w:tc>
      </w:tr>
      <w:tr w:rsidR="001D607D" w:rsidRPr="00B67592" w14:paraId="5CEBD456" w14:textId="77777777" w:rsidTr="009835DC">
        <w:tc>
          <w:tcPr>
            <w:tcW w:w="3420" w:type="dxa"/>
            <w:tcBorders>
              <w:top w:val="single" w:sz="4" w:space="0" w:color="auto"/>
              <w:left w:val="single" w:sz="4" w:space="0" w:color="auto"/>
              <w:bottom w:val="single" w:sz="4" w:space="0" w:color="auto"/>
              <w:right w:val="single" w:sz="4" w:space="0" w:color="auto"/>
            </w:tcBorders>
          </w:tcPr>
          <w:p w14:paraId="03B28696" w14:textId="77777777" w:rsidR="001D607D" w:rsidRPr="00B67592" w:rsidRDefault="001D607D" w:rsidP="009835DC">
            <w:pPr>
              <w:rPr>
                <w:rFonts w:asciiTheme="minorHAnsi" w:hAnsiTheme="minorHAnsi" w:cstheme="minorHAnsi"/>
                <w:b/>
                <w:bCs/>
                <w:sz w:val="23"/>
                <w:szCs w:val="23"/>
              </w:rPr>
            </w:pPr>
            <w:r w:rsidRPr="00B67592">
              <w:rPr>
                <w:rFonts w:asciiTheme="minorHAnsi" w:hAnsiTheme="minorHAnsi" w:cstheme="minorHAnsi"/>
                <w:b/>
                <w:bCs/>
                <w:sz w:val="23"/>
                <w:szCs w:val="23"/>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14:paraId="72E1D66C" w14:textId="06EACB7A" w:rsidR="001D607D" w:rsidRPr="00B67592" w:rsidRDefault="00861483" w:rsidP="009835DC">
            <w:pPr>
              <w:rPr>
                <w:rFonts w:asciiTheme="minorHAnsi" w:hAnsiTheme="minorHAnsi" w:cstheme="minorHAnsi"/>
                <w:sz w:val="23"/>
                <w:szCs w:val="23"/>
              </w:rPr>
            </w:pPr>
            <w:r>
              <w:rPr>
                <w:rFonts w:asciiTheme="minorHAnsi" w:hAnsiTheme="minorHAnsi" w:cstheme="minorHAnsi"/>
                <w:sz w:val="23"/>
                <w:szCs w:val="23"/>
              </w:rPr>
              <w:t>October 10, 2017</w:t>
            </w:r>
          </w:p>
        </w:tc>
      </w:tr>
      <w:tr w:rsidR="001D607D" w:rsidRPr="00B67592" w14:paraId="1ABB6ADD" w14:textId="77777777" w:rsidTr="009835DC">
        <w:tc>
          <w:tcPr>
            <w:tcW w:w="3420" w:type="dxa"/>
            <w:tcBorders>
              <w:top w:val="single" w:sz="4" w:space="0" w:color="auto"/>
              <w:left w:val="single" w:sz="4" w:space="0" w:color="auto"/>
              <w:bottom w:val="single" w:sz="4" w:space="0" w:color="auto"/>
              <w:right w:val="single" w:sz="4" w:space="0" w:color="auto"/>
            </w:tcBorders>
          </w:tcPr>
          <w:p w14:paraId="5E3DBEAF" w14:textId="6F92D7AE" w:rsidR="001D607D" w:rsidRPr="00B67592" w:rsidRDefault="0014230A" w:rsidP="009835DC">
            <w:pPr>
              <w:rPr>
                <w:rFonts w:asciiTheme="minorHAnsi" w:hAnsiTheme="minorHAnsi" w:cstheme="minorHAnsi"/>
                <w:b/>
                <w:bCs/>
                <w:sz w:val="23"/>
                <w:szCs w:val="23"/>
              </w:rPr>
            </w:pPr>
            <w:r>
              <w:rPr>
                <w:rFonts w:asciiTheme="minorHAnsi" w:hAnsiTheme="minorHAnsi" w:cstheme="minorHAnsi"/>
                <w:b/>
                <w:bCs/>
                <w:sz w:val="23"/>
                <w:szCs w:val="23"/>
              </w:rPr>
              <w:t>Concept</w:t>
            </w:r>
            <w:r w:rsidR="001D607D" w:rsidRPr="00B67592">
              <w:rPr>
                <w:rFonts w:asciiTheme="minorHAnsi" w:hAnsiTheme="minorHAnsi" w:cstheme="minorHAnsi"/>
                <w:b/>
                <w:bCs/>
                <w:sz w:val="23"/>
                <w:szCs w:val="23"/>
              </w:rPr>
              <w:t xml:space="preserve"> Review Decision</w:t>
            </w:r>
          </w:p>
        </w:tc>
        <w:tc>
          <w:tcPr>
            <w:tcW w:w="6120" w:type="dxa"/>
            <w:tcBorders>
              <w:top w:val="single" w:sz="4" w:space="0" w:color="auto"/>
              <w:left w:val="single" w:sz="4" w:space="0" w:color="auto"/>
              <w:bottom w:val="single" w:sz="4" w:space="0" w:color="auto"/>
              <w:right w:val="single" w:sz="4" w:space="0" w:color="auto"/>
            </w:tcBorders>
          </w:tcPr>
          <w:p w14:paraId="01C91871" w14:textId="705AC14F" w:rsidR="001D607D" w:rsidRPr="006E51A7" w:rsidRDefault="006E51A7" w:rsidP="006E51A7">
            <w:pPr>
              <w:rPr>
                <w:rFonts w:asciiTheme="minorHAnsi" w:hAnsiTheme="minorHAnsi" w:cstheme="minorHAnsi"/>
                <w:sz w:val="23"/>
                <w:szCs w:val="23"/>
              </w:rPr>
            </w:pPr>
            <w:r>
              <w:rPr>
                <w:rFonts w:asciiTheme="minorHAnsi" w:hAnsiTheme="minorHAnsi" w:cstheme="minorHAnsi"/>
                <w:sz w:val="23"/>
                <w:szCs w:val="23"/>
              </w:rPr>
              <w:t>Following the Concept Note Review Meeting, the team reverted to the chair and it was decided to keep this DPO series limited to two operations, merging when appropriate reforms in DPO3 into DPO2.</w:t>
            </w:r>
          </w:p>
        </w:tc>
      </w:tr>
    </w:tbl>
    <w:p w14:paraId="747DEAC9" w14:textId="77777777" w:rsidR="00671A99" w:rsidRPr="00B67592" w:rsidRDefault="00671A99" w:rsidP="00A126FA">
      <w:pPr>
        <w:rPr>
          <w:rFonts w:asciiTheme="minorHAnsi" w:hAnsiTheme="minorHAnsi" w:cstheme="minorHAnsi"/>
        </w:rPr>
      </w:pPr>
    </w:p>
    <w:p w14:paraId="1DA50FD7" w14:textId="77777777" w:rsidR="00671A99" w:rsidRPr="00B67592" w:rsidRDefault="00671A99" w:rsidP="00671A99">
      <w:pPr>
        <w:numPr>
          <w:ilvl w:val="0"/>
          <w:numId w:val="24"/>
        </w:numPr>
        <w:rPr>
          <w:rFonts w:asciiTheme="minorHAnsi" w:hAnsiTheme="minorHAnsi" w:cstheme="minorHAnsi"/>
          <w:b/>
          <w:i/>
          <w:sz w:val="22"/>
          <w:szCs w:val="22"/>
        </w:rPr>
      </w:pPr>
      <w:r w:rsidRPr="00B67592">
        <w:rPr>
          <w:rFonts w:asciiTheme="minorHAnsi" w:hAnsiTheme="minorHAnsi" w:cstheme="minorHAnsi"/>
          <w:b/>
          <w:sz w:val="22"/>
          <w:szCs w:val="22"/>
        </w:rPr>
        <w:t xml:space="preserve">Key development issues and rationale for Bank involvement </w:t>
      </w:r>
    </w:p>
    <w:p w14:paraId="5E247384" w14:textId="77777777" w:rsidR="00041110" w:rsidRPr="00B67592" w:rsidRDefault="00041110" w:rsidP="00671A99">
      <w:pPr>
        <w:ind w:left="720"/>
        <w:rPr>
          <w:rFonts w:asciiTheme="minorHAnsi" w:hAnsiTheme="minorHAnsi" w:cstheme="minorHAnsi"/>
          <w:b/>
          <w:color w:val="000000" w:themeColor="text1"/>
          <w:sz w:val="22"/>
          <w:szCs w:val="22"/>
        </w:rPr>
      </w:pPr>
    </w:p>
    <w:p w14:paraId="79194488" w14:textId="77777777" w:rsidR="00F10749" w:rsidRPr="00B67592" w:rsidRDefault="00F10749" w:rsidP="004252B3">
      <w:pPr>
        <w:numPr>
          <w:ilvl w:val="0"/>
          <w:numId w:val="27"/>
        </w:numPr>
        <w:tabs>
          <w:tab w:val="clear" w:pos="720"/>
          <w:tab w:val="num" w:pos="0"/>
          <w:tab w:val="left" w:pos="450"/>
          <w:tab w:val="num" w:pos="540"/>
          <w:tab w:val="num" w:pos="990"/>
        </w:tabs>
        <w:autoSpaceDE w:val="0"/>
        <w:autoSpaceDN w:val="0"/>
        <w:adjustRightInd w:val="0"/>
        <w:spacing w:after="240"/>
        <w:ind w:left="0" w:firstLine="0"/>
        <w:jc w:val="both"/>
        <w:rPr>
          <w:rFonts w:asciiTheme="minorHAnsi" w:eastAsia="MS Mincho" w:hAnsiTheme="minorHAnsi" w:cstheme="minorHAnsi"/>
          <w:b/>
          <w:sz w:val="22"/>
          <w:szCs w:val="22"/>
        </w:rPr>
      </w:pPr>
      <w:r w:rsidRPr="00B67592">
        <w:rPr>
          <w:rFonts w:asciiTheme="minorHAnsi" w:eastAsia="MS Mincho" w:hAnsiTheme="minorHAnsi" w:cstheme="minorHAnsi"/>
          <w:b/>
          <w:sz w:val="22"/>
          <w:szCs w:val="22"/>
        </w:rPr>
        <w:t xml:space="preserve">Madagascar is characterized by political fragility, although there have been notable signs of progress to build resilience. </w:t>
      </w:r>
      <w:r w:rsidRPr="00B67592">
        <w:rPr>
          <w:rFonts w:asciiTheme="minorHAnsi" w:eastAsia="MS Mincho" w:hAnsiTheme="minorHAnsi" w:cstheme="minorHAnsi"/>
          <w:sz w:val="22"/>
          <w:szCs w:val="22"/>
        </w:rPr>
        <w:t xml:space="preserve">Governance challenges are deep rooted as evidenced by a prolonged political crisis from 2009 to 2013. The return to constitutional order in 2014 was widely welcomed, and important signs of progress are evident. The Government has elaborated a National Development Plan 2015-2019 (NDP) that aims to improve economic management and promote private-sector led growth. With support from the international community, municipal and senatorial elections were peacefully held in July and December 2015, the Independent National Commission for Elections was established, and security reforms are ongoing. While the forthcoming elections are expected to be tense, it is widely hoped that this will be the first time since independence that a Presidential term starts and ends through democratic means. </w:t>
      </w:r>
    </w:p>
    <w:p w14:paraId="59671CA7" w14:textId="77777777" w:rsidR="00F10749" w:rsidRPr="00B67592" w:rsidRDefault="00F10749" w:rsidP="004252B3">
      <w:pPr>
        <w:numPr>
          <w:ilvl w:val="0"/>
          <w:numId w:val="27"/>
        </w:numPr>
        <w:tabs>
          <w:tab w:val="clear" w:pos="720"/>
          <w:tab w:val="num" w:pos="0"/>
          <w:tab w:val="left" w:pos="450"/>
          <w:tab w:val="num" w:pos="540"/>
          <w:tab w:val="num" w:pos="990"/>
        </w:tabs>
        <w:autoSpaceDE w:val="0"/>
        <w:autoSpaceDN w:val="0"/>
        <w:adjustRightInd w:val="0"/>
        <w:spacing w:after="240"/>
        <w:ind w:left="0" w:firstLine="0"/>
        <w:jc w:val="both"/>
        <w:rPr>
          <w:rFonts w:asciiTheme="minorHAnsi" w:eastAsia="MS Mincho" w:hAnsiTheme="minorHAnsi" w:cstheme="minorHAnsi"/>
          <w:b/>
          <w:sz w:val="22"/>
          <w:szCs w:val="22"/>
        </w:rPr>
      </w:pPr>
      <w:r w:rsidRPr="00B67592">
        <w:rPr>
          <w:rFonts w:asciiTheme="minorHAnsi" w:eastAsia="MS Mincho" w:hAnsiTheme="minorHAnsi" w:cstheme="minorHAnsi"/>
          <w:b/>
          <w:sz w:val="22"/>
          <w:szCs w:val="22"/>
        </w:rPr>
        <w:t>The costs of fragility have been high, where Madagascar is one of the poorest countries in the world.</w:t>
      </w:r>
      <w:r w:rsidRPr="00B67592">
        <w:rPr>
          <w:rFonts w:asciiTheme="minorHAnsi" w:eastAsia="MS Mincho" w:hAnsiTheme="minorHAnsi" w:cstheme="minorHAnsi"/>
          <w:b/>
          <w:bCs/>
          <w:color w:val="000000"/>
          <w:sz w:val="22"/>
          <w:szCs w:val="22"/>
          <w:vertAlign w:val="superscript"/>
        </w:rPr>
        <w:t xml:space="preserve"> </w:t>
      </w:r>
      <w:r w:rsidRPr="00B67592">
        <w:rPr>
          <w:rFonts w:asciiTheme="minorHAnsi" w:eastAsia="MS Mincho" w:hAnsiTheme="minorHAnsi" w:cstheme="minorHAnsi"/>
          <w:b/>
          <w:bCs/>
          <w:color w:val="000000"/>
          <w:sz w:val="22"/>
          <w:szCs w:val="22"/>
          <w:vertAlign w:val="superscript"/>
        </w:rPr>
        <w:footnoteReference w:id="1"/>
      </w:r>
      <w:r w:rsidRPr="00B67592">
        <w:rPr>
          <w:rFonts w:asciiTheme="minorHAnsi" w:eastAsia="MS Mincho" w:hAnsiTheme="minorHAnsi" w:cstheme="minorHAnsi"/>
          <w:b/>
          <w:sz w:val="22"/>
          <w:szCs w:val="22"/>
        </w:rPr>
        <w:t xml:space="preserve"> </w:t>
      </w:r>
      <w:r w:rsidRPr="00B67592">
        <w:rPr>
          <w:rFonts w:asciiTheme="minorHAnsi" w:eastAsia="MS Mincho" w:hAnsiTheme="minorHAnsi" w:cstheme="minorHAnsi"/>
          <w:color w:val="000000"/>
          <w:sz w:val="22"/>
          <w:szCs w:val="22"/>
        </w:rPr>
        <w:t xml:space="preserve">Since 2001, there have been two political crises, disruptions in access to markets for textiles and manufacturing exports, severe climatic shocks, and global food price fluctuations. Against this backdrop, the headcount poverty rate declined slightly over the 2001-2012 period, but it remains exceedingly high at 70.7 percent in 2012. </w:t>
      </w:r>
      <w:r w:rsidRPr="00B67592">
        <w:rPr>
          <w:rFonts w:asciiTheme="minorHAnsi" w:eastAsia="MS Mincho" w:hAnsiTheme="minorHAnsi" w:cstheme="minorHAnsi"/>
          <w:sz w:val="22"/>
          <w:szCs w:val="22"/>
        </w:rPr>
        <w:t>The average Malagasy is 42 percent poorer today than she was in 1960</w:t>
      </w:r>
      <w:r w:rsidRPr="00B67592">
        <w:rPr>
          <w:rFonts w:asciiTheme="minorHAnsi" w:eastAsia="MS Mincho" w:hAnsiTheme="minorHAnsi" w:cstheme="minorHAnsi"/>
          <w:sz w:val="22"/>
          <w:szCs w:val="22"/>
          <w:vertAlign w:val="superscript"/>
        </w:rPr>
        <w:footnoteReference w:id="2"/>
      </w:r>
      <w:r w:rsidRPr="00B67592">
        <w:rPr>
          <w:rFonts w:asciiTheme="minorHAnsi" w:eastAsia="MS Mincho" w:hAnsiTheme="minorHAnsi" w:cstheme="minorHAnsi"/>
          <w:sz w:val="22"/>
          <w:szCs w:val="22"/>
        </w:rPr>
        <w:t xml:space="preserve">, the year </w:t>
      </w:r>
      <w:r w:rsidRPr="00B67592">
        <w:rPr>
          <w:rFonts w:asciiTheme="minorHAnsi" w:eastAsia="MS Mincho" w:hAnsiTheme="minorHAnsi" w:cstheme="minorHAnsi"/>
          <w:sz w:val="22"/>
          <w:szCs w:val="22"/>
        </w:rPr>
        <w:lastRenderedPageBreak/>
        <w:t>of Madagascar’s independence. In 2012</w:t>
      </w:r>
      <w:r w:rsidRPr="00B67592">
        <w:rPr>
          <w:rFonts w:asciiTheme="minorHAnsi" w:eastAsia="MS Mincho" w:hAnsiTheme="minorHAnsi" w:cstheme="minorHAnsi"/>
          <w:sz w:val="22"/>
          <w:szCs w:val="22"/>
          <w:vertAlign w:val="superscript"/>
        </w:rPr>
        <w:footnoteReference w:id="3"/>
      </w:r>
      <w:r w:rsidRPr="00B67592">
        <w:rPr>
          <w:rFonts w:asciiTheme="minorHAnsi" w:eastAsia="MS Mincho" w:hAnsiTheme="minorHAnsi" w:cstheme="minorHAnsi"/>
          <w:sz w:val="22"/>
          <w:szCs w:val="22"/>
        </w:rPr>
        <w:t xml:space="preserve">, only 30 percent of Malagasy lived above the national poverty line and only 10 percent above the international poverty line. Inequality is defined not by an excessive concentration of wealth for a few but by deep poverty, where the average Malagasy consumes 46 percent less than a person living right at the national poverty line. </w:t>
      </w:r>
    </w:p>
    <w:p w14:paraId="3EEB7870" w14:textId="643300ED" w:rsidR="00293D50" w:rsidRPr="00B67592" w:rsidRDefault="00F10749" w:rsidP="004252B3">
      <w:pPr>
        <w:numPr>
          <w:ilvl w:val="0"/>
          <w:numId w:val="27"/>
        </w:numPr>
        <w:tabs>
          <w:tab w:val="clear" w:pos="720"/>
          <w:tab w:val="num" w:pos="0"/>
          <w:tab w:val="left" w:pos="450"/>
          <w:tab w:val="num" w:pos="540"/>
          <w:tab w:val="num" w:pos="990"/>
        </w:tabs>
        <w:autoSpaceDE w:val="0"/>
        <w:autoSpaceDN w:val="0"/>
        <w:adjustRightInd w:val="0"/>
        <w:spacing w:after="240"/>
        <w:ind w:left="0" w:firstLine="0"/>
        <w:jc w:val="both"/>
        <w:rPr>
          <w:rFonts w:asciiTheme="minorHAnsi" w:eastAsia="MS Mincho" w:hAnsiTheme="minorHAnsi" w:cstheme="minorHAnsi"/>
          <w:b/>
          <w:sz w:val="22"/>
          <w:szCs w:val="22"/>
        </w:rPr>
      </w:pPr>
      <w:r w:rsidRPr="00B67592">
        <w:rPr>
          <w:rFonts w:asciiTheme="minorHAnsi" w:eastAsia="MS Mincho" w:hAnsiTheme="minorHAnsi" w:cstheme="minorHAnsi"/>
          <w:b/>
          <w:sz w:val="22"/>
          <w:szCs w:val="22"/>
        </w:rPr>
        <w:t xml:space="preserve">Promoting broad-based growth is key to reducing poverty and enhancing resilience. </w:t>
      </w:r>
      <w:r w:rsidRPr="00B67592">
        <w:rPr>
          <w:rFonts w:asciiTheme="minorHAnsi" w:eastAsia="MS Mincho" w:hAnsiTheme="minorHAnsi" w:cstheme="minorHAnsi"/>
          <w:sz w:val="22"/>
          <w:szCs w:val="22"/>
        </w:rPr>
        <w:t>As noted in Madagascar’s Systematic Country Diagnostic (SCD), low tax revenues have been a constraining force to spending on the country’s priorities, where the country has one of the lowest tax to GDP ratios in the world. Fiscal space is further constrained by transfers and subsidies to non-priority areas such as State-Owned Enterprises (</w:t>
      </w:r>
      <w:proofErr w:type="spellStart"/>
      <w:r w:rsidRPr="00B67592">
        <w:rPr>
          <w:rFonts w:asciiTheme="minorHAnsi" w:eastAsia="MS Mincho" w:hAnsiTheme="minorHAnsi" w:cstheme="minorHAnsi"/>
          <w:sz w:val="22"/>
          <w:szCs w:val="22"/>
        </w:rPr>
        <w:t>SoEs</w:t>
      </w:r>
      <w:proofErr w:type="spellEnd"/>
      <w:r w:rsidRPr="00B67592">
        <w:rPr>
          <w:rFonts w:asciiTheme="minorHAnsi" w:eastAsia="MS Mincho" w:hAnsiTheme="minorHAnsi" w:cstheme="minorHAnsi"/>
          <w:sz w:val="22"/>
          <w:szCs w:val="22"/>
        </w:rPr>
        <w:t>) and a Pension Fund, which are regressive and are not targeted to the poor. As the authorities seek to scale-up public investments, it is critical that resources are directed to well-planned and prioritized projects to address the country’s deficiencies in human and physical capital.</w:t>
      </w:r>
      <w:r w:rsidRPr="00B67592">
        <w:rPr>
          <w:rFonts w:asciiTheme="minorHAnsi" w:eastAsia="MS Mincho" w:hAnsiTheme="minorHAnsi" w:cstheme="minorHAnsi"/>
          <w:b/>
          <w:sz w:val="22"/>
          <w:szCs w:val="22"/>
        </w:rPr>
        <w:t xml:space="preserve"> </w:t>
      </w:r>
      <w:r w:rsidRPr="00B67592">
        <w:rPr>
          <w:rFonts w:asciiTheme="minorHAnsi" w:eastAsia="MS Mincho" w:hAnsiTheme="minorHAnsi" w:cstheme="minorHAnsi"/>
          <w:sz w:val="22"/>
          <w:szCs w:val="22"/>
        </w:rPr>
        <w:t xml:space="preserve">And while a modest growth momentum has started, there is significant scope to improve key sectors such as electricity and air transport, as well as enhance the business environment. These measures will be critical for stimulating productivity and creating jobs, which are key for realizing the objectives of the NDP and reducing poverty. </w:t>
      </w:r>
    </w:p>
    <w:p w14:paraId="7CBCA0DC" w14:textId="672FD16C" w:rsidR="00915DAE" w:rsidRPr="00B67592" w:rsidRDefault="00F10749" w:rsidP="004252B3">
      <w:pPr>
        <w:pStyle w:val="ListParagraph"/>
        <w:numPr>
          <w:ilvl w:val="0"/>
          <w:numId w:val="27"/>
        </w:numPr>
        <w:tabs>
          <w:tab w:val="clear" w:pos="720"/>
          <w:tab w:val="num" w:pos="270"/>
        </w:tabs>
        <w:ind w:left="0" w:firstLine="0"/>
        <w:jc w:val="both"/>
        <w:rPr>
          <w:rFonts w:asciiTheme="minorHAnsi" w:hAnsiTheme="minorHAnsi" w:cstheme="minorHAnsi"/>
          <w:b/>
          <w:color w:val="000000" w:themeColor="text1"/>
          <w:sz w:val="22"/>
          <w:szCs w:val="22"/>
        </w:rPr>
      </w:pPr>
      <w:r w:rsidRPr="00B67592">
        <w:rPr>
          <w:rFonts w:asciiTheme="minorHAnsi" w:hAnsiTheme="minorHAnsi" w:cstheme="minorHAnsi"/>
          <w:b/>
          <w:color w:val="000000" w:themeColor="text1"/>
          <w:sz w:val="22"/>
          <w:szCs w:val="22"/>
        </w:rPr>
        <w:t>At the request of the authorities, this DPO series aims to continue supporting the Government’s reform efforts.</w:t>
      </w:r>
    </w:p>
    <w:p w14:paraId="41D017DA" w14:textId="40058F42" w:rsidR="004252B3" w:rsidRPr="00B67592" w:rsidRDefault="004252B3" w:rsidP="004252B3">
      <w:pPr>
        <w:jc w:val="both"/>
        <w:rPr>
          <w:rFonts w:asciiTheme="minorHAnsi" w:hAnsiTheme="minorHAnsi" w:cstheme="minorHAnsi"/>
          <w:b/>
          <w:sz w:val="22"/>
          <w:szCs w:val="22"/>
        </w:rPr>
      </w:pPr>
    </w:p>
    <w:p w14:paraId="6B74248F" w14:textId="77777777" w:rsidR="003103C4" w:rsidRPr="00B67592" w:rsidRDefault="003103C4" w:rsidP="003103C4">
      <w:pPr>
        <w:numPr>
          <w:ilvl w:val="0"/>
          <w:numId w:val="24"/>
        </w:numPr>
        <w:rPr>
          <w:rFonts w:asciiTheme="minorHAnsi" w:hAnsiTheme="minorHAnsi" w:cstheme="minorHAnsi"/>
          <w:b/>
          <w:sz w:val="22"/>
          <w:szCs w:val="22"/>
        </w:rPr>
      </w:pPr>
      <w:r w:rsidRPr="00B67592">
        <w:rPr>
          <w:rFonts w:asciiTheme="minorHAnsi" w:hAnsiTheme="minorHAnsi" w:cstheme="minorHAnsi"/>
          <w:b/>
          <w:sz w:val="22"/>
          <w:szCs w:val="22"/>
        </w:rPr>
        <w:t>Proposed Objective(s)</w:t>
      </w:r>
    </w:p>
    <w:p w14:paraId="545D2558" w14:textId="77777777" w:rsidR="00041110" w:rsidRPr="00B67592" w:rsidRDefault="00041110" w:rsidP="00041110">
      <w:pPr>
        <w:tabs>
          <w:tab w:val="left" w:pos="450"/>
        </w:tabs>
        <w:autoSpaceDE w:val="0"/>
        <w:autoSpaceDN w:val="0"/>
        <w:adjustRightInd w:val="0"/>
        <w:jc w:val="both"/>
        <w:rPr>
          <w:rFonts w:asciiTheme="minorHAnsi" w:hAnsiTheme="minorHAnsi" w:cstheme="minorHAnsi"/>
          <w:b/>
          <w:color w:val="000000" w:themeColor="text1"/>
          <w:sz w:val="22"/>
          <w:szCs w:val="22"/>
        </w:rPr>
      </w:pPr>
    </w:p>
    <w:p w14:paraId="5C237F77" w14:textId="503CF639" w:rsidR="00041110" w:rsidRPr="00B67592" w:rsidRDefault="00150129" w:rsidP="004252B3">
      <w:pPr>
        <w:pStyle w:val="ListParagraph"/>
        <w:numPr>
          <w:ilvl w:val="0"/>
          <w:numId w:val="27"/>
        </w:numPr>
        <w:tabs>
          <w:tab w:val="left" w:pos="270"/>
        </w:tabs>
        <w:autoSpaceDE w:val="0"/>
        <w:autoSpaceDN w:val="0"/>
        <w:adjustRightInd w:val="0"/>
        <w:ind w:left="0" w:firstLine="0"/>
        <w:jc w:val="both"/>
        <w:rPr>
          <w:rFonts w:asciiTheme="minorHAnsi" w:hAnsiTheme="minorHAnsi" w:cstheme="minorHAnsi"/>
          <w:color w:val="000000" w:themeColor="text1"/>
          <w:sz w:val="22"/>
          <w:szCs w:val="22"/>
        </w:rPr>
      </w:pPr>
      <w:r w:rsidRPr="00B67592">
        <w:rPr>
          <w:rFonts w:asciiTheme="minorHAnsi" w:hAnsiTheme="minorHAnsi" w:cstheme="minorHAnsi"/>
          <w:b/>
          <w:sz w:val="22"/>
          <w:szCs w:val="22"/>
        </w:rPr>
        <w:t xml:space="preserve">The program development objectives of the proposed operation are </w:t>
      </w:r>
      <w:r w:rsidR="00DD3B07" w:rsidRPr="00B67592">
        <w:rPr>
          <w:rFonts w:asciiTheme="minorHAnsi" w:hAnsiTheme="minorHAnsi" w:cstheme="minorHAnsi"/>
          <w:b/>
          <w:sz w:val="22"/>
          <w:szCs w:val="22"/>
        </w:rPr>
        <w:t xml:space="preserve">(i) </w:t>
      </w:r>
      <w:r w:rsidRPr="00B67592">
        <w:rPr>
          <w:rFonts w:asciiTheme="minorHAnsi" w:hAnsiTheme="minorHAnsi" w:cstheme="minorHAnsi"/>
          <w:b/>
          <w:sz w:val="22"/>
          <w:szCs w:val="22"/>
        </w:rPr>
        <w:t xml:space="preserve">to strengthen Madagascar’s fiscal framework </w:t>
      </w:r>
      <w:r w:rsidR="000B78E5" w:rsidRPr="00B67592">
        <w:rPr>
          <w:rFonts w:asciiTheme="minorHAnsi" w:hAnsiTheme="minorHAnsi" w:cstheme="minorHAnsi"/>
          <w:b/>
          <w:sz w:val="22"/>
          <w:szCs w:val="22"/>
        </w:rPr>
        <w:t xml:space="preserve">to increase social spending </w:t>
      </w:r>
      <w:r w:rsidR="00C1158A" w:rsidRPr="00B67592">
        <w:rPr>
          <w:rFonts w:asciiTheme="minorHAnsi" w:hAnsiTheme="minorHAnsi" w:cstheme="minorHAnsi"/>
          <w:b/>
          <w:sz w:val="22"/>
          <w:szCs w:val="22"/>
        </w:rPr>
        <w:t xml:space="preserve">and investment, </w:t>
      </w:r>
      <w:r w:rsidRPr="00B67592">
        <w:rPr>
          <w:rFonts w:asciiTheme="minorHAnsi" w:hAnsiTheme="minorHAnsi" w:cstheme="minorHAnsi"/>
          <w:b/>
          <w:sz w:val="22"/>
          <w:szCs w:val="22"/>
        </w:rPr>
        <w:t xml:space="preserve">and </w:t>
      </w:r>
      <w:r w:rsidR="00DD3B07" w:rsidRPr="00B67592">
        <w:rPr>
          <w:rFonts w:asciiTheme="minorHAnsi" w:hAnsiTheme="minorHAnsi" w:cstheme="minorHAnsi"/>
          <w:b/>
          <w:sz w:val="22"/>
          <w:szCs w:val="22"/>
        </w:rPr>
        <w:t xml:space="preserve">(ii) </w:t>
      </w:r>
      <w:r w:rsidR="000B78E5" w:rsidRPr="00B67592">
        <w:rPr>
          <w:rFonts w:asciiTheme="minorHAnsi" w:hAnsiTheme="minorHAnsi" w:cstheme="minorHAnsi"/>
          <w:b/>
          <w:sz w:val="22"/>
          <w:szCs w:val="22"/>
        </w:rPr>
        <w:t xml:space="preserve">to </w:t>
      </w:r>
      <w:r w:rsidRPr="00B67592">
        <w:rPr>
          <w:rFonts w:asciiTheme="minorHAnsi" w:hAnsiTheme="minorHAnsi" w:cstheme="minorHAnsi"/>
          <w:b/>
          <w:sz w:val="22"/>
          <w:szCs w:val="22"/>
        </w:rPr>
        <w:t>enhanc</w:t>
      </w:r>
      <w:r w:rsidR="006877DA" w:rsidRPr="00B67592">
        <w:rPr>
          <w:rFonts w:asciiTheme="minorHAnsi" w:hAnsiTheme="minorHAnsi" w:cstheme="minorHAnsi"/>
          <w:b/>
          <w:sz w:val="22"/>
          <w:szCs w:val="22"/>
        </w:rPr>
        <w:t>e</w:t>
      </w:r>
      <w:r w:rsidRPr="00B67592">
        <w:rPr>
          <w:rFonts w:asciiTheme="minorHAnsi" w:hAnsiTheme="minorHAnsi" w:cstheme="minorHAnsi"/>
          <w:b/>
          <w:sz w:val="22"/>
          <w:szCs w:val="22"/>
        </w:rPr>
        <w:t xml:space="preserve"> the environment for </w:t>
      </w:r>
      <w:r w:rsidR="00695B6F" w:rsidRPr="00B67592">
        <w:rPr>
          <w:rFonts w:asciiTheme="minorHAnsi" w:hAnsiTheme="minorHAnsi" w:cstheme="minorHAnsi"/>
          <w:b/>
          <w:sz w:val="22"/>
          <w:szCs w:val="22"/>
        </w:rPr>
        <w:t>investment</w:t>
      </w:r>
      <w:r w:rsidRPr="00B67592">
        <w:rPr>
          <w:rFonts w:asciiTheme="minorHAnsi" w:hAnsiTheme="minorHAnsi" w:cstheme="minorHAnsi"/>
          <w:b/>
          <w:sz w:val="22"/>
          <w:szCs w:val="22"/>
        </w:rPr>
        <w:t>.</w:t>
      </w:r>
      <w:r w:rsidRPr="00B67592">
        <w:rPr>
          <w:rFonts w:asciiTheme="minorHAnsi" w:hAnsiTheme="minorHAnsi" w:cstheme="minorHAnsi"/>
          <w:color w:val="000000" w:themeColor="text1"/>
          <w:sz w:val="22"/>
          <w:szCs w:val="22"/>
        </w:rPr>
        <w:t xml:space="preserve"> It supports the “macroeconomic stability” pillar of the government’s national development plan most directly, and the “inclusive growth” pillar indirectly. The two pillars were selected as the priority foundations for overcoming the country’s main challenges to reducing poverty. To conduct appropriate pro-poor policies, economic growth and fiscal space for the government are necessary. The other three pillars, “governance,” “human capital development” and “natural resources and resilience against catastrophes,” are supported by complementary investment and technical assistance operations</w:t>
      </w:r>
      <w:r w:rsidR="00DD3B07" w:rsidRPr="00B67592">
        <w:rPr>
          <w:rFonts w:asciiTheme="minorHAnsi" w:hAnsiTheme="minorHAnsi" w:cstheme="minorHAnsi"/>
          <w:color w:val="000000" w:themeColor="text1"/>
          <w:sz w:val="22"/>
          <w:szCs w:val="22"/>
        </w:rPr>
        <w:t>.</w:t>
      </w:r>
    </w:p>
    <w:p w14:paraId="0B56A7CC" w14:textId="77777777" w:rsidR="00A126FA" w:rsidRPr="00B67592" w:rsidRDefault="00A126FA" w:rsidP="004252B3">
      <w:pPr>
        <w:tabs>
          <w:tab w:val="left" w:pos="270"/>
        </w:tabs>
        <w:rPr>
          <w:rFonts w:asciiTheme="minorHAnsi" w:hAnsiTheme="minorHAnsi" w:cstheme="minorHAnsi"/>
          <w:sz w:val="22"/>
          <w:szCs w:val="22"/>
        </w:rPr>
      </w:pPr>
    </w:p>
    <w:p w14:paraId="166FFFA6" w14:textId="77777777" w:rsidR="00A126FA" w:rsidRPr="00B67592" w:rsidRDefault="00A126FA" w:rsidP="004252B3">
      <w:pPr>
        <w:numPr>
          <w:ilvl w:val="0"/>
          <w:numId w:val="24"/>
        </w:numPr>
        <w:tabs>
          <w:tab w:val="left" w:pos="270"/>
        </w:tabs>
        <w:ind w:left="0" w:firstLine="0"/>
        <w:rPr>
          <w:rFonts w:asciiTheme="minorHAnsi" w:hAnsiTheme="minorHAnsi" w:cstheme="minorHAnsi"/>
          <w:b/>
          <w:sz w:val="22"/>
          <w:szCs w:val="22"/>
        </w:rPr>
      </w:pPr>
      <w:r w:rsidRPr="00B67592">
        <w:rPr>
          <w:rFonts w:asciiTheme="minorHAnsi" w:hAnsiTheme="minorHAnsi" w:cstheme="minorHAnsi"/>
          <w:b/>
          <w:sz w:val="22"/>
          <w:szCs w:val="22"/>
        </w:rPr>
        <w:t>Preliminary Description</w:t>
      </w:r>
    </w:p>
    <w:p w14:paraId="625FA1A1" w14:textId="77777777" w:rsidR="00041110" w:rsidRPr="00B67592" w:rsidRDefault="00041110" w:rsidP="004252B3">
      <w:pPr>
        <w:tabs>
          <w:tab w:val="left" w:pos="270"/>
        </w:tabs>
        <w:rPr>
          <w:rFonts w:asciiTheme="minorHAnsi" w:hAnsiTheme="minorHAnsi" w:cstheme="minorHAnsi"/>
          <w:b/>
          <w:sz w:val="22"/>
          <w:szCs w:val="22"/>
        </w:rPr>
      </w:pPr>
    </w:p>
    <w:p w14:paraId="0DF22C51" w14:textId="361B5155" w:rsidR="00624775" w:rsidRPr="00B67592" w:rsidRDefault="00041110" w:rsidP="004252B3">
      <w:pPr>
        <w:pStyle w:val="ListParagraph"/>
        <w:numPr>
          <w:ilvl w:val="0"/>
          <w:numId w:val="27"/>
        </w:numPr>
        <w:tabs>
          <w:tab w:val="left" w:pos="270"/>
        </w:tabs>
        <w:ind w:left="0" w:firstLine="0"/>
        <w:jc w:val="both"/>
        <w:rPr>
          <w:rFonts w:asciiTheme="minorHAnsi" w:hAnsiTheme="minorHAnsi" w:cstheme="minorHAnsi"/>
          <w:sz w:val="22"/>
          <w:szCs w:val="22"/>
        </w:rPr>
      </w:pPr>
      <w:r w:rsidRPr="00B67592">
        <w:rPr>
          <w:rFonts w:asciiTheme="minorHAnsi" w:hAnsiTheme="minorHAnsi" w:cstheme="minorHAnsi"/>
          <w:b/>
          <w:color w:val="000000" w:themeColor="text1"/>
          <w:sz w:val="22"/>
          <w:szCs w:val="22"/>
        </w:rPr>
        <w:t xml:space="preserve">The </w:t>
      </w:r>
      <w:r w:rsidR="001C63A9" w:rsidRPr="00B67592">
        <w:rPr>
          <w:rFonts w:asciiTheme="minorHAnsi" w:hAnsiTheme="minorHAnsi" w:cstheme="minorHAnsi"/>
          <w:b/>
          <w:color w:val="000000" w:themeColor="text1"/>
          <w:sz w:val="22"/>
          <w:szCs w:val="22"/>
        </w:rPr>
        <w:t xml:space="preserve">actions supported by this operation are arranged </w:t>
      </w:r>
      <w:r w:rsidR="001C63A9" w:rsidRPr="00B67592">
        <w:rPr>
          <w:rFonts w:asciiTheme="minorHAnsi" w:hAnsiTheme="minorHAnsi" w:cstheme="minorHAnsi"/>
          <w:b/>
          <w:sz w:val="22"/>
          <w:szCs w:val="22"/>
        </w:rPr>
        <w:t>around two pillars</w:t>
      </w:r>
      <w:r w:rsidR="00DD3B07" w:rsidRPr="00B67592">
        <w:rPr>
          <w:rFonts w:asciiTheme="minorHAnsi" w:hAnsiTheme="minorHAnsi" w:cstheme="minorHAnsi"/>
          <w:b/>
          <w:sz w:val="22"/>
          <w:szCs w:val="22"/>
        </w:rPr>
        <w:t xml:space="preserve"> which reflect </w:t>
      </w:r>
      <w:r w:rsidR="00757DCA" w:rsidRPr="00B67592">
        <w:rPr>
          <w:rFonts w:asciiTheme="minorHAnsi" w:hAnsiTheme="minorHAnsi" w:cstheme="minorHAnsi"/>
          <w:b/>
          <w:sz w:val="22"/>
          <w:szCs w:val="22"/>
        </w:rPr>
        <w:t>the two program development objectives</w:t>
      </w:r>
      <w:r w:rsidR="001C63A9" w:rsidRPr="00B67592">
        <w:rPr>
          <w:rFonts w:asciiTheme="minorHAnsi" w:hAnsiTheme="minorHAnsi" w:cstheme="minorHAnsi"/>
          <w:b/>
          <w:sz w:val="22"/>
          <w:szCs w:val="22"/>
        </w:rPr>
        <w:t>.</w:t>
      </w:r>
      <w:r w:rsidR="001C63A9" w:rsidRPr="00B67592">
        <w:rPr>
          <w:rFonts w:asciiTheme="minorHAnsi" w:hAnsiTheme="minorHAnsi" w:cstheme="minorHAnsi"/>
          <w:sz w:val="22"/>
          <w:szCs w:val="22"/>
        </w:rPr>
        <w:t xml:space="preserve"> </w:t>
      </w:r>
      <w:r w:rsidR="00624775" w:rsidRPr="00B67592">
        <w:rPr>
          <w:rFonts w:asciiTheme="minorHAnsi" w:hAnsiTheme="minorHAnsi" w:cstheme="minorHAnsi"/>
          <w:sz w:val="22"/>
          <w:szCs w:val="22"/>
        </w:rPr>
        <w:t xml:space="preserve">The two objectives of the DPO are complementary by seeking to stimulate broad based growth.  By strengthening Madagascar’s fiscal framework and reducing non-targeted expenditures, the reforms </w:t>
      </w:r>
      <w:r w:rsidR="00757DCA" w:rsidRPr="00B67592">
        <w:rPr>
          <w:rFonts w:asciiTheme="minorHAnsi" w:hAnsiTheme="minorHAnsi" w:cstheme="minorHAnsi"/>
          <w:sz w:val="22"/>
          <w:szCs w:val="22"/>
        </w:rPr>
        <w:t xml:space="preserve">under the first pillar </w:t>
      </w:r>
      <w:r w:rsidR="00624775" w:rsidRPr="00B67592">
        <w:rPr>
          <w:rFonts w:asciiTheme="minorHAnsi" w:hAnsiTheme="minorHAnsi" w:cstheme="minorHAnsi"/>
          <w:sz w:val="22"/>
          <w:szCs w:val="22"/>
        </w:rPr>
        <w:t xml:space="preserve">seek to enhance fiscal space for spending on pro-poor policies and investment, which should contribute to reduced poverty (provided spending is well targeted) and further stimulate growth. Under the second pillar, the reforms seek to support the recovery of electricity and air transport sectors, which are critical for realizing Madagascar’s economic potential, as well as enhancing the investment climate, thereby contributing to broad based growth. </w:t>
      </w:r>
    </w:p>
    <w:p w14:paraId="5CD807A8" w14:textId="2BCA60D9" w:rsidR="001C63A9" w:rsidRPr="00B67592" w:rsidRDefault="001C63A9" w:rsidP="00624775">
      <w:pPr>
        <w:autoSpaceDE w:val="0"/>
        <w:autoSpaceDN w:val="0"/>
        <w:adjustRightInd w:val="0"/>
        <w:rPr>
          <w:rFonts w:asciiTheme="minorHAnsi" w:hAnsiTheme="minorHAnsi" w:cstheme="minorHAnsi"/>
          <w:sz w:val="22"/>
          <w:szCs w:val="22"/>
        </w:rPr>
      </w:pPr>
    </w:p>
    <w:p w14:paraId="1B8A54AC" w14:textId="77777777" w:rsidR="00FF23CF" w:rsidRPr="00B67592" w:rsidRDefault="00FF23CF" w:rsidP="00FF23CF">
      <w:pPr>
        <w:ind w:firstLine="720"/>
        <w:rPr>
          <w:rFonts w:asciiTheme="minorHAnsi" w:hAnsiTheme="minorHAnsi" w:cstheme="minorHAnsi"/>
          <w:b/>
          <w:sz w:val="22"/>
          <w:szCs w:val="22"/>
        </w:rPr>
      </w:pPr>
    </w:p>
    <w:p w14:paraId="24DF174A" w14:textId="215343C9" w:rsidR="00AA5A30" w:rsidRPr="00B67592" w:rsidRDefault="00AA5A30" w:rsidP="00AA5A30">
      <w:pPr>
        <w:numPr>
          <w:ilvl w:val="0"/>
          <w:numId w:val="24"/>
        </w:numPr>
        <w:rPr>
          <w:rFonts w:asciiTheme="minorHAnsi" w:hAnsiTheme="minorHAnsi" w:cstheme="minorHAnsi"/>
          <w:b/>
          <w:sz w:val="22"/>
          <w:szCs w:val="22"/>
        </w:rPr>
      </w:pPr>
      <w:r w:rsidRPr="00B67592">
        <w:rPr>
          <w:rFonts w:asciiTheme="minorHAnsi" w:hAnsiTheme="minorHAnsi" w:cstheme="minorHAnsi"/>
          <w:b/>
          <w:sz w:val="22"/>
          <w:szCs w:val="22"/>
        </w:rPr>
        <w:t>Poverty and Social Impacts and Environment Aspects</w:t>
      </w:r>
    </w:p>
    <w:p w14:paraId="125C4C7D" w14:textId="77777777" w:rsidR="00F32907" w:rsidRPr="00B67592" w:rsidRDefault="00F32907" w:rsidP="00F32907">
      <w:pPr>
        <w:ind w:left="720"/>
        <w:rPr>
          <w:rFonts w:asciiTheme="minorHAnsi" w:hAnsiTheme="minorHAnsi" w:cstheme="minorHAnsi"/>
          <w:b/>
          <w:sz w:val="22"/>
          <w:szCs w:val="22"/>
        </w:rPr>
      </w:pPr>
    </w:p>
    <w:p w14:paraId="4BEA6011" w14:textId="77777777" w:rsidR="00AA5A30" w:rsidRPr="00B67592" w:rsidRDefault="00AA5A30" w:rsidP="00AA5A30">
      <w:pPr>
        <w:pStyle w:val="CM4"/>
        <w:spacing w:after="252" w:line="253" w:lineRule="atLeast"/>
        <w:rPr>
          <w:rFonts w:asciiTheme="minorHAnsi" w:hAnsiTheme="minorHAnsi" w:cstheme="minorHAnsi"/>
          <w:i/>
          <w:iCs/>
          <w:color w:val="00007F"/>
          <w:sz w:val="22"/>
          <w:szCs w:val="22"/>
        </w:rPr>
      </w:pPr>
      <w:r w:rsidRPr="00B67592">
        <w:rPr>
          <w:rFonts w:asciiTheme="minorHAnsi" w:hAnsiTheme="minorHAnsi" w:cstheme="minorHAnsi"/>
          <w:i/>
          <w:iCs/>
          <w:color w:val="00007F"/>
          <w:sz w:val="22"/>
          <w:szCs w:val="22"/>
        </w:rPr>
        <w:lastRenderedPageBreak/>
        <w:t xml:space="preserve">Poverty and Social Impacts </w:t>
      </w:r>
    </w:p>
    <w:p w14:paraId="620813C0" w14:textId="77777777" w:rsidR="005659E4" w:rsidRPr="00B67592" w:rsidRDefault="005659E4" w:rsidP="004252B3">
      <w:pPr>
        <w:pStyle w:val="ListParagraph"/>
        <w:numPr>
          <w:ilvl w:val="0"/>
          <w:numId w:val="27"/>
        </w:numPr>
        <w:tabs>
          <w:tab w:val="left" w:pos="0"/>
          <w:tab w:val="left" w:pos="450"/>
        </w:tabs>
        <w:autoSpaceDE w:val="0"/>
        <w:autoSpaceDN w:val="0"/>
        <w:adjustRightInd w:val="0"/>
        <w:spacing w:after="240"/>
        <w:ind w:left="0" w:firstLine="0"/>
        <w:jc w:val="both"/>
        <w:rPr>
          <w:rFonts w:asciiTheme="minorHAnsi" w:hAnsiTheme="minorHAnsi" w:cstheme="minorHAnsi"/>
          <w:sz w:val="22"/>
          <w:szCs w:val="22"/>
        </w:rPr>
      </w:pPr>
      <w:r w:rsidRPr="00B67592">
        <w:rPr>
          <w:rFonts w:asciiTheme="minorHAnsi" w:hAnsiTheme="minorHAnsi" w:cstheme="minorHAnsi"/>
          <w:b/>
          <w:sz w:val="22"/>
          <w:szCs w:val="22"/>
        </w:rPr>
        <w:t>The overall poverty and social impact of the policies supported by this DPO are positive</w:t>
      </w:r>
      <w:r w:rsidRPr="00B67592">
        <w:rPr>
          <w:rFonts w:asciiTheme="minorHAnsi" w:hAnsiTheme="minorHAnsi" w:cstheme="minorHAnsi"/>
          <w:sz w:val="22"/>
          <w:szCs w:val="22"/>
        </w:rPr>
        <w:t xml:space="preserve">. The improvements to the fiscal framework are expected to contribute to poverty reduction as the Government spends additional resources on priority sectors and increases investment. However, these intended impacts will depend on how well the authorities target social expenditures and whether investments are well selected and implemented. Benefits are more likely to be felt over the medium-term. </w:t>
      </w:r>
    </w:p>
    <w:p w14:paraId="6AEA8623" w14:textId="77777777" w:rsidR="005659E4" w:rsidRPr="00B67592" w:rsidRDefault="005659E4" w:rsidP="005659E4">
      <w:pPr>
        <w:pStyle w:val="ListParagraph"/>
        <w:tabs>
          <w:tab w:val="left" w:pos="450"/>
        </w:tabs>
        <w:autoSpaceDE w:val="0"/>
        <w:autoSpaceDN w:val="0"/>
        <w:adjustRightInd w:val="0"/>
        <w:spacing w:after="240"/>
        <w:ind w:left="0"/>
        <w:jc w:val="both"/>
        <w:rPr>
          <w:rFonts w:asciiTheme="minorHAnsi" w:hAnsiTheme="minorHAnsi" w:cstheme="minorHAnsi"/>
          <w:sz w:val="22"/>
          <w:szCs w:val="22"/>
        </w:rPr>
      </w:pPr>
    </w:p>
    <w:p w14:paraId="4228E14E" w14:textId="77777777" w:rsidR="005659E4" w:rsidRPr="00B67592" w:rsidRDefault="005659E4" w:rsidP="004252B3">
      <w:pPr>
        <w:pStyle w:val="ListParagraph"/>
        <w:numPr>
          <w:ilvl w:val="0"/>
          <w:numId w:val="27"/>
        </w:numPr>
        <w:tabs>
          <w:tab w:val="clear" w:pos="720"/>
        </w:tabs>
        <w:autoSpaceDE w:val="0"/>
        <w:autoSpaceDN w:val="0"/>
        <w:adjustRightInd w:val="0"/>
        <w:spacing w:after="240"/>
        <w:ind w:left="0" w:firstLine="0"/>
        <w:jc w:val="both"/>
        <w:rPr>
          <w:rFonts w:asciiTheme="minorHAnsi" w:hAnsiTheme="minorHAnsi" w:cstheme="minorHAnsi"/>
          <w:sz w:val="22"/>
          <w:szCs w:val="22"/>
        </w:rPr>
      </w:pPr>
      <w:r w:rsidRPr="00B67592">
        <w:rPr>
          <w:rFonts w:asciiTheme="minorHAnsi" w:hAnsiTheme="minorHAnsi" w:cstheme="minorHAnsi"/>
          <w:b/>
          <w:sz w:val="22"/>
          <w:szCs w:val="22"/>
        </w:rPr>
        <w:t xml:space="preserve">The tax administration reforms are not likely to have an adverse effect on poorer households. </w:t>
      </w:r>
      <w:r w:rsidRPr="00B67592">
        <w:rPr>
          <w:rFonts w:asciiTheme="minorHAnsi" w:hAnsiTheme="minorHAnsi" w:cstheme="minorHAnsi"/>
          <w:sz w:val="22"/>
          <w:szCs w:val="22"/>
        </w:rPr>
        <w:t xml:space="preserve">The analysis for the first tax expenditures statement undertook an assessment of which households were likely to benefit from VAT exemptions. The study found that the very poorest households that are based in rural areas are likely to not benefit from exemptions since levels of subsistence consumption are high, at around 40 percent. Rather, VAT exemptions particularly for rice, are more of a benefit for urban households that are non-agricultural producers. Further, the customs reforms focus on large economic operators that present a higher risk for fraud. </w:t>
      </w:r>
    </w:p>
    <w:p w14:paraId="35583917" w14:textId="77777777" w:rsidR="005659E4" w:rsidRPr="00B67592" w:rsidRDefault="005659E4" w:rsidP="00757DCA">
      <w:pPr>
        <w:pStyle w:val="ListParagraph"/>
        <w:ind w:left="0"/>
        <w:rPr>
          <w:rFonts w:asciiTheme="minorHAnsi" w:hAnsiTheme="minorHAnsi" w:cstheme="minorHAnsi"/>
          <w:sz w:val="22"/>
          <w:szCs w:val="22"/>
        </w:rPr>
      </w:pPr>
    </w:p>
    <w:p w14:paraId="1492F356" w14:textId="77777777" w:rsidR="005659E4" w:rsidRPr="00B67592" w:rsidRDefault="005659E4" w:rsidP="004252B3">
      <w:pPr>
        <w:pStyle w:val="ListParagraph"/>
        <w:numPr>
          <w:ilvl w:val="0"/>
          <w:numId w:val="27"/>
        </w:numPr>
        <w:tabs>
          <w:tab w:val="clear" w:pos="720"/>
        </w:tabs>
        <w:autoSpaceDE w:val="0"/>
        <w:autoSpaceDN w:val="0"/>
        <w:adjustRightInd w:val="0"/>
        <w:spacing w:after="240"/>
        <w:ind w:left="0" w:firstLine="0"/>
        <w:jc w:val="both"/>
        <w:rPr>
          <w:rFonts w:asciiTheme="minorHAnsi" w:hAnsiTheme="minorHAnsi" w:cstheme="minorHAnsi"/>
          <w:sz w:val="22"/>
          <w:szCs w:val="22"/>
        </w:rPr>
      </w:pPr>
      <w:r w:rsidRPr="00B67592">
        <w:rPr>
          <w:rFonts w:asciiTheme="minorHAnsi" w:hAnsiTheme="minorHAnsi" w:cstheme="minorHAnsi"/>
          <w:b/>
          <w:sz w:val="22"/>
          <w:szCs w:val="22"/>
        </w:rPr>
        <w:t>The reforms related to the fuel subsidy removal are expected to increase the cost of living, with the burden largely falling on richer households.</w:t>
      </w:r>
      <w:r w:rsidRPr="00B67592">
        <w:rPr>
          <w:rFonts w:asciiTheme="minorHAnsi" w:hAnsiTheme="minorHAnsi" w:cstheme="minorHAnsi"/>
          <w:sz w:val="22"/>
          <w:szCs w:val="22"/>
        </w:rPr>
        <w:t xml:space="preserve"> The estimated share of the total direct burden of fuel price increases is much higher for the top quintile, at 42 percent compared with 10 percent for the bottom quintile. Estimation of the indirect effects of a fuel price increase through higher food and public transportation costs mirror the data for direct effects, with the burden largely falling on the wealthier decile. It is estimated that the bottom quintile bears 7 percent of the indirect burden compared with 46 percent burden for the top quintile (IMF, 2014). The Bank is currently undertaking an incidence analysis of higher fuel prices to inform the dialogue with the authorities on mitigating policies.</w:t>
      </w:r>
    </w:p>
    <w:p w14:paraId="648DE4C2" w14:textId="50CA2BA0" w:rsidR="005659E4" w:rsidRPr="00B67592" w:rsidRDefault="00DD3B07" w:rsidP="004252B3">
      <w:pPr>
        <w:numPr>
          <w:ilvl w:val="0"/>
          <w:numId w:val="27"/>
        </w:numPr>
        <w:tabs>
          <w:tab w:val="clear" w:pos="720"/>
        </w:tabs>
        <w:spacing w:after="200"/>
        <w:ind w:left="0" w:firstLine="0"/>
        <w:contextualSpacing/>
        <w:jc w:val="both"/>
        <w:rPr>
          <w:rFonts w:asciiTheme="minorHAnsi" w:hAnsiTheme="minorHAnsi" w:cstheme="minorHAnsi"/>
          <w:sz w:val="22"/>
          <w:szCs w:val="22"/>
        </w:rPr>
      </w:pPr>
      <w:r w:rsidRPr="00B67592">
        <w:rPr>
          <w:rFonts w:asciiTheme="minorHAnsi" w:hAnsiTheme="minorHAnsi" w:cstheme="minorHAnsi"/>
          <w:b/>
          <w:sz w:val="22"/>
          <w:szCs w:val="22"/>
        </w:rPr>
        <w:t xml:space="preserve">  </w:t>
      </w:r>
      <w:r w:rsidR="005659E4" w:rsidRPr="00B67592">
        <w:rPr>
          <w:rFonts w:asciiTheme="minorHAnsi" w:hAnsiTheme="minorHAnsi" w:cstheme="minorHAnsi"/>
          <w:b/>
          <w:sz w:val="22"/>
          <w:szCs w:val="22"/>
        </w:rPr>
        <w:t>Some mitigating measures have been implemented by the government ahead of the transition to the automatic pricing adjustment.</w:t>
      </w:r>
      <w:r w:rsidR="005659E4" w:rsidRPr="00B67592">
        <w:rPr>
          <w:rFonts w:asciiTheme="minorHAnsi" w:hAnsiTheme="minorHAnsi" w:cstheme="minorHAnsi"/>
          <w:sz w:val="22"/>
          <w:szCs w:val="22"/>
        </w:rPr>
        <w:t xml:space="preserve"> The authorities have distributed school kits to pupils at primary school (school year 2014-2016) and subsidized urban public transport (January 2015 to June 2017). An evaluation of these mitigating measures revealed that the distribution of school kits seems to have been effective in encouraging school enrolment by reducing the financial burden on the poorest parents although the government did not clearly communicate about the link between the removal of fuel subsidies and the operation. The government is also providing a subsidy for urban transport companies to maintain the cost of a bus ticket. The impact of this policy is currently being assessed in the incidence analysis underway. </w:t>
      </w:r>
    </w:p>
    <w:p w14:paraId="328DE15C" w14:textId="77777777" w:rsidR="005659E4" w:rsidRPr="00B67592" w:rsidRDefault="005659E4" w:rsidP="00757DCA">
      <w:pPr>
        <w:contextualSpacing/>
        <w:jc w:val="both"/>
        <w:rPr>
          <w:rFonts w:asciiTheme="minorHAnsi" w:hAnsiTheme="minorHAnsi" w:cstheme="minorHAnsi"/>
          <w:sz w:val="22"/>
          <w:szCs w:val="22"/>
        </w:rPr>
      </w:pPr>
    </w:p>
    <w:p w14:paraId="080B5C12" w14:textId="3D7FA87B" w:rsidR="005659E4" w:rsidRPr="00B67592" w:rsidRDefault="00757DCA" w:rsidP="004252B3">
      <w:pPr>
        <w:numPr>
          <w:ilvl w:val="0"/>
          <w:numId w:val="27"/>
        </w:numPr>
        <w:tabs>
          <w:tab w:val="clear" w:pos="720"/>
        </w:tabs>
        <w:autoSpaceDE w:val="0"/>
        <w:autoSpaceDN w:val="0"/>
        <w:adjustRightInd w:val="0"/>
        <w:spacing w:after="240"/>
        <w:ind w:left="0" w:firstLine="0"/>
        <w:jc w:val="both"/>
        <w:rPr>
          <w:rFonts w:asciiTheme="minorHAnsi" w:eastAsia="Calibri" w:hAnsiTheme="minorHAnsi" w:cstheme="minorHAnsi"/>
          <w:b/>
          <w:bCs/>
          <w:sz w:val="22"/>
          <w:szCs w:val="22"/>
        </w:rPr>
      </w:pPr>
      <w:r w:rsidRPr="00B67592">
        <w:rPr>
          <w:rFonts w:asciiTheme="minorHAnsi" w:eastAsia="Calibri" w:hAnsiTheme="minorHAnsi" w:cstheme="minorHAnsi"/>
          <w:b/>
          <w:bCs/>
          <w:sz w:val="22"/>
          <w:szCs w:val="22"/>
        </w:rPr>
        <w:t xml:space="preserve"> </w:t>
      </w:r>
      <w:r w:rsidR="005659E4" w:rsidRPr="00B67592">
        <w:rPr>
          <w:rFonts w:asciiTheme="minorHAnsi" w:eastAsia="Calibri" w:hAnsiTheme="minorHAnsi" w:cstheme="minorHAnsi"/>
          <w:b/>
          <w:bCs/>
          <w:sz w:val="22"/>
          <w:szCs w:val="22"/>
        </w:rPr>
        <w:t>Improvements to JIRAMA’s procurement practices are expected to have progressive distributional indirect impacts in the long run</w:t>
      </w:r>
      <w:r w:rsidR="005659E4" w:rsidRPr="00B67592">
        <w:rPr>
          <w:rFonts w:asciiTheme="minorHAnsi" w:eastAsia="Calibri" w:hAnsiTheme="minorHAnsi" w:cstheme="minorHAnsi"/>
          <w:bCs/>
          <w:sz w:val="22"/>
          <w:szCs w:val="22"/>
        </w:rPr>
        <w:t>.  The intended impact is that JIRAMA secures advantageous contracts in power supply, which in turn should improve its finances and allow the State to reduce subsidies to the company. Improved financial soundness of the electricity provider could in the long run result in an expansion and improvement of services, which would help to stimulate the business environment. Electricity coverage is very low and excludes most of the poor.</w:t>
      </w:r>
      <w:r w:rsidR="005659E4" w:rsidRPr="00B67592">
        <w:rPr>
          <w:rStyle w:val="FootnoteReference"/>
          <w:rFonts w:asciiTheme="minorHAnsi" w:eastAsia="Calibri" w:hAnsiTheme="minorHAnsi" w:cstheme="minorHAnsi"/>
          <w:bCs/>
          <w:sz w:val="22"/>
          <w:szCs w:val="22"/>
        </w:rPr>
        <w:footnoteReference w:id="4"/>
      </w:r>
      <w:r w:rsidR="005659E4" w:rsidRPr="00B67592">
        <w:rPr>
          <w:rFonts w:asciiTheme="minorHAnsi" w:eastAsia="Calibri" w:hAnsiTheme="minorHAnsi" w:cstheme="minorHAnsi"/>
          <w:bCs/>
          <w:sz w:val="22"/>
          <w:szCs w:val="22"/>
        </w:rPr>
        <w:t xml:space="preserve"> Since electricity usage, and therefore explicit and implicit subsidies, are highly regressive, reduction of subsidies to JIRAMA would have progressive impacts. Improvements to JIRAMA would also improve the business environment. </w:t>
      </w:r>
    </w:p>
    <w:p w14:paraId="36D7C341" w14:textId="656F48BA" w:rsidR="005659E4" w:rsidRPr="00B67592" w:rsidRDefault="00757DCA" w:rsidP="004252B3">
      <w:pPr>
        <w:numPr>
          <w:ilvl w:val="0"/>
          <w:numId w:val="27"/>
        </w:numPr>
        <w:tabs>
          <w:tab w:val="clear" w:pos="720"/>
        </w:tabs>
        <w:autoSpaceDE w:val="0"/>
        <w:autoSpaceDN w:val="0"/>
        <w:adjustRightInd w:val="0"/>
        <w:spacing w:after="240"/>
        <w:ind w:left="0" w:firstLine="0"/>
        <w:jc w:val="both"/>
        <w:rPr>
          <w:rFonts w:asciiTheme="minorHAnsi" w:hAnsiTheme="minorHAnsi" w:cstheme="minorHAnsi"/>
          <w:sz w:val="22"/>
          <w:szCs w:val="22"/>
        </w:rPr>
      </w:pPr>
      <w:r w:rsidRPr="00B67592">
        <w:rPr>
          <w:rFonts w:asciiTheme="minorHAnsi" w:eastAsia="Calibri" w:hAnsiTheme="minorHAnsi" w:cstheme="minorHAnsi"/>
          <w:b/>
          <w:bCs/>
          <w:sz w:val="22"/>
          <w:szCs w:val="22"/>
        </w:rPr>
        <w:t xml:space="preserve"> </w:t>
      </w:r>
      <w:r w:rsidR="005659E4" w:rsidRPr="00B67592">
        <w:rPr>
          <w:rFonts w:asciiTheme="minorHAnsi" w:eastAsia="Calibri" w:hAnsiTheme="minorHAnsi" w:cstheme="minorHAnsi"/>
          <w:b/>
          <w:bCs/>
          <w:sz w:val="22"/>
          <w:szCs w:val="22"/>
        </w:rPr>
        <w:t>The</w:t>
      </w:r>
      <w:r w:rsidR="005659E4" w:rsidRPr="00B67592">
        <w:rPr>
          <w:rFonts w:asciiTheme="minorHAnsi" w:hAnsiTheme="minorHAnsi" w:cstheme="minorHAnsi"/>
          <w:b/>
          <w:sz w:val="22"/>
          <w:szCs w:val="22"/>
        </w:rPr>
        <w:t xml:space="preserve"> prior actions on commercial justice and banking supervision complement the improvement in JIRAMA’s electricity supply in enhancing the attractiveness of the business environment</w:t>
      </w:r>
      <w:r w:rsidR="005659E4" w:rsidRPr="00B67592">
        <w:rPr>
          <w:rFonts w:asciiTheme="minorHAnsi" w:eastAsia="Calibri" w:hAnsiTheme="minorHAnsi" w:cstheme="minorHAnsi"/>
          <w:b/>
          <w:bCs/>
          <w:sz w:val="22"/>
          <w:szCs w:val="22"/>
        </w:rPr>
        <w:t xml:space="preserve">. </w:t>
      </w:r>
      <w:r w:rsidR="005659E4" w:rsidRPr="00B67592">
        <w:rPr>
          <w:rFonts w:asciiTheme="minorHAnsi" w:eastAsia="Calibri" w:hAnsiTheme="minorHAnsi" w:cstheme="minorHAnsi"/>
          <w:bCs/>
          <w:sz w:val="22"/>
          <w:szCs w:val="22"/>
        </w:rPr>
        <w:t xml:space="preserve">These measures address some of the most pressing constraints to operations and growth identified by formal entrepreneurs. Improving commercial justice would enhance the operating environment for private operators while a stable financial sector would translate into a solid financial sector able to facilitate economic growth. A more dynamic private sector would increase productive employment opportunities which would benefit the general </w:t>
      </w:r>
      <w:r w:rsidR="005659E4" w:rsidRPr="00B67592">
        <w:rPr>
          <w:rFonts w:asciiTheme="minorHAnsi" w:eastAsia="Calibri" w:hAnsiTheme="minorHAnsi" w:cstheme="minorHAnsi"/>
          <w:sz w:val="22"/>
          <w:szCs w:val="22"/>
        </w:rPr>
        <w:t>population, including the poor.</w:t>
      </w:r>
    </w:p>
    <w:p w14:paraId="096EBBC9" w14:textId="25B389B8" w:rsidR="00757DCA" w:rsidRPr="00B67592" w:rsidRDefault="00AA5A30" w:rsidP="00757DCA">
      <w:pPr>
        <w:pStyle w:val="CM4"/>
        <w:spacing w:after="252" w:line="253" w:lineRule="atLeast"/>
        <w:rPr>
          <w:rFonts w:asciiTheme="minorHAnsi" w:hAnsiTheme="minorHAnsi" w:cstheme="minorHAnsi"/>
          <w:i/>
          <w:iCs/>
          <w:color w:val="00007F"/>
          <w:sz w:val="22"/>
          <w:szCs w:val="22"/>
        </w:rPr>
      </w:pPr>
      <w:r w:rsidRPr="00B67592">
        <w:rPr>
          <w:rFonts w:asciiTheme="minorHAnsi" w:hAnsiTheme="minorHAnsi" w:cstheme="minorHAnsi"/>
          <w:i/>
          <w:iCs/>
          <w:color w:val="00007F"/>
          <w:sz w:val="22"/>
          <w:szCs w:val="22"/>
        </w:rPr>
        <w:t xml:space="preserve">Environment Aspects </w:t>
      </w:r>
    </w:p>
    <w:p w14:paraId="2C04784A" w14:textId="737E07A2" w:rsidR="005659E4" w:rsidRPr="00B67592" w:rsidRDefault="005659E4" w:rsidP="004252B3">
      <w:pPr>
        <w:pStyle w:val="CM4"/>
        <w:numPr>
          <w:ilvl w:val="0"/>
          <w:numId w:val="27"/>
        </w:numPr>
        <w:spacing w:after="252" w:line="253" w:lineRule="atLeast"/>
        <w:ind w:left="0" w:firstLine="0"/>
        <w:jc w:val="both"/>
        <w:rPr>
          <w:rFonts w:asciiTheme="minorHAnsi" w:hAnsiTheme="minorHAnsi" w:cstheme="minorHAnsi"/>
          <w:i/>
          <w:iCs/>
          <w:color w:val="00007F"/>
          <w:sz w:val="22"/>
          <w:szCs w:val="22"/>
        </w:rPr>
      </w:pPr>
      <w:r w:rsidRPr="00B67592">
        <w:rPr>
          <w:rFonts w:asciiTheme="minorHAnsi" w:eastAsia="Calibri" w:hAnsiTheme="minorHAnsi" w:cstheme="minorHAnsi"/>
          <w:b/>
          <w:bCs/>
          <w:sz w:val="22"/>
          <w:szCs w:val="22"/>
        </w:rPr>
        <w:t>The</w:t>
      </w:r>
      <w:r w:rsidRPr="00B67592">
        <w:rPr>
          <w:rFonts w:asciiTheme="minorHAnsi" w:hAnsiTheme="minorHAnsi" w:cstheme="minorHAnsi"/>
          <w:b/>
          <w:bCs/>
          <w:sz w:val="22"/>
          <w:szCs w:val="22"/>
        </w:rPr>
        <w:t xml:space="preserve"> ongoing reforms to JIRAMA and the PPP framework may result in increased use of renewable energy. </w:t>
      </w:r>
      <w:r w:rsidRPr="00B67592">
        <w:rPr>
          <w:rFonts w:asciiTheme="minorHAnsi" w:hAnsiTheme="minorHAnsi" w:cstheme="minorHAnsi"/>
          <w:bCs/>
          <w:sz w:val="22"/>
          <w:szCs w:val="22"/>
        </w:rPr>
        <w:t xml:space="preserve">The authorities are in the process of assessing possible small hydro projects as a source of energy supply for JIRAMA, potentially financed through PPP contracts. This use of renewable energy sources would reduce reliance on expensive thermal generation, which has comparatively larger detrimental effects for the environment. The use of smaller hydro sites would also have a reduced impact on the environment than larger sites, and it would be more feasible to mobilize financing. Further, the expansion of energy supply, particularly to rural areas, could in the long term reduce reliance on wood as a daily energy source, which contributes to deforestation and environmental degradation. </w:t>
      </w:r>
    </w:p>
    <w:p w14:paraId="42876DE6" w14:textId="0EA31FF6" w:rsidR="005659E4" w:rsidRPr="00B67592" w:rsidRDefault="005659E4" w:rsidP="004252B3">
      <w:pPr>
        <w:pStyle w:val="ListParagraph"/>
        <w:numPr>
          <w:ilvl w:val="0"/>
          <w:numId w:val="27"/>
        </w:numPr>
        <w:tabs>
          <w:tab w:val="left" w:pos="450"/>
          <w:tab w:val="num" w:pos="540"/>
        </w:tabs>
        <w:autoSpaceDE w:val="0"/>
        <w:autoSpaceDN w:val="0"/>
        <w:adjustRightInd w:val="0"/>
        <w:spacing w:after="240"/>
        <w:ind w:left="0" w:firstLine="90"/>
        <w:jc w:val="both"/>
        <w:rPr>
          <w:rFonts w:asciiTheme="minorHAnsi" w:hAnsiTheme="minorHAnsi" w:cstheme="minorHAnsi"/>
          <w:sz w:val="22"/>
          <w:szCs w:val="22"/>
        </w:rPr>
      </w:pPr>
      <w:r w:rsidRPr="00B67592">
        <w:rPr>
          <w:rFonts w:asciiTheme="minorHAnsi" w:eastAsia="Calibri" w:hAnsiTheme="minorHAnsi" w:cstheme="minorHAnsi"/>
          <w:b/>
          <w:bCs/>
          <w:sz w:val="22"/>
          <w:szCs w:val="22"/>
        </w:rPr>
        <w:t>Efforts</w:t>
      </w:r>
      <w:r w:rsidRPr="00B67592">
        <w:rPr>
          <w:rFonts w:asciiTheme="minorHAnsi" w:hAnsiTheme="minorHAnsi" w:cstheme="minorHAnsi"/>
          <w:b/>
          <w:bCs/>
          <w:sz w:val="22"/>
          <w:szCs w:val="22"/>
        </w:rPr>
        <w:t xml:space="preserve"> to scale-</w:t>
      </w:r>
      <w:r w:rsidRPr="00B67592">
        <w:rPr>
          <w:rFonts w:asciiTheme="minorHAnsi" w:hAnsiTheme="minorHAnsi" w:cstheme="minorHAnsi"/>
          <w:b/>
          <w:sz w:val="22"/>
          <w:szCs w:val="22"/>
        </w:rPr>
        <w:t xml:space="preserve">up public investment may have an environmental impact, which will be assessed through the Government’s Environmental and Social Impact Assessment (ESIA) mechanism. </w:t>
      </w:r>
      <w:r w:rsidRPr="00B67592">
        <w:rPr>
          <w:rFonts w:asciiTheme="minorHAnsi" w:hAnsiTheme="minorHAnsi" w:cstheme="minorHAnsi"/>
          <w:sz w:val="22"/>
          <w:szCs w:val="22"/>
        </w:rPr>
        <w:t>Certain investment projects may have an impact on the environment. Since the Government is still at an early stage of scaling-up public investments it is not possible to determine the nature of these effects. However, the Government does have its own safeguards mechanism in place. The Malagasy Environment Code requires that all investment projects private or public, that are likely to have an impact, prepare an ESIA.</w:t>
      </w:r>
      <w:r w:rsidRPr="00B67592">
        <w:rPr>
          <w:rStyle w:val="FootnoteReference"/>
          <w:rFonts w:asciiTheme="minorHAnsi" w:hAnsiTheme="minorHAnsi" w:cstheme="minorHAnsi"/>
          <w:sz w:val="22"/>
          <w:szCs w:val="22"/>
        </w:rPr>
        <w:footnoteReference w:id="5"/>
      </w:r>
      <w:r w:rsidRPr="00B67592">
        <w:rPr>
          <w:rFonts w:asciiTheme="minorHAnsi" w:hAnsiTheme="minorHAnsi" w:cstheme="minorHAnsi"/>
          <w:sz w:val="22"/>
          <w:szCs w:val="22"/>
        </w:rPr>
        <w:t xml:space="preserve"> Each ESIA must be approved by the Ministry of Environment, and thereafter published in the project area and the National Environment Office (NEO). The recently adopted PPP decrees states that a preliminary assessment of a project is undertaken to estimate the environmental and social feasibility (amongst others) and that this information is presented in a risk matrix. </w:t>
      </w:r>
    </w:p>
    <w:p w14:paraId="6E28496B" w14:textId="77777777" w:rsidR="003723D9" w:rsidRPr="00B67592" w:rsidRDefault="003723D9" w:rsidP="003723D9">
      <w:pPr>
        <w:rPr>
          <w:rFonts w:asciiTheme="minorHAnsi" w:hAnsiTheme="minorHAnsi" w:cstheme="minorHAnsi"/>
          <w:b/>
          <w:sz w:val="22"/>
          <w:szCs w:val="22"/>
        </w:rPr>
      </w:pPr>
    </w:p>
    <w:p w14:paraId="1A95866F" w14:textId="77777777" w:rsidR="00A126FA" w:rsidRPr="00B67592" w:rsidRDefault="00A126FA" w:rsidP="00163B21">
      <w:pPr>
        <w:numPr>
          <w:ilvl w:val="0"/>
          <w:numId w:val="24"/>
        </w:numPr>
        <w:rPr>
          <w:rFonts w:asciiTheme="minorHAnsi" w:hAnsiTheme="minorHAnsi" w:cstheme="minorHAnsi"/>
          <w:b/>
          <w:sz w:val="22"/>
          <w:szCs w:val="22"/>
        </w:rPr>
      </w:pPr>
      <w:r w:rsidRPr="00B67592">
        <w:rPr>
          <w:rFonts w:asciiTheme="minorHAnsi" w:hAnsiTheme="minorHAnsi" w:cstheme="minorHAnsi"/>
          <w:b/>
          <w:sz w:val="22"/>
          <w:szCs w:val="22"/>
        </w:rPr>
        <w:t>Tentative financing</w:t>
      </w:r>
    </w:p>
    <w:p w14:paraId="75530DD6" w14:textId="77777777" w:rsidR="00F34B6F" w:rsidRPr="00B67592" w:rsidRDefault="00F34B6F" w:rsidP="00757DCA">
      <w:pPr>
        <w:rPr>
          <w:rFonts w:asciiTheme="minorHAnsi" w:hAnsiTheme="minorHAnsi" w:cstheme="minorHAnsi"/>
          <w:sz w:val="22"/>
          <w:szCs w:val="22"/>
        </w:rPr>
      </w:pPr>
    </w:p>
    <w:tbl>
      <w:tblPr>
        <w:tblW w:w="0" w:type="auto"/>
        <w:tblLook w:val="0000" w:firstRow="0" w:lastRow="0" w:firstColumn="0" w:lastColumn="0" w:noHBand="0" w:noVBand="0"/>
      </w:tblPr>
      <w:tblGrid>
        <w:gridCol w:w="7482"/>
        <w:gridCol w:w="1878"/>
      </w:tblGrid>
      <w:tr w:rsidR="00A126FA" w:rsidRPr="00B67592" w14:paraId="73AD71C6" w14:textId="77777777" w:rsidTr="00F34B6F">
        <w:tc>
          <w:tcPr>
            <w:tcW w:w="7488" w:type="dxa"/>
          </w:tcPr>
          <w:p w14:paraId="0E46CFD1" w14:textId="77777777" w:rsidR="00A126FA" w:rsidRPr="00B67592" w:rsidRDefault="00A126FA" w:rsidP="00757DCA">
            <w:pPr>
              <w:rPr>
                <w:rFonts w:asciiTheme="minorHAnsi" w:hAnsiTheme="minorHAnsi" w:cstheme="minorHAnsi"/>
                <w:sz w:val="22"/>
                <w:szCs w:val="22"/>
              </w:rPr>
            </w:pPr>
            <w:r w:rsidRPr="00B67592">
              <w:rPr>
                <w:rFonts w:asciiTheme="minorHAnsi" w:hAnsiTheme="minorHAnsi" w:cstheme="minorHAnsi"/>
                <w:sz w:val="22"/>
                <w:szCs w:val="22"/>
              </w:rPr>
              <w:t>Source:</w:t>
            </w:r>
            <w:bookmarkStart w:id="7" w:name="FINANCINGTAB_PID"/>
            <w:bookmarkEnd w:id="7"/>
          </w:p>
        </w:tc>
        <w:tc>
          <w:tcPr>
            <w:tcW w:w="1980" w:type="dxa"/>
          </w:tcPr>
          <w:p w14:paraId="4D9F4F2E" w14:textId="77777777" w:rsidR="00A126FA" w:rsidRPr="00B67592" w:rsidRDefault="00A126FA" w:rsidP="00757DCA">
            <w:pPr>
              <w:tabs>
                <w:tab w:val="decimal" w:pos="252"/>
              </w:tabs>
              <w:jc w:val="center"/>
              <w:rPr>
                <w:rFonts w:asciiTheme="minorHAnsi" w:hAnsiTheme="minorHAnsi" w:cstheme="minorHAnsi"/>
                <w:sz w:val="22"/>
                <w:szCs w:val="22"/>
              </w:rPr>
            </w:pPr>
            <w:r w:rsidRPr="00B67592">
              <w:rPr>
                <w:rFonts w:asciiTheme="minorHAnsi" w:hAnsiTheme="minorHAnsi" w:cstheme="minorHAnsi"/>
                <w:sz w:val="22"/>
                <w:szCs w:val="22"/>
              </w:rPr>
              <w:t>($m.)</w:t>
            </w:r>
          </w:p>
        </w:tc>
      </w:tr>
      <w:tr w:rsidR="002217BE" w:rsidRPr="00B67592" w14:paraId="56656BD5" w14:textId="77777777" w:rsidTr="00F34B6F">
        <w:tc>
          <w:tcPr>
            <w:tcW w:w="7488" w:type="dxa"/>
          </w:tcPr>
          <w:p w14:paraId="5FF29F81" w14:textId="77777777" w:rsidR="002217BE" w:rsidRPr="00B67592" w:rsidRDefault="002217BE" w:rsidP="00757DCA">
            <w:pPr>
              <w:tabs>
                <w:tab w:val="right" w:pos="7200"/>
              </w:tabs>
              <w:rPr>
                <w:rFonts w:asciiTheme="minorHAnsi" w:hAnsiTheme="minorHAnsi" w:cstheme="minorHAnsi"/>
                <w:sz w:val="22"/>
                <w:szCs w:val="22"/>
              </w:rPr>
            </w:pPr>
            <w:r w:rsidRPr="00B67592">
              <w:rPr>
                <w:rFonts w:asciiTheme="minorHAnsi" w:hAnsiTheme="minorHAnsi" w:cstheme="minorHAnsi"/>
                <w:sz w:val="22"/>
                <w:szCs w:val="22"/>
              </w:rPr>
              <w:t>BORROWER/RECIPIENT</w:t>
            </w:r>
          </w:p>
        </w:tc>
        <w:tc>
          <w:tcPr>
            <w:tcW w:w="1980" w:type="dxa"/>
          </w:tcPr>
          <w:p w14:paraId="79DE0B53" w14:textId="77777777" w:rsidR="002217BE" w:rsidRPr="00B67592" w:rsidRDefault="002217BE" w:rsidP="00757DCA">
            <w:pPr>
              <w:tabs>
                <w:tab w:val="decimal" w:pos="252"/>
              </w:tabs>
              <w:jc w:val="center"/>
              <w:rPr>
                <w:rFonts w:asciiTheme="minorHAnsi" w:hAnsiTheme="minorHAnsi" w:cstheme="minorHAnsi"/>
                <w:sz w:val="22"/>
                <w:szCs w:val="22"/>
              </w:rPr>
            </w:pPr>
            <w:r w:rsidRPr="00B67592">
              <w:rPr>
                <w:rFonts w:asciiTheme="minorHAnsi" w:hAnsiTheme="minorHAnsi" w:cstheme="minorHAnsi"/>
                <w:sz w:val="22"/>
                <w:szCs w:val="22"/>
              </w:rPr>
              <w:t>0</w:t>
            </w:r>
          </w:p>
        </w:tc>
      </w:tr>
      <w:tr w:rsidR="002217BE" w:rsidRPr="00B67592" w14:paraId="3625C6D9" w14:textId="77777777" w:rsidTr="00F34B6F">
        <w:tc>
          <w:tcPr>
            <w:tcW w:w="7488" w:type="dxa"/>
          </w:tcPr>
          <w:p w14:paraId="0BE6ADD0" w14:textId="77777777" w:rsidR="002217BE" w:rsidRPr="00B67592" w:rsidRDefault="002217BE" w:rsidP="00757DCA">
            <w:pPr>
              <w:tabs>
                <w:tab w:val="right" w:pos="7200"/>
              </w:tabs>
              <w:rPr>
                <w:rFonts w:asciiTheme="minorHAnsi" w:hAnsiTheme="minorHAnsi" w:cstheme="minorHAnsi"/>
                <w:sz w:val="22"/>
                <w:szCs w:val="22"/>
              </w:rPr>
            </w:pPr>
            <w:r w:rsidRPr="00B67592">
              <w:rPr>
                <w:rFonts w:asciiTheme="minorHAnsi" w:hAnsiTheme="minorHAnsi" w:cstheme="minorHAnsi"/>
                <w:sz w:val="22"/>
                <w:szCs w:val="22"/>
              </w:rPr>
              <w:t>International Development Association (IDA)</w:t>
            </w:r>
          </w:p>
        </w:tc>
        <w:tc>
          <w:tcPr>
            <w:tcW w:w="1980" w:type="dxa"/>
          </w:tcPr>
          <w:p w14:paraId="2BA6B977" w14:textId="040BDDBB" w:rsidR="002217BE" w:rsidRPr="00B67592" w:rsidRDefault="006A7E45" w:rsidP="00757DCA">
            <w:pPr>
              <w:tabs>
                <w:tab w:val="decimal" w:pos="252"/>
              </w:tabs>
              <w:jc w:val="center"/>
              <w:rPr>
                <w:rFonts w:asciiTheme="minorHAnsi" w:hAnsiTheme="minorHAnsi" w:cstheme="minorHAnsi"/>
                <w:sz w:val="22"/>
                <w:szCs w:val="22"/>
              </w:rPr>
            </w:pPr>
            <w:r w:rsidRPr="00B67592">
              <w:rPr>
                <w:rFonts w:asciiTheme="minorHAnsi" w:hAnsiTheme="minorHAnsi" w:cstheme="minorHAnsi"/>
                <w:sz w:val="22"/>
                <w:szCs w:val="22"/>
              </w:rPr>
              <w:t>40</w:t>
            </w:r>
          </w:p>
        </w:tc>
      </w:tr>
      <w:tr w:rsidR="00A126FA" w:rsidRPr="00B67592" w14:paraId="4BAC90DF" w14:textId="77777777" w:rsidTr="00F34B6F">
        <w:tc>
          <w:tcPr>
            <w:tcW w:w="7488" w:type="dxa"/>
          </w:tcPr>
          <w:p w14:paraId="624A4AA5" w14:textId="77777777" w:rsidR="00A126FA" w:rsidRPr="00B67592" w:rsidRDefault="00A126FA" w:rsidP="00757DCA">
            <w:pPr>
              <w:tabs>
                <w:tab w:val="right" w:pos="7200"/>
              </w:tabs>
              <w:rPr>
                <w:rFonts w:asciiTheme="minorHAnsi" w:hAnsiTheme="minorHAnsi" w:cstheme="minorHAnsi"/>
                <w:sz w:val="22"/>
                <w:szCs w:val="22"/>
              </w:rPr>
            </w:pPr>
            <w:r w:rsidRPr="00B67592">
              <w:rPr>
                <w:rFonts w:asciiTheme="minorHAnsi" w:hAnsiTheme="minorHAnsi" w:cstheme="minorHAnsi"/>
                <w:sz w:val="22"/>
                <w:szCs w:val="22"/>
              </w:rPr>
              <w:t>Borrower/Recipient</w:t>
            </w:r>
          </w:p>
        </w:tc>
        <w:tc>
          <w:tcPr>
            <w:tcW w:w="1980" w:type="dxa"/>
          </w:tcPr>
          <w:p w14:paraId="571E97A6" w14:textId="77777777" w:rsidR="00A126FA" w:rsidRPr="00B67592" w:rsidRDefault="00A126FA" w:rsidP="00757DCA">
            <w:pPr>
              <w:tabs>
                <w:tab w:val="decimal" w:pos="252"/>
              </w:tabs>
              <w:jc w:val="center"/>
              <w:rPr>
                <w:rFonts w:asciiTheme="minorHAnsi" w:hAnsiTheme="minorHAnsi" w:cstheme="minorHAnsi"/>
                <w:sz w:val="22"/>
                <w:szCs w:val="22"/>
              </w:rPr>
            </w:pPr>
          </w:p>
        </w:tc>
      </w:tr>
      <w:tr w:rsidR="00A126FA" w:rsidRPr="00B67592" w14:paraId="0D8C00E0" w14:textId="77777777" w:rsidTr="00F34B6F">
        <w:tc>
          <w:tcPr>
            <w:tcW w:w="7488" w:type="dxa"/>
          </w:tcPr>
          <w:p w14:paraId="363EA57C" w14:textId="77777777" w:rsidR="00A126FA" w:rsidRPr="00B67592" w:rsidRDefault="00A126FA" w:rsidP="00757DCA">
            <w:pPr>
              <w:tabs>
                <w:tab w:val="right" w:pos="7200"/>
              </w:tabs>
              <w:rPr>
                <w:rFonts w:asciiTheme="minorHAnsi" w:hAnsiTheme="minorHAnsi" w:cstheme="minorHAnsi"/>
                <w:sz w:val="22"/>
                <w:szCs w:val="22"/>
              </w:rPr>
            </w:pPr>
            <w:r w:rsidRPr="00B67592">
              <w:rPr>
                <w:rFonts w:asciiTheme="minorHAnsi" w:hAnsiTheme="minorHAnsi" w:cstheme="minorHAnsi"/>
                <w:sz w:val="22"/>
                <w:szCs w:val="22"/>
              </w:rPr>
              <w:t>IBRD</w:t>
            </w:r>
          </w:p>
          <w:p w14:paraId="1C5F6429" w14:textId="58EDCD1A" w:rsidR="00071B65" w:rsidRPr="00B67592" w:rsidRDefault="00071B65" w:rsidP="00757DCA">
            <w:pPr>
              <w:tabs>
                <w:tab w:val="right" w:pos="7200"/>
              </w:tabs>
              <w:rPr>
                <w:rFonts w:asciiTheme="minorHAnsi" w:hAnsiTheme="minorHAnsi" w:cstheme="minorHAnsi"/>
                <w:sz w:val="22"/>
                <w:szCs w:val="22"/>
              </w:rPr>
            </w:pPr>
            <w:r w:rsidRPr="00B67592">
              <w:rPr>
                <w:rFonts w:asciiTheme="minorHAnsi" w:hAnsiTheme="minorHAnsi" w:cstheme="minorHAnsi"/>
                <w:sz w:val="22"/>
                <w:szCs w:val="22"/>
              </w:rPr>
              <w:t>Others (</w:t>
            </w:r>
            <w:r w:rsidR="00AE45A3" w:rsidRPr="00B67592">
              <w:rPr>
                <w:rFonts w:asciiTheme="minorHAnsi" w:hAnsiTheme="minorHAnsi" w:cstheme="minorHAnsi"/>
                <w:sz w:val="22"/>
                <w:szCs w:val="22"/>
              </w:rPr>
              <w:t>specify</w:t>
            </w:r>
            <w:r w:rsidRPr="00B67592">
              <w:rPr>
                <w:rFonts w:asciiTheme="minorHAnsi" w:hAnsiTheme="minorHAnsi" w:cstheme="minorHAnsi"/>
                <w:sz w:val="22"/>
                <w:szCs w:val="22"/>
              </w:rPr>
              <w:t>)</w:t>
            </w:r>
          </w:p>
        </w:tc>
        <w:tc>
          <w:tcPr>
            <w:tcW w:w="1980" w:type="dxa"/>
          </w:tcPr>
          <w:p w14:paraId="129231C5" w14:textId="77777777" w:rsidR="00A126FA" w:rsidRPr="00B67592" w:rsidRDefault="00A126FA" w:rsidP="00757DCA">
            <w:pPr>
              <w:tabs>
                <w:tab w:val="decimal" w:pos="252"/>
              </w:tabs>
              <w:jc w:val="center"/>
              <w:rPr>
                <w:rFonts w:asciiTheme="minorHAnsi" w:hAnsiTheme="minorHAnsi" w:cstheme="minorHAnsi"/>
                <w:sz w:val="22"/>
                <w:szCs w:val="22"/>
              </w:rPr>
            </w:pPr>
          </w:p>
        </w:tc>
      </w:tr>
      <w:tr w:rsidR="00A126FA" w:rsidRPr="00B67592" w14:paraId="1A2153D4" w14:textId="77777777" w:rsidTr="00F34B6F">
        <w:tc>
          <w:tcPr>
            <w:tcW w:w="7488" w:type="dxa"/>
          </w:tcPr>
          <w:p w14:paraId="4F0A4E97" w14:textId="77777777" w:rsidR="00A126FA" w:rsidRPr="00B67592" w:rsidRDefault="00A126FA" w:rsidP="00757DCA">
            <w:pPr>
              <w:tabs>
                <w:tab w:val="right" w:pos="7200"/>
              </w:tabs>
              <w:rPr>
                <w:rFonts w:asciiTheme="minorHAnsi" w:hAnsiTheme="minorHAnsi" w:cstheme="minorHAnsi"/>
                <w:sz w:val="22"/>
                <w:szCs w:val="22"/>
              </w:rPr>
            </w:pPr>
            <w:r w:rsidRPr="00B67592">
              <w:rPr>
                <w:rFonts w:asciiTheme="minorHAnsi" w:hAnsiTheme="minorHAnsi" w:cstheme="minorHAnsi"/>
                <w:sz w:val="22"/>
                <w:szCs w:val="22"/>
              </w:rPr>
              <w:tab/>
              <w:t>Total</w:t>
            </w:r>
          </w:p>
        </w:tc>
        <w:tc>
          <w:tcPr>
            <w:tcW w:w="1980" w:type="dxa"/>
          </w:tcPr>
          <w:p w14:paraId="5975E00E" w14:textId="0070B1AD" w:rsidR="00A126FA" w:rsidRPr="00B67592" w:rsidRDefault="006A7E45" w:rsidP="00757DCA">
            <w:pPr>
              <w:tabs>
                <w:tab w:val="decimal" w:pos="252"/>
              </w:tabs>
              <w:jc w:val="center"/>
              <w:rPr>
                <w:rFonts w:asciiTheme="minorHAnsi" w:hAnsiTheme="minorHAnsi" w:cstheme="minorHAnsi"/>
                <w:sz w:val="22"/>
                <w:szCs w:val="22"/>
              </w:rPr>
            </w:pPr>
            <w:r w:rsidRPr="00B67592">
              <w:rPr>
                <w:rFonts w:asciiTheme="minorHAnsi" w:hAnsiTheme="minorHAnsi" w:cstheme="minorHAnsi"/>
                <w:sz w:val="22"/>
                <w:szCs w:val="22"/>
              </w:rPr>
              <w:t>40</w:t>
            </w:r>
          </w:p>
        </w:tc>
      </w:tr>
    </w:tbl>
    <w:p w14:paraId="0B999E39" w14:textId="77777777" w:rsidR="00F34B6F" w:rsidRPr="00B67592" w:rsidRDefault="00F34B6F" w:rsidP="00757DCA">
      <w:pPr>
        <w:rPr>
          <w:rFonts w:asciiTheme="minorHAnsi" w:hAnsiTheme="minorHAnsi" w:cstheme="minorHAnsi"/>
          <w:b/>
          <w:sz w:val="22"/>
          <w:szCs w:val="22"/>
        </w:rPr>
      </w:pPr>
    </w:p>
    <w:p w14:paraId="1F5798A5" w14:textId="77777777" w:rsidR="00A126FA" w:rsidRPr="00B67592" w:rsidRDefault="00A126FA" w:rsidP="00163B21">
      <w:pPr>
        <w:numPr>
          <w:ilvl w:val="0"/>
          <w:numId w:val="24"/>
        </w:numPr>
        <w:rPr>
          <w:rFonts w:asciiTheme="minorHAnsi" w:hAnsiTheme="minorHAnsi" w:cstheme="minorHAnsi"/>
          <w:b/>
          <w:sz w:val="22"/>
          <w:szCs w:val="22"/>
        </w:rPr>
      </w:pPr>
      <w:r w:rsidRPr="00B67592">
        <w:rPr>
          <w:rFonts w:asciiTheme="minorHAnsi" w:hAnsiTheme="minorHAnsi" w:cstheme="minorHAnsi"/>
          <w:b/>
          <w:sz w:val="22"/>
          <w:szCs w:val="22"/>
        </w:rPr>
        <w:t>Contact point</w:t>
      </w:r>
    </w:p>
    <w:p w14:paraId="7E87C4A9" w14:textId="77777777" w:rsidR="008F0B46" w:rsidRPr="00B67592" w:rsidRDefault="008F0B46" w:rsidP="00757DCA">
      <w:pPr>
        <w:pStyle w:val="ListParagraph"/>
        <w:ind w:left="0"/>
        <w:rPr>
          <w:rFonts w:asciiTheme="minorHAnsi" w:hAnsiTheme="minorHAnsi" w:cstheme="minorHAnsi"/>
          <w:sz w:val="22"/>
          <w:szCs w:val="22"/>
        </w:rPr>
      </w:pPr>
      <w:r w:rsidRPr="00B67592">
        <w:rPr>
          <w:rFonts w:asciiTheme="minorHAnsi" w:hAnsiTheme="minorHAnsi" w:cstheme="minorHAnsi"/>
          <w:b/>
          <w:sz w:val="22"/>
          <w:szCs w:val="22"/>
        </w:rPr>
        <w:t>World Bank</w:t>
      </w:r>
      <w:r w:rsidR="00F34B6F" w:rsidRPr="00B67592">
        <w:rPr>
          <w:rFonts w:asciiTheme="minorHAnsi" w:hAnsiTheme="minorHAnsi" w:cstheme="minorHAnsi"/>
          <w:b/>
          <w:sz w:val="22"/>
          <w:szCs w:val="22"/>
        </w:rPr>
        <w:t xml:space="preserve"> </w:t>
      </w:r>
    </w:p>
    <w:p w14:paraId="3990759D" w14:textId="66E7D694" w:rsidR="002217BE" w:rsidRPr="00B67592" w:rsidRDefault="002217BE" w:rsidP="008F0B46">
      <w:pPr>
        <w:rPr>
          <w:rFonts w:asciiTheme="minorHAnsi" w:hAnsiTheme="minorHAnsi" w:cstheme="minorHAnsi"/>
          <w:sz w:val="22"/>
          <w:szCs w:val="22"/>
        </w:rPr>
      </w:pPr>
      <w:bookmarkStart w:id="8" w:name="ContactInfo"/>
      <w:r w:rsidRPr="00B67592">
        <w:rPr>
          <w:rFonts w:asciiTheme="minorHAnsi" w:hAnsiTheme="minorHAnsi" w:cstheme="minorHAnsi"/>
          <w:sz w:val="22"/>
          <w:szCs w:val="22"/>
        </w:rPr>
        <w:t xml:space="preserve">Contact: </w:t>
      </w:r>
      <w:r w:rsidR="006A7E45" w:rsidRPr="00B67592">
        <w:rPr>
          <w:rFonts w:asciiTheme="minorHAnsi" w:hAnsiTheme="minorHAnsi" w:cstheme="minorHAnsi"/>
          <w:sz w:val="22"/>
          <w:szCs w:val="22"/>
        </w:rPr>
        <w:t>Natasha Sharma</w:t>
      </w:r>
    </w:p>
    <w:p w14:paraId="75FCE95D" w14:textId="6C5F0FD3" w:rsidR="002217BE" w:rsidRPr="00B67592" w:rsidRDefault="002217BE" w:rsidP="008F0B46">
      <w:pPr>
        <w:rPr>
          <w:rFonts w:asciiTheme="minorHAnsi" w:hAnsiTheme="minorHAnsi" w:cstheme="minorHAnsi"/>
          <w:sz w:val="22"/>
          <w:szCs w:val="22"/>
        </w:rPr>
      </w:pPr>
      <w:r w:rsidRPr="00B67592">
        <w:rPr>
          <w:rFonts w:asciiTheme="minorHAnsi" w:hAnsiTheme="minorHAnsi" w:cstheme="minorHAnsi"/>
          <w:sz w:val="22"/>
          <w:szCs w:val="22"/>
        </w:rPr>
        <w:t xml:space="preserve">Title: </w:t>
      </w:r>
      <w:r w:rsidR="006A7E45" w:rsidRPr="00B67592">
        <w:rPr>
          <w:rFonts w:asciiTheme="minorHAnsi" w:hAnsiTheme="minorHAnsi" w:cstheme="minorHAnsi"/>
          <w:sz w:val="22"/>
          <w:szCs w:val="22"/>
        </w:rPr>
        <w:t xml:space="preserve">Senior </w:t>
      </w:r>
      <w:r w:rsidRPr="00B67592">
        <w:rPr>
          <w:rFonts w:asciiTheme="minorHAnsi" w:hAnsiTheme="minorHAnsi" w:cstheme="minorHAnsi"/>
          <w:sz w:val="22"/>
          <w:szCs w:val="22"/>
        </w:rPr>
        <w:t>Economist</w:t>
      </w:r>
    </w:p>
    <w:p w14:paraId="0291931E" w14:textId="4C4DFB8E" w:rsidR="002217BE" w:rsidRPr="00B67592" w:rsidRDefault="002217BE" w:rsidP="008F0B46">
      <w:pPr>
        <w:rPr>
          <w:rFonts w:asciiTheme="minorHAnsi" w:hAnsiTheme="minorHAnsi" w:cstheme="minorHAnsi"/>
          <w:sz w:val="22"/>
          <w:szCs w:val="22"/>
        </w:rPr>
      </w:pPr>
      <w:r w:rsidRPr="00B67592">
        <w:rPr>
          <w:rFonts w:asciiTheme="minorHAnsi" w:hAnsiTheme="minorHAnsi" w:cstheme="minorHAnsi"/>
          <w:sz w:val="22"/>
          <w:szCs w:val="22"/>
        </w:rPr>
        <w:t>Tel: 5339+60</w:t>
      </w:r>
      <w:r w:rsidR="006A7E45" w:rsidRPr="00B67592">
        <w:rPr>
          <w:rFonts w:asciiTheme="minorHAnsi" w:hAnsiTheme="minorHAnsi" w:cstheme="minorHAnsi"/>
          <w:sz w:val="22"/>
          <w:szCs w:val="22"/>
        </w:rPr>
        <w:t>08</w:t>
      </w:r>
      <w:r w:rsidRPr="00B67592">
        <w:rPr>
          <w:rFonts w:asciiTheme="minorHAnsi" w:hAnsiTheme="minorHAnsi" w:cstheme="minorHAnsi"/>
          <w:sz w:val="22"/>
          <w:szCs w:val="22"/>
        </w:rPr>
        <w:t xml:space="preserve"> / 261-20-225-6000</w:t>
      </w:r>
    </w:p>
    <w:p w14:paraId="25C5A2F8" w14:textId="77777777" w:rsidR="002217BE" w:rsidRPr="00B67592" w:rsidRDefault="002217BE" w:rsidP="008F0B46">
      <w:pPr>
        <w:rPr>
          <w:rFonts w:asciiTheme="minorHAnsi" w:hAnsiTheme="minorHAnsi" w:cstheme="minorHAnsi"/>
          <w:sz w:val="22"/>
          <w:szCs w:val="22"/>
        </w:rPr>
      </w:pPr>
      <w:r w:rsidRPr="00B67592">
        <w:rPr>
          <w:rFonts w:asciiTheme="minorHAnsi" w:hAnsiTheme="minorHAnsi" w:cstheme="minorHAnsi"/>
          <w:sz w:val="22"/>
          <w:szCs w:val="22"/>
        </w:rPr>
        <w:t xml:space="preserve">Fax: </w:t>
      </w:r>
    </w:p>
    <w:p w14:paraId="2A09B8FF" w14:textId="1FDB19CE" w:rsidR="002217BE" w:rsidRPr="00B67592" w:rsidRDefault="002217BE" w:rsidP="008F0B46">
      <w:pPr>
        <w:rPr>
          <w:rFonts w:asciiTheme="minorHAnsi" w:hAnsiTheme="minorHAnsi" w:cstheme="minorHAnsi"/>
          <w:sz w:val="22"/>
          <w:szCs w:val="22"/>
        </w:rPr>
      </w:pPr>
      <w:r w:rsidRPr="00B67592">
        <w:rPr>
          <w:rFonts w:asciiTheme="minorHAnsi" w:hAnsiTheme="minorHAnsi" w:cstheme="minorHAnsi"/>
          <w:sz w:val="22"/>
          <w:szCs w:val="22"/>
        </w:rPr>
        <w:t xml:space="preserve">Email: </w:t>
      </w:r>
      <w:r w:rsidR="006A7E45" w:rsidRPr="00B67592">
        <w:rPr>
          <w:rFonts w:asciiTheme="minorHAnsi" w:hAnsiTheme="minorHAnsi" w:cstheme="minorHAnsi"/>
          <w:sz w:val="22"/>
          <w:szCs w:val="22"/>
        </w:rPr>
        <w:t>nsharma9</w:t>
      </w:r>
      <w:r w:rsidRPr="00B67592">
        <w:rPr>
          <w:rFonts w:asciiTheme="minorHAnsi" w:hAnsiTheme="minorHAnsi" w:cstheme="minorHAnsi"/>
          <w:sz w:val="22"/>
          <w:szCs w:val="22"/>
        </w:rPr>
        <w:t>@worldbank.org</w:t>
      </w:r>
    </w:p>
    <w:p w14:paraId="520AE242" w14:textId="77777777" w:rsidR="008F0B46" w:rsidRPr="00B67592" w:rsidRDefault="002217BE" w:rsidP="008F0B46">
      <w:pPr>
        <w:rPr>
          <w:rFonts w:asciiTheme="minorHAnsi" w:hAnsiTheme="minorHAnsi" w:cstheme="minorHAnsi"/>
          <w:sz w:val="22"/>
          <w:szCs w:val="22"/>
        </w:rPr>
      </w:pPr>
      <w:r w:rsidRPr="00B67592">
        <w:rPr>
          <w:rFonts w:asciiTheme="minorHAnsi" w:hAnsiTheme="minorHAnsi" w:cstheme="minorHAnsi"/>
          <w:sz w:val="22"/>
          <w:szCs w:val="22"/>
        </w:rPr>
        <w:t>Location: Antananarivo, Madagascar (IBRD)</w:t>
      </w:r>
      <w:bookmarkEnd w:id="8"/>
    </w:p>
    <w:p w14:paraId="678EDBA4" w14:textId="77777777" w:rsidR="00163B21" w:rsidRPr="00B67592" w:rsidRDefault="00163B21" w:rsidP="008F0B46">
      <w:pPr>
        <w:rPr>
          <w:rFonts w:asciiTheme="minorHAnsi" w:hAnsiTheme="minorHAnsi" w:cstheme="minorHAnsi"/>
          <w:b/>
          <w:sz w:val="22"/>
          <w:szCs w:val="22"/>
        </w:rPr>
      </w:pPr>
    </w:p>
    <w:p w14:paraId="0696CCBB" w14:textId="4BB7DC65" w:rsidR="008F0B46" w:rsidRPr="00B67592" w:rsidRDefault="008F0B46" w:rsidP="008F0B46">
      <w:pPr>
        <w:rPr>
          <w:rFonts w:asciiTheme="minorHAnsi" w:hAnsiTheme="minorHAnsi" w:cstheme="minorHAnsi"/>
          <w:b/>
          <w:sz w:val="22"/>
          <w:szCs w:val="22"/>
        </w:rPr>
      </w:pPr>
      <w:r w:rsidRPr="00B67592">
        <w:rPr>
          <w:rFonts w:asciiTheme="minorHAnsi" w:hAnsiTheme="minorHAnsi" w:cstheme="minorHAnsi"/>
          <w:b/>
          <w:sz w:val="22"/>
          <w:szCs w:val="22"/>
        </w:rPr>
        <w:t>Borrower</w:t>
      </w:r>
    </w:p>
    <w:p w14:paraId="6238D1BC" w14:textId="35E4DA90" w:rsidR="008F0B46" w:rsidRPr="00B67592" w:rsidRDefault="008F0B46" w:rsidP="008F0B46">
      <w:pPr>
        <w:rPr>
          <w:rFonts w:asciiTheme="minorHAnsi" w:hAnsiTheme="minorHAnsi" w:cstheme="minorHAnsi"/>
          <w:sz w:val="22"/>
          <w:szCs w:val="22"/>
        </w:rPr>
      </w:pPr>
      <w:r w:rsidRPr="00B67592">
        <w:rPr>
          <w:rFonts w:asciiTheme="minorHAnsi" w:hAnsiTheme="minorHAnsi" w:cstheme="minorHAnsi"/>
          <w:sz w:val="22"/>
          <w:szCs w:val="22"/>
        </w:rPr>
        <w:t>Contact:</w:t>
      </w:r>
      <w:r w:rsidR="00B649DA" w:rsidRPr="00B67592">
        <w:rPr>
          <w:rFonts w:asciiTheme="minorHAnsi" w:hAnsiTheme="minorHAnsi" w:cstheme="minorHAnsi"/>
          <w:sz w:val="22"/>
          <w:szCs w:val="22"/>
        </w:rPr>
        <w:t xml:space="preserve"> M</w:t>
      </w:r>
      <w:r w:rsidR="002B2DE1">
        <w:rPr>
          <w:rFonts w:asciiTheme="minorHAnsi" w:hAnsiTheme="minorHAnsi" w:cstheme="minorHAnsi"/>
          <w:sz w:val="22"/>
          <w:szCs w:val="22"/>
        </w:rPr>
        <w:t>rs</w:t>
      </w:r>
      <w:r w:rsidR="00B649DA" w:rsidRPr="00B67592">
        <w:rPr>
          <w:rFonts w:asciiTheme="minorHAnsi" w:hAnsiTheme="minorHAnsi" w:cstheme="minorHAnsi"/>
          <w:sz w:val="22"/>
          <w:szCs w:val="22"/>
        </w:rPr>
        <w:t xml:space="preserve">. </w:t>
      </w:r>
      <w:proofErr w:type="spellStart"/>
      <w:r w:rsidR="002B2DE1">
        <w:rPr>
          <w:rFonts w:asciiTheme="minorHAnsi" w:hAnsiTheme="minorHAnsi" w:cstheme="minorHAnsi"/>
          <w:sz w:val="22"/>
          <w:szCs w:val="22"/>
        </w:rPr>
        <w:t>Vonintsalama</w:t>
      </w:r>
      <w:proofErr w:type="spellEnd"/>
      <w:r w:rsidR="002B2DE1">
        <w:rPr>
          <w:rFonts w:asciiTheme="minorHAnsi" w:hAnsiTheme="minorHAnsi" w:cstheme="minorHAnsi"/>
          <w:sz w:val="22"/>
          <w:szCs w:val="22"/>
        </w:rPr>
        <w:t xml:space="preserve"> </w:t>
      </w:r>
      <w:proofErr w:type="spellStart"/>
      <w:r w:rsidR="002B2DE1">
        <w:rPr>
          <w:rFonts w:asciiTheme="minorHAnsi" w:hAnsiTheme="minorHAnsi" w:cstheme="minorHAnsi"/>
          <w:sz w:val="22"/>
          <w:szCs w:val="22"/>
        </w:rPr>
        <w:t>Andriambololona</w:t>
      </w:r>
      <w:proofErr w:type="spellEnd"/>
      <w:r w:rsidRPr="00B67592">
        <w:rPr>
          <w:rFonts w:asciiTheme="minorHAnsi" w:hAnsiTheme="minorHAnsi" w:cstheme="minorHAnsi"/>
          <w:sz w:val="22"/>
          <w:szCs w:val="22"/>
        </w:rPr>
        <w:tab/>
      </w:r>
    </w:p>
    <w:p w14:paraId="38D31527" w14:textId="108D28E5" w:rsidR="008F0B46" w:rsidRPr="00B67592" w:rsidRDefault="00B649DA" w:rsidP="008F0B46">
      <w:pPr>
        <w:rPr>
          <w:rFonts w:asciiTheme="minorHAnsi" w:hAnsiTheme="minorHAnsi" w:cstheme="minorHAnsi"/>
          <w:sz w:val="22"/>
          <w:szCs w:val="22"/>
        </w:rPr>
      </w:pPr>
      <w:r w:rsidRPr="00B67592">
        <w:rPr>
          <w:rFonts w:asciiTheme="minorHAnsi" w:hAnsiTheme="minorHAnsi" w:cstheme="minorHAnsi"/>
          <w:sz w:val="22"/>
          <w:szCs w:val="22"/>
        </w:rPr>
        <w:t>Title: Minister of Finance</w:t>
      </w:r>
    </w:p>
    <w:p w14:paraId="14DF5CAD" w14:textId="12668687" w:rsidR="008F0B46" w:rsidRPr="00B67592" w:rsidRDefault="008F0B46" w:rsidP="008F0B46">
      <w:pPr>
        <w:rPr>
          <w:rFonts w:asciiTheme="minorHAnsi" w:hAnsiTheme="minorHAnsi" w:cstheme="minorHAnsi"/>
          <w:sz w:val="22"/>
          <w:szCs w:val="22"/>
        </w:rPr>
      </w:pPr>
      <w:r w:rsidRPr="00B67592">
        <w:rPr>
          <w:rFonts w:asciiTheme="minorHAnsi" w:hAnsiTheme="minorHAnsi" w:cstheme="minorHAnsi"/>
          <w:sz w:val="22"/>
          <w:szCs w:val="22"/>
        </w:rPr>
        <w:t>Tel:</w:t>
      </w:r>
      <w:r w:rsidR="00B649DA" w:rsidRPr="00B67592">
        <w:rPr>
          <w:rFonts w:asciiTheme="minorHAnsi" w:hAnsiTheme="minorHAnsi" w:cstheme="minorHAnsi"/>
          <w:sz w:val="22"/>
          <w:szCs w:val="22"/>
        </w:rPr>
        <w:t xml:space="preserve"> 261 20 22 646 81</w:t>
      </w:r>
      <w:r w:rsidRPr="00B67592">
        <w:rPr>
          <w:rFonts w:asciiTheme="minorHAnsi" w:hAnsiTheme="minorHAnsi" w:cstheme="minorHAnsi"/>
          <w:sz w:val="22"/>
          <w:szCs w:val="22"/>
        </w:rPr>
        <w:tab/>
      </w:r>
      <w:r w:rsidRPr="00B67592">
        <w:rPr>
          <w:rFonts w:asciiTheme="minorHAnsi" w:hAnsiTheme="minorHAnsi" w:cstheme="minorHAnsi"/>
          <w:sz w:val="22"/>
          <w:szCs w:val="22"/>
        </w:rPr>
        <w:tab/>
      </w:r>
      <w:r w:rsidRPr="00B67592">
        <w:rPr>
          <w:rFonts w:asciiTheme="minorHAnsi" w:hAnsiTheme="minorHAnsi" w:cstheme="minorHAnsi"/>
          <w:sz w:val="22"/>
          <w:szCs w:val="22"/>
        </w:rPr>
        <w:tab/>
      </w:r>
    </w:p>
    <w:p w14:paraId="57F314B7" w14:textId="7EE8A592" w:rsidR="008F0B46" w:rsidRPr="00B67592" w:rsidRDefault="00B649DA" w:rsidP="008F0B46">
      <w:pPr>
        <w:rPr>
          <w:rFonts w:asciiTheme="minorHAnsi" w:hAnsiTheme="minorHAnsi" w:cstheme="minorHAnsi"/>
          <w:sz w:val="22"/>
          <w:szCs w:val="22"/>
        </w:rPr>
      </w:pPr>
      <w:r w:rsidRPr="00B67592">
        <w:rPr>
          <w:rFonts w:asciiTheme="minorHAnsi" w:hAnsiTheme="minorHAnsi" w:cstheme="minorHAnsi"/>
          <w:sz w:val="22"/>
          <w:szCs w:val="22"/>
        </w:rPr>
        <w:t>Email:</w:t>
      </w:r>
      <w:r w:rsidR="002B2DE1">
        <w:rPr>
          <w:rFonts w:asciiTheme="minorHAnsi" w:hAnsiTheme="minorHAnsi" w:cstheme="minorHAnsi"/>
          <w:sz w:val="22"/>
          <w:szCs w:val="22"/>
        </w:rPr>
        <w:t xml:space="preserve"> </w:t>
      </w:r>
    </w:p>
    <w:p w14:paraId="236E8F57" w14:textId="77777777" w:rsidR="0059349F" w:rsidRPr="00B67592" w:rsidRDefault="0059349F" w:rsidP="00A126FA">
      <w:pPr>
        <w:rPr>
          <w:rFonts w:asciiTheme="minorHAnsi" w:hAnsiTheme="minorHAnsi" w:cstheme="minorHAnsi"/>
          <w:sz w:val="22"/>
          <w:szCs w:val="22"/>
        </w:rPr>
      </w:pPr>
    </w:p>
    <w:p w14:paraId="637DD4CB" w14:textId="24F16C70" w:rsidR="0059349F" w:rsidRPr="00B67592" w:rsidRDefault="0059349F" w:rsidP="00163B21">
      <w:pPr>
        <w:pStyle w:val="ListParagraph"/>
        <w:numPr>
          <w:ilvl w:val="0"/>
          <w:numId w:val="24"/>
        </w:numPr>
        <w:rPr>
          <w:rFonts w:asciiTheme="minorHAnsi" w:hAnsiTheme="minorHAnsi" w:cstheme="minorHAnsi"/>
          <w:b/>
          <w:sz w:val="22"/>
          <w:szCs w:val="22"/>
        </w:rPr>
      </w:pPr>
      <w:r w:rsidRPr="00B67592">
        <w:rPr>
          <w:rFonts w:asciiTheme="minorHAnsi" w:hAnsiTheme="minorHAnsi" w:cstheme="minorHAnsi"/>
          <w:b/>
          <w:sz w:val="22"/>
          <w:szCs w:val="22"/>
        </w:rPr>
        <w:t>For more information contact:</w:t>
      </w:r>
    </w:p>
    <w:p w14:paraId="6D5967EE" w14:textId="77777777" w:rsidR="0059349F" w:rsidRPr="00B67592" w:rsidRDefault="0059349F" w:rsidP="008F0B46">
      <w:pPr>
        <w:rPr>
          <w:rFonts w:asciiTheme="minorHAnsi" w:hAnsiTheme="minorHAnsi" w:cstheme="minorHAnsi"/>
          <w:sz w:val="22"/>
          <w:szCs w:val="22"/>
        </w:rPr>
      </w:pPr>
      <w:r w:rsidRPr="00B67592">
        <w:rPr>
          <w:rFonts w:asciiTheme="minorHAnsi" w:hAnsiTheme="minorHAnsi" w:cstheme="minorHAnsi"/>
          <w:sz w:val="22"/>
          <w:szCs w:val="22"/>
        </w:rPr>
        <w:t>The InfoShop</w:t>
      </w:r>
    </w:p>
    <w:p w14:paraId="19F4FCCA" w14:textId="77777777" w:rsidR="0059349F" w:rsidRPr="00B67592" w:rsidRDefault="0059349F" w:rsidP="008F0B46">
      <w:pPr>
        <w:rPr>
          <w:rFonts w:asciiTheme="minorHAnsi" w:hAnsiTheme="minorHAnsi" w:cstheme="minorHAnsi"/>
          <w:sz w:val="22"/>
          <w:szCs w:val="22"/>
        </w:rPr>
      </w:pPr>
      <w:r w:rsidRPr="00B67592">
        <w:rPr>
          <w:rFonts w:asciiTheme="minorHAnsi" w:hAnsiTheme="minorHAnsi" w:cstheme="minorHAnsi"/>
          <w:sz w:val="22"/>
          <w:szCs w:val="22"/>
        </w:rPr>
        <w:t>The World Bank</w:t>
      </w:r>
    </w:p>
    <w:p w14:paraId="66929770" w14:textId="77777777" w:rsidR="0059349F" w:rsidRPr="00B67592" w:rsidRDefault="0059349F" w:rsidP="008F0B46">
      <w:pPr>
        <w:rPr>
          <w:rFonts w:asciiTheme="minorHAnsi" w:hAnsiTheme="minorHAnsi" w:cstheme="minorHAnsi"/>
          <w:sz w:val="22"/>
          <w:szCs w:val="22"/>
        </w:rPr>
      </w:pPr>
      <w:r w:rsidRPr="00B67592">
        <w:rPr>
          <w:rFonts w:asciiTheme="minorHAnsi" w:hAnsiTheme="minorHAnsi" w:cstheme="minorHAnsi"/>
          <w:sz w:val="22"/>
          <w:szCs w:val="22"/>
        </w:rPr>
        <w:t>1818 H Street, NW</w:t>
      </w:r>
    </w:p>
    <w:p w14:paraId="20C89D86" w14:textId="77777777" w:rsidR="0059349F" w:rsidRPr="00B67592" w:rsidRDefault="0059349F" w:rsidP="008F0B46">
      <w:pPr>
        <w:rPr>
          <w:rFonts w:asciiTheme="minorHAnsi" w:hAnsiTheme="minorHAnsi" w:cstheme="minorHAnsi"/>
          <w:sz w:val="22"/>
          <w:szCs w:val="22"/>
        </w:rPr>
      </w:pPr>
      <w:r w:rsidRPr="00B67592">
        <w:rPr>
          <w:rFonts w:asciiTheme="minorHAnsi" w:hAnsiTheme="minorHAnsi" w:cstheme="minorHAnsi"/>
          <w:sz w:val="22"/>
          <w:szCs w:val="22"/>
        </w:rPr>
        <w:t>Washington, D.C. 20433</w:t>
      </w:r>
    </w:p>
    <w:p w14:paraId="4B4FDE7E" w14:textId="77777777" w:rsidR="0059349F" w:rsidRPr="00B67592" w:rsidRDefault="0059349F" w:rsidP="008F0B46">
      <w:pPr>
        <w:rPr>
          <w:rFonts w:asciiTheme="minorHAnsi" w:hAnsiTheme="minorHAnsi" w:cstheme="minorHAnsi"/>
          <w:sz w:val="22"/>
          <w:szCs w:val="22"/>
        </w:rPr>
      </w:pPr>
      <w:r w:rsidRPr="00B67592">
        <w:rPr>
          <w:rFonts w:asciiTheme="minorHAnsi" w:hAnsiTheme="minorHAnsi" w:cstheme="minorHAnsi"/>
          <w:sz w:val="22"/>
          <w:szCs w:val="22"/>
        </w:rPr>
        <w:t>Telephone</w:t>
      </w:r>
      <w:proofErr w:type="gramStart"/>
      <w:r w:rsidRPr="00B67592">
        <w:rPr>
          <w:rFonts w:asciiTheme="minorHAnsi" w:hAnsiTheme="minorHAnsi" w:cstheme="minorHAnsi"/>
          <w:sz w:val="22"/>
          <w:szCs w:val="22"/>
        </w:rPr>
        <w:t>:  (</w:t>
      </w:r>
      <w:proofErr w:type="gramEnd"/>
      <w:r w:rsidRPr="00B67592">
        <w:rPr>
          <w:rFonts w:asciiTheme="minorHAnsi" w:hAnsiTheme="minorHAnsi" w:cstheme="minorHAnsi"/>
          <w:sz w:val="22"/>
          <w:szCs w:val="22"/>
        </w:rPr>
        <w:t>202) 458-</w:t>
      </w:r>
      <w:r w:rsidR="00C070C8" w:rsidRPr="00B67592">
        <w:rPr>
          <w:rFonts w:asciiTheme="minorHAnsi" w:hAnsiTheme="minorHAnsi" w:cstheme="minorHAnsi"/>
          <w:sz w:val="22"/>
          <w:szCs w:val="22"/>
        </w:rPr>
        <w:t>4500</w:t>
      </w:r>
    </w:p>
    <w:p w14:paraId="5217662F" w14:textId="77777777" w:rsidR="0059349F" w:rsidRPr="00B67592" w:rsidRDefault="0059349F" w:rsidP="008F0B46">
      <w:pPr>
        <w:rPr>
          <w:rFonts w:asciiTheme="minorHAnsi" w:hAnsiTheme="minorHAnsi" w:cstheme="minorHAnsi"/>
          <w:sz w:val="22"/>
          <w:szCs w:val="22"/>
        </w:rPr>
      </w:pPr>
      <w:r w:rsidRPr="00B67592">
        <w:rPr>
          <w:rFonts w:asciiTheme="minorHAnsi" w:hAnsiTheme="minorHAnsi" w:cstheme="minorHAnsi"/>
          <w:sz w:val="22"/>
          <w:szCs w:val="22"/>
        </w:rPr>
        <w:t>Fax</w:t>
      </w:r>
      <w:proofErr w:type="gramStart"/>
      <w:r w:rsidRPr="00B67592">
        <w:rPr>
          <w:rFonts w:asciiTheme="minorHAnsi" w:hAnsiTheme="minorHAnsi" w:cstheme="minorHAnsi"/>
          <w:sz w:val="22"/>
          <w:szCs w:val="22"/>
        </w:rPr>
        <w:t>:  (</w:t>
      </w:r>
      <w:proofErr w:type="gramEnd"/>
      <w:r w:rsidRPr="00B67592">
        <w:rPr>
          <w:rFonts w:asciiTheme="minorHAnsi" w:hAnsiTheme="minorHAnsi" w:cstheme="minorHAnsi"/>
          <w:sz w:val="22"/>
          <w:szCs w:val="22"/>
        </w:rPr>
        <w:t>202) 522-1500</w:t>
      </w:r>
    </w:p>
    <w:p w14:paraId="66B7EDD1" w14:textId="77777777" w:rsidR="0059349F" w:rsidRPr="00B67592" w:rsidRDefault="0059349F" w:rsidP="008F0B46">
      <w:pPr>
        <w:rPr>
          <w:rFonts w:asciiTheme="minorHAnsi" w:hAnsiTheme="minorHAnsi" w:cstheme="minorHAnsi"/>
          <w:sz w:val="22"/>
          <w:szCs w:val="22"/>
        </w:rPr>
      </w:pPr>
      <w:r w:rsidRPr="00B67592">
        <w:rPr>
          <w:rFonts w:asciiTheme="minorHAnsi" w:hAnsiTheme="minorHAnsi" w:cstheme="minorHAnsi"/>
          <w:sz w:val="22"/>
          <w:szCs w:val="22"/>
        </w:rPr>
        <w:t>Web: http://www.worldbank.org/infoshop</w:t>
      </w:r>
    </w:p>
    <w:p w14:paraId="392B5579" w14:textId="77777777" w:rsidR="0059349F" w:rsidRPr="00B67592" w:rsidRDefault="0059349F" w:rsidP="00A126FA">
      <w:pPr>
        <w:rPr>
          <w:rFonts w:asciiTheme="minorHAnsi" w:hAnsiTheme="minorHAnsi" w:cstheme="minorHAnsi"/>
          <w:sz w:val="22"/>
          <w:szCs w:val="22"/>
        </w:rPr>
      </w:pPr>
    </w:p>
    <w:sectPr w:rsidR="0059349F" w:rsidRPr="00B67592"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BA49" w14:textId="77777777" w:rsidR="00B54EDD" w:rsidRDefault="00B54EDD">
      <w:r>
        <w:separator/>
      </w:r>
    </w:p>
  </w:endnote>
  <w:endnote w:type="continuationSeparator" w:id="0">
    <w:p w14:paraId="4B159501" w14:textId="77777777" w:rsidR="00B54EDD" w:rsidRDefault="00B5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3D2DE" w14:textId="77777777" w:rsidR="00B54EDD" w:rsidRDefault="00B54EDD">
      <w:r>
        <w:separator/>
      </w:r>
    </w:p>
  </w:footnote>
  <w:footnote w:type="continuationSeparator" w:id="0">
    <w:p w14:paraId="707ACD52" w14:textId="77777777" w:rsidR="00B54EDD" w:rsidRDefault="00B54EDD">
      <w:r>
        <w:continuationSeparator/>
      </w:r>
    </w:p>
  </w:footnote>
  <w:footnote w:id="1">
    <w:p w14:paraId="4BFA71F3" w14:textId="77777777" w:rsidR="00F10749" w:rsidRPr="00F10749" w:rsidRDefault="00F10749" w:rsidP="00F10749">
      <w:pPr>
        <w:pStyle w:val="FootnoteText"/>
        <w:jc w:val="both"/>
        <w:rPr>
          <w:rFonts w:ascii="Calibri" w:hAnsi="Calibri" w:cs="Calibri"/>
          <w:sz w:val="18"/>
          <w:szCs w:val="18"/>
        </w:rPr>
      </w:pPr>
      <w:r w:rsidRPr="00F10749">
        <w:rPr>
          <w:rStyle w:val="FootnoteReference"/>
          <w:rFonts w:ascii="Calibri" w:hAnsi="Calibri" w:cs="Calibri"/>
          <w:sz w:val="18"/>
          <w:szCs w:val="18"/>
        </w:rPr>
        <w:footnoteRef/>
      </w:r>
      <w:r w:rsidRPr="00F10749">
        <w:rPr>
          <w:rFonts w:ascii="Calibri" w:hAnsi="Calibri" w:cs="Calibri"/>
          <w:sz w:val="18"/>
          <w:szCs w:val="18"/>
        </w:rPr>
        <w:t xml:space="preserve"> World Bank (2016). “Recent Trends and Analytical Findings on the Causes of Madagascar’s Persistent Poverty.” It uses household survey data from EPM 2001, 2005, 2010, and ENSOMD 2012. Also see World Bank (2014). “Face of Poverty in Madagascar: Poverty, Gender, and Inequality Assessment.” The next household survey is expected to take place in 2018, following the census.</w:t>
      </w:r>
    </w:p>
  </w:footnote>
  <w:footnote w:id="2">
    <w:p w14:paraId="61F26499" w14:textId="77777777" w:rsidR="00F10749" w:rsidRPr="00F10749" w:rsidRDefault="00F10749" w:rsidP="00F10749">
      <w:pPr>
        <w:pStyle w:val="FootnoteText"/>
        <w:rPr>
          <w:rFonts w:ascii="Calibri" w:hAnsi="Calibri" w:cs="Calibri"/>
          <w:sz w:val="18"/>
          <w:szCs w:val="18"/>
        </w:rPr>
      </w:pPr>
      <w:r w:rsidRPr="00F10749">
        <w:rPr>
          <w:rStyle w:val="FootnoteReference"/>
          <w:rFonts w:ascii="Calibri" w:hAnsi="Calibri" w:cs="Calibri"/>
          <w:sz w:val="18"/>
          <w:szCs w:val="18"/>
        </w:rPr>
        <w:footnoteRef/>
      </w:r>
      <w:r w:rsidRPr="00F10749">
        <w:rPr>
          <w:rFonts w:ascii="Calibri" w:hAnsi="Calibri" w:cs="Calibri"/>
          <w:sz w:val="18"/>
          <w:szCs w:val="18"/>
        </w:rPr>
        <w:t xml:space="preserve"> Measured in real GDP per capita. Only DRC and Liberia fared worse than Madagascar over the 1960-2010 period.</w:t>
      </w:r>
    </w:p>
  </w:footnote>
  <w:footnote w:id="3">
    <w:p w14:paraId="2B0A1BF2" w14:textId="77777777" w:rsidR="00F10749" w:rsidRPr="00F10749" w:rsidRDefault="00F10749" w:rsidP="00F10749">
      <w:pPr>
        <w:pStyle w:val="FootnoteText"/>
        <w:rPr>
          <w:rFonts w:ascii="Calibri" w:hAnsi="Calibri" w:cs="Calibri"/>
          <w:sz w:val="18"/>
          <w:szCs w:val="18"/>
        </w:rPr>
      </w:pPr>
      <w:r w:rsidRPr="00F10749">
        <w:rPr>
          <w:rStyle w:val="FootnoteReference"/>
          <w:rFonts w:ascii="Calibri" w:hAnsi="Calibri" w:cs="Calibri"/>
          <w:sz w:val="18"/>
          <w:szCs w:val="18"/>
        </w:rPr>
        <w:footnoteRef/>
      </w:r>
      <w:r w:rsidRPr="00F10749">
        <w:rPr>
          <w:rFonts w:ascii="Calibri" w:hAnsi="Calibri" w:cs="Calibri"/>
          <w:sz w:val="18"/>
          <w:szCs w:val="18"/>
        </w:rPr>
        <w:t xml:space="preserve"> Most recent data available drawn from the ENSOMD 2012 survey.</w:t>
      </w:r>
    </w:p>
  </w:footnote>
  <w:footnote w:id="4">
    <w:p w14:paraId="0E6A6E9B" w14:textId="77777777" w:rsidR="005659E4" w:rsidRPr="00F8118F" w:rsidRDefault="005659E4" w:rsidP="005659E4">
      <w:pPr>
        <w:pStyle w:val="FootnoteText"/>
        <w:rPr>
          <w:rFonts w:asciiTheme="minorHAnsi" w:hAnsiTheme="minorHAnsi" w:cstheme="minorHAnsi"/>
          <w:sz w:val="18"/>
          <w:szCs w:val="18"/>
        </w:rPr>
      </w:pPr>
      <w:r w:rsidRPr="00F8118F">
        <w:rPr>
          <w:rStyle w:val="FootnoteReference"/>
          <w:rFonts w:asciiTheme="minorHAnsi" w:hAnsiTheme="minorHAnsi" w:cstheme="minorHAnsi"/>
          <w:sz w:val="18"/>
          <w:szCs w:val="18"/>
        </w:rPr>
        <w:footnoteRef/>
      </w:r>
      <w:r w:rsidRPr="00F8118F">
        <w:rPr>
          <w:rFonts w:asciiTheme="minorHAnsi" w:hAnsiTheme="minorHAnsi" w:cstheme="minorHAnsi"/>
          <w:sz w:val="18"/>
          <w:szCs w:val="18"/>
        </w:rPr>
        <w:t xml:space="preserve"> Only 14 percent of the population had access to electricity in 2010, and new connections have been expanding at approximately 1 percentage point per year.</w:t>
      </w:r>
    </w:p>
  </w:footnote>
  <w:footnote w:id="5">
    <w:p w14:paraId="608FE12D" w14:textId="77777777" w:rsidR="005659E4" w:rsidRPr="00F8118F" w:rsidRDefault="005659E4" w:rsidP="005659E4">
      <w:pPr>
        <w:pStyle w:val="FootnoteText"/>
        <w:rPr>
          <w:rFonts w:asciiTheme="minorHAnsi" w:hAnsiTheme="minorHAnsi" w:cstheme="minorHAnsi"/>
          <w:sz w:val="18"/>
          <w:szCs w:val="18"/>
        </w:rPr>
      </w:pPr>
      <w:r w:rsidRPr="00F8118F">
        <w:rPr>
          <w:rStyle w:val="FootnoteReference"/>
          <w:rFonts w:asciiTheme="minorHAnsi" w:hAnsiTheme="minorHAnsi" w:cstheme="minorHAnsi"/>
          <w:sz w:val="18"/>
          <w:szCs w:val="18"/>
        </w:rPr>
        <w:footnoteRef/>
      </w:r>
      <w:r w:rsidRPr="00F8118F">
        <w:rPr>
          <w:rFonts w:asciiTheme="minorHAnsi" w:hAnsiTheme="minorHAnsi" w:cstheme="minorHAnsi"/>
          <w:sz w:val="18"/>
          <w:szCs w:val="18"/>
        </w:rPr>
        <w:t xml:space="preserve"> See decree No. 2004-167 of 3 February 2004 on Development of Investment Compatibility with the Environment (MECIE).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840FB"/>
    <w:multiLevelType w:val="hybridMultilevel"/>
    <w:tmpl w:val="36DC2512"/>
    <w:lvl w:ilvl="0" w:tplc="FEF82A2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E23D96"/>
    <w:multiLevelType w:val="hybridMultilevel"/>
    <w:tmpl w:val="2D00E04E"/>
    <w:lvl w:ilvl="0" w:tplc="D9E8461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3507CF"/>
    <w:multiLevelType w:val="hybridMultilevel"/>
    <w:tmpl w:val="EC2629C8"/>
    <w:lvl w:ilvl="0" w:tplc="4BDA5F44">
      <w:start w:val="1"/>
      <w:numFmt w:val="decimal"/>
      <w:lvlText w:val="%1."/>
      <w:lvlJc w:val="left"/>
      <w:pPr>
        <w:ind w:left="585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42DED"/>
    <w:multiLevelType w:val="hybridMultilevel"/>
    <w:tmpl w:val="6B6EE880"/>
    <w:lvl w:ilvl="0" w:tplc="33E416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667DB2"/>
    <w:multiLevelType w:val="hybridMultilevel"/>
    <w:tmpl w:val="D870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7" w15:restartNumberingAfterBreak="0">
    <w:nsid w:val="76F32123"/>
    <w:multiLevelType w:val="hybridMultilevel"/>
    <w:tmpl w:val="212ABB94"/>
    <w:lvl w:ilvl="0" w:tplc="0409000F">
      <w:start w:val="1"/>
      <w:numFmt w:val="decimal"/>
      <w:lvlText w:val="%1."/>
      <w:lvlJc w:val="left"/>
      <w:pPr>
        <w:tabs>
          <w:tab w:val="num" w:pos="720"/>
        </w:tabs>
        <w:ind w:left="72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b w:val="0"/>
      </w:rPr>
    </w:lvl>
    <w:lvl w:ilvl="4" w:tplc="20688D44">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3D2F0C"/>
    <w:multiLevelType w:val="hybridMultilevel"/>
    <w:tmpl w:val="922654DE"/>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827F67"/>
    <w:multiLevelType w:val="hybridMultilevel"/>
    <w:tmpl w:val="EE68B340"/>
    <w:lvl w:ilvl="0" w:tplc="FEF82A22">
      <w:start w:val="1"/>
      <w:numFmt w:val="decimal"/>
      <w:lvlText w:val="%1."/>
      <w:lvlJc w:val="left"/>
      <w:pPr>
        <w:tabs>
          <w:tab w:val="num" w:pos="720"/>
        </w:tabs>
        <w:ind w:left="720" w:hanging="720"/>
      </w:pPr>
      <w:rPr>
        <w:rFonts w:hint="default"/>
        <w:b w:val="0"/>
        <w:i w:val="0"/>
        <w:sz w:val="22"/>
        <w:szCs w:val="22"/>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30"/>
  </w:num>
  <w:num w:numId="4">
    <w:abstractNumId w:val="2"/>
  </w:num>
  <w:num w:numId="5">
    <w:abstractNumId w:val="17"/>
  </w:num>
  <w:num w:numId="6">
    <w:abstractNumId w:val="0"/>
  </w:num>
  <w:num w:numId="7">
    <w:abstractNumId w:val="23"/>
  </w:num>
  <w:num w:numId="8">
    <w:abstractNumId w:val="8"/>
  </w:num>
  <w:num w:numId="9">
    <w:abstractNumId w:val="19"/>
  </w:num>
  <w:num w:numId="10">
    <w:abstractNumId w:val="3"/>
  </w:num>
  <w:num w:numId="11">
    <w:abstractNumId w:val="13"/>
  </w:num>
  <w:num w:numId="12">
    <w:abstractNumId w:val="18"/>
  </w:num>
  <w:num w:numId="13">
    <w:abstractNumId w:val="11"/>
  </w:num>
  <w:num w:numId="14">
    <w:abstractNumId w:val="26"/>
  </w:num>
  <w:num w:numId="15">
    <w:abstractNumId w:val="32"/>
  </w:num>
  <w:num w:numId="16">
    <w:abstractNumId w:val="9"/>
  </w:num>
  <w:num w:numId="17">
    <w:abstractNumId w:val="14"/>
  </w:num>
  <w:num w:numId="18">
    <w:abstractNumId w:val="29"/>
  </w:num>
  <w:num w:numId="19">
    <w:abstractNumId w:val="20"/>
  </w:num>
  <w:num w:numId="20">
    <w:abstractNumId w:val="4"/>
  </w:num>
  <w:num w:numId="21">
    <w:abstractNumId w:val="25"/>
  </w:num>
  <w:num w:numId="22">
    <w:abstractNumId w:val="21"/>
  </w:num>
  <w:num w:numId="23">
    <w:abstractNumId w:val="6"/>
  </w:num>
  <w:num w:numId="24">
    <w:abstractNumId w:val="28"/>
  </w:num>
  <w:num w:numId="25">
    <w:abstractNumId w:val="22"/>
  </w:num>
  <w:num w:numId="26">
    <w:abstractNumId w:val="5"/>
  </w:num>
  <w:num w:numId="27">
    <w:abstractNumId w:val="27"/>
  </w:num>
  <w:num w:numId="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num>
  <w:num w:numId="31">
    <w:abstractNumId w:val="1"/>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02B8E"/>
    <w:rsid w:val="00007917"/>
    <w:rsid w:val="00030402"/>
    <w:rsid w:val="00041110"/>
    <w:rsid w:val="00071B65"/>
    <w:rsid w:val="000736A2"/>
    <w:rsid w:val="00086692"/>
    <w:rsid w:val="000B78E5"/>
    <w:rsid w:val="000D2D1B"/>
    <w:rsid w:val="00101C42"/>
    <w:rsid w:val="0014230A"/>
    <w:rsid w:val="00150129"/>
    <w:rsid w:val="001527BE"/>
    <w:rsid w:val="00163B21"/>
    <w:rsid w:val="00171E5D"/>
    <w:rsid w:val="00182A0D"/>
    <w:rsid w:val="001936A8"/>
    <w:rsid w:val="001A4469"/>
    <w:rsid w:val="001C63A9"/>
    <w:rsid w:val="001D607D"/>
    <w:rsid w:val="001E638A"/>
    <w:rsid w:val="002217BE"/>
    <w:rsid w:val="002428DC"/>
    <w:rsid w:val="00283684"/>
    <w:rsid w:val="00293D50"/>
    <w:rsid w:val="00294C68"/>
    <w:rsid w:val="002B2DE1"/>
    <w:rsid w:val="003103C4"/>
    <w:rsid w:val="00314679"/>
    <w:rsid w:val="00335C23"/>
    <w:rsid w:val="00337CE7"/>
    <w:rsid w:val="003723D9"/>
    <w:rsid w:val="00383CBB"/>
    <w:rsid w:val="003E3E86"/>
    <w:rsid w:val="003F02CA"/>
    <w:rsid w:val="003F0D73"/>
    <w:rsid w:val="00401603"/>
    <w:rsid w:val="00402176"/>
    <w:rsid w:val="00411367"/>
    <w:rsid w:val="004252B3"/>
    <w:rsid w:val="00425825"/>
    <w:rsid w:val="0047738B"/>
    <w:rsid w:val="00485397"/>
    <w:rsid w:val="0049598D"/>
    <w:rsid w:val="004C6525"/>
    <w:rsid w:val="004D6196"/>
    <w:rsid w:val="004F0F64"/>
    <w:rsid w:val="004F2ADC"/>
    <w:rsid w:val="005659E4"/>
    <w:rsid w:val="00577870"/>
    <w:rsid w:val="00586A53"/>
    <w:rsid w:val="0059349F"/>
    <w:rsid w:val="005D48D5"/>
    <w:rsid w:val="0061313F"/>
    <w:rsid w:val="00624775"/>
    <w:rsid w:val="00634311"/>
    <w:rsid w:val="00634FEC"/>
    <w:rsid w:val="00667FE4"/>
    <w:rsid w:val="00671A99"/>
    <w:rsid w:val="00674243"/>
    <w:rsid w:val="0067697E"/>
    <w:rsid w:val="006877DA"/>
    <w:rsid w:val="00690F9A"/>
    <w:rsid w:val="00695B6F"/>
    <w:rsid w:val="006A7E45"/>
    <w:rsid w:val="006C5D18"/>
    <w:rsid w:val="006E51A7"/>
    <w:rsid w:val="006F3FC6"/>
    <w:rsid w:val="00701460"/>
    <w:rsid w:val="007105DF"/>
    <w:rsid w:val="00712985"/>
    <w:rsid w:val="007150F6"/>
    <w:rsid w:val="00731BC4"/>
    <w:rsid w:val="00757DCA"/>
    <w:rsid w:val="007863D3"/>
    <w:rsid w:val="0078722B"/>
    <w:rsid w:val="00787B7C"/>
    <w:rsid w:val="00793D7D"/>
    <w:rsid w:val="00793EE5"/>
    <w:rsid w:val="007A2FA3"/>
    <w:rsid w:val="007B7DB3"/>
    <w:rsid w:val="007E6FAB"/>
    <w:rsid w:val="007E7B0B"/>
    <w:rsid w:val="008451FE"/>
    <w:rsid w:val="0085373F"/>
    <w:rsid w:val="00861483"/>
    <w:rsid w:val="00864AD7"/>
    <w:rsid w:val="008758F1"/>
    <w:rsid w:val="008F0B46"/>
    <w:rsid w:val="008F5A7B"/>
    <w:rsid w:val="00914E33"/>
    <w:rsid w:val="00915DAE"/>
    <w:rsid w:val="00915DB0"/>
    <w:rsid w:val="00921E31"/>
    <w:rsid w:val="00923AC9"/>
    <w:rsid w:val="009621B1"/>
    <w:rsid w:val="00963593"/>
    <w:rsid w:val="009658D5"/>
    <w:rsid w:val="00973758"/>
    <w:rsid w:val="00996EEB"/>
    <w:rsid w:val="009B1BF2"/>
    <w:rsid w:val="009B6060"/>
    <w:rsid w:val="009F5E4D"/>
    <w:rsid w:val="00A05BC0"/>
    <w:rsid w:val="00A126FA"/>
    <w:rsid w:val="00A25C56"/>
    <w:rsid w:val="00A325E9"/>
    <w:rsid w:val="00AA5A30"/>
    <w:rsid w:val="00AB0F65"/>
    <w:rsid w:val="00AE45A3"/>
    <w:rsid w:val="00B15E63"/>
    <w:rsid w:val="00B17C5F"/>
    <w:rsid w:val="00B54EDD"/>
    <w:rsid w:val="00B649DA"/>
    <w:rsid w:val="00B67592"/>
    <w:rsid w:val="00B677C4"/>
    <w:rsid w:val="00BA07B2"/>
    <w:rsid w:val="00BD56D3"/>
    <w:rsid w:val="00BE2DE1"/>
    <w:rsid w:val="00C070C8"/>
    <w:rsid w:val="00C1158A"/>
    <w:rsid w:val="00C33E9B"/>
    <w:rsid w:val="00C63E52"/>
    <w:rsid w:val="00C67E15"/>
    <w:rsid w:val="00C806A3"/>
    <w:rsid w:val="00C96CBF"/>
    <w:rsid w:val="00D2365D"/>
    <w:rsid w:val="00D40E42"/>
    <w:rsid w:val="00D545E4"/>
    <w:rsid w:val="00DD3B07"/>
    <w:rsid w:val="00DE739D"/>
    <w:rsid w:val="00E528E0"/>
    <w:rsid w:val="00E72DB9"/>
    <w:rsid w:val="00E903CC"/>
    <w:rsid w:val="00EC042A"/>
    <w:rsid w:val="00ED2328"/>
    <w:rsid w:val="00ED5634"/>
    <w:rsid w:val="00F0622C"/>
    <w:rsid w:val="00F10749"/>
    <w:rsid w:val="00F32907"/>
    <w:rsid w:val="00F34A55"/>
    <w:rsid w:val="00F34B6F"/>
    <w:rsid w:val="00F41703"/>
    <w:rsid w:val="00F45B5C"/>
    <w:rsid w:val="00F7168A"/>
    <w:rsid w:val="00FE42CA"/>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A6463"/>
  <w15:docId w15:val="{6D39170E-77A1-4BD2-8F4F-79A96C0E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Ref,de nota al pie,16 Point,Superscript 6 Point,Appel note de bas de page,ftref,BVI fnr,Footnote Reference Number, BVI fnr,Footnote,Char Char Char Char Car Char, Car1,Car1,Знак сноски 1,Footnote Reference Char Char Char, Char Char,FO"/>
    <w:basedOn w:val="DefaultParagraphFont"/>
    <w:link w:val="BVIfnrCharCharCharCharCharChar1CharCharCharCharCharChar"/>
    <w:uiPriority w:val="99"/>
    <w:qFormat/>
    <w:rsid w:val="00731BC4"/>
    <w:rPr>
      <w:vertAlign w:val="superscript"/>
    </w:rPr>
  </w:style>
  <w:style w:type="paragraph" w:styleId="FootnoteText">
    <w:name w:val="footnote text"/>
    <w:aliases w:val="FOOTNOTES,fn,single space,footnote text,f,Geneva 9,Font: Geneva 9,Boston 10,Footnote Text Char1,Footnote Text Char2 Char,Footnote Text Char1 Char Char,Footnote Text Char2 Char Char Char,Footnote Text Char1 Char Char Char Char,Char,FN,ft,PF"/>
    <w:basedOn w:val="Normal"/>
    <w:link w:val="FootnoteTextChar"/>
    <w:uiPriority w:val="99"/>
    <w:qFormat/>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 Char,Geneva 9 Char,Font: Geneva 9 Char,Boston 10 Char,Footnote Text Char1 Char,Footnote Text Char2 Char Char,Footnote Text Char1 Char Char Char,Char Char,FN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References,lp1,ReferencesCxSpLast,Numbered List Paragraph,Bullets,List Paragraph (numbered (a)),Title Style 1,Medium Grid 1 - Accent 21,List Paragraph1,List Paragraph nowy,Liste 1,Numbered Paragraph,Main numbered paragraph,List_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ListParagraphChar">
    <w:name w:val="List Paragraph Char"/>
    <w:aliases w:val="References Char,lp1 Char,ReferencesCxSpLast Char,Numbered List Paragraph Char,Bullets Char,List Paragraph (numbered (a)) Char,Title Style 1 Char,Medium Grid 1 - Accent 21 Char,List Paragraph1 Char,List Paragraph nowy Char"/>
    <w:link w:val="ListParagraph"/>
    <w:uiPriority w:val="42"/>
    <w:qFormat/>
    <w:locked/>
    <w:rsid w:val="005659E4"/>
    <w:rPr>
      <w:sz w:val="24"/>
      <w:szCs w:val="24"/>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5659E4"/>
    <w:pPr>
      <w:spacing w:after="160" w:line="240" w:lineRule="exact"/>
    </w:pPr>
    <w:rPr>
      <w:sz w:val="20"/>
      <w:szCs w:val="20"/>
      <w:vertAlign w:val="superscript"/>
    </w:rPr>
  </w:style>
  <w:style w:type="paragraph" w:customStyle="1" w:styleId="Default">
    <w:name w:val="Default"/>
    <w:rsid w:val="00634F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56756">
      <w:bodyDiv w:val="1"/>
      <w:marLeft w:val="0"/>
      <w:marRight w:val="0"/>
      <w:marTop w:val="0"/>
      <w:marBottom w:val="0"/>
      <w:divBdr>
        <w:top w:val="none" w:sz="0" w:space="0" w:color="auto"/>
        <w:left w:val="none" w:sz="0" w:space="0" w:color="auto"/>
        <w:bottom w:val="none" w:sz="0" w:space="0" w:color="auto"/>
        <w:right w:val="none" w:sz="0" w:space="0" w:color="auto"/>
      </w:divBdr>
    </w:div>
    <w:div w:id="21102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A4B8-3157-4CFE-958D-EE804323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1814</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12196</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Lina Janenaite</cp:lastModifiedBy>
  <cp:revision>3</cp:revision>
  <cp:lastPrinted>2009-11-17T16:33:00Z</cp:lastPrinted>
  <dcterms:created xsi:type="dcterms:W3CDTF">2017-10-31T17:18:00Z</dcterms:created>
  <dcterms:modified xsi:type="dcterms:W3CDTF">2017-10-31T17:34:00Z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AB7778</vt:lpwstr>
  </property>
  <property fmtid="{D5CDD505-2E9C-101B-9397-08002B2CF9AE}" pid="3" name="TEAMLEADER">
    <vt:lpwstr>Keiko Kubota</vt:lpwstr>
  </property>
</Properties>
</file>