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E" w:rsidRPr="006F6608" w:rsidRDefault="0062097E" w:rsidP="0062097E">
      <w:pPr>
        <w:jc w:val="center"/>
        <w:rPr>
          <w:b/>
          <w:bCs/>
        </w:rPr>
      </w:pPr>
      <w:r w:rsidRPr="006F6608">
        <w:rPr>
          <w:b/>
          <w:bCs/>
        </w:rPr>
        <w:t>PROGRAM</w:t>
      </w:r>
      <w:bookmarkStart w:id="0" w:name="_GoBack"/>
      <w:bookmarkEnd w:id="0"/>
      <w:r w:rsidRPr="006F6608">
        <w:rPr>
          <w:b/>
          <w:bCs/>
        </w:rPr>
        <w:t xml:space="preserve"> INFORMATION DOCUMENT (PID)</w:t>
      </w:r>
    </w:p>
    <w:p w:rsidR="0062097E" w:rsidRPr="006F6608" w:rsidRDefault="00C87195" w:rsidP="0062097E">
      <w:pPr>
        <w:jc w:val="center"/>
        <w:rPr>
          <w:b/>
          <w:bCs/>
        </w:rPr>
      </w:pPr>
      <w:r w:rsidRPr="006F6608">
        <w:rPr>
          <w:b/>
          <w:bCs/>
        </w:rPr>
        <w:t>APPRAISAL</w:t>
      </w:r>
      <w:r w:rsidR="0062097E" w:rsidRPr="006F6608">
        <w:rPr>
          <w:b/>
          <w:bCs/>
        </w:rPr>
        <w:t xml:space="preserve"> STAGE</w:t>
      </w:r>
    </w:p>
    <w:p w:rsidR="0062097E" w:rsidRPr="006F6608" w:rsidRDefault="0062097E" w:rsidP="0062097E">
      <w:pPr>
        <w:jc w:val="right"/>
      </w:pPr>
    </w:p>
    <w:p w:rsidR="0062097E" w:rsidRPr="006F6608" w:rsidRDefault="0062097E" w:rsidP="0062097E">
      <w:pPr>
        <w:ind w:right="720"/>
        <w:jc w:val="right"/>
      </w:pPr>
      <w:r w:rsidRPr="006F6608">
        <w:t xml:space="preserve">Report No.: </w:t>
      </w:r>
      <w:bookmarkStart w:id="1" w:name="ReportNo"/>
      <w:r w:rsidR="00603AC2">
        <w:t>AB7527</w:t>
      </w:r>
      <w:bookmarkEnd w:id="1"/>
      <w:r w:rsidRPr="006F6608">
        <w:t xml:space="preserve"> </w:t>
      </w:r>
    </w:p>
    <w:p w:rsidR="0062097E" w:rsidRPr="006F6608" w:rsidRDefault="0062097E" w:rsidP="0062097E">
      <w:pPr>
        <w:jc w:val="right"/>
      </w:pPr>
      <w:r w:rsidRPr="006F6608">
        <w:t xml:space="preserve"> </w:t>
      </w:r>
    </w:p>
    <w:p w:rsidR="0062097E" w:rsidRPr="006F6608" w:rsidRDefault="0062097E" w:rsidP="0062097E">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jc w:val="both"/>
              <w:rPr>
                <w:color w:val="000000"/>
              </w:rPr>
            </w:pPr>
            <w:bookmarkStart w:id="2" w:name="PROJECTNAME"/>
            <w:r w:rsidRPr="006F6608">
              <w:rPr>
                <w:color w:val="000000"/>
              </w:rPr>
              <w:t>Strengthening Governance in Education</w:t>
            </w:r>
            <w:r w:rsidR="00137A0E" w:rsidRPr="006F6608">
              <w:rPr>
                <w:color w:val="000000"/>
              </w:rPr>
              <w:t>,</w:t>
            </w:r>
            <w:r w:rsidRPr="006F6608">
              <w:rPr>
                <w:color w:val="000000"/>
              </w:rPr>
              <w:t xml:space="preserve"> Water and Sanitation </w:t>
            </w:r>
          </w:p>
          <w:bookmarkEnd w:id="2"/>
          <w:p w:rsidR="0062097E" w:rsidRPr="006F6608" w:rsidRDefault="0062097E" w:rsidP="00F72D5E"/>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Region</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F72D5E">
            <w:bookmarkStart w:id="3" w:name="REGION"/>
            <w:r w:rsidRPr="006F6608">
              <w:t>LATIN AMERICA AND CARIBBEAN</w:t>
            </w:r>
            <w:bookmarkEnd w:id="3"/>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Country</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F72D5E">
            <w:bookmarkStart w:id="4" w:name="COUNTRY"/>
            <w:r w:rsidRPr="006F6608">
              <w:t>Haiti</w:t>
            </w:r>
            <w:bookmarkEnd w:id="4"/>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Sector</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137A0E" w:rsidP="00137A0E">
            <w:bookmarkStart w:id="5" w:name="SECTOR"/>
            <w:r w:rsidRPr="006F6608">
              <w:t xml:space="preserve">PFM (20%), </w:t>
            </w:r>
            <w:r w:rsidR="0062097E" w:rsidRPr="006F6608">
              <w:t>Education (</w:t>
            </w:r>
            <w:r w:rsidRPr="006F6608">
              <w:t>40%</w:t>
            </w:r>
            <w:bookmarkEnd w:id="5"/>
            <w:r w:rsidRPr="006F6608">
              <w:t xml:space="preserve">), </w:t>
            </w:r>
            <w:r w:rsidR="0062097E" w:rsidRPr="006F6608">
              <w:t>Water and Sanitation (</w:t>
            </w:r>
            <w:r w:rsidRPr="006F6608">
              <w:t>4</w:t>
            </w:r>
            <w:r w:rsidR="0062097E" w:rsidRPr="006F6608">
              <w:t>0%)</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F72D5E">
            <w:r w:rsidRPr="006F6608">
              <w:t>P147166</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7C0883" w:rsidP="007C0883">
            <w:bookmarkStart w:id="6" w:name="INSTR_NAME"/>
            <w:r w:rsidRPr="006F6608">
              <w:t xml:space="preserve">Haiti Reconstruction Fund </w:t>
            </w:r>
            <w:r w:rsidR="0062097E" w:rsidRPr="006F6608">
              <w:t xml:space="preserve">Development Policy </w:t>
            </w:r>
            <w:bookmarkEnd w:id="6"/>
            <w:r w:rsidRPr="006F6608">
              <w:t>Grant</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Borrower(s)</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F72D5E">
            <w:bookmarkStart w:id="7" w:name="BORROWERNAME"/>
            <w:r w:rsidRPr="006F6608">
              <w:t>REPUBLIC OF HAITI</w:t>
            </w:r>
            <w:bookmarkEnd w:id="7"/>
          </w:p>
        </w:tc>
      </w:tr>
      <w:tr w:rsidR="0062097E" w:rsidRPr="006F6608" w:rsidTr="00F72D5E">
        <w:trPr>
          <w:trHeight w:val="140"/>
        </w:trPr>
        <w:tc>
          <w:tcPr>
            <w:tcW w:w="3420" w:type="dxa"/>
            <w:tcBorders>
              <w:top w:val="single" w:sz="4" w:space="0" w:color="auto"/>
              <w:left w:val="single" w:sz="4" w:space="0" w:color="auto"/>
              <w:bottom w:val="nil"/>
              <w:right w:val="single" w:sz="4" w:space="0" w:color="auto"/>
            </w:tcBorders>
          </w:tcPr>
          <w:p w:rsidR="0062097E" w:rsidRPr="006F6608" w:rsidRDefault="0062097E" w:rsidP="00F72D5E">
            <w:pPr>
              <w:rPr>
                <w:b/>
                <w:bCs/>
              </w:rPr>
            </w:pPr>
            <w:r w:rsidRPr="006F6608">
              <w:rPr>
                <w:b/>
                <w:bCs/>
              </w:rPr>
              <w:t>Implementing Agency</w:t>
            </w:r>
          </w:p>
        </w:tc>
        <w:tc>
          <w:tcPr>
            <w:tcW w:w="6120" w:type="dxa"/>
            <w:tcBorders>
              <w:top w:val="single" w:sz="4" w:space="0" w:color="auto"/>
              <w:left w:val="single" w:sz="4" w:space="0" w:color="auto"/>
              <w:bottom w:val="nil"/>
              <w:right w:val="single" w:sz="4" w:space="0" w:color="auto"/>
            </w:tcBorders>
          </w:tcPr>
          <w:p w:rsidR="0062097E" w:rsidRPr="006F6608" w:rsidRDefault="0062097E" w:rsidP="00F72D5E">
            <w:bookmarkStart w:id="8" w:name="ImplementingAgency"/>
            <w:r w:rsidRPr="006F6608">
              <w:t>MINISTRY OF FINANCE</w:t>
            </w:r>
            <w:bookmarkEnd w:id="8"/>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F72D5E">
            <w:r w:rsidRPr="006F6608">
              <w:t>Ministry of Finance</w:t>
            </w:r>
          </w:p>
          <w:p w:rsidR="0062097E" w:rsidRPr="006F6608" w:rsidRDefault="0062097E" w:rsidP="00F72D5E">
            <w:r w:rsidRPr="006F6608">
              <w:t>Rue Charles Summer</w:t>
            </w:r>
          </w:p>
          <w:p w:rsidR="0062097E" w:rsidRPr="006F6608" w:rsidRDefault="0062097E" w:rsidP="00F72D5E">
            <w:pPr>
              <w:rPr>
                <w:lang w:val="fr-HT"/>
              </w:rPr>
            </w:pPr>
            <w:r w:rsidRPr="006F6608">
              <w:rPr>
                <w:lang w:val="fr-HT"/>
              </w:rPr>
              <w:t>Port-au Prince</w:t>
            </w:r>
          </w:p>
          <w:p w:rsidR="0062097E" w:rsidRPr="006F6608" w:rsidRDefault="0062097E" w:rsidP="00F72D5E">
            <w:pPr>
              <w:rPr>
                <w:lang w:val="fr-HT"/>
              </w:rPr>
            </w:pPr>
            <w:proofErr w:type="spellStart"/>
            <w:r w:rsidRPr="006F6608">
              <w:rPr>
                <w:lang w:val="fr-HT"/>
              </w:rPr>
              <w:t>Haiti</w:t>
            </w:r>
            <w:proofErr w:type="spellEnd"/>
          </w:p>
          <w:p w:rsidR="0093630B" w:rsidRPr="006F6608" w:rsidRDefault="0062097E" w:rsidP="00F72D5E">
            <w:pPr>
              <w:rPr>
                <w:lang w:val="fr-HT"/>
              </w:rPr>
            </w:pPr>
            <w:r w:rsidRPr="006F6608">
              <w:rPr>
                <w:lang w:val="fr-HT"/>
              </w:rPr>
              <w:t>Tel: (509-3) 701-8058</w:t>
            </w:r>
            <w:r w:rsidRPr="006F6608">
              <w:rPr>
                <w:lang w:val="fr-HT"/>
              </w:rPr>
              <w:tab/>
            </w:r>
            <w:r w:rsidR="0093630B" w:rsidRPr="006F6608">
              <w:rPr>
                <w:lang w:val="fr-HT"/>
              </w:rPr>
              <w:t xml:space="preserve"> </w:t>
            </w:r>
          </w:p>
          <w:p w:rsidR="0062097E" w:rsidRPr="006F6608" w:rsidRDefault="0062097E" w:rsidP="00F72D5E">
            <w:pPr>
              <w:rPr>
                <w:lang w:val="fr-HT"/>
              </w:rPr>
            </w:pPr>
            <w:r w:rsidRPr="006F6608">
              <w:rPr>
                <w:lang w:val="fr-HT"/>
              </w:rPr>
              <w:t>Fax: NA</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0356D5" w:rsidP="000356D5">
            <w:bookmarkStart w:id="9" w:name="DATEPREPARED"/>
            <w:r w:rsidRPr="006F6608">
              <w:t>June 5</w:t>
            </w:r>
            <w:r w:rsidR="0062097E" w:rsidRPr="006F6608">
              <w:t>, 201</w:t>
            </w:r>
            <w:bookmarkEnd w:id="9"/>
            <w:r w:rsidR="007C0883" w:rsidRPr="006F6608">
              <w:t>4</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0356D5" w:rsidP="000356D5">
            <w:bookmarkStart w:id="10" w:name="APPRAISALDATE"/>
            <w:r w:rsidRPr="006F6608">
              <w:t>June 18</w:t>
            </w:r>
            <w:r w:rsidR="0062097E" w:rsidRPr="006F6608">
              <w:t>, 201</w:t>
            </w:r>
            <w:bookmarkEnd w:id="10"/>
            <w:r w:rsidR="007C0883" w:rsidRPr="006F6608">
              <w:t>4</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7C0883">
            <w:pPr>
              <w:rPr>
                <w:b/>
                <w:bCs/>
              </w:rPr>
            </w:pPr>
            <w:r w:rsidRPr="006F6608">
              <w:rPr>
                <w:b/>
                <w:bCs/>
              </w:rPr>
              <w:t xml:space="preserve">Estimated Date of </w:t>
            </w:r>
            <w:r w:rsidR="007C0883" w:rsidRPr="006F6608">
              <w:rPr>
                <w:b/>
                <w:bCs/>
              </w:rPr>
              <w:t>RVP</w:t>
            </w:r>
            <w:r w:rsidRPr="006F6608">
              <w:rPr>
                <w:b/>
                <w:bCs/>
              </w:rPr>
              <w:t xml:space="preserve"> Approval</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0356D5" w:rsidP="00E12990">
            <w:r w:rsidRPr="006F6608">
              <w:t>June 20</w:t>
            </w:r>
            <w:r w:rsidR="007C0883" w:rsidRPr="006F6608">
              <w:t>, 2014</w:t>
            </w:r>
          </w:p>
        </w:tc>
      </w:tr>
      <w:tr w:rsidR="0062097E" w:rsidRPr="006F6608" w:rsidTr="00F72D5E">
        <w:tc>
          <w:tcPr>
            <w:tcW w:w="3420" w:type="dxa"/>
            <w:tcBorders>
              <w:top w:val="single" w:sz="4" w:space="0" w:color="auto"/>
              <w:left w:val="single" w:sz="4" w:space="0" w:color="auto"/>
              <w:bottom w:val="single" w:sz="4" w:space="0" w:color="auto"/>
              <w:right w:val="single" w:sz="4" w:space="0" w:color="auto"/>
            </w:tcBorders>
          </w:tcPr>
          <w:p w:rsidR="0062097E" w:rsidRPr="006F6608" w:rsidRDefault="0062097E" w:rsidP="00F72D5E">
            <w:pPr>
              <w:rPr>
                <w:b/>
                <w:bCs/>
              </w:rPr>
            </w:pPr>
            <w:r w:rsidRPr="006F6608">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62097E" w:rsidRPr="006F6608" w:rsidRDefault="0062097E" w:rsidP="00E12990">
            <w:pPr>
              <w:rPr>
                <w:i/>
                <w:u w:val="single"/>
              </w:rPr>
            </w:pPr>
            <w:r w:rsidRPr="006F6608">
              <w:t xml:space="preserve">Following the corporate review, the decision was taken to proceed with </w:t>
            </w:r>
            <w:r w:rsidR="00E12990" w:rsidRPr="006F6608">
              <w:t>appraisal</w:t>
            </w:r>
            <w:r w:rsidRPr="006F6608">
              <w:t xml:space="preserve"> of the operation.</w:t>
            </w:r>
            <w:r w:rsidRPr="006F6608">
              <w:rPr>
                <w:i/>
                <w:u w:val="single"/>
              </w:rPr>
              <w:t xml:space="preserve"> </w:t>
            </w:r>
          </w:p>
        </w:tc>
      </w:tr>
    </w:tbl>
    <w:p w:rsidR="0062097E" w:rsidRPr="006F6608" w:rsidRDefault="0062097E" w:rsidP="0062097E"/>
    <w:p w:rsidR="0062097E" w:rsidRPr="006F6608" w:rsidRDefault="0062097E" w:rsidP="0062097E">
      <w:pPr>
        <w:numPr>
          <w:ilvl w:val="0"/>
          <w:numId w:val="1"/>
        </w:numPr>
        <w:rPr>
          <w:b/>
          <w:i/>
        </w:rPr>
      </w:pPr>
      <w:r w:rsidRPr="006F6608">
        <w:rPr>
          <w:b/>
        </w:rPr>
        <w:t xml:space="preserve">Key development issues and rationale for Bank involvement </w:t>
      </w:r>
    </w:p>
    <w:p w:rsidR="00701D36" w:rsidRPr="006F6608" w:rsidRDefault="0062097E" w:rsidP="00701D36">
      <w:pPr>
        <w:ind w:left="720"/>
        <w:jc w:val="both"/>
      </w:pPr>
      <w:r w:rsidRPr="006F6608">
        <w:t xml:space="preserve">The proposed Grant supports the Government’s strategy to </w:t>
      </w:r>
      <w:r w:rsidR="0082516F" w:rsidRPr="006F6608">
        <w:t xml:space="preserve">strengthen transparency and institutions for budget </w:t>
      </w:r>
      <w:r w:rsidR="000356D5" w:rsidRPr="006F6608">
        <w:t>management</w:t>
      </w:r>
      <w:r w:rsidR="0082516F" w:rsidRPr="006F6608">
        <w:t xml:space="preserve"> in education and water and sanitation</w:t>
      </w:r>
      <w:r w:rsidR="00701D36" w:rsidRPr="006F6608">
        <w:rPr>
          <w:color w:val="000000"/>
        </w:rPr>
        <w:t xml:space="preserve">. </w:t>
      </w:r>
      <w:r w:rsidR="00701D36" w:rsidRPr="006F6608">
        <w:t>The World Bank is acting as partner entity to the Haiti Reconstruction Fund to prepare this operation.</w:t>
      </w:r>
    </w:p>
    <w:p w:rsidR="0062097E" w:rsidRPr="006F6608" w:rsidRDefault="0062097E" w:rsidP="0062097E">
      <w:pPr>
        <w:rPr>
          <w:b/>
        </w:rPr>
      </w:pPr>
    </w:p>
    <w:p w:rsidR="0062097E" w:rsidRPr="006F6608" w:rsidRDefault="0062097E" w:rsidP="0062097E">
      <w:pPr>
        <w:numPr>
          <w:ilvl w:val="0"/>
          <w:numId w:val="1"/>
        </w:numPr>
        <w:rPr>
          <w:b/>
        </w:rPr>
      </w:pPr>
      <w:r w:rsidRPr="006F6608">
        <w:rPr>
          <w:b/>
        </w:rPr>
        <w:t>Proposed Objective(s)</w:t>
      </w:r>
    </w:p>
    <w:p w:rsidR="00701D36" w:rsidRPr="006F6608" w:rsidRDefault="0062097E" w:rsidP="0062097E">
      <w:pPr>
        <w:ind w:left="720"/>
        <w:jc w:val="both"/>
        <w:rPr>
          <w:color w:val="000000"/>
        </w:rPr>
      </w:pPr>
      <w:r w:rsidRPr="006F6608">
        <w:t xml:space="preserve">The proposed </w:t>
      </w:r>
      <w:r w:rsidR="00701D36" w:rsidRPr="006F6608">
        <w:t xml:space="preserve">Haiti Reconstruction Fund </w:t>
      </w:r>
      <w:r w:rsidRPr="006F6608">
        <w:t xml:space="preserve">Development Policy </w:t>
      </w:r>
      <w:r w:rsidR="00701D36" w:rsidRPr="006F6608">
        <w:t>Grant</w:t>
      </w:r>
      <w:r w:rsidRPr="006F6608">
        <w:t xml:space="preserve"> supports the Government’s strategic plan for Haiti’s development (PSDH). </w:t>
      </w:r>
      <w:r w:rsidR="00701D36" w:rsidRPr="006F6608">
        <w:t xml:space="preserve">The HRF Grant supports essential institutional reforms that increase transparency, </w:t>
      </w:r>
      <w:r w:rsidR="00847EC8" w:rsidRPr="006F6608">
        <w:t xml:space="preserve">and </w:t>
      </w:r>
      <w:r w:rsidR="00701D36" w:rsidRPr="006F6608">
        <w:t>oversight in three main policy areas: (</w:t>
      </w:r>
      <w:proofErr w:type="spellStart"/>
      <w:r w:rsidR="00701D36" w:rsidRPr="006F6608">
        <w:t>i</w:t>
      </w:r>
      <w:proofErr w:type="spellEnd"/>
      <w:r w:rsidR="00701D36" w:rsidRPr="006F6608">
        <w:t>) public financial management, (ii) e</w:t>
      </w:r>
      <w:r w:rsidR="00701D36" w:rsidRPr="006F6608">
        <w:rPr>
          <w:color w:val="000000"/>
        </w:rPr>
        <w:t>ducation, and (iii) water and sanitation. Donors’ recent sector-level engagement in education and water and sanitation has focused on sector investments whose implementation has been impeded by insufficient and evolving institutional frameworks and incomplete information on service delivery</w:t>
      </w:r>
      <w:r w:rsidR="00B54E37" w:rsidRPr="006F6608">
        <w:rPr>
          <w:color w:val="000000"/>
        </w:rPr>
        <w:t>. The reforms supported by this operation will help to alleviate these constraints.</w:t>
      </w:r>
    </w:p>
    <w:p w:rsidR="00701D36" w:rsidRPr="006F6608" w:rsidRDefault="00701D36" w:rsidP="0062097E">
      <w:pPr>
        <w:ind w:left="720"/>
        <w:jc w:val="both"/>
        <w:rPr>
          <w:color w:val="000000"/>
        </w:rPr>
      </w:pPr>
    </w:p>
    <w:p w:rsidR="0062097E" w:rsidRPr="006F6608" w:rsidRDefault="0062097E" w:rsidP="0062097E">
      <w:pPr>
        <w:pStyle w:val="MainParanoChapter"/>
        <w:tabs>
          <w:tab w:val="left" w:pos="720"/>
        </w:tabs>
        <w:ind w:left="720"/>
        <w:jc w:val="both"/>
      </w:pPr>
      <w:r w:rsidRPr="006F6608">
        <w:lastRenderedPageBreak/>
        <w:t xml:space="preserve">By </w:t>
      </w:r>
      <w:r w:rsidR="00B54E37" w:rsidRPr="006F6608">
        <w:t xml:space="preserve">strengthening </w:t>
      </w:r>
      <w:r w:rsidRPr="006F6608">
        <w:t>Haiti’s governance systems and increas</w:t>
      </w:r>
      <w:r w:rsidR="00B54E37" w:rsidRPr="006F6608">
        <w:t>ing</w:t>
      </w:r>
      <w:r w:rsidRPr="006F6608">
        <w:t xml:space="preserve"> transparency,</w:t>
      </w:r>
      <w:r w:rsidRPr="006F6608">
        <w:rPr>
          <w:b/>
        </w:rPr>
        <w:t xml:space="preserve"> </w:t>
      </w:r>
      <w:r w:rsidRPr="006F6608">
        <w:t xml:space="preserve">the proposed operation aligns its priority areas with the country’s medium and long-term challenges. The significant post-earthquake inflow of reconstruction funds not only created pressure on the existing capacity to manage and execute funds, but also increased demand for better economic governance. In this context, the proposed Grant will enhance public resource use through improved </w:t>
      </w:r>
      <w:r w:rsidR="00847EC8" w:rsidRPr="006F6608">
        <w:t xml:space="preserve">budget </w:t>
      </w:r>
      <w:r w:rsidR="000356D5" w:rsidRPr="006F6608">
        <w:t>management</w:t>
      </w:r>
      <w:r w:rsidRPr="006F6608">
        <w:t xml:space="preserve">, better oversight of education and water and sanitation service delivery, and increased transparency around the availability and quality of these services. </w:t>
      </w:r>
    </w:p>
    <w:p w:rsidR="0062097E" w:rsidRPr="006F6608" w:rsidRDefault="0062097E" w:rsidP="0062097E">
      <w:pPr>
        <w:pStyle w:val="MainParanoChapter"/>
        <w:ind w:left="720"/>
        <w:jc w:val="both"/>
      </w:pPr>
      <w:r w:rsidRPr="006F6608">
        <w:t xml:space="preserve">Expected outcomes of the operation include: improved cash management by </w:t>
      </w:r>
      <w:r w:rsidR="00E8031A" w:rsidRPr="006F6608">
        <w:t xml:space="preserve">the </w:t>
      </w:r>
      <w:r w:rsidRPr="006F6608">
        <w:t xml:space="preserve">Treasury; increased </w:t>
      </w:r>
      <w:r w:rsidR="000356D5" w:rsidRPr="006F6608">
        <w:t>oversight</w:t>
      </w:r>
      <w:r w:rsidRPr="006F6608">
        <w:t xml:space="preserve"> of education services in non-public schools</w:t>
      </w:r>
      <w:r w:rsidR="00E8031A" w:rsidRPr="006F6608">
        <w:t>;</w:t>
      </w:r>
      <w:r w:rsidRPr="006F6608">
        <w:t xml:space="preserve"> better alignment of</w:t>
      </w:r>
      <w:r w:rsidR="00847EC8" w:rsidRPr="006F6608">
        <w:t xml:space="preserve"> the</w:t>
      </w:r>
      <w:r w:rsidRPr="006F6608">
        <w:t xml:space="preserve"> education budget with the sector’s priorities</w:t>
      </w:r>
      <w:r w:rsidR="00E8031A" w:rsidRPr="006F6608">
        <w:t xml:space="preserve">; </w:t>
      </w:r>
      <w:r w:rsidRPr="006F6608">
        <w:t>i</w:t>
      </w:r>
      <w:r w:rsidRPr="006F6608">
        <w:rPr>
          <w:color w:val="000000"/>
        </w:rPr>
        <w:t xml:space="preserve">ncreased </w:t>
      </w:r>
      <w:r w:rsidR="00E8031A" w:rsidRPr="006F6608">
        <w:rPr>
          <w:color w:val="000000"/>
        </w:rPr>
        <w:t>information</w:t>
      </w:r>
      <w:r w:rsidRPr="006F6608">
        <w:rPr>
          <w:color w:val="000000"/>
        </w:rPr>
        <w:t xml:space="preserve"> </w:t>
      </w:r>
      <w:r w:rsidR="00E8031A" w:rsidRPr="006F6608">
        <w:rPr>
          <w:color w:val="000000"/>
        </w:rPr>
        <w:t xml:space="preserve">about schooling </w:t>
      </w:r>
      <w:r w:rsidRPr="006F6608">
        <w:rPr>
          <w:color w:val="000000"/>
        </w:rPr>
        <w:t xml:space="preserve">through timely and more widely accessible </w:t>
      </w:r>
      <w:r w:rsidR="00E8031A" w:rsidRPr="006F6608">
        <w:rPr>
          <w:color w:val="000000"/>
        </w:rPr>
        <w:t xml:space="preserve">data </w:t>
      </w:r>
      <w:r w:rsidRPr="006F6608">
        <w:rPr>
          <w:color w:val="000000"/>
        </w:rPr>
        <w:t>on education service delivery</w:t>
      </w:r>
      <w:r w:rsidRPr="006F6608">
        <w:t xml:space="preserve"> nationwide; improved oversight of the water and sanitation sector</w:t>
      </w:r>
      <w:r w:rsidR="00E8031A" w:rsidRPr="006F6608">
        <w:t>; a</w:t>
      </w:r>
      <w:r w:rsidRPr="006F6608">
        <w:t>nd i</w:t>
      </w:r>
      <w:r w:rsidRPr="006F6608">
        <w:rPr>
          <w:color w:val="000000"/>
        </w:rPr>
        <w:t>ncreased transparency of water service availability and quality at the community level.</w:t>
      </w:r>
    </w:p>
    <w:p w:rsidR="0062097E" w:rsidRPr="006F6608" w:rsidRDefault="0062097E" w:rsidP="0062097E">
      <w:pPr>
        <w:numPr>
          <w:ilvl w:val="0"/>
          <w:numId w:val="1"/>
        </w:numPr>
        <w:rPr>
          <w:b/>
        </w:rPr>
      </w:pPr>
      <w:r w:rsidRPr="006F6608">
        <w:rPr>
          <w:b/>
        </w:rPr>
        <w:t>Preliminary Description</w:t>
      </w:r>
    </w:p>
    <w:p w:rsidR="0062097E" w:rsidRPr="006F6608" w:rsidRDefault="00E8031A" w:rsidP="0062097E">
      <w:pPr>
        <w:pStyle w:val="MainParanoChapter"/>
        <w:numPr>
          <w:ilvl w:val="1"/>
          <w:numId w:val="0"/>
        </w:numPr>
        <w:tabs>
          <w:tab w:val="num" w:pos="720"/>
        </w:tabs>
        <w:spacing w:after="0"/>
        <w:ind w:left="720"/>
        <w:jc w:val="both"/>
      </w:pPr>
      <w:r w:rsidRPr="006F6608">
        <w:t xml:space="preserve">The measures supported by the Grant help </w:t>
      </w:r>
      <w:r w:rsidR="000356D5" w:rsidRPr="006F6608">
        <w:t>foster</w:t>
      </w:r>
      <w:r w:rsidRPr="006F6608">
        <w:t xml:space="preserve"> the conditions needed to increase public spending efficiency and maximize the impact of the high level of donor financing in the transition period, following which grants are likely to return to pre-earthquake levels. Whereas strengthening public sector governance remains critical, growth-enhancing reforms also need to be promoted; the proposed H</w:t>
      </w:r>
      <w:r w:rsidR="004B7822" w:rsidRPr="006F6608">
        <w:t xml:space="preserve">aiti </w:t>
      </w:r>
      <w:r w:rsidRPr="006F6608">
        <w:t>R</w:t>
      </w:r>
      <w:r w:rsidR="004B7822" w:rsidRPr="006F6608">
        <w:t xml:space="preserve">econstruction </w:t>
      </w:r>
      <w:r w:rsidRPr="006F6608">
        <w:t>F</w:t>
      </w:r>
      <w:r w:rsidR="004B7822" w:rsidRPr="006F6608">
        <w:t>und</w:t>
      </w:r>
      <w:r w:rsidRPr="006F6608">
        <w:t xml:space="preserve"> Grant supports institutional measures that will </w:t>
      </w:r>
      <w:r w:rsidR="000356D5" w:rsidRPr="006F6608">
        <w:t xml:space="preserve">ultimately </w:t>
      </w:r>
      <w:r w:rsidRPr="006F6608">
        <w:t>contribute to enhanced human capital and labor productivity through improved education and water services in the future.</w:t>
      </w:r>
      <w:r w:rsidR="0062097E" w:rsidRPr="006F6608">
        <w:t xml:space="preserve"> </w:t>
      </w:r>
    </w:p>
    <w:p w:rsidR="0062097E" w:rsidRPr="006F6608" w:rsidRDefault="0062097E" w:rsidP="0062097E">
      <w:pPr>
        <w:pStyle w:val="MainParanoChapter"/>
        <w:spacing w:after="0"/>
        <w:jc w:val="both"/>
      </w:pPr>
    </w:p>
    <w:p w:rsidR="0062097E" w:rsidRPr="006F6608" w:rsidRDefault="0062097E" w:rsidP="0062097E">
      <w:pPr>
        <w:ind w:left="720"/>
      </w:pPr>
      <w:r w:rsidRPr="006F6608">
        <w:t>The prior actions that the Government has already taken or will take to implement the program supported by this operation are as follows:</w:t>
      </w:r>
    </w:p>
    <w:p w:rsidR="0062097E" w:rsidRPr="006F6608" w:rsidRDefault="0062097E" w:rsidP="0062097E">
      <w:pPr>
        <w:ind w:left="720"/>
      </w:pPr>
    </w:p>
    <w:p w:rsidR="0062097E" w:rsidRPr="006F6608" w:rsidRDefault="0062097E" w:rsidP="00847EC8">
      <w:pPr>
        <w:spacing w:after="120"/>
        <w:ind w:left="1440"/>
        <w:jc w:val="both"/>
        <w:rPr>
          <w:i/>
          <w:color w:val="000000"/>
        </w:rPr>
      </w:pPr>
      <w:r w:rsidRPr="006F6608">
        <w:rPr>
          <w:bCs/>
          <w:i/>
          <w:iCs/>
          <w:u w:val="single"/>
        </w:rPr>
        <w:t>Prior action #1</w:t>
      </w:r>
      <w:r w:rsidRPr="006F6608">
        <w:rPr>
          <w:bCs/>
          <w:i/>
          <w:iCs/>
        </w:rPr>
        <w:t xml:space="preserve">: </w:t>
      </w:r>
      <w:r w:rsidR="004B7822" w:rsidRPr="006F6608">
        <w:rPr>
          <w:bCs/>
          <w:iCs/>
        </w:rPr>
        <w:t xml:space="preserve">The Government of Haiti, through its Ministry of Finance, </w:t>
      </w:r>
      <w:r w:rsidR="004B7822" w:rsidRPr="006F6608">
        <w:rPr>
          <w:color w:val="000000"/>
        </w:rPr>
        <w:t xml:space="preserve">issued the regulation requiring </w:t>
      </w:r>
      <w:r w:rsidR="006F6608" w:rsidRPr="006F6608">
        <w:rPr>
          <w:color w:val="000000"/>
        </w:rPr>
        <w:t>line ministries to submit annual forecasts of their monthly expenditures</w:t>
      </w:r>
      <w:r w:rsidR="004B7822" w:rsidRPr="006F6608">
        <w:rPr>
          <w:color w:val="000000"/>
        </w:rPr>
        <w:t>.</w:t>
      </w:r>
    </w:p>
    <w:p w:rsidR="0062097E" w:rsidRPr="006F6608" w:rsidRDefault="0062097E" w:rsidP="00847EC8">
      <w:pPr>
        <w:spacing w:after="120"/>
        <w:ind w:left="1440"/>
        <w:rPr>
          <w:i/>
          <w:color w:val="000000"/>
        </w:rPr>
      </w:pPr>
      <w:r w:rsidRPr="006F6608">
        <w:rPr>
          <w:bCs/>
          <w:i/>
          <w:iCs/>
          <w:u w:val="single"/>
        </w:rPr>
        <w:t>Prior action #2</w:t>
      </w:r>
      <w:r w:rsidRPr="006F6608">
        <w:rPr>
          <w:bCs/>
          <w:i/>
          <w:iCs/>
        </w:rPr>
        <w:t xml:space="preserve">: </w:t>
      </w:r>
      <w:r w:rsidR="004B7822" w:rsidRPr="006F6608">
        <w:rPr>
          <w:color w:val="000000"/>
        </w:rPr>
        <w:t>The Government of Haiti (</w:t>
      </w:r>
      <w:proofErr w:type="spellStart"/>
      <w:r w:rsidR="004B7822" w:rsidRPr="006F6608">
        <w:rPr>
          <w:color w:val="000000"/>
        </w:rPr>
        <w:t>i</w:t>
      </w:r>
      <w:proofErr w:type="spellEnd"/>
      <w:r w:rsidR="004B7822" w:rsidRPr="006F6608">
        <w:rPr>
          <w:color w:val="000000"/>
        </w:rPr>
        <w:t>) established a new regulatory framework for decentralized school accreditation; and (ii) adopted a regulation to create a consultative public-private accreditation group tasked with establishing accreditation criteria</w:t>
      </w:r>
      <w:r w:rsidRPr="006F6608">
        <w:rPr>
          <w:i/>
          <w:color w:val="000000"/>
        </w:rPr>
        <w:t xml:space="preserve">. </w:t>
      </w:r>
    </w:p>
    <w:p w:rsidR="0062097E" w:rsidRPr="006F6608" w:rsidRDefault="0062097E" w:rsidP="00847EC8">
      <w:pPr>
        <w:spacing w:after="120"/>
        <w:ind w:left="1440"/>
        <w:jc w:val="both"/>
        <w:rPr>
          <w:bCs/>
          <w:i/>
          <w:iCs/>
          <w:u w:val="single"/>
        </w:rPr>
      </w:pPr>
      <w:r w:rsidRPr="006F6608">
        <w:rPr>
          <w:bCs/>
          <w:i/>
          <w:iCs/>
          <w:u w:val="single"/>
        </w:rPr>
        <w:t>Prior action #3</w:t>
      </w:r>
      <w:r w:rsidRPr="006F6608">
        <w:rPr>
          <w:bCs/>
          <w:i/>
          <w:iCs/>
        </w:rPr>
        <w:t xml:space="preserve">: </w:t>
      </w:r>
      <w:r w:rsidR="004B7822" w:rsidRPr="006F6608">
        <w:t xml:space="preserve">The Government of Haiti, through the </w:t>
      </w:r>
      <w:r w:rsidR="004B7822" w:rsidRPr="006F6608">
        <w:rPr>
          <w:bCs/>
          <w:iCs/>
        </w:rPr>
        <w:t>M</w:t>
      </w:r>
      <w:r w:rsidR="004B7822" w:rsidRPr="006F6608">
        <w:rPr>
          <w:color w:val="000000"/>
        </w:rPr>
        <w:t>ENFP, adopted regulations for the (</w:t>
      </w:r>
      <w:proofErr w:type="spellStart"/>
      <w:r w:rsidR="004B7822" w:rsidRPr="006F6608">
        <w:rPr>
          <w:color w:val="000000"/>
        </w:rPr>
        <w:t>i</w:t>
      </w:r>
      <w:proofErr w:type="spellEnd"/>
      <w:r w:rsidR="004B7822" w:rsidRPr="006F6608">
        <w:rPr>
          <w:color w:val="000000"/>
        </w:rPr>
        <w:t>) decentralization of the annual collection and compilation of school census data to Department-level Directorates, and (ii) publication of census results in the Statistical Yearbook and in Department-level flyers within 45 days of the close of the school year</w:t>
      </w:r>
      <w:r w:rsidRPr="006F6608">
        <w:rPr>
          <w:i/>
          <w:color w:val="000000"/>
        </w:rPr>
        <w:t>.</w:t>
      </w:r>
    </w:p>
    <w:p w:rsidR="0062097E" w:rsidRPr="006F6608" w:rsidRDefault="0062097E" w:rsidP="00847EC8">
      <w:pPr>
        <w:spacing w:after="120"/>
        <w:ind w:left="1440"/>
        <w:jc w:val="both"/>
        <w:rPr>
          <w:bCs/>
          <w:i/>
          <w:iCs/>
          <w:u w:val="single"/>
        </w:rPr>
      </w:pPr>
      <w:r w:rsidRPr="006F6608">
        <w:rPr>
          <w:bCs/>
          <w:i/>
          <w:iCs/>
          <w:u w:val="single"/>
        </w:rPr>
        <w:t>Prior action #4</w:t>
      </w:r>
      <w:r w:rsidRPr="006F6608">
        <w:rPr>
          <w:bCs/>
          <w:i/>
          <w:iCs/>
        </w:rPr>
        <w:t xml:space="preserve">: </w:t>
      </w:r>
      <w:r w:rsidR="004B7822" w:rsidRPr="006F6608">
        <w:rPr>
          <w:color w:val="000000"/>
        </w:rPr>
        <w:t xml:space="preserve">The </w:t>
      </w:r>
      <w:r w:rsidR="004B7822" w:rsidRPr="006F6608">
        <w:t xml:space="preserve">Government of Haiti, through the </w:t>
      </w:r>
      <w:r w:rsidR="004B7822" w:rsidRPr="006F6608">
        <w:rPr>
          <w:color w:val="000000"/>
        </w:rPr>
        <w:t xml:space="preserve">MENFP, </w:t>
      </w:r>
      <w:r w:rsidR="006F6608" w:rsidRPr="006F6608">
        <w:rPr>
          <w:color w:val="000000"/>
        </w:rPr>
        <w:t>has institutionalized the preparation and adoption of an integrated Annual Operational Plan in the context of the medium-term expenditure framework</w:t>
      </w:r>
      <w:r w:rsidR="0016696F" w:rsidRPr="006F6608">
        <w:rPr>
          <w:color w:val="000000"/>
        </w:rPr>
        <w:t>.</w:t>
      </w:r>
    </w:p>
    <w:p w:rsidR="0062097E" w:rsidRPr="006F6608" w:rsidRDefault="0062097E" w:rsidP="00847EC8">
      <w:pPr>
        <w:spacing w:after="120"/>
        <w:ind w:left="1440"/>
        <w:jc w:val="both"/>
        <w:rPr>
          <w:i/>
          <w:color w:val="000000"/>
        </w:rPr>
      </w:pPr>
      <w:r w:rsidRPr="006F6608">
        <w:rPr>
          <w:bCs/>
          <w:i/>
          <w:iCs/>
          <w:u w:val="single"/>
        </w:rPr>
        <w:lastRenderedPageBreak/>
        <w:t>Prior action #5</w:t>
      </w:r>
      <w:r w:rsidRPr="006F6608">
        <w:rPr>
          <w:bCs/>
          <w:i/>
          <w:iCs/>
        </w:rPr>
        <w:t xml:space="preserve">: </w:t>
      </w:r>
      <w:r w:rsidR="004B7822" w:rsidRPr="006F6608">
        <w:rPr>
          <w:color w:val="000000"/>
        </w:rPr>
        <w:t xml:space="preserve">The </w:t>
      </w:r>
      <w:r w:rsidR="004B7822" w:rsidRPr="006F6608">
        <w:t xml:space="preserve">Government of Haiti, through the </w:t>
      </w:r>
      <w:proofErr w:type="spellStart"/>
      <w:r w:rsidR="004B7822" w:rsidRPr="006F6608">
        <w:rPr>
          <w:color w:val="000000"/>
        </w:rPr>
        <w:t>Primature</w:t>
      </w:r>
      <w:proofErr w:type="spellEnd"/>
      <w:r w:rsidR="004B7822" w:rsidRPr="006F6608">
        <w:rPr>
          <w:color w:val="000000"/>
        </w:rPr>
        <w:t xml:space="preserve">, </w:t>
      </w:r>
      <w:r w:rsidR="006F6608" w:rsidRPr="006F6608">
        <w:rPr>
          <w:color w:val="000000"/>
        </w:rPr>
        <w:t>has submitted to the Senate for approval the nomination of DINEPA’s Executive Board members so as to establish the management structure of DINEPA</w:t>
      </w:r>
      <w:r w:rsidRPr="006F6608">
        <w:rPr>
          <w:i/>
          <w:color w:val="000000"/>
        </w:rPr>
        <w:t xml:space="preserve">.  </w:t>
      </w:r>
    </w:p>
    <w:p w:rsidR="0062097E" w:rsidRPr="006F6608" w:rsidRDefault="0062097E" w:rsidP="0062097E">
      <w:pPr>
        <w:spacing w:after="160"/>
        <w:ind w:left="1440"/>
        <w:jc w:val="both"/>
        <w:rPr>
          <w:i/>
          <w:color w:val="000000"/>
        </w:rPr>
      </w:pPr>
      <w:r w:rsidRPr="006F6608">
        <w:rPr>
          <w:bCs/>
          <w:i/>
          <w:iCs/>
          <w:u w:val="single"/>
        </w:rPr>
        <w:t>Prior action #6</w:t>
      </w:r>
      <w:r w:rsidRPr="006F6608">
        <w:rPr>
          <w:bCs/>
          <w:i/>
          <w:iCs/>
        </w:rPr>
        <w:t xml:space="preserve">: </w:t>
      </w:r>
      <w:r w:rsidR="004B7822" w:rsidRPr="006F6608">
        <w:rPr>
          <w:color w:val="000000"/>
        </w:rPr>
        <w:t xml:space="preserve">The Government of Haiti, through DINEPA, has expanded its water sector oversight structure beyond water quality </w:t>
      </w:r>
      <w:r w:rsidR="0016696F" w:rsidRPr="006F6608">
        <w:rPr>
          <w:color w:val="000000"/>
        </w:rPr>
        <w:t xml:space="preserve">to </w:t>
      </w:r>
      <w:r w:rsidR="004B7822" w:rsidRPr="006F6608">
        <w:rPr>
          <w:color w:val="000000"/>
        </w:rPr>
        <w:t xml:space="preserve">include </w:t>
      </w:r>
      <w:r w:rsidR="0016696F" w:rsidRPr="006F6608">
        <w:rPr>
          <w:color w:val="000000"/>
        </w:rPr>
        <w:t>service quality and coverage</w:t>
      </w:r>
      <w:r w:rsidR="004B7822" w:rsidRPr="006F6608">
        <w:rPr>
          <w:color w:val="000000"/>
        </w:rPr>
        <w:t>, asset</w:t>
      </w:r>
      <w:r w:rsidR="0016696F" w:rsidRPr="006F6608">
        <w:rPr>
          <w:color w:val="000000"/>
        </w:rPr>
        <w:t xml:space="preserve"> monitoring</w:t>
      </w:r>
      <w:r w:rsidR="004B7822" w:rsidRPr="006F6608">
        <w:rPr>
          <w:color w:val="000000"/>
        </w:rPr>
        <w:t xml:space="preserve"> and </w:t>
      </w:r>
      <w:r w:rsidR="0016696F" w:rsidRPr="006F6608">
        <w:rPr>
          <w:color w:val="000000"/>
        </w:rPr>
        <w:t xml:space="preserve">revenue tracking </w:t>
      </w:r>
      <w:r w:rsidR="004B7822" w:rsidRPr="006F6608">
        <w:rPr>
          <w:color w:val="000000"/>
        </w:rPr>
        <w:t>in the CAEPA/OP monitoring framework</w:t>
      </w:r>
      <w:r w:rsidRPr="006F6608">
        <w:rPr>
          <w:i/>
          <w:color w:val="000000"/>
        </w:rPr>
        <w:t>.</w:t>
      </w:r>
    </w:p>
    <w:p w:rsidR="0062097E" w:rsidRPr="006F6608" w:rsidRDefault="0062097E" w:rsidP="0062097E">
      <w:pPr>
        <w:ind w:firstLine="720"/>
        <w:rPr>
          <w:b/>
        </w:rPr>
      </w:pPr>
    </w:p>
    <w:p w:rsidR="0062097E" w:rsidRPr="006F6608" w:rsidRDefault="0062097E" w:rsidP="0062097E">
      <w:pPr>
        <w:numPr>
          <w:ilvl w:val="0"/>
          <w:numId w:val="1"/>
        </w:numPr>
        <w:rPr>
          <w:b/>
        </w:rPr>
      </w:pPr>
      <w:r w:rsidRPr="006F6608">
        <w:rPr>
          <w:b/>
        </w:rPr>
        <w:t>Poverty and Social Impacts and Environment Aspects</w:t>
      </w:r>
    </w:p>
    <w:p w:rsidR="0062097E" w:rsidRPr="006F6608" w:rsidRDefault="0062097E" w:rsidP="0062097E">
      <w:pPr>
        <w:ind w:left="720"/>
        <w:rPr>
          <w:b/>
        </w:rPr>
      </w:pPr>
    </w:p>
    <w:p w:rsidR="0062097E" w:rsidRPr="006F6608" w:rsidRDefault="0062097E" w:rsidP="0062097E">
      <w:pPr>
        <w:pStyle w:val="CM4"/>
        <w:spacing w:after="252" w:line="253" w:lineRule="atLeast"/>
        <w:ind w:left="720"/>
        <w:rPr>
          <w:i/>
          <w:iCs/>
        </w:rPr>
      </w:pPr>
      <w:r w:rsidRPr="006F6608">
        <w:rPr>
          <w:i/>
          <w:iCs/>
        </w:rPr>
        <w:t xml:space="preserve">Poverty and Social Impacts </w:t>
      </w:r>
    </w:p>
    <w:p w:rsidR="00E44B8F" w:rsidRPr="006F6608" w:rsidRDefault="00E44B8F" w:rsidP="00E44B8F">
      <w:pPr>
        <w:pStyle w:val="MainParanoChapter"/>
        <w:ind w:left="720"/>
        <w:jc w:val="both"/>
      </w:pPr>
      <w:r w:rsidRPr="006F6608">
        <w:t xml:space="preserve">The actions supported by this Grant are likely to have positive poverty and social </w:t>
      </w:r>
      <w:r w:rsidRPr="006F6608">
        <w:rPr>
          <w:iCs/>
          <w:color w:val="000000"/>
        </w:rPr>
        <w:t>impacts</w:t>
      </w:r>
      <w:r w:rsidRPr="006F6608">
        <w:t xml:space="preserve">. With respect to economic governance, strengthening PFM, planning and transparency will lead to more efficient allocations and better resource use to meet the needs of the Haitian population. The indirect impact of potential budget savings from more efficient use of public resources or better prioritization of key sector investments could be significant by creating the fiscal space for the Government to expand education, water and sanitation, health and other social services and increase the sustainability of their financing. </w:t>
      </w:r>
    </w:p>
    <w:p w:rsidR="00151CB1" w:rsidRPr="006F6608" w:rsidRDefault="007C035B" w:rsidP="00151CB1">
      <w:pPr>
        <w:pStyle w:val="MainParanoChapter"/>
        <w:ind w:left="720"/>
        <w:jc w:val="both"/>
      </w:pPr>
      <w:r w:rsidRPr="006F6608">
        <w:t>I</w:t>
      </w:r>
      <w:r w:rsidR="00151CB1" w:rsidRPr="006F6608">
        <w:t>mplement</w:t>
      </w:r>
      <w:r w:rsidRPr="006F6608">
        <w:t>ing</w:t>
      </w:r>
      <w:r w:rsidR="00151CB1" w:rsidRPr="006F6608">
        <w:t xml:space="preserve"> an effective school accreditation framework </w:t>
      </w:r>
      <w:r w:rsidRPr="006F6608">
        <w:t xml:space="preserve">and </w:t>
      </w:r>
      <w:r w:rsidR="00151CB1" w:rsidRPr="006F6608">
        <w:t>creati</w:t>
      </w:r>
      <w:r w:rsidRPr="006F6608">
        <w:t>ng</w:t>
      </w:r>
      <w:r w:rsidR="00151CB1" w:rsidRPr="006F6608">
        <w:t xml:space="preserve"> a public-private consultative </w:t>
      </w:r>
      <w:r w:rsidRPr="006F6608">
        <w:t xml:space="preserve">accreditation </w:t>
      </w:r>
      <w:r w:rsidR="00151CB1" w:rsidRPr="006F6608">
        <w:t xml:space="preserve">body will help the Government exercise better oversight and monitoring of non-public schools, which account for nearly nine-tenths of the total education system and enroll many poor students for whom education provides a path out of poverty. </w:t>
      </w:r>
      <w:r w:rsidRPr="006F6608">
        <w:t>T</w:t>
      </w:r>
      <w:r w:rsidR="00151CB1" w:rsidRPr="006F6608">
        <w:t xml:space="preserve">he new decentralized accreditation framework will facilitate school recognition and education quality measurement, providing a signal to parents about the nature of schooling options for their children, particularly in under-served rural and poor areas. The publication of the school census results will increase transparency by making it easier for potential consumers (i.e., students and parents) to identify the best schooling </w:t>
      </w:r>
      <w:proofErr w:type="gramStart"/>
      <w:r w:rsidR="00151CB1" w:rsidRPr="006F6608">
        <w:t>options,</w:t>
      </w:r>
      <w:proofErr w:type="gramEnd"/>
      <w:r w:rsidR="00151CB1" w:rsidRPr="006F6608">
        <w:t xml:space="preserve"> and more broadly will promote public accountability. The resulting increased oversight of the non-public school sector will help the Government (</w:t>
      </w:r>
      <w:proofErr w:type="spellStart"/>
      <w:r w:rsidR="00151CB1" w:rsidRPr="006F6608">
        <w:t>i</w:t>
      </w:r>
      <w:proofErr w:type="spellEnd"/>
      <w:r w:rsidR="00151CB1" w:rsidRPr="006F6608">
        <w:t>) more effectively target subsidies such as school vouchers and free lunches, and (ii) achieve its education goals through a more integrated and comprehensive education system that is better aligned with the needs of the poor and marginalized.</w:t>
      </w:r>
    </w:p>
    <w:p w:rsidR="00E44B8F" w:rsidRPr="006F6608" w:rsidRDefault="00E44B8F" w:rsidP="00E44B8F">
      <w:pPr>
        <w:pStyle w:val="MainParanoChapter"/>
        <w:ind w:left="720"/>
        <w:jc w:val="both"/>
      </w:pPr>
      <w:proofErr w:type="gramStart"/>
      <w:r w:rsidRPr="006F6608">
        <w:t xml:space="preserve">The current </w:t>
      </w:r>
      <w:r w:rsidR="00151CB1" w:rsidRPr="006F6608">
        <w:t xml:space="preserve">weak </w:t>
      </w:r>
      <w:r w:rsidRPr="006F6608">
        <w:t xml:space="preserve">supervision </w:t>
      </w:r>
      <w:r w:rsidR="00151CB1" w:rsidRPr="006F6608">
        <w:t xml:space="preserve">of the Water and Sanitation sector </w:t>
      </w:r>
      <w:r w:rsidRPr="006F6608">
        <w:t>risks poor coordination and service delivery across the national territory, leaving certain population groups vulnerable to water-borne disease, inter alia.</w:t>
      </w:r>
      <w:proofErr w:type="gramEnd"/>
      <w:r w:rsidRPr="006F6608">
        <w:t xml:space="preserve"> An effective </w:t>
      </w:r>
      <w:r w:rsidR="00151CB1" w:rsidRPr="006F6608">
        <w:t xml:space="preserve">DINEPA </w:t>
      </w:r>
      <w:r w:rsidRPr="006F6608">
        <w:t xml:space="preserve">Board will provide a comprehensive and strategic approach that ensures adequate focus on vulnerable groups, as well as a consistent financing plan that is sustainable in the future. And the strengthened monitoring framework in rural areas will provide DINEPA with a better understanding of the coverage and quality of services, enabling it to improve efficiency and equity in the provision of water supply services, and more effectively target the poor. More generally, improved access to and quality of water and sanitation services will also </w:t>
      </w:r>
      <w:r w:rsidRPr="006F6608">
        <w:lastRenderedPageBreak/>
        <w:t xml:space="preserve">help mitigate serious potential health risks from inadequate or interrupted services during frequent storms, which in turn can have significant social and political costs. </w:t>
      </w:r>
    </w:p>
    <w:p w:rsidR="0062097E" w:rsidRPr="006F6608" w:rsidRDefault="0062097E" w:rsidP="00E44B8F">
      <w:pPr>
        <w:pStyle w:val="CM4"/>
        <w:spacing w:after="252" w:line="253" w:lineRule="atLeast"/>
        <w:ind w:left="720"/>
        <w:rPr>
          <w:i/>
          <w:iCs/>
        </w:rPr>
      </w:pPr>
      <w:r w:rsidRPr="006F6608">
        <w:rPr>
          <w:i/>
          <w:iCs/>
        </w:rPr>
        <w:t xml:space="preserve">Environment Aspects </w:t>
      </w:r>
    </w:p>
    <w:p w:rsidR="0062097E" w:rsidRPr="006F6608" w:rsidRDefault="0062097E" w:rsidP="0062097E">
      <w:pPr>
        <w:pStyle w:val="MainParanoChapter"/>
        <w:ind w:left="720"/>
        <w:jc w:val="both"/>
      </w:pPr>
      <w:r w:rsidRPr="006F6608">
        <w:t>The specific policies supported by the proposed HRF Grant are not likely to have a   significant effect</w:t>
      </w:r>
      <w:r w:rsidRPr="006F6608">
        <w:rPr>
          <w:color w:val="000000"/>
        </w:rPr>
        <w:t xml:space="preserve"> </w:t>
      </w:r>
      <w:r w:rsidRPr="006F6608">
        <w:t xml:space="preserve">on the environment, forests or other natural resources. The proposed Grant focuses on institutional reforms, with no perceived negative environmental implications. On the positive side, improved governance, oversight and transparency of the water and sanitation sector will increase knowledge and uptake of clean water and ultimately sanitation services, which will reduce the incidence of water-borne diseases including cholera, and reduce environmental degradation due to pollution and run-off. </w:t>
      </w:r>
    </w:p>
    <w:p w:rsidR="0062097E" w:rsidRPr="006F6608" w:rsidRDefault="0062097E" w:rsidP="0062097E">
      <w:pPr>
        <w:rPr>
          <w:b/>
        </w:rPr>
      </w:pPr>
    </w:p>
    <w:p w:rsidR="0062097E" w:rsidRPr="006F6608" w:rsidRDefault="0062097E" w:rsidP="0062097E">
      <w:pPr>
        <w:numPr>
          <w:ilvl w:val="0"/>
          <w:numId w:val="1"/>
        </w:numPr>
        <w:rPr>
          <w:b/>
        </w:rPr>
      </w:pPr>
      <w:r w:rsidRPr="006F6608">
        <w:rPr>
          <w:b/>
        </w:rPr>
        <w:t>Tentative financing</w:t>
      </w:r>
    </w:p>
    <w:p w:rsidR="0062097E" w:rsidRPr="006F6608" w:rsidRDefault="0062097E" w:rsidP="0062097E">
      <w:pPr>
        <w:ind w:firstLine="720"/>
      </w:pPr>
    </w:p>
    <w:tbl>
      <w:tblPr>
        <w:tblW w:w="0" w:type="auto"/>
        <w:tblLook w:val="0000" w:firstRow="0" w:lastRow="0" w:firstColumn="0" w:lastColumn="0" w:noHBand="0" w:noVBand="0"/>
      </w:tblPr>
      <w:tblGrid>
        <w:gridCol w:w="7488"/>
        <w:gridCol w:w="1980"/>
      </w:tblGrid>
      <w:tr w:rsidR="0062097E" w:rsidRPr="006F6608" w:rsidTr="00F72D5E">
        <w:tc>
          <w:tcPr>
            <w:tcW w:w="7488" w:type="dxa"/>
          </w:tcPr>
          <w:p w:rsidR="0062097E" w:rsidRPr="006F6608" w:rsidRDefault="0062097E" w:rsidP="00F72D5E">
            <w:r w:rsidRPr="006F6608">
              <w:t>Source:</w:t>
            </w:r>
            <w:bookmarkStart w:id="11" w:name="FINANCINGTAB_PID"/>
            <w:bookmarkEnd w:id="11"/>
          </w:p>
        </w:tc>
        <w:tc>
          <w:tcPr>
            <w:tcW w:w="1980" w:type="dxa"/>
          </w:tcPr>
          <w:p w:rsidR="0062097E" w:rsidRPr="006F6608" w:rsidRDefault="0062097E" w:rsidP="00F72D5E">
            <w:pPr>
              <w:tabs>
                <w:tab w:val="decimal" w:pos="252"/>
              </w:tabs>
              <w:jc w:val="center"/>
            </w:pPr>
            <w:r w:rsidRPr="006F6608">
              <w:t xml:space="preserve">    ($m.)</w:t>
            </w:r>
          </w:p>
        </w:tc>
      </w:tr>
      <w:tr w:rsidR="0062097E" w:rsidRPr="006F6608" w:rsidTr="00F72D5E">
        <w:tc>
          <w:tcPr>
            <w:tcW w:w="7488" w:type="dxa"/>
          </w:tcPr>
          <w:p w:rsidR="0062097E" w:rsidRPr="006F6608" w:rsidRDefault="0062097E" w:rsidP="00F72D5E">
            <w:pPr>
              <w:tabs>
                <w:tab w:val="right" w:pos="7200"/>
              </w:tabs>
            </w:pPr>
            <w:r w:rsidRPr="006F6608">
              <w:t>BORROWER/RECIPIENT</w:t>
            </w:r>
          </w:p>
        </w:tc>
        <w:tc>
          <w:tcPr>
            <w:tcW w:w="1980" w:type="dxa"/>
          </w:tcPr>
          <w:p w:rsidR="0062097E" w:rsidRPr="006F6608" w:rsidRDefault="0062097E" w:rsidP="00F72D5E">
            <w:pPr>
              <w:tabs>
                <w:tab w:val="decimal" w:pos="252"/>
              </w:tabs>
              <w:jc w:val="center"/>
            </w:pPr>
            <w:r w:rsidRPr="006F6608">
              <w:t xml:space="preserve">     0.00</w:t>
            </w:r>
          </w:p>
        </w:tc>
      </w:tr>
      <w:tr w:rsidR="0062097E" w:rsidRPr="006F6608" w:rsidTr="00F72D5E">
        <w:tc>
          <w:tcPr>
            <w:tcW w:w="7488" w:type="dxa"/>
          </w:tcPr>
          <w:p w:rsidR="0062097E" w:rsidRPr="006F6608" w:rsidRDefault="0062097E" w:rsidP="00F72D5E">
            <w:pPr>
              <w:tabs>
                <w:tab w:val="right" w:pos="7200"/>
              </w:tabs>
            </w:pPr>
            <w:r w:rsidRPr="006F6608">
              <w:t>IDA Grant</w:t>
            </w:r>
          </w:p>
        </w:tc>
        <w:tc>
          <w:tcPr>
            <w:tcW w:w="1980" w:type="dxa"/>
          </w:tcPr>
          <w:p w:rsidR="0062097E" w:rsidRPr="006F6608" w:rsidRDefault="0062097E" w:rsidP="00F72D5E">
            <w:pPr>
              <w:tabs>
                <w:tab w:val="decimal" w:pos="252"/>
              </w:tabs>
              <w:jc w:val="center"/>
            </w:pPr>
            <w:r w:rsidRPr="006F6608">
              <w:t xml:space="preserve">     0.00</w:t>
            </w:r>
          </w:p>
        </w:tc>
      </w:tr>
      <w:tr w:rsidR="0062097E" w:rsidRPr="006F6608" w:rsidTr="00F72D5E">
        <w:tc>
          <w:tcPr>
            <w:tcW w:w="7488" w:type="dxa"/>
          </w:tcPr>
          <w:p w:rsidR="0062097E" w:rsidRPr="006F6608" w:rsidRDefault="0062097E" w:rsidP="00F72D5E">
            <w:pPr>
              <w:tabs>
                <w:tab w:val="right" w:pos="7200"/>
              </w:tabs>
            </w:pPr>
            <w:r w:rsidRPr="006F6608">
              <w:t>Borrower/Recipient</w:t>
            </w:r>
          </w:p>
        </w:tc>
        <w:tc>
          <w:tcPr>
            <w:tcW w:w="1980" w:type="dxa"/>
          </w:tcPr>
          <w:p w:rsidR="0062097E" w:rsidRPr="006F6608" w:rsidRDefault="0062097E" w:rsidP="00F72D5E">
            <w:pPr>
              <w:tabs>
                <w:tab w:val="decimal" w:pos="252"/>
              </w:tabs>
              <w:jc w:val="center"/>
            </w:pPr>
          </w:p>
        </w:tc>
      </w:tr>
      <w:tr w:rsidR="0062097E" w:rsidRPr="006F6608" w:rsidTr="00F72D5E">
        <w:tc>
          <w:tcPr>
            <w:tcW w:w="7488" w:type="dxa"/>
          </w:tcPr>
          <w:p w:rsidR="0062097E" w:rsidRPr="006F6608" w:rsidRDefault="0062097E" w:rsidP="00F72D5E">
            <w:pPr>
              <w:tabs>
                <w:tab w:val="right" w:pos="7200"/>
              </w:tabs>
            </w:pPr>
            <w:r w:rsidRPr="006F6608">
              <w:t>IBRD</w:t>
            </w:r>
          </w:p>
          <w:p w:rsidR="0062097E" w:rsidRPr="006F6608" w:rsidRDefault="0062097E" w:rsidP="006A3BC6">
            <w:pPr>
              <w:tabs>
                <w:tab w:val="right" w:pos="7200"/>
              </w:tabs>
            </w:pPr>
            <w:r w:rsidRPr="006F6608">
              <w:t xml:space="preserve">Haiti Reconstruction Fund </w:t>
            </w:r>
          </w:p>
        </w:tc>
        <w:tc>
          <w:tcPr>
            <w:tcW w:w="1980" w:type="dxa"/>
          </w:tcPr>
          <w:p w:rsidR="0062097E" w:rsidRPr="006F6608" w:rsidRDefault="0062097E" w:rsidP="00F72D5E">
            <w:pPr>
              <w:tabs>
                <w:tab w:val="decimal" w:pos="252"/>
              </w:tabs>
              <w:jc w:val="center"/>
            </w:pPr>
            <w:r w:rsidRPr="006F6608">
              <w:t xml:space="preserve">      0.00</w:t>
            </w:r>
          </w:p>
          <w:p w:rsidR="0062097E" w:rsidRPr="006F6608" w:rsidRDefault="0062097E" w:rsidP="00744C06">
            <w:r w:rsidRPr="006F6608">
              <w:t xml:space="preserve">            17.</w:t>
            </w:r>
            <w:r w:rsidR="00744C06">
              <w:t>33</w:t>
            </w:r>
          </w:p>
        </w:tc>
      </w:tr>
      <w:tr w:rsidR="0062097E" w:rsidRPr="006F6608" w:rsidTr="00F72D5E">
        <w:tc>
          <w:tcPr>
            <w:tcW w:w="7488" w:type="dxa"/>
          </w:tcPr>
          <w:p w:rsidR="0062097E" w:rsidRPr="006F6608" w:rsidRDefault="0062097E" w:rsidP="00F72D5E">
            <w:pPr>
              <w:tabs>
                <w:tab w:val="right" w:pos="7200"/>
              </w:tabs>
            </w:pPr>
            <w:r w:rsidRPr="006F6608">
              <w:tab/>
              <w:t>Total</w:t>
            </w:r>
          </w:p>
        </w:tc>
        <w:tc>
          <w:tcPr>
            <w:tcW w:w="1980" w:type="dxa"/>
          </w:tcPr>
          <w:p w:rsidR="0062097E" w:rsidRPr="006F6608" w:rsidRDefault="0062097E" w:rsidP="00744C06">
            <w:pPr>
              <w:tabs>
                <w:tab w:val="decimal" w:pos="252"/>
              </w:tabs>
            </w:pPr>
            <w:r w:rsidRPr="006F6608">
              <w:t xml:space="preserve">            17.</w:t>
            </w:r>
            <w:r w:rsidR="00744C06">
              <w:t>33</w:t>
            </w:r>
          </w:p>
        </w:tc>
      </w:tr>
    </w:tbl>
    <w:p w:rsidR="0062097E" w:rsidRPr="006F6608" w:rsidRDefault="0062097E" w:rsidP="0062097E">
      <w:pPr>
        <w:ind w:left="720"/>
        <w:rPr>
          <w:b/>
        </w:rPr>
      </w:pPr>
    </w:p>
    <w:p w:rsidR="0062097E" w:rsidRPr="006F6608" w:rsidRDefault="0062097E" w:rsidP="0062097E">
      <w:pPr>
        <w:numPr>
          <w:ilvl w:val="0"/>
          <w:numId w:val="1"/>
        </w:numPr>
        <w:rPr>
          <w:b/>
        </w:rPr>
      </w:pPr>
      <w:r w:rsidRPr="006F6608">
        <w:rPr>
          <w:b/>
        </w:rPr>
        <w:t>Contact point</w:t>
      </w:r>
    </w:p>
    <w:p w:rsidR="0062097E" w:rsidRPr="006F6608" w:rsidRDefault="0062097E" w:rsidP="0062097E">
      <w:pPr>
        <w:pStyle w:val="ListParagraph"/>
        <w:ind w:left="0"/>
      </w:pPr>
      <w:r w:rsidRPr="006F6608">
        <w:rPr>
          <w:b/>
        </w:rPr>
        <w:t xml:space="preserve">World Bank </w:t>
      </w:r>
    </w:p>
    <w:p w:rsidR="0062097E" w:rsidRPr="006F6608" w:rsidRDefault="0062097E" w:rsidP="0062097E">
      <w:bookmarkStart w:id="12" w:name="ContactInfo"/>
      <w:r w:rsidRPr="006F6608">
        <w:t xml:space="preserve">Contact: Evans </w:t>
      </w:r>
      <w:proofErr w:type="spellStart"/>
      <w:r w:rsidRPr="006F6608">
        <w:t>Jadotte</w:t>
      </w:r>
      <w:proofErr w:type="spellEnd"/>
    </w:p>
    <w:p w:rsidR="0062097E" w:rsidRPr="006F6608" w:rsidRDefault="0062097E" w:rsidP="0062097E">
      <w:r w:rsidRPr="006F6608">
        <w:t>Title: Country Economist</w:t>
      </w:r>
    </w:p>
    <w:p w:rsidR="0062097E" w:rsidRPr="006F6608" w:rsidRDefault="0062097E" w:rsidP="0062097E">
      <w:r w:rsidRPr="006F6608">
        <w:t>Tel: (509) 3798-0817</w:t>
      </w:r>
    </w:p>
    <w:bookmarkEnd w:id="12"/>
    <w:p w:rsidR="0062097E" w:rsidRPr="006F6608" w:rsidRDefault="0062097E" w:rsidP="0062097E">
      <w:r w:rsidRPr="006F6608">
        <w:t>Fax:</w:t>
      </w:r>
    </w:p>
    <w:p w:rsidR="0062097E" w:rsidRPr="006F6608" w:rsidRDefault="0062097E" w:rsidP="0062097E">
      <w:r w:rsidRPr="006F6608">
        <w:t>Email: ejadotte@worldbank.org</w:t>
      </w:r>
    </w:p>
    <w:p w:rsidR="0062097E" w:rsidRPr="006F6608" w:rsidRDefault="0062097E" w:rsidP="0062097E">
      <w:pPr>
        <w:rPr>
          <w:b/>
        </w:rPr>
      </w:pPr>
      <w:r w:rsidRPr="006F6608">
        <w:rPr>
          <w:b/>
        </w:rPr>
        <w:t>Borrower</w:t>
      </w:r>
    </w:p>
    <w:p w:rsidR="0062097E" w:rsidRPr="006F6608" w:rsidRDefault="0062097E" w:rsidP="0062097E">
      <w:r w:rsidRPr="006F6608">
        <w:t>Contact:</w:t>
      </w:r>
      <w:r w:rsidR="006A3BC6" w:rsidRPr="006F6608">
        <w:t xml:space="preserve"> Marie-France </w:t>
      </w:r>
      <w:proofErr w:type="spellStart"/>
      <w:r w:rsidR="006A3BC6" w:rsidRPr="006F6608">
        <w:t>Laleau</w:t>
      </w:r>
      <w:proofErr w:type="spellEnd"/>
      <w:r w:rsidRPr="006F6608">
        <w:tab/>
      </w:r>
    </w:p>
    <w:p w:rsidR="0062097E" w:rsidRPr="006F6608" w:rsidRDefault="0062097E" w:rsidP="0062097E">
      <w:r w:rsidRPr="006F6608">
        <w:t>Title:</w:t>
      </w:r>
      <w:r w:rsidR="006A3BC6" w:rsidRPr="006F6608">
        <w:t xml:space="preserve"> Director, Department of Economic Studies, Ministry of Economy and Finance</w:t>
      </w:r>
      <w:r w:rsidRPr="006F6608">
        <w:tab/>
      </w:r>
      <w:r w:rsidRPr="006F6608">
        <w:tab/>
      </w:r>
    </w:p>
    <w:p w:rsidR="0062097E" w:rsidRPr="006F6608" w:rsidRDefault="0062097E" w:rsidP="0062097E">
      <w:r w:rsidRPr="006F6608">
        <w:t>Tel:</w:t>
      </w:r>
      <w:r w:rsidR="006A3BC6" w:rsidRPr="006F6608">
        <w:t xml:space="preserve"> </w:t>
      </w:r>
      <w:r w:rsidR="006A3BC6" w:rsidRPr="006F6608">
        <w:rPr>
          <w:lang w:val="fr-FR"/>
        </w:rPr>
        <w:t>(509)-3842-6894</w:t>
      </w:r>
      <w:r w:rsidRPr="006F6608">
        <w:tab/>
      </w:r>
      <w:r w:rsidRPr="006F6608">
        <w:tab/>
      </w:r>
      <w:r w:rsidRPr="006F6608">
        <w:tab/>
      </w:r>
    </w:p>
    <w:p w:rsidR="0062097E" w:rsidRPr="006F6608" w:rsidRDefault="0062097E" w:rsidP="0062097E">
      <w:r w:rsidRPr="006F6608">
        <w:t>Email:</w:t>
      </w:r>
      <w:r w:rsidRPr="006F6608">
        <w:tab/>
      </w:r>
      <w:r w:rsidR="006A3BC6" w:rsidRPr="006F6608">
        <w:rPr>
          <w:lang w:val="fr-FR"/>
        </w:rPr>
        <w:t>mflaleau@yahoo.com</w:t>
      </w:r>
      <w:r w:rsidRPr="006F6608">
        <w:tab/>
      </w:r>
    </w:p>
    <w:p w:rsidR="0062097E" w:rsidRPr="006F6608" w:rsidRDefault="0062097E" w:rsidP="0062097E"/>
    <w:p w:rsidR="0062097E" w:rsidRPr="006F6608" w:rsidRDefault="0062097E" w:rsidP="0062097E">
      <w:pPr>
        <w:numPr>
          <w:ilvl w:val="0"/>
          <w:numId w:val="1"/>
        </w:numPr>
        <w:rPr>
          <w:b/>
        </w:rPr>
      </w:pPr>
      <w:r w:rsidRPr="006F6608">
        <w:rPr>
          <w:b/>
        </w:rPr>
        <w:t>For more information contact:</w:t>
      </w:r>
    </w:p>
    <w:p w:rsidR="0062097E" w:rsidRPr="006F6608" w:rsidRDefault="0062097E" w:rsidP="0062097E">
      <w:r w:rsidRPr="006F6608">
        <w:t xml:space="preserve">The </w:t>
      </w:r>
      <w:proofErr w:type="spellStart"/>
      <w:r w:rsidRPr="006F6608">
        <w:t>InfoShop</w:t>
      </w:r>
      <w:proofErr w:type="spellEnd"/>
    </w:p>
    <w:p w:rsidR="0062097E" w:rsidRPr="006F6608" w:rsidRDefault="0062097E" w:rsidP="0062097E">
      <w:r w:rsidRPr="006F6608">
        <w:t>The World Bank</w:t>
      </w:r>
    </w:p>
    <w:p w:rsidR="0062097E" w:rsidRPr="006F6608" w:rsidRDefault="0062097E" w:rsidP="0062097E">
      <w:r w:rsidRPr="006F6608">
        <w:t>1818 H Street, NW</w:t>
      </w:r>
    </w:p>
    <w:p w:rsidR="0062097E" w:rsidRPr="006F6608" w:rsidRDefault="0062097E" w:rsidP="0062097E">
      <w:r w:rsidRPr="006F6608">
        <w:t>Washington, D.C. 20433</w:t>
      </w:r>
    </w:p>
    <w:p w:rsidR="0062097E" w:rsidRPr="006F6608" w:rsidRDefault="0062097E" w:rsidP="0062097E">
      <w:r w:rsidRPr="006F6608">
        <w:t>Telephone:  (202) 458-4500</w:t>
      </w:r>
    </w:p>
    <w:p w:rsidR="0062097E" w:rsidRPr="006F6608" w:rsidRDefault="0062097E" w:rsidP="0062097E">
      <w:r w:rsidRPr="006F6608">
        <w:t>Fax:  (202) 522-1500</w:t>
      </w:r>
    </w:p>
    <w:p w:rsidR="0062097E" w:rsidRPr="006F6608" w:rsidRDefault="0062097E" w:rsidP="0062097E">
      <w:r w:rsidRPr="006F6608">
        <w:t>Web: http://www.worldbank.org/infoshop</w:t>
      </w:r>
    </w:p>
    <w:sectPr w:rsidR="0062097E" w:rsidRPr="006F6608"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6A" w:rsidRDefault="00754A6A" w:rsidP="0062097E">
      <w:r>
        <w:separator/>
      </w:r>
    </w:p>
  </w:endnote>
  <w:endnote w:type="continuationSeparator" w:id="0">
    <w:p w:rsidR="00754A6A" w:rsidRDefault="00754A6A" w:rsidP="0062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PIJP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6A" w:rsidRDefault="00754A6A" w:rsidP="0062097E">
      <w:r>
        <w:separator/>
      </w:r>
    </w:p>
  </w:footnote>
  <w:footnote w:type="continuationSeparator" w:id="0">
    <w:p w:rsidR="00754A6A" w:rsidRDefault="00754A6A" w:rsidP="0062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CA9"/>
    <w:multiLevelType w:val="hybridMultilevel"/>
    <w:tmpl w:val="7E8AD3F0"/>
    <w:lvl w:ilvl="0" w:tplc="1752F708">
      <w:start w:val="1"/>
      <w:numFmt w:val="decimal"/>
      <w:lvlText w:val="4.%1."/>
      <w:lvlJc w:val="left"/>
      <w:pPr>
        <w:tabs>
          <w:tab w:val="num" w:pos="720"/>
        </w:tabs>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93E4EFE"/>
    <w:multiLevelType w:val="hybridMultilevel"/>
    <w:tmpl w:val="74F09CC4"/>
    <w:lvl w:ilvl="0" w:tplc="CA442564">
      <w:start w:val="75"/>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D2F0C"/>
    <w:multiLevelType w:val="hybridMultilevel"/>
    <w:tmpl w:val="74B021AC"/>
    <w:lvl w:ilvl="0" w:tplc="7DB63A54">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F364DB6E">
      <w:start w:val="1"/>
      <w:numFmt w:val="lowerLetter"/>
      <w:lvlText w:val="%2."/>
      <w:lvlJc w:val="left"/>
      <w:pPr>
        <w:tabs>
          <w:tab w:val="num" w:pos="1440"/>
        </w:tabs>
        <w:ind w:left="1440" w:hanging="720"/>
      </w:pPr>
      <w:rPr>
        <w:rFonts w:hint="default"/>
        <w:b w:val="0"/>
        <w:i w:val="0"/>
        <w:sz w:val="24"/>
        <w:szCs w:val="24"/>
      </w:rPr>
    </w:lvl>
    <w:lvl w:ilvl="2" w:tplc="9FEE1438" w:tentative="1">
      <w:start w:val="1"/>
      <w:numFmt w:val="lowerRoman"/>
      <w:lvlText w:val="%3."/>
      <w:lvlJc w:val="right"/>
      <w:pPr>
        <w:tabs>
          <w:tab w:val="num" w:pos="2160"/>
        </w:tabs>
        <w:ind w:left="2160" w:hanging="180"/>
      </w:pPr>
    </w:lvl>
    <w:lvl w:ilvl="3" w:tplc="F6D04304" w:tentative="1">
      <w:start w:val="1"/>
      <w:numFmt w:val="decimal"/>
      <w:lvlText w:val="%4."/>
      <w:lvlJc w:val="left"/>
      <w:pPr>
        <w:tabs>
          <w:tab w:val="num" w:pos="2880"/>
        </w:tabs>
        <w:ind w:left="2880" w:hanging="360"/>
      </w:pPr>
    </w:lvl>
    <w:lvl w:ilvl="4" w:tplc="45845C56" w:tentative="1">
      <w:start w:val="1"/>
      <w:numFmt w:val="lowerLetter"/>
      <w:lvlText w:val="%5."/>
      <w:lvlJc w:val="left"/>
      <w:pPr>
        <w:tabs>
          <w:tab w:val="num" w:pos="3600"/>
        </w:tabs>
        <w:ind w:left="3600" w:hanging="360"/>
      </w:pPr>
    </w:lvl>
    <w:lvl w:ilvl="5" w:tplc="AC12DD26" w:tentative="1">
      <w:start w:val="1"/>
      <w:numFmt w:val="lowerRoman"/>
      <w:lvlText w:val="%6."/>
      <w:lvlJc w:val="right"/>
      <w:pPr>
        <w:tabs>
          <w:tab w:val="num" w:pos="4320"/>
        </w:tabs>
        <w:ind w:left="4320" w:hanging="180"/>
      </w:pPr>
    </w:lvl>
    <w:lvl w:ilvl="6" w:tplc="AEF46A06" w:tentative="1">
      <w:start w:val="1"/>
      <w:numFmt w:val="decimal"/>
      <w:lvlText w:val="%7."/>
      <w:lvlJc w:val="left"/>
      <w:pPr>
        <w:tabs>
          <w:tab w:val="num" w:pos="5040"/>
        </w:tabs>
        <w:ind w:left="5040" w:hanging="360"/>
      </w:pPr>
    </w:lvl>
    <w:lvl w:ilvl="7" w:tplc="FA0E73B8" w:tentative="1">
      <w:start w:val="1"/>
      <w:numFmt w:val="lowerLetter"/>
      <w:lvlText w:val="%8."/>
      <w:lvlJc w:val="left"/>
      <w:pPr>
        <w:tabs>
          <w:tab w:val="num" w:pos="5760"/>
        </w:tabs>
        <w:ind w:left="5760" w:hanging="360"/>
      </w:pPr>
    </w:lvl>
    <w:lvl w:ilvl="8" w:tplc="D23E273C"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7E"/>
    <w:rsid w:val="0000412E"/>
    <w:rsid w:val="00004E8E"/>
    <w:rsid w:val="00005896"/>
    <w:rsid w:val="000069F2"/>
    <w:rsid w:val="00007DD3"/>
    <w:rsid w:val="00013DF0"/>
    <w:rsid w:val="00014C31"/>
    <w:rsid w:val="000242AF"/>
    <w:rsid w:val="00030572"/>
    <w:rsid w:val="0003545E"/>
    <w:rsid w:val="00035489"/>
    <w:rsid w:val="00035633"/>
    <w:rsid w:val="000356D5"/>
    <w:rsid w:val="00035E5A"/>
    <w:rsid w:val="000362B0"/>
    <w:rsid w:val="00041065"/>
    <w:rsid w:val="00041B0F"/>
    <w:rsid w:val="000456BF"/>
    <w:rsid w:val="000516AB"/>
    <w:rsid w:val="00051CE0"/>
    <w:rsid w:val="00052D9C"/>
    <w:rsid w:val="00055E25"/>
    <w:rsid w:val="00056673"/>
    <w:rsid w:val="000567B5"/>
    <w:rsid w:val="00057652"/>
    <w:rsid w:val="00062C42"/>
    <w:rsid w:val="0006306A"/>
    <w:rsid w:val="000656CE"/>
    <w:rsid w:val="00065E0A"/>
    <w:rsid w:val="00066531"/>
    <w:rsid w:val="00067432"/>
    <w:rsid w:val="00073668"/>
    <w:rsid w:val="00073912"/>
    <w:rsid w:val="000760B9"/>
    <w:rsid w:val="0008085E"/>
    <w:rsid w:val="000849A2"/>
    <w:rsid w:val="00085D8F"/>
    <w:rsid w:val="00086CE6"/>
    <w:rsid w:val="0009438F"/>
    <w:rsid w:val="00094902"/>
    <w:rsid w:val="00097B70"/>
    <w:rsid w:val="000A1111"/>
    <w:rsid w:val="000A23A3"/>
    <w:rsid w:val="000A2D20"/>
    <w:rsid w:val="000A39FA"/>
    <w:rsid w:val="000A5A97"/>
    <w:rsid w:val="000B1FC9"/>
    <w:rsid w:val="000B23A7"/>
    <w:rsid w:val="000B25D7"/>
    <w:rsid w:val="000B2DCB"/>
    <w:rsid w:val="000B4393"/>
    <w:rsid w:val="000B473C"/>
    <w:rsid w:val="000B67F6"/>
    <w:rsid w:val="000B69C2"/>
    <w:rsid w:val="000B7F25"/>
    <w:rsid w:val="000C5F48"/>
    <w:rsid w:val="000D176D"/>
    <w:rsid w:val="000D1BA4"/>
    <w:rsid w:val="000D21F9"/>
    <w:rsid w:val="000D668D"/>
    <w:rsid w:val="000D7FB2"/>
    <w:rsid w:val="000E201F"/>
    <w:rsid w:val="000E4B93"/>
    <w:rsid w:val="000E605C"/>
    <w:rsid w:val="000E7065"/>
    <w:rsid w:val="000F23C5"/>
    <w:rsid w:val="000F2563"/>
    <w:rsid w:val="000F367F"/>
    <w:rsid w:val="0010056D"/>
    <w:rsid w:val="00100BA8"/>
    <w:rsid w:val="00100CB0"/>
    <w:rsid w:val="00101C21"/>
    <w:rsid w:val="0010290F"/>
    <w:rsid w:val="00112D8D"/>
    <w:rsid w:val="001200BB"/>
    <w:rsid w:val="001234A6"/>
    <w:rsid w:val="00123E68"/>
    <w:rsid w:val="00126C92"/>
    <w:rsid w:val="00127150"/>
    <w:rsid w:val="00127E59"/>
    <w:rsid w:val="00131FD5"/>
    <w:rsid w:val="00132CA1"/>
    <w:rsid w:val="00134560"/>
    <w:rsid w:val="00134685"/>
    <w:rsid w:val="00135007"/>
    <w:rsid w:val="00135BEB"/>
    <w:rsid w:val="001375C1"/>
    <w:rsid w:val="00137A0E"/>
    <w:rsid w:val="00141C8C"/>
    <w:rsid w:val="00142E5F"/>
    <w:rsid w:val="0014426B"/>
    <w:rsid w:val="00146118"/>
    <w:rsid w:val="0015101C"/>
    <w:rsid w:val="00151CB1"/>
    <w:rsid w:val="00151E59"/>
    <w:rsid w:val="001527A2"/>
    <w:rsid w:val="00154460"/>
    <w:rsid w:val="00157F80"/>
    <w:rsid w:val="001639FE"/>
    <w:rsid w:val="001657A8"/>
    <w:rsid w:val="00165972"/>
    <w:rsid w:val="0016696F"/>
    <w:rsid w:val="001743BF"/>
    <w:rsid w:val="0017608D"/>
    <w:rsid w:val="001763ED"/>
    <w:rsid w:val="00180932"/>
    <w:rsid w:val="0018250B"/>
    <w:rsid w:val="00182F72"/>
    <w:rsid w:val="00184004"/>
    <w:rsid w:val="0018676F"/>
    <w:rsid w:val="00187F89"/>
    <w:rsid w:val="0019145D"/>
    <w:rsid w:val="00195B83"/>
    <w:rsid w:val="001967EA"/>
    <w:rsid w:val="001968BA"/>
    <w:rsid w:val="001A17FF"/>
    <w:rsid w:val="001A4172"/>
    <w:rsid w:val="001A4B7A"/>
    <w:rsid w:val="001A6486"/>
    <w:rsid w:val="001B0683"/>
    <w:rsid w:val="001B07B7"/>
    <w:rsid w:val="001B0A26"/>
    <w:rsid w:val="001B30CD"/>
    <w:rsid w:val="001B5E33"/>
    <w:rsid w:val="001C1568"/>
    <w:rsid w:val="001C2497"/>
    <w:rsid w:val="001C4B8B"/>
    <w:rsid w:val="001C4D81"/>
    <w:rsid w:val="001C50A3"/>
    <w:rsid w:val="001C58B2"/>
    <w:rsid w:val="001C6559"/>
    <w:rsid w:val="001D3C8F"/>
    <w:rsid w:val="001D405B"/>
    <w:rsid w:val="001E03F3"/>
    <w:rsid w:val="001E3013"/>
    <w:rsid w:val="001E50F3"/>
    <w:rsid w:val="001E6E68"/>
    <w:rsid w:val="001F0AC2"/>
    <w:rsid w:val="001F18E5"/>
    <w:rsid w:val="001F3E2E"/>
    <w:rsid w:val="0020476E"/>
    <w:rsid w:val="00212346"/>
    <w:rsid w:val="00216E23"/>
    <w:rsid w:val="00217763"/>
    <w:rsid w:val="00225D9A"/>
    <w:rsid w:val="00227297"/>
    <w:rsid w:val="00230A39"/>
    <w:rsid w:val="0023147F"/>
    <w:rsid w:val="0023641C"/>
    <w:rsid w:val="0024774E"/>
    <w:rsid w:val="002477DF"/>
    <w:rsid w:val="002522F2"/>
    <w:rsid w:val="0025337E"/>
    <w:rsid w:val="002545C3"/>
    <w:rsid w:val="002546D1"/>
    <w:rsid w:val="0025482B"/>
    <w:rsid w:val="002654B2"/>
    <w:rsid w:val="002673B6"/>
    <w:rsid w:val="0027108A"/>
    <w:rsid w:val="00272212"/>
    <w:rsid w:val="00273DDC"/>
    <w:rsid w:val="0027584F"/>
    <w:rsid w:val="00277D00"/>
    <w:rsid w:val="00277E6F"/>
    <w:rsid w:val="00285132"/>
    <w:rsid w:val="002911AF"/>
    <w:rsid w:val="002923F3"/>
    <w:rsid w:val="00293ECD"/>
    <w:rsid w:val="0029514A"/>
    <w:rsid w:val="00295C10"/>
    <w:rsid w:val="00296C9C"/>
    <w:rsid w:val="002A0C31"/>
    <w:rsid w:val="002A1500"/>
    <w:rsid w:val="002A68D5"/>
    <w:rsid w:val="002A6ECF"/>
    <w:rsid w:val="002B2258"/>
    <w:rsid w:val="002B341A"/>
    <w:rsid w:val="002B44EC"/>
    <w:rsid w:val="002B515B"/>
    <w:rsid w:val="002B5D9F"/>
    <w:rsid w:val="002C011C"/>
    <w:rsid w:val="002C3282"/>
    <w:rsid w:val="002C4668"/>
    <w:rsid w:val="002C4D2F"/>
    <w:rsid w:val="002C580E"/>
    <w:rsid w:val="002D5912"/>
    <w:rsid w:val="002D6D69"/>
    <w:rsid w:val="002D7E48"/>
    <w:rsid w:val="002E08F8"/>
    <w:rsid w:val="002E35A4"/>
    <w:rsid w:val="002E5592"/>
    <w:rsid w:val="002E5BBC"/>
    <w:rsid w:val="002F4A21"/>
    <w:rsid w:val="002F55F5"/>
    <w:rsid w:val="002F7B98"/>
    <w:rsid w:val="00300055"/>
    <w:rsid w:val="00310BAB"/>
    <w:rsid w:val="0031618F"/>
    <w:rsid w:val="00317240"/>
    <w:rsid w:val="003209E0"/>
    <w:rsid w:val="00320D6A"/>
    <w:rsid w:val="00324086"/>
    <w:rsid w:val="00325910"/>
    <w:rsid w:val="00331D2B"/>
    <w:rsid w:val="00333170"/>
    <w:rsid w:val="003336DF"/>
    <w:rsid w:val="003338FE"/>
    <w:rsid w:val="00335488"/>
    <w:rsid w:val="003369BB"/>
    <w:rsid w:val="003415C7"/>
    <w:rsid w:val="003442A2"/>
    <w:rsid w:val="0034600E"/>
    <w:rsid w:val="0035051A"/>
    <w:rsid w:val="00352A71"/>
    <w:rsid w:val="00355141"/>
    <w:rsid w:val="00357E81"/>
    <w:rsid w:val="003608D1"/>
    <w:rsid w:val="00360946"/>
    <w:rsid w:val="00362438"/>
    <w:rsid w:val="0036274E"/>
    <w:rsid w:val="00362CD2"/>
    <w:rsid w:val="00365851"/>
    <w:rsid w:val="003662F9"/>
    <w:rsid w:val="0036636F"/>
    <w:rsid w:val="003668E9"/>
    <w:rsid w:val="003703DD"/>
    <w:rsid w:val="0037100E"/>
    <w:rsid w:val="003731A4"/>
    <w:rsid w:val="0038080A"/>
    <w:rsid w:val="00384441"/>
    <w:rsid w:val="00384F60"/>
    <w:rsid w:val="003871AA"/>
    <w:rsid w:val="00391559"/>
    <w:rsid w:val="003919CE"/>
    <w:rsid w:val="003923F6"/>
    <w:rsid w:val="00394278"/>
    <w:rsid w:val="00395FFE"/>
    <w:rsid w:val="003A0E06"/>
    <w:rsid w:val="003A174C"/>
    <w:rsid w:val="003A3CC5"/>
    <w:rsid w:val="003A62F2"/>
    <w:rsid w:val="003B0102"/>
    <w:rsid w:val="003B0C04"/>
    <w:rsid w:val="003B21B1"/>
    <w:rsid w:val="003B2F81"/>
    <w:rsid w:val="003B7433"/>
    <w:rsid w:val="003B7CE4"/>
    <w:rsid w:val="003B7D2A"/>
    <w:rsid w:val="003C1858"/>
    <w:rsid w:val="003C3062"/>
    <w:rsid w:val="003C5D9B"/>
    <w:rsid w:val="003D114D"/>
    <w:rsid w:val="003D120B"/>
    <w:rsid w:val="003D355E"/>
    <w:rsid w:val="003E07BA"/>
    <w:rsid w:val="003E5A09"/>
    <w:rsid w:val="003E6639"/>
    <w:rsid w:val="003E673E"/>
    <w:rsid w:val="003F0D9A"/>
    <w:rsid w:val="003F0DF1"/>
    <w:rsid w:val="003F1EFB"/>
    <w:rsid w:val="003F497B"/>
    <w:rsid w:val="003F4F4A"/>
    <w:rsid w:val="004006B9"/>
    <w:rsid w:val="0040108F"/>
    <w:rsid w:val="004019C8"/>
    <w:rsid w:val="00401CFC"/>
    <w:rsid w:val="0040207E"/>
    <w:rsid w:val="00406098"/>
    <w:rsid w:val="0040656F"/>
    <w:rsid w:val="004068A7"/>
    <w:rsid w:val="00406F72"/>
    <w:rsid w:val="0041011A"/>
    <w:rsid w:val="0041085E"/>
    <w:rsid w:val="00413503"/>
    <w:rsid w:val="00413FBF"/>
    <w:rsid w:val="004157B6"/>
    <w:rsid w:val="00416812"/>
    <w:rsid w:val="00422A88"/>
    <w:rsid w:val="0042423C"/>
    <w:rsid w:val="0043031F"/>
    <w:rsid w:val="00431F03"/>
    <w:rsid w:val="00433FB5"/>
    <w:rsid w:val="0044102A"/>
    <w:rsid w:val="00441B78"/>
    <w:rsid w:val="00446249"/>
    <w:rsid w:val="00447D01"/>
    <w:rsid w:val="00455BFC"/>
    <w:rsid w:val="004568F7"/>
    <w:rsid w:val="00456DD1"/>
    <w:rsid w:val="00460C57"/>
    <w:rsid w:val="00461B29"/>
    <w:rsid w:val="0046218A"/>
    <w:rsid w:val="004641C6"/>
    <w:rsid w:val="00464B34"/>
    <w:rsid w:val="00466495"/>
    <w:rsid w:val="00467241"/>
    <w:rsid w:val="004700B6"/>
    <w:rsid w:val="00472905"/>
    <w:rsid w:val="00476655"/>
    <w:rsid w:val="00486164"/>
    <w:rsid w:val="004866D1"/>
    <w:rsid w:val="00486E37"/>
    <w:rsid w:val="00490AF5"/>
    <w:rsid w:val="00491AE7"/>
    <w:rsid w:val="00496A84"/>
    <w:rsid w:val="00497C4C"/>
    <w:rsid w:val="00497E14"/>
    <w:rsid w:val="004A252E"/>
    <w:rsid w:val="004A5A1F"/>
    <w:rsid w:val="004A5C7B"/>
    <w:rsid w:val="004A6F1E"/>
    <w:rsid w:val="004A7307"/>
    <w:rsid w:val="004B0975"/>
    <w:rsid w:val="004B39A5"/>
    <w:rsid w:val="004B4871"/>
    <w:rsid w:val="004B615C"/>
    <w:rsid w:val="004B624F"/>
    <w:rsid w:val="004B7822"/>
    <w:rsid w:val="004C0C70"/>
    <w:rsid w:val="004C0D2E"/>
    <w:rsid w:val="004C21C7"/>
    <w:rsid w:val="004C3EB8"/>
    <w:rsid w:val="004C7067"/>
    <w:rsid w:val="004C7DCD"/>
    <w:rsid w:val="004D1B1E"/>
    <w:rsid w:val="004D370A"/>
    <w:rsid w:val="004D49A8"/>
    <w:rsid w:val="004D54DC"/>
    <w:rsid w:val="004D685A"/>
    <w:rsid w:val="004E0A67"/>
    <w:rsid w:val="004E0DA5"/>
    <w:rsid w:val="004E361B"/>
    <w:rsid w:val="004E4BA9"/>
    <w:rsid w:val="004F2583"/>
    <w:rsid w:val="004F5117"/>
    <w:rsid w:val="004F5904"/>
    <w:rsid w:val="004F667A"/>
    <w:rsid w:val="004F6FC7"/>
    <w:rsid w:val="004F73D1"/>
    <w:rsid w:val="00502177"/>
    <w:rsid w:val="00513810"/>
    <w:rsid w:val="00513904"/>
    <w:rsid w:val="00514020"/>
    <w:rsid w:val="005167FD"/>
    <w:rsid w:val="00517AE1"/>
    <w:rsid w:val="0052120F"/>
    <w:rsid w:val="00523802"/>
    <w:rsid w:val="00523DCD"/>
    <w:rsid w:val="00523F23"/>
    <w:rsid w:val="00526828"/>
    <w:rsid w:val="00527106"/>
    <w:rsid w:val="0053599F"/>
    <w:rsid w:val="00537014"/>
    <w:rsid w:val="00537FCF"/>
    <w:rsid w:val="00541F24"/>
    <w:rsid w:val="00542EC2"/>
    <w:rsid w:val="00546082"/>
    <w:rsid w:val="00550ED4"/>
    <w:rsid w:val="00552AA7"/>
    <w:rsid w:val="0055373A"/>
    <w:rsid w:val="0055731D"/>
    <w:rsid w:val="0056073A"/>
    <w:rsid w:val="005616E0"/>
    <w:rsid w:val="005627A5"/>
    <w:rsid w:val="00563B37"/>
    <w:rsid w:val="00566020"/>
    <w:rsid w:val="0056630A"/>
    <w:rsid w:val="00567E4F"/>
    <w:rsid w:val="005712EA"/>
    <w:rsid w:val="00572D87"/>
    <w:rsid w:val="00573854"/>
    <w:rsid w:val="0057622F"/>
    <w:rsid w:val="0059248C"/>
    <w:rsid w:val="00592E37"/>
    <w:rsid w:val="005952F0"/>
    <w:rsid w:val="00595904"/>
    <w:rsid w:val="00596485"/>
    <w:rsid w:val="0059728A"/>
    <w:rsid w:val="005A3258"/>
    <w:rsid w:val="005A63E0"/>
    <w:rsid w:val="005B032C"/>
    <w:rsid w:val="005B1271"/>
    <w:rsid w:val="005B1692"/>
    <w:rsid w:val="005B3725"/>
    <w:rsid w:val="005B471D"/>
    <w:rsid w:val="005B49B6"/>
    <w:rsid w:val="005B66E7"/>
    <w:rsid w:val="005C243A"/>
    <w:rsid w:val="005C3733"/>
    <w:rsid w:val="005C3F96"/>
    <w:rsid w:val="005D03AE"/>
    <w:rsid w:val="005D0CA0"/>
    <w:rsid w:val="005D1490"/>
    <w:rsid w:val="005E110C"/>
    <w:rsid w:val="005E113C"/>
    <w:rsid w:val="005E3006"/>
    <w:rsid w:val="005E381A"/>
    <w:rsid w:val="005E5126"/>
    <w:rsid w:val="005E5367"/>
    <w:rsid w:val="005F14E1"/>
    <w:rsid w:val="005F16DB"/>
    <w:rsid w:val="005F44B6"/>
    <w:rsid w:val="005F6044"/>
    <w:rsid w:val="005F6CFE"/>
    <w:rsid w:val="005F71DD"/>
    <w:rsid w:val="005F724F"/>
    <w:rsid w:val="00601F7F"/>
    <w:rsid w:val="00602FE7"/>
    <w:rsid w:val="00603AC2"/>
    <w:rsid w:val="006051FD"/>
    <w:rsid w:val="00605D28"/>
    <w:rsid w:val="00611784"/>
    <w:rsid w:val="00612CFE"/>
    <w:rsid w:val="00612FDB"/>
    <w:rsid w:val="00613662"/>
    <w:rsid w:val="00615118"/>
    <w:rsid w:val="00615701"/>
    <w:rsid w:val="0062097E"/>
    <w:rsid w:val="0062114E"/>
    <w:rsid w:val="00623C4F"/>
    <w:rsid w:val="006240C0"/>
    <w:rsid w:val="00624CF7"/>
    <w:rsid w:val="006302BD"/>
    <w:rsid w:val="0063427B"/>
    <w:rsid w:val="00635DCB"/>
    <w:rsid w:val="00636E52"/>
    <w:rsid w:val="00641118"/>
    <w:rsid w:val="00650336"/>
    <w:rsid w:val="006511AB"/>
    <w:rsid w:val="00652AE8"/>
    <w:rsid w:val="006532BD"/>
    <w:rsid w:val="00653B39"/>
    <w:rsid w:val="00656DF3"/>
    <w:rsid w:val="00657CAB"/>
    <w:rsid w:val="00660F9B"/>
    <w:rsid w:val="00672FDA"/>
    <w:rsid w:val="0067362A"/>
    <w:rsid w:val="0067450A"/>
    <w:rsid w:val="006759D1"/>
    <w:rsid w:val="00675F7A"/>
    <w:rsid w:val="0067756D"/>
    <w:rsid w:val="0068625C"/>
    <w:rsid w:val="006901D2"/>
    <w:rsid w:val="0069198B"/>
    <w:rsid w:val="006A10A8"/>
    <w:rsid w:val="006A2EB4"/>
    <w:rsid w:val="006A3668"/>
    <w:rsid w:val="006A3BC6"/>
    <w:rsid w:val="006A54E6"/>
    <w:rsid w:val="006A5B4C"/>
    <w:rsid w:val="006A6296"/>
    <w:rsid w:val="006A66A4"/>
    <w:rsid w:val="006A73C0"/>
    <w:rsid w:val="006A7788"/>
    <w:rsid w:val="006B6721"/>
    <w:rsid w:val="006C0241"/>
    <w:rsid w:val="006C231B"/>
    <w:rsid w:val="006C3959"/>
    <w:rsid w:val="006C5984"/>
    <w:rsid w:val="006C6E10"/>
    <w:rsid w:val="006C725E"/>
    <w:rsid w:val="006D0144"/>
    <w:rsid w:val="006D1D5A"/>
    <w:rsid w:val="006D54F6"/>
    <w:rsid w:val="006D5B76"/>
    <w:rsid w:val="006D6E0A"/>
    <w:rsid w:val="006D7B79"/>
    <w:rsid w:val="006E5D54"/>
    <w:rsid w:val="006E69B2"/>
    <w:rsid w:val="006F00F9"/>
    <w:rsid w:val="006F09FD"/>
    <w:rsid w:val="006F205C"/>
    <w:rsid w:val="006F2219"/>
    <w:rsid w:val="006F2C24"/>
    <w:rsid w:val="006F6370"/>
    <w:rsid w:val="006F6608"/>
    <w:rsid w:val="006F6889"/>
    <w:rsid w:val="00701D36"/>
    <w:rsid w:val="00704795"/>
    <w:rsid w:val="00710092"/>
    <w:rsid w:val="0071048D"/>
    <w:rsid w:val="00711B60"/>
    <w:rsid w:val="0071271D"/>
    <w:rsid w:val="007142C3"/>
    <w:rsid w:val="00714AD1"/>
    <w:rsid w:val="00714C9A"/>
    <w:rsid w:val="00714FCF"/>
    <w:rsid w:val="007156F2"/>
    <w:rsid w:val="0071592F"/>
    <w:rsid w:val="00716CC3"/>
    <w:rsid w:val="007173C3"/>
    <w:rsid w:val="00725807"/>
    <w:rsid w:val="0072744B"/>
    <w:rsid w:val="00731E2C"/>
    <w:rsid w:val="00731F17"/>
    <w:rsid w:val="007320DB"/>
    <w:rsid w:val="007342A4"/>
    <w:rsid w:val="0073476F"/>
    <w:rsid w:val="007356AB"/>
    <w:rsid w:val="00735BA9"/>
    <w:rsid w:val="00736AFB"/>
    <w:rsid w:val="00744C06"/>
    <w:rsid w:val="00750BA9"/>
    <w:rsid w:val="00750BDB"/>
    <w:rsid w:val="00752400"/>
    <w:rsid w:val="00754035"/>
    <w:rsid w:val="00754A6A"/>
    <w:rsid w:val="00754D70"/>
    <w:rsid w:val="00762621"/>
    <w:rsid w:val="00762B46"/>
    <w:rsid w:val="00770029"/>
    <w:rsid w:val="0077146B"/>
    <w:rsid w:val="00776D92"/>
    <w:rsid w:val="00782F28"/>
    <w:rsid w:val="007854B5"/>
    <w:rsid w:val="007868FC"/>
    <w:rsid w:val="00787A77"/>
    <w:rsid w:val="0079324C"/>
    <w:rsid w:val="007A101B"/>
    <w:rsid w:val="007A358F"/>
    <w:rsid w:val="007A38B5"/>
    <w:rsid w:val="007B1A38"/>
    <w:rsid w:val="007B6749"/>
    <w:rsid w:val="007C035B"/>
    <w:rsid w:val="007C0883"/>
    <w:rsid w:val="007C1DB4"/>
    <w:rsid w:val="007C2334"/>
    <w:rsid w:val="007C3EEE"/>
    <w:rsid w:val="007C4CB3"/>
    <w:rsid w:val="007C60A6"/>
    <w:rsid w:val="007C7AD1"/>
    <w:rsid w:val="007D57BB"/>
    <w:rsid w:val="007D5B3C"/>
    <w:rsid w:val="007D78AA"/>
    <w:rsid w:val="007D7C42"/>
    <w:rsid w:val="007E027C"/>
    <w:rsid w:val="007E03E3"/>
    <w:rsid w:val="007E631C"/>
    <w:rsid w:val="007F1CED"/>
    <w:rsid w:val="007F1FC7"/>
    <w:rsid w:val="007F20EA"/>
    <w:rsid w:val="00810449"/>
    <w:rsid w:val="00812AFF"/>
    <w:rsid w:val="008150B1"/>
    <w:rsid w:val="00817767"/>
    <w:rsid w:val="008177E4"/>
    <w:rsid w:val="0082516F"/>
    <w:rsid w:val="008303CF"/>
    <w:rsid w:val="008319E6"/>
    <w:rsid w:val="0083785E"/>
    <w:rsid w:val="008419DA"/>
    <w:rsid w:val="008419F0"/>
    <w:rsid w:val="008464EC"/>
    <w:rsid w:val="00847EC8"/>
    <w:rsid w:val="00851D7F"/>
    <w:rsid w:val="0085240E"/>
    <w:rsid w:val="0085355D"/>
    <w:rsid w:val="00853C16"/>
    <w:rsid w:val="00854D0F"/>
    <w:rsid w:val="008641B9"/>
    <w:rsid w:val="00866D00"/>
    <w:rsid w:val="00867B91"/>
    <w:rsid w:val="00870C61"/>
    <w:rsid w:val="00872396"/>
    <w:rsid w:val="0087361C"/>
    <w:rsid w:val="0087583A"/>
    <w:rsid w:val="00875D8B"/>
    <w:rsid w:val="0087623D"/>
    <w:rsid w:val="00881AB1"/>
    <w:rsid w:val="00881F11"/>
    <w:rsid w:val="0088285E"/>
    <w:rsid w:val="00883A54"/>
    <w:rsid w:val="00896030"/>
    <w:rsid w:val="008A20CF"/>
    <w:rsid w:val="008A30E9"/>
    <w:rsid w:val="008A3A68"/>
    <w:rsid w:val="008A7158"/>
    <w:rsid w:val="008B07B3"/>
    <w:rsid w:val="008B11FE"/>
    <w:rsid w:val="008B1D3F"/>
    <w:rsid w:val="008B5204"/>
    <w:rsid w:val="008B5799"/>
    <w:rsid w:val="008B72E3"/>
    <w:rsid w:val="008C14B9"/>
    <w:rsid w:val="008C4BAF"/>
    <w:rsid w:val="008C7B86"/>
    <w:rsid w:val="008D2C85"/>
    <w:rsid w:val="008D3270"/>
    <w:rsid w:val="008D43E6"/>
    <w:rsid w:val="008D4B54"/>
    <w:rsid w:val="008D5F3D"/>
    <w:rsid w:val="008D6EB0"/>
    <w:rsid w:val="008D7A83"/>
    <w:rsid w:val="008E033E"/>
    <w:rsid w:val="008E03A3"/>
    <w:rsid w:val="008E0BBF"/>
    <w:rsid w:val="008E23D3"/>
    <w:rsid w:val="008E32E5"/>
    <w:rsid w:val="008E3695"/>
    <w:rsid w:val="008E4320"/>
    <w:rsid w:val="008E5479"/>
    <w:rsid w:val="008E54E8"/>
    <w:rsid w:val="008F013B"/>
    <w:rsid w:val="008F18F6"/>
    <w:rsid w:val="008F4A93"/>
    <w:rsid w:val="008F7224"/>
    <w:rsid w:val="008F7609"/>
    <w:rsid w:val="009018EA"/>
    <w:rsid w:val="0090276F"/>
    <w:rsid w:val="0090397D"/>
    <w:rsid w:val="009039F7"/>
    <w:rsid w:val="00903EC9"/>
    <w:rsid w:val="00911E39"/>
    <w:rsid w:val="00912024"/>
    <w:rsid w:val="0091478B"/>
    <w:rsid w:val="00915534"/>
    <w:rsid w:val="009207B8"/>
    <w:rsid w:val="00931214"/>
    <w:rsid w:val="00931B79"/>
    <w:rsid w:val="00931FA9"/>
    <w:rsid w:val="0093630B"/>
    <w:rsid w:val="00937DCD"/>
    <w:rsid w:val="00943E78"/>
    <w:rsid w:val="00947772"/>
    <w:rsid w:val="00954134"/>
    <w:rsid w:val="009555F3"/>
    <w:rsid w:val="0095646D"/>
    <w:rsid w:val="00956962"/>
    <w:rsid w:val="00965D67"/>
    <w:rsid w:val="00970979"/>
    <w:rsid w:val="00971D09"/>
    <w:rsid w:val="00972F3E"/>
    <w:rsid w:val="00973D24"/>
    <w:rsid w:val="009742B8"/>
    <w:rsid w:val="00981283"/>
    <w:rsid w:val="00985736"/>
    <w:rsid w:val="00987378"/>
    <w:rsid w:val="00987539"/>
    <w:rsid w:val="009903E4"/>
    <w:rsid w:val="00990747"/>
    <w:rsid w:val="00992BCF"/>
    <w:rsid w:val="009933D7"/>
    <w:rsid w:val="00994495"/>
    <w:rsid w:val="00995FE8"/>
    <w:rsid w:val="00996616"/>
    <w:rsid w:val="009A065A"/>
    <w:rsid w:val="009A2C9F"/>
    <w:rsid w:val="009A2FD7"/>
    <w:rsid w:val="009A3935"/>
    <w:rsid w:val="009B65C7"/>
    <w:rsid w:val="009C10E4"/>
    <w:rsid w:val="009C41DE"/>
    <w:rsid w:val="009C7955"/>
    <w:rsid w:val="009D1936"/>
    <w:rsid w:val="009D208C"/>
    <w:rsid w:val="009D3ED5"/>
    <w:rsid w:val="009D6FB2"/>
    <w:rsid w:val="009E3281"/>
    <w:rsid w:val="009E3C5A"/>
    <w:rsid w:val="009E3DAF"/>
    <w:rsid w:val="009E66F7"/>
    <w:rsid w:val="009F148C"/>
    <w:rsid w:val="009F2384"/>
    <w:rsid w:val="009F7A4A"/>
    <w:rsid w:val="00A02CC6"/>
    <w:rsid w:val="00A04151"/>
    <w:rsid w:val="00A07471"/>
    <w:rsid w:val="00A07E83"/>
    <w:rsid w:val="00A149EC"/>
    <w:rsid w:val="00A156B4"/>
    <w:rsid w:val="00A16749"/>
    <w:rsid w:val="00A17EBE"/>
    <w:rsid w:val="00A25BD4"/>
    <w:rsid w:val="00A262CE"/>
    <w:rsid w:val="00A26D63"/>
    <w:rsid w:val="00A321E9"/>
    <w:rsid w:val="00A364AB"/>
    <w:rsid w:val="00A36E95"/>
    <w:rsid w:val="00A401E0"/>
    <w:rsid w:val="00A440CE"/>
    <w:rsid w:val="00A44AD6"/>
    <w:rsid w:val="00A455FB"/>
    <w:rsid w:val="00A537AE"/>
    <w:rsid w:val="00A61E40"/>
    <w:rsid w:val="00A62C72"/>
    <w:rsid w:val="00A63BD7"/>
    <w:rsid w:val="00A644A6"/>
    <w:rsid w:val="00A664DE"/>
    <w:rsid w:val="00A70D77"/>
    <w:rsid w:val="00A7156F"/>
    <w:rsid w:val="00A722FF"/>
    <w:rsid w:val="00A7701A"/>
    <w:rsid w:val="00A8073F"/>
    <w:rsid w:val="00A85919"/>
    <w:rsid w:val="00A86B6C"/>
    <w:rsid w:val="00A8714D"/>
    <w:rsid w:val="00A91E79"/>
    <w:rsid w:val="00A962FE"/>
    <w:rsid w:val="00AA0927"/>
    <w:rsid w:val="00AA2201"/>
    <w:rsid w:val="00AB1B21"/>
    <w:rsid w:val="00AB2C9E"/>
    <w:rsid w:val="00AB383E"/>
    <w:rsid w:val="00AB5CCB"/>
    <w:rsid w:val="00AB5E83"/>
    <w:rsid w:val="00AC4650"/>
    <w:rsid w:val="00AC4F74"/>
    <w:rsid w:val="00AC532D"/>
    <w:rsid w:val="00AD161F"/>
    <w:rsid w:val="00AD1A74"/>
    <w:rsid w:val="00AD3E9F"/>
    <w:rsid w:val="00AD45ED"/>
    <w:rsid w:val="00AD61A9"/>
    <w:rsid w:val="00AD7CA9"/>
    <w:rsid w:val="00AE0D8A"/>
    <w:rsid w:val="00AE2012"/>
    <w:rsid w:val="00AE2333"/>
    <w:rsid w:val="00AE4917"/>
    <w:rsid w:val="00AE5BE6"/>
    <w:rsid w:val="00AF425B"/>
    <w:rsid w:val="00B01B97"/>
    <w:rsid w:val="00B03BD0"/>
    <w:rsid w:val="00B05031"/>
    <w:rsid w:val="00B07D0D"/>
    <w:rsid w:val="00B1027B"/>
    <w:rsid w:val="00B10DCA"/>
    <w:rsid w:val="00B114D7"/>
    <w:rsid w:val="00B149F0"/>
    <w:rsid w:val="00B158CD"/>
    <w:rsid w:val="00B17973"/>
    <w:rsid w:val="00B239AA"/>
    <w:rsid w:val="00B25B77"/>
    <w:rsid w:val="00B273D4"/>
    <w:rsid w:val="00B31FB5"/>
    <w:rsid w:val="00B35394"/>
    <w:rsid w:val="00B43ED3"/>
    <w:rsid w:val="00B43F03"/>
    <w:rsid w:val="00B44360"/>
    <w:rsid w:val="00B4497D"/>
    <w:rsid w:val="00B45539"/>
    <w:rsid w:val="00B47123"/>
    <w:rsid w:val="00B5142E"/>
    <w:rsid w:val="00B52BE3"/>
    <w:rsid w:val="00B54E37"/>
    <w:rsid w:val="00B62714"/>
    <w:rsid w:val="00B678CA"/>
    <w:rsid w:val="00B67ACD"/>
    <w:rsid w:val="00B702A2"/>
    <w:rsid w:val="00B74505"/>
    <w:rsid w:val="00B74526"/>
    <w:rsid w:val="00B765B3"/>
    <w:rsid w:val="00B77F11"/>
    <w:rsid w:val="00B8427A"/>
    <w:rsid w:val="00B865F7"/>
    <w:rsid w:val="00B93230"/>
    <w:rsid w:val="00B97BFC"/>
    <w:rsid w:val="00BA6848"/>
    <w:rsid w:val="00BB0180"/>
    <w:rsid w:val="00BB2349"/>
    <w:rsid w:val="00BB4EB3"/>
    <w:rsid w:val="00BB71FD"/>
    <w:rsid w:val="00BB72DD"/>
    <w:rsid w:val="00BB79F3"/>
    <w:rsid w:val="00BD1882"/>
    <w:rsid w:val="00BD5ADC"/>
    <w:rsid w:val="00BD62AB"/>
    <w:rsid w:val="00BD70F7"/>
    <w:rsid w:val="00BE016B"/>
    <w:rsid w:val="00BE1580"/>
    <w:rsid w:val="00BE3396"/>
    <w:rsid w:val="00BE4A9B"/>
    <w:rsid w:val="00BE7A47"/>
    <w:rsid w:val="00BF4A39"/>
    <w:rsid w:val="00BF7615"/>
    <w:rsid w:val="00C0032E"/>
    <w:rsid w:val="00C0124F"/>
    <w:rsid w:val="00C01875"/>
    <w:rsid w:val="00C03202"/>
    <w:rsid w:val="00C036EF"/>
    <w:rsid w:val="00C10D7D"/>
    <w:rsid w:val="00C15ECD"/>
    <w:rsid w:val="00C17D7A"/>
    <w:rsid w:val="00C242E5"/>
    <w:rsid w:val="00C259E0"/>
    <w:rsid w:val="00C26569"/>
    <w:rsid w:val="00C31175"/>
    <w:rsid w:val="00C32116"/>
    <w:rsid w:val="00C32193"/>
    <w:rsid w:val="00C3497B"/>
    <w:rsid w:val="00C41A0A"/>
    <w:rsid w:val="00C506EB"/>
    <w:rsid w:val="00C50731"/>
    <w:rsid w:val="00C50DAF"/>
    <w:rsid w:val="00C524C7"/>
    <w:rsid w:val="00C52F3C"/>
    <w:rsid w:val="00C54D7C"/>
    <w:rsid w:val="00C60F16"/>
    <w:rsid w:val="00C62C4F"/>
    <w:rsid w:val="00C67E26"/>
    <w:rsid w:val="00C700C7"/>
    <w:rsid w:val="00C7029F"/>
    <w:rsid w:val="00C70CC4"/>
    <w:rsid w:val="00C7269C"/>
    <w:rsid w:val="00C72C63"/>
    <w:rsid w:val="00C74875"/>
    <w:rsid w:val="00C764A2"/>
    <w:rsid w:val="00C77570"/>
    <w:rsid w:val="00C82521"/>
    <w:rsid w:val="00C84660"/>
    <w:rsid w:val="00C8566C"/>
    <w:rsid w:val="00C866A1"/>
    <w:rsid w:val="00C87195"/>
    <w:rsid w:val="00C8794F"/>
    <w:rsid w:val="00C91AC3"/>
    <w:rsid w:val="00C93A54"/>
    <w:rsid w:val="00CA0B66"/>
    <w:rsid w:val="00CA4C4D"/>
    <w:rsid w:val="00CA5EE1"/>
    <w:rsid w:val="00CB1810"/>
    <w:rsid w:val="00CB270B"/>
    <w:rsid w:val="00CB316D"/>
    <w:rsid w:val="00CB64B6"/>
    <w:rsid w:val="00CB6F92"/>
    <w:rsid w:val="00CB77E9"/>
    <w:rsid w:val="00CC2E14"/>
    <w:rsid w:val="00CC354A"/>
    <w:rsid w:val="00CC3A20"/>
    <w:rsid w:val="00CC444A"/>
    <w:rsid w:val="00CC5647"/>
    <w:rsid w:val="00CC6629"/>
    <w:rsid w:val="00CD1E9D"/>
    <w:rsid w:val="00CD360A"/>
    <w:rsid w:val="00CD436D"/>
    <w:rsid w:val="00CD44B1"/>
    <w:rsid w:val="00CD4EDB"/>
    <w:rsid w:val="00CE1890"/>
    <w:rsid w:val="00CE1D46"/>
    <w:rsid w:val="00CE2B61"/>
    <w:rsid w:val="00CE2B7F"/>
    <w:rsid w:val="00CE2F9F"/>
    <w:rsid w:val="00CE59FF"/>
    <w:rsid w:val="00CF2342"/>
    <w:rsid w:val="00CF56DF"/>
    <w:rsid w:val="00CF6228"/>
    <w:rsid w:val="00CF79BC"/>
    <w:rsid w:val="00D03375"/>
    <w:rsid w:val="00D036B2"/>
    <w:rsid w:val="00D05A96"/>
    <w:rsid w:val="00D06161"/>
    <w:rsid w:val="00D07AEB"/>
    <w:rsid w:val="00D07BD3"/>
    <w:rsid w:val="00D12BB6"/>
    <w:rsid w:val="00D12EAD"/>
    <w:rsid w:val="00D151B7"/>
    <w:rsid w:val="00D163C4"/>
    <w:rsid w:val="00D168AE"/>
    <w:rsid w:val="00D21BF5"/>
    <w:rsid w:val="00D23D17"/>
    <w:rsid w:val="00D24D1C"/>
    <w:rsid w:val="00D33DA0"/>
    <w:rsid w:val="00D46FBB"/>
    <w:rsid w:val="00D47D36"/>
    <w:rsid w:val="00D54575"/>
    <w:rsid w:val="00D55BED"/>
    <w:rsid w:val="00D55F74"/>
    <w:rsid w:val="00D603C8"/>
    <w:rsid w:val="00D60798"/>
    <w:rsid w:val="00D61341"/>
    <w:rsid w:val="00D62F5A"/>
    <w:rsid w:val="00D633B4"/>
    <w:rsid w:val="00D64BE3"/>
    <w:rsid w:val="00D74243"/>
    <w:rsid w:val="00D75D76"/>
    <w:rsid w:val="00D76C0C"/>
    <w:rsid w:val="00D80A4E"/>
    <w:rsid w:val="00D84FF2"/>
    <w:rsid w:val="00D90480"/>
    <w:rsid w:val="00D91D43"/>
    <w:rsid w:val="00D92471"/>
    <w:rsid w:val="00D933E7"/>
    <w:rsid w:val="00D95E24"/>
    <w:rsid w:val="00D96E52"/>
    <w:rsid w:val="00DA63AC"/>
    <w:rsid w:val="00DA7CDE"/>
    <w:rsid w:val="00DB0254"/>
    <w:rsid w:val="00DB31E3"/>
    <w:rsid w:val="00DB7158"/>
    <w:rsid w:val="00DC207E"/>
    <w:rsid w:val="00DC3064"/>
    <w:rsid w:val="00DC44D2"/>
    <w:rsid w:val="00DC486A"/>
    <w:rsid w:val="00DC69E0"/>
    <w:rsid w:val="00DD3544"/>
    <w:rsid w:val="00DD65F9"/>
    <w:rsid w:val="00DE008C"/>
    <w:rsid w:val="00DE0486"/>
    <w:rsid w:val="00DE56D6"/>
    <w:rsid w:val="00DF0737"/>
    <w:rsid w:val="00DF0ACE"/>
    <w:rsid w:val="00DF137C"/>
    <w:rsid w:val="00DF255C"/>
    <w:rsid w:val="00DF307F"/>
    <w:rsid w:val="00DF42CB"/>
    <w:rsid w:val="00DF5D63"/>
    <w:rsid w:val="00E06AD5"/>
    <w:rsid w:val="00E10742"/>
    <w:rsid w:val="00E10999"/>
    <w:rsid w:val="00E12990"/>
    <w:rsid w:val="00E13C7A"/>
    <w:rsid w:val="00E152C8"/>
    <w:rsid w:val="00E16580"/>
    <w:rsid w:val="00E172EC"/>
    <w:rsid w:val="00E2590C"/>
    <w:rsid w:val="00E25ACA"/>
    <w:rsid w:val="00E270CF"/>
    <w:rsid w:val="00E30E3D"/>
    <w:rsid w:val="00E3206D"/>
    <w:rsid w:val="00E360B6"/>
    <w:rsid w:val="00E36E0D"/>
    <w:rsid w:val="00E44B8F"/>
    <w:rsid w:val="00E46892"/>
    <w:rsid w:val="00E471BD"/>
    <w:rsid w:val="00E5110B"/>
    <w:rsid w:val="00E51BCB"/>
    <w:rsid w:val="00E5292A"/>
    <w:rsid w:val="00E532A6"/>
    <w:rsid w:val="00E53ED1"/>
    <w:rsid w:val="00E5445B"/>
    <w:rsid w:val="00E602A8"/>
    <w:rsid w:val="00E60A3C"/>
    <w:rsid w:val="00E61098"/>
    <w:rsid w:val="00E64D32"/>
    <w:rsid w:val="00E70DDB"/>
    <w:rsid w:val="00E722FD"/>
    <w:rsid w:val="00E761ED"/>
    <w:rsid w:val="00E8031A"/>
    <w:rsid w:val="00E81474"/>
    <w:rsid w:val="00E81F41"/>
    <w:rsid w:val="00E8506E"/>
    <w:rsid w:val="00E904B2"/>
    <w:rsid w:val="00E90535"/>
    <w:rsid w:val="00EA1744"/>
    <w:rsid w:val="00EA30E2"/>
    <w:rsid w:val="00EA548D"/>
    <w:rsid w:val="00EA66F7"/>
    <w:rsid w:val="00EA7168"/>
    <w:rsid w:val="00EB1BD5"/>
    <w:rsid w:val="00EB2431"/>
    <w:rsid w:val="00EB431D"/>
    <w:rsid w:val="00EC64F8"/>
    <w:rsid w:val="00EC69F6"/>
    <w:rsid w:val="00EC6C1C"/>
    <w:rsid w:val="00ED03EC"/>
    <w:rsid w:val="00ED2A68"/>
    <w:rsid w:val="00ED6FE4"/>
    <w:rsid w:val="00EE2B33"/>
    <w:rsid w:val="00EE7780"/>
    <w:rsid w:val="00EF3C12"/>
    <w:rsid w:val="00EF6F7D"/>
    <w:rsid w:val="00F00899"/>
    <w:rsid w:val="00F01CA4"/>
    <w:rsid w:val="00F02069"/>
    <w:rsid w:val="00F04145"/>
    <w:rsid w:val="00F068F6"/>
    <w:rsid w:val="00F10B1C"/>
    <w:rsid w:val="00F1152E"/>
    <w:rsid w:val="00F11FEE"/>
    <w:rsid w:val="00F12030"/>
    <w:rsid w:val="00F12088"/>
    <w:rsid w:val="00F1241E"/>
    <w:rsid w:val="00F12A54"/>
    <w:rsid w:val="00F163E8"/>
    <w:rsid w:val="00F20988"/>
    <w:rsid w:val="00F21ED9"/>
    <w:rsid w:val="00F22E75"/>
    <w:rsid w:val="00F23ADA"/>
    <w:rsid w:val="00F2434F"/>
    <w:rsid w:val="00F30D2E"/>
    <w:rsid w:val="00F319F1"/>
    <w:rsid w:val="00F341CD"/>
    <w:rsid w:val="00F35588"/>
    <w:rsid w:val="00F4045D"/>
    <w:rsid w:val="00F40CA8"/>
    <w:rsid w:val="00F42B7C"/>
    <w:rsid w:val="00F454C0"/>
    <w:rsid w:val="00F508B7"/>
    <w:rsid w:val="00F50BA0"/>
    <w:rsid w:val="00F56CEC"/>
    <w:rsid w:val="00F572D2"/>
    <w:rsid w:val="00F5765E"/>
    <w:rsid w:val="00F615DD"/>
    <w:rsid w:val="00F65816"/>
    <w:rsid w:val="00F71774"/>
    <w:rsid w:val="00F71ED9"/>
    <w:rsid w:val="00F75D57"/>
    <w:rsid w:val="00F77D93"/>
    <w:rsid w:val="00F819D7"/>
    <w:rsid w:val="00F81EDB"/>
    <w:rsid w:val="00F82ABC"/>
    <w:rsid w:val="00F84642"/>
    <w:rsid w:val="00F84F4A"/>
    <w:rsid w:val="00F859A0"/>
    <w:rsid w:val="00F93C8A"/>
    <w:rsid w:val="00F96029"/>
    <w:rsid w:val="00F96A1C"/>
    <w:rsid w:val="00F9785A"/>
    <w:rsid w:val="00F97A0B"/>
    <w:rsid w:val="00FA0C97"/>
    <w:rsid w:val="00FA1008"/>
    <w:rsid w:val="00FA1ECE"/>
    <w:rsid w:val="00FA398A"/>
    <w:rsid w:val="00FA5122"/>
    <w:rsid w:val="00FA5DB9"/>
    <w:rsid w:val="00FA626E"/>
    <w:rsid w:val="00FA6647"/>
    <w:rsid w:val="00FA70B6"/>
    <w:rsid w:val="00FB091E"/>
    <w:rsid w:val="00FB1605"/>
    <w:rsid w:val="00FB2D17"/>
    <w:rsid w:val="00FB7053"/>
    <w:rsid w:val="00FB7FA1"/>
    <w:rsid w:val="00FC002D"/>
    <w:rsid w:val="00FC0F23"/>
    <w:rsid w:val="00FC478C"/>
    <w:rsid w:val="00FC623B"/>
    <w:rsid w:val="00FD3E0D"/>
    <w:rsid w:val="00FD6746"/>
    <w:rsid w:val="00FE19D9"/>
    <w:rsid w:val="00FE37FA"/>
    <w:rsid w:val="00FE41E1"/>
    <w:rsid w:val="00FE4B01"/>
    <w:rsid w:val="00FE4EBD"/>
    <w:rsid w:val="00FF22F2"/>
    <w:rsid w:val="00FF3219"/>
    <w:rsid w:val="00FF43A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noChapter">
    <w:name w:val="Main Para no Chapter #"/>
    <w:basedOn w:val="Normal"/>
    <w:uiPriority w:val="99"/>
    <w:rsid w:val="0062097E"/>
    <w:pPr>
      <w:spacing w:after="240"/>
      <w:outlineLvl w:val="1"/>
    </w:pPr>
  </w:style>
  <w:style w:type="character" w:styleId="FootnoteReference">
    <w:name w:val="footnote reference"/>
    <w:aliases w:val="ftref"/>
    <w:basedOn w:val="DefaultParagraphFont"/>
    <w:uiPriority w:val="99"/>
    <w:rsid w:val="0062097E"/>
    <w:rPr>
      <w:vertAlign w:val="superscript"/>
    </w:rPr>
  </w:style>
  <w:style w:type="paragraph" w:styleId="FootnoteText">
    <w:name w:val="footnote text"/>
    <w:aliases w:val="FOOTNOTES,fn,single space,footnote text,Footnote Text Char Char,ADB,WB-Fußnotentext,Footnote,Fußnote,ALTS FOOTNOTE,Footnote Text Char1,Note de bas de page Car,ft,Nbpage Moens,Char,Footnote Text Char2 Char,Footnote Text Char1 Char Char"/>
    <w:basedOn w:val="Normal"/>
    <w:link w:val="FootnoteTextChar"/>
    <w:uiPriority w:val="99"/>
    <w:rsid w:val="0062097E"/>
    <w:rPr>
      <w:sz w:val="20"/>
      <w:szCs w:val="20"/>
    </w:rPr>
  </w:style>
  <w:style w:type="character" w:customStyle="1" w:styleId="FootnoteTextChar">
    <w:name w:val="Footnote Text Char"/>
    <w:aliases w:val="FOOTNOTES Char,fn Char,single space Char,footnote text Char,Footnote Text Char Char Char,ADB Char,WB-Fußnotentext Char,Footnote Char,Fußnote Char,ALTS FOOTNOTE Char,Footnote Text Char1 Char,Note de bas de page Car Char,ft Char"/>
    <w:basedOn w:val="DefaultParagraphFont"/>
    <w:link w:val="FootnoteText"/>
    <w:uiPriority w:val="99"/>
    <w:rsid w:val="0062097E"/>
    <w:rPr>
      <w:rFonts w:ascii="Times New Roman" w:eastAsia="Times New Roman" w:hAnsi="Times New Roman" w:cs="Times New Roman"/>
      <w:sz w:val="20"/>
      <w:szCs w:val="20"/>
    </w:rPr>
  </w:style>
  <w:style w:type="paragraph" w:styleId="ListParagraph">
    <w:name w:val="List Paragraph"/>
    <w:basedOn w:val="Normal"/>
    <w:link w:val="ListParagraphChar"/>
    <w:uiPriority w:val="99"/>
    <w:qFormat/>
    <w:rsid w:val="0062097E"/>
    <w:pPr>
      <w:ind w:left="720"/>
      <w:contextualSpacing/>
    </w:pPr>
  </w:style>
  <w:style w:type="paragraph" w:customStyle="1" w:styleId="CM4">
    <w:name w:val="CM4"/>
    <w:basedOn w:val="Normal"/>
    <w:next w:val="Normal"/>
    <w:uiPriority w:val="99"/>
    <w:rsid w:val="0062097E"/>
    <w:pPr>
      <w:widowControl w:val="0"/>
      <w:autoSpaceDE w:val="0"/>
      <w:autoSpaceDN w:val="0"/>
      <w:adjustRightInd w:val="0"/>
    </w:pPr>
    <w:rPr>
      <w:rFonts w:eastAsiaTheme="minorEastAsia"/>
    </w:rPr>
  </w:style>
  <w:style w:type="character" w:customStyle="1" w:styleId="ListParagraphChar">
    <w:name w:val="List Paragraph Char"/>
    <w:basedOn w:val="DefaultParagraphFont"/>
    <w:link w:val="ListParagraph"/>
    <w:uiPriority w:val="99"/>
    <w:rsid w:val="0062097E"/>
    <w:rPr>
      <w:rFonts w:ascii="Times New Roman" w:eastAsia="Times New Roman" w:hAnsi="Times New Roman" w:cs="Times New Roman"/>
      <w:sz w:val="24"/>
      <w:szCs w:val="24"/>
    </w:rPr>
  </w:style>
  <w:style w:type="paragraph" w:customStyle="1" w:styleId="Default">
    <w:name w:val="Default"/>
    <w:uiPriority w:val="99"/>
    <w:rsid w:val="00E44B8F"/>
    <w:pPr>
      <w:widowControl w:val="0"/>
      <w:autoSpaceDE w:val="0"/>
      <w:autoSpaceDN w:val="0"/>
      <w:adjustRightInd w:val="0"/>
      <w:spacing w:after="0" w:line="240" w:lineRule="auto"/>
    </w:pPr>
    <w:rPr>
      <w:rFonts w:ascii="GPIJPK+TimesNewRoman,Bold" w:eastAsia="Times New Roman" w:hAnsi="GPIJPK+TimesNewRoman,Bold" w:cs="GPIJPK+TimesNewRoman,Bold"/>
      <w:color w:val="000000"/>
      <w:sz w:val="24"/>
      <w:szCs w:val="24"/>
    </w:rPr>
  </w:style>
  <w:style w:type="paragraph" w:customStyle="1" w:styleId="Sub-Para1underX">
    <w:name w:val="Sub-Para 1 under X."/>
    <w:basedOn w:val="Normal"/>
    <w:uiPriority w:val="99"/>
    <w:rsid w:val="00E44B8F"/>
    <w:pPr>
      <w:tabs>
        <w:tab w:val="num" w:pos="1080"/>
        <w:tab w:val="num" w:pos="2160"/>
      </w:tabs>
      <w:spacing w:after="240"/>
      <w:ind w:left="720" w:hanging="360"/>
      <w:outlineLvl w:val="2"/>
    </w:pPr>
  </w:style>
  <w:style w:type="paragraph" w:customStyle="1" w:styleId="Sub-Para2underX">
    <w:name w:val="Sub-Para 2 under X."/>
    <w:basedOn w:val="Normal"/>
    <w:uiPriority w:val="99"/>
    <w:rsid w:val="00E44B8F"/>
    <w:pPr>
      <w:tabs>
        <w:tab w:val="num" w:pos="1800"/>
        <w:tab w:val="num" w:pos="2880"/>
      </w:tabs>
      <w:spacing w:after="240"/>
      <w:ind w:left="1080" w:hanging="360"/>
      <w:outlineLvl w:val="3"/>
    </w:pPr>
  </w:style>
  <w:style w:type="paragraph" w:customStyle="1" w:styleId="Sub-Para3underX">
    <w:name w:val="Sub-Para 3 under X."/>
    <w:basedOn w:val="Normal"/>
    <w:uiPriority w:val="99"/>
    <w:rsid w:val="00E44B8F"/>
    <w:pPr>
      <w:tabs>
        <w:tab w:val="num" w:pos="1440"/>
        <w:tab w:val="num" w:pos="3600"/>
      </w:tabs>
      <w:spacing w:after="240"/>
      <w:ind w:left="1440" w:hanging="360"/>
      <w:outlineLvl w:val="4"/>
    </w:pPr>
  </w:style>
  <w:style w:type="paragraph" w:styleId="CommentText">
    <w:name w:val="annotation text"/>
    <w:basedOn w:val="Normal"/>
    <w:link w:val="CommentTextChar"/>
    <w:semiHidden/>
    <w:rsid w:val="00603AC2"/>
    <w:rPr>
      <w:sz w:val="20"/>
      <w:szCs w:val="20"/>
    </w:rPr>
  </w:style>
  <w:style w:type="character" w:customStyle="1" w:styleId="CommentTextChar">
    <w:name w:val="Comment Text Char"/>
    <w:basedOn w:val="DefaultParagraphFont"/>
    <w:link w:val="CommentText"/>
    <w:semiHidden/>
    <w:rsid w:val="00603AC2"/>
    <w:rPr>
      <w:rFonts w:ascii="Times New Roman" w:eastAsia="Times New Roman" w:hAnsi="Times New Roman" w:cs="Times New Roman"/>
      <w:sz w:val="20"/>
      <w:szCs w:val="20"/>
    </w:rPr>
  </w:style>
  <w:style w:type="character" w:styleId="CommentReference">
    <w:name w:val="annotation reference"/>
    <w:basedOn w:val="DefaultParagraphFont"/>
    <w:semiHidden/>
    <w:rsid w:val="00603AC2"/>
    <w:rPr>
      <w:sz w:val="16"/>
      <w:szCs w:val="16"/>
    </w:rPr>
  </w:style>
  <w:style w:type="paragraph" w:styleId="BalloonText">
    <w:name w:val="Balloon Text"/>
    <w:basedOn w:val="Normal"/>
    <w:link w:val="BalloonTextChar"/>
    <w:uiPriority w:val="99"/>
    <w:semiHidden/>
    <w:unhideWhenUsed/>
    <w:rsid w:val="00603AC2"/>
    <w:rPr>
      <w:rFonts w:ascii="Tahoma" w:hAnsi="Tahoma" w:cs="Tahoma"/>
      <w:sz w:val="16"/>
      <w:szCs w:val="16"/>
    </w:rPr>
  </w:style>
  <w:style w:type="character" w:customStyle="1" w:styleId="BalloonTextChar">
    <w:name w:val="Balloon Text Char"/>
    <w:basedOn w:val="DefaultParagraphFont"/>
    <w:link w:val="BalloonText"/>
    <w:uiPriority w:val="99"/>
    <w:semiHidden/>
    <w:rsid w:val="00603AC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03AC2"/>
    <w:rPr>
      <w:b/>
      <w:bCs/>
    </w:rPr>
  </w:style>
  <w:style w:type="character" w:customStyle="1" w:styleId="CommentSubjectChar">
    <w:name w:val="Comment Subject Char"/>
    <w:basedOn w:val="CommentTextChar"/>
    <w:link w:val="CommentSubject"/>
    <w:uiPriority w:val="99"/>
    <w:semiHidden/>
    <w:rsid w:val="00603AC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noChapter">
    <w:name w:val="Main Para no Chapter #"/>
    <w:basedOn w:val="Normal"/>
    <w:uiPriority w:val="99"/>
    <w:rsid w:val="0062097E"/>
    <w:pPr>
      <w:spacing w:after="240"/>
      <w:outlineLvl w:val="1"/>
    </w:pPr>
  </w:style>
  <w:style w:type="character" w:styleId="FootnoteReference">
    <w:name w:val="footnote reference"/>
    <w:aliases w:val="ftref"/>
    <w:basedOn w:val="DefaultParagraphFont"/>
    <w:uiPriority w:val="99"/>
    <w:rsid w:val="0062097E"/>
    <w:rPr>
      <w:vertAlign w:val="superscript"/>
    </w:rPr>
  </w:style>
  <w:style w:type="paragraph" w:styleId="FootnoteText">
    <w:name w:val="footnote text"/>
    <w:aliases w:val="FOOTNOTES,fn,single space,footnote text,Footnote Text Char Char,ADB,WB-Fußnotentext,Footnote,Fußnote,ALTS FOOTNOTE,Footnote Text Char1,Note de bas de page Car,ft,Nbpage Moens,Char,Footnote Text Char2 Char,Footnote Text Char1 Char Char"/>
    <w:basedOn w:val="Normal"/>
    <w:link w:val="FootnoteTextChar"/>
    <w:uiPriority w:val="99"/>
    <w:rsid w:val="0062097E"/>
    <w:rPr>
      <w:sz w:val="20"/>
      <w:szCs w:val="20"/>
    </w:rPr>
  </w:style>
  <w:style w:type="character" w:customStyle="1" w:styleId="FootnoteTextChar">
    <w:name w:val="Footnote Text Char"/>
    <w:aliases w:val="FOOTNOTES Char,fn Char,single space Char,footnote text Char,Footnote Text Char Char Char,ADB Char,WB-Fußnotentext Char,Footnote Char,Fußnote Char,ALTS FOOTNOTE Char,Footnote Text Char1 Char,Note de bas de page Car Char,ft Char"/>
    <w:basedOn w:val="DefaultParagraphFont"/>
    <w:link w:val="FootnoteText"/>
    <w:uiPriority w:val="99"/>
    <w:rsid w:val="0062097E"/>
    <w:rPr>
      <w:rFonts w:ascii="Times New Roman" w:eastAsia="Times New Roman" w:hAnsi="Times New Roman" w:cs="Times New Roman"/>
      <w:sz w:val="20"/>
      <w:szCs w:val="20"/>
    </w:rPr>
  </w:style>
  <w:style w:type="paragraph" w:styleId="ListParagraph">
    <w:name w:val="List Paragraph"/>
    <w:basedOn w:val="Normal"/>
    <w:link w:val="ListParagraphChar"/>
    <w:uiPriority w:val="99"/>
    <w:qFormat/>
    <w:rsid w:val="0062097E"/>
    <w:pPr>
      <w:ind w:left="720"/>
      <w:contextualSpacing/>
    </w:pPr>
  </w:style>
  <w:style w:type="paragraph" w:customStyle="1" w:styleId="CM4">
    <w:name w:val="CM4"/>
    <w:basedOn w:val="Normal"/>
    <w:next w:val="Normal"/>
    <w:uiPriority w:val="99"/>
    <w:rsid w:val="0062097E"/>
    <w:pPr>
      <w:widowControl w:val="0"/>
      <w:autoSpaceDE w:val="0"/>
      <w:autoSpaceDN w:val="0"/>
      <w:adjustRightInd w:val="0"/>
    </w:pPr>
    <w:rPr>
      <w:rFonts w:eastAsiaTheme="minorEastAsia"/>
    </w:rPr>
  </w:style>
  <w:style w:type="character" w:customStyle="1" w:styleId="ListParagraphChar">
    <w:name w:val="List Paragraph Char"/>
    <w:basedOn w:val="DefaultParagraphFont"/>
    <w:link w:val="ListParagraph"/>
    <w:uiPriority w:val="99"/>
    <w:rsid w:val="0062097E"/>
    <w:rPr>
      <w:rFonts w:ascii="Times New Roman" w:eastAsia="Times New Roman" w:hAnsi="Times New Roman" w:cs="Times New Roman"/>
      <w:sz w:val="24"/>
      <w:szCs w:val="24"/>
    </w:rPr>
  </w:style>
  <w:style w:type="paragraph" w:customStyle="1" w:styleId="Default">
    <w:name w:val="Default"/>
    <w:uiPriority w:val="99"/>
    <w:rsid w:val="00E44B8F"/>
    <w:pPr>
      <w:widowControl w:val="0"/>
      <w:autoSpaceDE w:val="0"/>
      <w:autoSpaceDN w:val="0"/>
      <w:adjustRightInd w:val="0"/>
      <w:spacing w:after="0" w:line="240" w:lineRule="auto"/>
    </w:pPr>
    <w:rPr>
      <w:rFonts w:ascii="GPIJPK+TimesNewRoman,Bold" w:eastAsia="Times New Roman" w:hAnsi="GPIJPK+TimesNewRoman,Bold" w:cs="GPIJPK+TimesNewRoman,Bold"/>
      <w:color w:val="000000"/>
      <w:sz w:val="24"/>
      <w:szCs w:val="24"/>
    </w:rPr>
  </w:style>
  <w:style w:type="paragraph" w:customStyle="1" w:styleId="Sub-Para1underX">
    <w:name w:val="Sub-Para 1 under X."/>
    <w:basedOn w:val="Normal"/>
    <w:uiPriority w:val="99"/>
    <w:rsid w:val="00E44B8F"/>
    <w:pPr>
      <w:tabs>
        <w:tab w:val="num" w:pos="1080"/>
        <w:tab w:val="num" w:pos="2160"/>
      </w:tabs>
      <w:spacing w:after="240"/>
      <w:ind w:left="720" w:hanging="360"/>
      <w:outlineLvl w:val="2"/>
    </w:pPr>
  </w:style>
  <w:style w:type="paragraph" w:customStyle="1" w:styleId="Sub-Para2underX">
    <w:name w:val="Sub-Para 2 under X."/>
    <w:basedOn w:val="Normal"/>
    <w:uiPriority w:val="99"/>
    <w:rsid w:val="00E44B8F"/>
    <w:pPr>
      <w:tabs>
        <w:tab w:val="num" w:pos="1800"/>
        <w:tab w:val="num" w:pos="2880"/>
      </w:tabs>
      <w:spacing w:after="240"/>
      <w:ind w:left="1080" w:hanging="360"/>
      <w:outlineLvl w:val="3"/>
    </w:pPr>
  </w:style>
  <w:style w:type="paragraph" w:customStyle="1" w:styleId="Sub-Para3underX">
    <w:name w:val="Sub-Para 3 under X."/>
    <w:basedOn w:val="Normal"/>
    <w:uiPriority w:val="99"/>
    <w:rsid w:val="00E44B8F"/>
    <w:pPr>
      <w:tabs>
        <w:tab w:val="num" w:pos="1440"/>
        <w:tab w:val="num" w:pos="3600"/>
      </w:tabs>
      <w:spacing w:after="240"/>
      <w:ind w:left="1440" w:hanging="360"/>
      <w:outlineLvl w:val="4"/>
    </w:pPr>
  </w:style>
  <w:style w:type="paragraph" w:styleId="CommentText">
    <w:name w:val="annotation text"/>
    <w:basedOn w:val="Normal"/>
    <w:link w:val="CommentTextChar"/>
    <w:semiHidden/>
    <w:rsid w:val="00603AC2"/>
    <w:rPr>
      <w:sz w:val="20"/>
      <w:szCs w:val="20"/>
    </w:rPr>
  </w:style>
  <w:style w:type="character" w:customStyle="1" w:styleId="CommentTextChar">
    <w:name w:val="Comment Text Char"/>
    <w:basedOn w:val="DefaultParagraphFont"/>
    <w:link w:val="CommentText"/>
    <w:semiHidden/>
    <w:rsid w:val="00603AC2"/>
    <w:rPr>
      <w:rFonts w:ascii="Times New Roman" w:eastAsia="Times New Roman" w:hAnsi="Times New Roman" w:cs="Times New Roman"/>
      <w:sz w:val="20"/>
      <w:szCs w:val="20"/>
    </w:rPr>
  </w:style>
  <w:style w:type="character" w:styleId="CommentReference">
    <w:name w:val="annotation reference"/>
    <w:basedOn w:val="DefaultParagraphFont"/>
    <w:semiHidden/>
    <w:rsid w:val="00603AC2"/>
    <w:rPr>
      <w:sz w:val="16"/>
      <w:szCs w:val="16"/>
    </w:rPr>
  </w:style>
  <w:style w:type="paragraph" w:styleId="BalloonText">
    <w:name w:val="Balloon Text"/>
    <w:basedOn w:val="Normal"/>
    <w:link w:val="BalloonTextChar"/>
    <w:uiPriority w:val="99"/>
    <w:semiHidden/>
    <w:unhideWhenUsed/>
    <w:rsid w:val="00603AC2"/>
    <w:rPr>
      <w:rFonts w:ascii="Tahoma" w:hAnsi="Tahoma" w:cs="Tahoma"/>
      <w:sz w:val="16"/>
      <w:szCs w:val="16"/>
    </w:rPr>
  </w:style>
  <w:style w:type="character" w:customStyle="1" w:styleId="BalloonTextChar">
    <w:name w:val="Balloon Text Char"/>
    <w:basedOn w:val="DefaultParagraphFont"/>
    <w:link w:val="BalloonText"/>
    <w:uiPriority w:val="99"/>
    <w:semiHidden/>
    <w:rsid w:val="00603AC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03AC2"/>
    <w:rPr>
      <w:b/>
      <w:bCs/>
    </w:rPr>
  </w:style>
  <w:style w:type="character" w:customStyle="1" w:styleId="CommentSubjectChar">
    <w:name w:val="Comment Subject Char"/>
    <w:basedOn w:val="CommentTextChar"/>
    <w:link w:val="CommentSubject"/>
    <w:uiPriority w:val="99"/>
    <w:semiHidden/>
    <w:rsid w:val="00603A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Jadotte</dc:creator>
  <cp:lastModifiedBy>Patricia Chacon Holt</cp:lastModifiedBy>
  <cp:revision>2</cp:revision>
  <dcterms:created xsi:type="dcterms:W3CDTF">2014-07-07T21:34:00Z</dcterms:created>
  <dcterms:modified xsi:type="dcterms:W3CDTF">2014-07-07T21:34:00Z</dcterms:modified>
</cp:coreProperties>
</file>