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AA1D" w14:textId="77777777" w:rsidR="007941A9" w:rsidRPr="007941A9" w:rsidRDefault="00E16A3A" w:rsidP="007941A9">
      <w:pPr>
        <w:spacing w:after="0" w:line="240" w:lineRule="auto"/>
        <w:jc w:val="right"/>
        <w:rPr>
          <w:rFonts w:ascii="Book Antiqua" w:hAnsi="Book Antiqua" w:cs="Times New Roman"/>
          <w:b/>
          <w:bCs/>
          <w:sz w:val="24"/>
          <w:szCs w:val="24"/>
        </w:rPr>
      </w:pPr>
      <w:r>
        <w:rPr>
          <w:b/>
          <w:bCs/>
          <w:smallCaps/>
          <w:strike/>
          <w:noProof/>
          <w:color w:val="365F91"/>
          <w:sz w:val="48"/>
          <w:szCs w:val="48"/>
        </w:rPr>
        <w:drawing>
          <wp:anchor distT="0" distB="0" distL="114300" distR="114300" simplePos="0" relativeHeight="251660287" behindDoc="0" locked="0" layoutInCell="1" allowOverlap="1" wp14:anchorId="77295832" wp14:editId="082971CD">
            <wp:simplePos x="0" y="0"/>
            <wp:positionH relativeFrom="column">
              <wp:posOffset>-634365</wp:posOffset>
            </wp:positionH>
            <wp:positionV relativeFrom="paragraph">
              <wp:posOffset>-846455</wp:posOffset>
            </wp:positionV>
            <wp:extent cx="7232015" cy="1207135"/>
            <wp:effectExtent l="0" t="0" r="6985" b="0"/>
            <wp:wrapNone/>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7232015" cy="1207135"/>
                    </a:xfrm>
                    <a:prstGeom prst="rect">
                      <a:avLst/>
                    </a:prstGeom>
                    <a:noFill/>
                  </pic:spPr>
                </pic:pic>
              </a:graphicData>
            </a:graphic>
          </wp:anchor>
        </w:drawing>
      </w:r>
      <w:r>
        <w:rPr>
          <w:b/>
          <w:bCs/>
          <w:smallCaps/>
          <w:strike/>
          <w:noProof/>
          <w:color w:val="365F91"/>
          <w:sz w:val="48"/>
          <w:szCs w:val="48"/>
        </w:rPr>
        <mc:AlternateContent>
          <mc:Choice Requires="wps">
            <w:drawing>
              <wp:anchor distT="0" distB="0" distL="114300" distR="114300" simplePos="0" relativeHeight="251664384" behindDoc="0" locked="0" layoutInCell="1" allowOverlap="1" wp14:anchorId="38FF6DDC" wp14:editId="3A266717">
                <wp:simplePos x="0" y="0"/>
                <wp:positionH relativeFrom="column">
                  <wp:posOffset>-635635</wp:posOffset>
                </wp:positionH>
                <wp:positionV relativeFrom="paragraph">
                  <wp:posOffset>-848691</wp:posOffset>
                </wp:positionV>
                <wp:extent cx="2056130" cy="237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AE7A" w14:textId="77777777" w:rsidR="00E16A3A" w:rsidRPr="007C3F37" w:rsidRDefault="00BE18A5" w:rsidP="009A49B8">
                            <w:pPr>
                              <w:rPr>
                                <w:rFonts w:ascii="Arial" w:hAnsi="Arial" w:cs="Arial"/>
                                <w:color w:val="FFFFFF"/>
                                <w:sz w:val="20"/>
                                <w:szCs w:val="20"/>
                              </w:rPr>
                            </w:pPr>
                            <w:r>
                              <w:rPr>
                                <w:rFonts w:ascii="Arial" w:hAnsi="Arial" w:cs="Arial"/>
                                <w:color w:val="FFFFFF"/>
                                <w:sz w:val="20"/>
                                <w:szCs w:val="20"/>
                              </w:rPr>
                              <w:t>March</w:t>
                            </w:r>
                            <w:r w:rsidR="00E16A3A">
                              <w:rPr>
                                <w:rFonts w:ascii="Arial" w:hAnsi="Arial" w:cs="Arial"/>
                                <w:color w:val="FFFFFF"/>
                                <w:sz w:val="20"/>
                                <w:szCs w:val="20"/>
                              </w:rPr>
                              <w:t xml:space="preserve"> 2018</w:t>
                            </w:r>
                            <w:r w:rsidR="00E16A3A" w:rsidRPr="007C3F37">
                              <w:rPr>
                                <w:rFonts w:ascii="Arial" w:hAnsi="Arial" w:cs="Arial"/>
                                <w:color w:val="FFFFFF"/>
                                <w:sz w:val="20"/>
                                <w:szCs w:val="20"/>
                              </w:rPr>
                              <w:t xml:space="preserve"> – Number</w:t>
                            </w:r>
                            <w:r w:rsidR="00A40965">
                              <w:rPr>
                                <w:rFonts w:ascii="Arial" w:hAnsi="Arial" w:cs="Arial"/>
                                <w:color w:val="FFFFFF"/>
                                <w:sz w:val="20"/>
                                <w:szCs w:val="20"/>
                              </w:rPr>
                              <w:t xml:space="preserve"> 164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4D4C88" id="_x0000_t202" coordsize="21600,21600" o:spt="202" path="m,l,21600r21600,l21600,xe">
                <v:stroke joinstyle="miter"/>
                <v:path gradientshapeok="t" o:connecttype="rect"/>
              </v:shapetype>
              <v:shape id="Text Box 6" o:spid="_x0000_s1026" type="#_x0000_t202" style="position:absolute;left:0;text-align:left;margin-left:-50.05pt;margin-top:-66.85pt;width:161.9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AytA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" filled="f" stroked="f">
                <v:textbox style="mso-fit-shape-to-text:t">
                  <w:txbxContent>
                    <w:p w:rsidR="00E16A3A" w:rsidRPr="007C3F37" w:rsidRDefault="00BE18A5" w:rsidP="009A49B8">
                      <w:pPr>
                        <w:rPr>
                          <w:rFonts w:ascii="Arial" w:hAnsi="Arial" w:cs="Arial"/>
                          <w:color w:val="FFFFFF"/>
                          <w:sz w:val="20"/>
                          <w:szCs w:val="20"/>
                        </w:rPr>
                      </w:pPr>
                      <w:r>
                        <w:rPr>
                          <w:rFonts w:ascii="Arial" w:hAnsi="Arial" w:cs="Arial"/>
                          <w:color w:val="FFFFFF"/>
                          <w:sz w:val="20"/>
                          <w:szCs w:val="20"/>
                        </w:rPr>
                        <w:t>March</w:t>
                      </w:r>
                      <w:r w:rsidR="00E16A3A">
                        <w:rPr>
                          <w:rFonts w:ascii="Arial" w:hAnsi="Arial" w:cs="Arial"/>
                          <w:color w:val="FFFFFF"/>
                          <w:sz w:val="20"/>
                          <w:szCs w:val="20"/>
                        </w:rPr>
                        <w:t xml:space="preserve"> 2018</w:t>
                      </w:r>
                      <w:r w:rsidR="00E16A3A" w:rsidRPr="007C3F37">
                        <w:rPr>
                          <w:rFonts w:ascii="Arial" w:hAnsi="Arial" w:cs="Arial"/>
                          <w:color w:val="FFFFFF"/>
                          <w:sz w:val="20"/>
                          <w:szCs w:val="20"/>
                        </w:rPr>
                        <w:t xml:space="preserve"> – Number</w:t>
                      </w:r>
                      <w:r w:rsidR="00A40965">
                        <w:rPr>
                          <w:rFonts w:ascii="Arial" w:hAnsi="Arial" w:cs="Arial"/>
                          <w:color w:val="FFFFFF"/>
                          <w:sz w:val="20"/>
                          <w:szCs w:val="20"/>
                        </w:rPr>
                        <w:t xml:space="preserve"> 164</w:t>
                      </w:r>
                    </w:p>
                  </w:txbxContent>
                </v:textbox>
              </v:shape>
            </w:pict>
          </mc:Fallback>
        </mc:AlternateContent>
      </w:r>
      <w:r w:rsidR="00FC70E4">
        <w:rPr>
          <w:rFonts w:ascii="Book Antiqua" w:hAnsi="Book Antiqua" w:cs="Times New Roman"/>
          <w:b/>
          <w:bCs/>
          <w:sz w:val="24"/>
          <w:szCs w:val="24"/>
        </w:rPr>
        <w:t>Z`</w:t>
      </w:r>
      <w:r w:rsidRPr="007941A9">
        <w:rPr>
          <w:rFonts w:ascii="Book Antiqua" w:hAnsi="Book Antiqua" w:cs="Times New Roman"/>
          <w:b/>
          <w:bCs/>
          <w:sz w:val="24"/>
          <w:szCs w:val="24"/>
        </w:rPr>
        <w:t xml:space="preserve"> </w:t>
      </w:r>
      <w:r w:rsidR="007941A9" w:rsidRPr="007941A9">
        <w:rPr>
          <w:rFonts w:ascii="Book Antiqua" w:hAnsi="Book Antiqua" w:cs="Times New Roman"/>
          <w:b/>
          <w:bCs/>
          <w:sz w:val="24"/>
          <w:szCs w:val="24"/>
        </w:rPr>
        <w:t>______________________________________________________________________________</w:t>
      </w:r>
    </w:p>
    <w:p w14:paraId="028DFBDF" w14:textId="77777777" w:rsidR="00A40965" w:rsidRDefault="00A40965" w:rsidP="00A40965">
      <w:pPr>
        <w:spacing w:line="240" w:lineRule="auto"/>
        <w:jc w:val="center"/>
        <w:rPr>
          <w:rFonts w:cs="Times New Roman"/>
          <w:b/>
          <w:bCs/>
          <w:color w:val="0070C0"/>
          <w:sz w:val="44"/>
          <w:szCs w:val="44"/>
        </w:rPr>
      </w:pPr>
      <w:bookmarkStart w:id="0" w:name="_Hlk507572259"/>
      <w:r w:rsidRPr="00A40965">
        <w:rPr>
          <w:rFonts w:cs="Times New Roman"/>
          <w:b/>
          <w:bCs/>
          <w:color w:val="0070C0"/>
          <w:sz w:val="44"/>
          <w:szCs w:val="44"/>
        </w:rPr>
        <w:t xml:space="preserve">Climate Change in MENA: </w:t>
      </w:r>
    </w:p>
    <w:p w14:paraId="1C044B9E" w14:textId="77777777" w:rsidR="00A40965" w:rsidRPr="00A40965" w:rsidRDefault="00A40965" w:rsidP="00A40965">
      <w:pPr>
        <w:spacing w:line="240" w:lineRule="auto"/>
        <w:jc w:val="center"/>
        <w:rPr>
          <w:rFonts w:cs="Times New Roman"/>
          <w:b/>
          <w:bCs/>
          <w:color w:val="0070C0"/>
          <w:sz w:val="44"/>
          <w:szCs w:val="44"/>
        </w:rPr>
      </w:pPr>
      <w:r w:rsidRPr="00A40965">
        <w:rPr>
          <w:rFonts w:cs="Times New Roman"/>
          <w:b/>
          <w:bCs/>
          <w:color w:val="0070C0"/>
          <w:sz w:val="44"/>
          <w:szCs w:val="44"/>
        </w:rPr>
        <w:t xml:space="preserve">Challenges and Opportunities for the World’s most water stressed region  </w:t>
      </w:r>
    </w:p>
    <w:bookmarkEnd w:id="0"/>
    <w:p w14:paraId="6BD5A951" w14:textId="77777777" w:rsidR="009752EB" w:rsidRPr="009752EB" w:rsidRDefault="009752EB" w:rsidP="000A4A90">
      <w:pPr>
        <w:spacing w:line="240" w:lineRule="auto"/>
        <w:jc w:val="center"/>
        <w:rPr>
          <w:rFonts w:ascii="Book Antiqua" w:hAnsi="Book Antiqua" w:cs="Times New Roman"/>
          <w:b/>
          <w:bCs/>
          <w:sz w:val="20"/>
          <w:szCs w:val="20"/>
        </w:rPr>
        <w:sectPr w:rsidR="009752EB" w:rsidRPr="009752EB" w:rsidSect="00F81789">
          <w:footerReference w:type="default" r:id="rId9"/>
          <w:pgSz w:w="12240" w:h="15840"/>
          <w:pgMar w:top="1440" w:right="1440" w:bottom="1440" w:left="1440" w:header="720" w:footer="720" w:gutter="0"/>
          <w:cols w:space="720"/>
          <w:titlePg/>
          <w:docGrid w:linePitch="360"/>
        </w:sectPr>
      </w:pPr>
    </w:p>
    <w:p w14:paraId="7ECD6CC0" w14:textId="77777777" w:rsidR="00A40965" w:rsidRPr="00A40965" w:rsidRDefault="00A40965" w:rsidP="00A40965">
      <w:pPr>
        <w:spacing w:line="240" w:lineRule="auto"/>
        <w:rPr>
          <w:rFonts w:ascii="Times New Roman" w:hAnsi="Times New Roman" w:cs="Times New Roman"/>
          <w:bCs/>
          <w:i/>
          <w:sz w:val="20"/>
          <w:szCs w:val="20"/>
        </w:rPr>
      </w:pPr>
      <w:r w:rsidRPr="00A40965">
        <w:rPr>
          <w:rFonts w:ascii="Times New Roman" w:hAnsi="Times New Roman" w:cs="Times New Roman"/>
          <w:bCs/>
          <w:i/>
          <w:sz w:val="20"/>
          <w:szCs w:val="20"/>
        </w:rPr>
        <w:t>Lia Carol Sieghart and Mahlette Betre</w:t>
      </w:r>
      <w:r>
        <w:rPr>
          <w:rStyle w:val="FootnoteReference"/>
          <w:rFonts w:ascii="Times New Roman" w:hAnsi="Times New Roman" w:cs="Times New Roman"/>
          <w:bCs/>
          <w:i/>
          <w:sz w:val="20"/>
          <w:szCs w:val="20"/>
        </w:rPr>
        <w:footnoteReference w:id="1"/>
      </w:r>
    </w:p>
    <w:p w14:paraId="29D20A59" w14:textId="77777777" w:rsidR="00A40965" w:rsidRPr="00A40965" w:rsidRDefault="0099306A" w:rsidP="00A40965">
      <w:pPr>
        <w:jc w:val="both"/>
        <w:rPr>
          <w:rFonts w:ascii="Book Antiqua" w:hAnsi="Book Antiqua" w:cs="Times New Roman"/>
          <w:sz w:val="20"/>
          <w:szCs w:val="20"/>
        </w:rPr>
      </w:pPr>
      <w:bookmarkStart w:id="1" w:name="_Hlk507572184"/>
      <w:r w:rsidRPr="0099306A">
        <w:rPr>
          <w:rFonts w:ascii="Book Antiqua" w:hAnsi="Book Antiqua" w:cs="Times New Roman"/>
          <w:b/>
          <w:sz w:val="20"/>
          <w:szCs w:val="20"/>
        </w:rPr>
        <w:t>Introduction:</w:t>
      </w:r>
      <w:r>
        <w:rPr>
          <w:rFonts w:ascii="Book Antiqua" w:hAnsi="Book Antiqua" w:cs="Times New Roman"/>
          <w:sz w:val="20"/>
          <w:szCs w:val="20"/>
        </w:rPr>
        <w:t xml:space="preserve"> </w:t>
      </w:r>
      <w:r w:rsidR="00A40965" w:rsidRPr="00A40965">
        <w:rPr>
          <w:rFonts w:ascii="Book Antiqua" w:hAnsi="Book Antiqua" w:cs="Times New Roman"/>
          <w:sz w:val="20"/>
          <w:szCs w:val="20"/>
        </w:rPr>
        <w:t>The Middle East and North Africa (MENA) region is no stranger to extreme temperatures.  It is predicted that these extremes will only worsen in the coming decades. Compounded by changing precipitation patterns, water insecurity and projected sea level rise, the region is set to experience significant challenges to its development, particularly in the areas of agriculture, livelihoods and food security</w:t>
      </w:r>
      <w:r w:rsidR="00A40965" w:rsidRPr="00A40965">
        <w:rPr>
          <w:rFonts w:ascii="Book Antiqua" w:hAnsi="Book Antiqua" w:cs="Times New Roman"/>
          <w:sz w:val="20"/>
          <w:szCs w:val="20"/>
          <w:vertAlign w:val="superscript"/>
        </w:rPr>
        <w:endnoteReference w:id="1"/>
      </w:r>
      <w:r w:rsidR="00A40965" w:rsidRPr="00A40965">
        <w:rPr>
          <w:rFonts w:ascii="Book Antiqua" w:hAnsi="Book Antiqua" w:cs="Times New Roman"/>
          <w:sz w:val="20"/>
          <w:szCs w:val="20"/>
        </w:rPr>
        <w:t>. On the other hand, there are also</w:t>
      </w:r>
      <w:r w:rsidR="00F468F5">
        <w:rPr>
          <w:rFonts w:ascii="Book Antiqua" w:hAnsi="Book Antiqua" w:cs="Times New Roman"/>
          <w:sz w:val="20"/>
          <w:szCs w:val="20"/>
        </w:rPr>
        <w:t xml:space="preserve"> significant</w:t>
      </w:r>
      <w:r w:rsidR="00A40965" w:rsidRPr="00A40965">
        <w:rPr>
          <w:rFonts w:ascii="Book Antiqua" w:hAnsi="Book Antiqua" w:cs="Times New Roman"/>
          <w:sz w:val="20"/>
          <w:szCs w:val="20"/>
        </w:rPr>
        <w:t xml:space="preserve"> opportunities to be realized and several countries in MENA are already taking steps towards advancing their global climate commitments and transitioning to a low-carbon, climate resilient economy. </w:t>
      </w:r>
    </w:p>
    <w:p w14:paraId="79E3B0E6" w14:textId="77777777" w:rsidR="00A40965" w:rsidRDefault="00A40965" w:rsidP="00A40965">
      <w:pPr>
        <w:jc w:val="both"/>
        <w:rPr>
          <w:rFonts w:ascii="Book Antiqua" w:hAnsi="Book Antiqua" w:cs="Times New Roman"/>
          <w:sz w:val="20"/>
          <w:szCs w:val="20"/>
        </w:rPr>
      </w:pPr>
      <w:r w:rsidRPr="00A40965">
        <w:rPr>
          <w:rFonts w:ascii="Book Antiqua" w:hAnsi="Book Antiqua" w:cs="Times New Roman"/>
          <w:sz w:val="20"/>
          <w:szCs w:val="20"/>
        </w:rPr>
        <w:t>Recognizing that climate change poses an acute threat to its mission, the World Bank Group has made strong commitments to tackle the climate challenge and to work with countries to meet their climate goals. With the adoption of a Climate Change Action Plan</w:t>
      </w:r>
      <w:r w:rsidRPr="00A40965">
        <w:rPr>
          <w:rFonts w:ascii="Book Antiqua" w:hAnsi="Book Antiqua" w:cs="Times New Roman"/>
          <w:sz w:val="20"/>
          <w:szCs w:val="20"/>
          <w:vertAlign w:val="superscript"/>
        </w:rPr>
        <w:endnoteReference w:id="2"/>
      </w:r>
      <w:r w:rsidRPr="00A40965">
        <w:rPr>
          <w:rFonts w:ascii="Book Antiqua" w:hAnsi="Book Antiqua" w:cs="Times New Roman"/>
          <w:sz w:val="20"/>
          <w:szCs w:val="20"/>
        </w:rPr>
        <w:t xml:space="preserve">, the Bank has laid out concrete actions for how it intends to scale up climate action, integrate climate change across its operations, and work more closely with others, through collective action and partnerships, to implement new and innovative solutions. </w:t>
      </w:r>
    </w:p>
    <w:p w14:paraId="2F066D14" w14:textId="77777777" w:rsidR="00A40965" w:rsidRDefault="00A40965" w:rsidP="00A40965">
      <w:pPr>
        <w:jc w:val="both"/>
        <w:rPr>
          <w:rFonts w:ascii="Book Antiqua" w:hAnsi="Book Antiqua" w:cs="Times New Roman"/>
          <w:sz w:val="20"/>
          <w:szCs w:val="20"/>
        </w:rPr>
      </w:pPr>
      <w:r w:rsidRPr="00A40965">
        <w:rPr>
          <w:rFonts w:ascii="Book Antiqua" w:hAnsi="Book Antiqua" w:cs="Times New Roman"/>
          <w:sz w:val="20"/>
          <w:szCs w:val="20"/>
        </w:rPr>
        <w:t>In the MENA region</w:t>
      </w:r>
      <w:r w:rsidR="00F468F5">
        <w:rPr>
          <w:rFonts w:ascii="Book Antiqua" w:hAnsi="Book Antiqua" w:cs="Times New Roman"/>
          <w:sz w:val="20"/>
          <w:szCs w:val="20"/>
        </w:rPr>
        <w:t>,</w:t>
      </w:r>
      <w:r w:rsidRPr="00A40965">
        <w:rPr>
          <w:rFonts w:ascii="Book Antiqua" w:hAnsi="Book Antiqua" w:cs="Times New Roman"/>
          <w:sz w:val="20"/>
          <w:szCs w:val="20"/>
        </w:rPr>
        <w:t xml:space="preserve"> climate change is expected to result in sea level rise and an increase in heat extremes, which will put intense pressure on already scarce water resources. These in turn will </w:t>
      </w:r>
      <w:r w:rsidRPr="00A40965">
        <w:rPr>
          <w:rFonts w:ascii="Book Antiqua" w:hAnsi="Book Antiqua" w:cs="Times New Roman"/>
          <w:sz w:val="20"/>
          <w:szCs w:val="20"/>
        </w:rPr>
        <w:t>have severe implications for regional food security, livelihoods, public health and large coastal cities (Figure 1).</w:t>
      </w:r>
    </w:p>
    <w:p w14:paraId="2493661E" w14:textId="77777777" w:rsidR="00A40965" w:rsidRDefault="00A40965" w:rsidP="00A40965">
      <w:pPr>
        <w:jc w:val="both"/>
        <w:rPr>
          <w:rFonts w:ascii="Book Antiqua" w:hAnsi="Book Antiqua" w:cs="Times New Roman"/>
          <w:i/>
          <w:sz w:val="20"/>
          <w:szCs w:val="20"/>
        </w:rPr>
      </w:pPr>
      <w:r w:rsidRPr="00A40965">
        <w:rPr>
          <w:rFonts w:ascii="Book Antiqua" w:hAnsi="Book Antiqua" w:cs="Times New Roman"/>
          <w:b/>
          <w:sz w:val="20"/>
          <w:szCs w:val="20"/>
        </w:rPr>
        <w:t>Figure 1</w:t>
      </w:r>
      <w:r w:rsidRPr="00A40965">
        <w:rPr>
          <w:rFonts w:ascii="Book Antiqua" w:hAnsi="Book Antiqua" w:cs="Times New Roman"/>
          <w:b/>
          <w:i/>
          <w:sz w:val="20"/>
          <w:szCs w:val="20"/>
        </w:rPr>
        <w:t>.</w:t>
      </w:r>
      <w:r w:rsidRPr="00A40965">
        <w:rPr>
          <w:rFonts w:ascii="Book Antiqua" w:hAnsi="Book Antiqua" w:cs="Times New Roman"/>
          <w:i/>
          <w:sz w:val="20"/>
          <w:szCs w:val="20"/>
        </w:rPr>
        <w:t xml:space="preserve"> Climate Change impacts in the MENA region. (Source: Infographic developed for the World Bank 2014, Turn Down the Heat: Confronting the New Climate Normal)</w:t>
      </w:r>
    </w:p>
    <w:p w14:paraId="45C15C2C" w14:textId="77777777" w:rsidR="00A40965" w:rsidRPr="00A40965" w:rsidRDefault="00A40965" w:rsidP="00A40965">
      <w:pPr>
        <w:jc w:val="both"/>
        <w:rPr>
          <w:rFonts w:ascii="Book Antiqua" w:hAnsi="Book Antiqua" w:cs="Times New Roman"/>
          <w:sz w:val="20"/>
          <w:szCs w:val="20"/>
        </w:rPr>
      </w:pPr>
      <w:r>
        <w:rPr>
          <w:rFonts w:ascii="Book Antiqua" w:hAnsi="Book Antiqua" w:cs="Times New Roman"/>
          <w:noProof/>
          <w:sz w:val="20"/>
          <w:szCs w:val="20"/>
        </w:rPr>
        <w:drawing>
          <wp:inline distT="0" distB="0" distL="0" distR="0" wp14:anchorId="6E4DB2D9" wp14:editId="35D31256">
            <wp:extent cx="3409950" cy="389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895725"/>
                    </a:xfrm>
                    <a:prstGeom prst="rect">
                      <a:avLst/>
                    </a:prstGeom>
                    <a:noFill/>
                  </pic:spPr>
                </pic:pic>
              </a:graphicData>
            </a:graphic>
          </wp:inline>
        </w:drawing>
      </w:r>
    </w:p>
    <w:p w14:paraId="25F9E492" w14:textId="77777777" w:rsidR="00A40965" w:rsidRPr="00A40965" w:rsidRDefault="00A40965" w:rsidP="00A40965">
      <w:pPr>
        <w:jc w:val="both"/>
        <w:rPr>
          <w:rFonts w:ascii="Book Antiqua" w:hAnsi="Book Antiqua" w:cs="Times New Roman"/>
          <w:sz w:val="20"/>
          <w:szCs w:val="20"/>
        </w:rPr>
      </w:pPr>
      <w:r w:rsidRPr="00A40965">
        <w:rPr>
          <w:rFonts w:ascii="Book Antiqua" w:hAnsi="Book Antiqua" w:cs="Times New Roman"/>
          <w:sz w:val="20"/>
          <w:szCs w:val="20"/>
        </w:rPr>
        <w:t xml:space="preserve">According to the WB report, </w:t>
      </w:r>
      <w:r w:rsidRPr="00BE18A5">
        <w:rPr>
          <w:rFonts w:ascii="Book Antiqua" w:hAnsi="Book Antiqua" w:cs="Times New Roman"/>
          <w:i/>
          <w:sz w:val="20"/>
          <w:szCs w:val="20"/>
        </w:rPr>
        <w:t>Turn Down the Heat</w:t>
      </w:r>
      <w:r w:rsidRPr="00BE18A5">
        <w:rPr>
          <w:rFonts w:ascii="Book Antiqua" w:hAnsi="Book Antiqua" w:cs="Times New Roman"/>
          <w:i/>
          <w:sz w:val="20"/>
          <w:szCs w:val="20"/>
          <w:vertAlign w:val="superscript"/>
        </w:rPr>
        <w:endnoteReference w:id="3"/>
      </w:r>
      <w:r w:rsidRPr="00A40965">
        <w:rPr>
          <w:rFonts w:ascii="Book Antiqua" w:hAnsi="Book Antiqua" w:cs="Times New Roman"/>
          <w:sz w:val="20"/>
          <w:szCs w:val="20"/>
        </w:rPr>
        <w:t xml:space="preserve">, crop yields could decrease by up to 30 percent at 1.5–2°C and by almost 60 percent at 3–4°C. At the </w:t>
      </w:r>
      <w:r w:rsidRPr="00A40965">
        <w:rPr>
          <w:rFonts w:ascii="Book Antiqua" w:hAnsi="Book Antiqua" w:cs="Times New Roman"/>
          <w:sz w:val="20"/>
          <w:szCs w:val="20"/>
        </w:rPr>
        <w:lastRenderedPageBreak/>
        <w:t xml:space="preserve">same time, migration and climate-related pressure on resources might increase the risk of conflict. </w:t>
      </w:r>
    </w:p>
    <w:p w14:paraId="7EC26DAE" w14:textId="77777777" w:rsidR="00A40965" w:rsidRPr="00A40965" w:rsidRDefault="0099306A" w:rsidP="00A40965">
      <w:pPr>
        <w:jc w:val="both"/>
        <w:rPr>
          <w:rFonts w:ascii="Book Antiqua" w:hAnsi="Book Antiqua" w:cs="Times New Roman"/>
          <w:sz w:val="20"/>
          <w:szCs w:val="20"/>
        </w:rPr>
      </w:pPr>
      <w:r w:rsidRPr="0099306A">
        <w:rPr>
          <w:rFonts w:ascii="Book Antiqua" w:hAnsi="Book Antiqua" w:cs="Times New Roman"/>
          <w:b/>
          <w:sz w:val="20"/>
          <w:szCs w:val="20"/>
        </w:rPr>
        <w:t>MENA Countries Respond</w:t>
      </w:r>
      <w:r>
        <w:rPr>
          <w:rFonts w:ascii="Book Antiqua" w:hAnsi="Book Antiqua" w:cs="Times New Roman"/>
          <w:sz w:val="20"/>
          <w:szCs w:val="20"/>
        </w:rPr>
        <w:t xml:space="preserve">: </w:t>
      </w:r>
      <w:r w:rsidR="00A40965" w:rsidRPr="00A40965">
        <w:rPr>
          <w:rFonts w:ascii="Book Antiqua" w:hAnsi="Book Antiqua" w:cs="Times New Roman"/>
          <w:sz w:val="20"/>
          <w:szCs w:val="20"/>
        </w:rPr>
        <w:t>Aware of their vulnerabilities to the impacts of climate change, MENA countries have begun to act. Almost every country in the region has submitted a plan for how they will contribute towards the global framework under the Paris Agreement that drives collective action toward a zero-carbon, climate-resilient future</w:t>
      </w:r>
      <w:r w:rsidR="00A40965" w:rsidRPr="00A40965">
        <w:rPr>
          <w:rFonts w:ascii="Book Antiqua" w:hAnsi="Book Antiqua" w:cs="Times New Roman"/>
          <w:sz w:val="20"/>
          <w:szCs w:val="20"/>
          <w:vertAlign w:val="superscript"/>
        </w:rPr>
        <w:endnoteReference w:id="4"/>
      </w:r>
      <w:r w:rsidR="00A40965" w:rsidRPr="00A40965">
        <w:rPr>
          <w:rFonts w:ascii="Book Antiqua" w:hAnsi="Book Antiqua" w:cs="Times New Roman"/>
          <w:sz w:val="20"/>
          <w:szCs w:val="20"/>
        </w:rPr>
        <w:t xml:space="preserve">.  </w:t>
      </w:r>
      <w:r w:rsidR="00DC1720" w:rsidRPr="00DC1720">
        <w:rPr>
          <w:rFonts w:ascii="Book Antiqua" w:hAnsi="Book Antiqua" w:cs="Times New Roman"/>
          <w:sz w:val="20"/>
          <w:szCs w:val="20"/>
        </w:rPr>
        <w:t>To help countries implement these national plans, the MENA Climate Action Plan</w:t>
      </w:r>
      <w:r w:rsidR="00DC1720">
        <w:rPr>
          <w:rFonts w:ascii="Book Antiqua" w:hAnsi="Book Antiqua" w:cs="Times New Roman"/>
          <w:sz w:val="20"/>
          <w:szCs w:val="20"/>
        </w:rPr>
        <w:t xml:space="preserve"> was launched and</w:t>
      </w:r>
      <w:r w:rsidR="00DC1720" w:rsidRPr="00DC1720">
        <w:rPr>
          <w:rFonts w:ascii="Book Antiqua" w:hAnsi="Book Antiqua" w:cs="Times New Roman"/>
          <w:sz w:val="20"/>
          <w:szCs w:val="20"/>
        </w:rPr>
        <w:t xml:space="preserve"> aims to increase the portion of financing dedicated to climate action</w:t>
      </w:r>
      <w:r w:rsidR="00DC1720">
        <w:rPr>
          <w:rFonts w:ascii="Book Antiqua" w:hAnsi="Book Antiqua" w:cs="Times New Roman"/>
          <w:sz w:val="20"/>
          <w:szCs w:val="20"/>
        </w:rPr>
        <w:t xml:space="preserve"> with a</w:t>
      </w:r>
      <w:r w:rsidR="00DC1720" w:rsidRPr="00DC1720">
        <w:rPr>
          <w:rFonts w:ascii="Book Antiqua" w:hAnsi="Book Antiqua" w:cs="Times New Roman"/>
          <w:sz w:val="20"/>
          <w:szCs w:val="20"/>
        </w:rPr>
        <w:t xml:space="preserve"> focus on protecting the poorest that are most vulnerable to the impacts of climate change. </w:t>
      </w:r>
      <w:r w:rsidR="00A40965" w:rsidRPr="00A40965">
        <w:rPr>
          <w:rFonts w:ascii="Book Antiqua" w:hAnsi="Book Antiqua" w:cs="Times New Roman"/>
          <w:sz w:val="20"/>
          <w:szCs w:val="20"/>
        </w:rPr>
        <w:t xml:space="preserve"> The plan </w:t>
      </w:r>
      <w:r w:rsidR="003A1E0B">
        <w:rPr>
          <w:rFonts w:ascii="Book Antiqua" w:hAnsi="Book Antiqua" w:cs="Times New Roman"/>
          <w:sz w:val="20"/>
          <w:szCs w:val="20"/>
        </w:rPr>
        <w:t>sets out five commitments:</w:t>
      </w:r>
    </w:p>
    <w:p w14:paraId="03F6B8B5" w14:textId="77777777" w:rsidR="003A1E0B" w:rsidRDefault="003A1E0B" w:rsidP="00F468F5">
      <w:pPr>
        <w:pStyle w:val="ListParagraph"/>
        <w:numPr>
          <w:ilvl w:val="0"/>
          <w:numId w:val="5"/>
        </w:numPr>
        <w:jc w:val="both"/>
        <w:rPr>
          <w:rFonts w:ascii="Book Antiqua" w:hAnsi="Book Antiqua" w:cs="Times New Roman"/>
          <w:sz w:val="20"/>
          <w:szCs w:val="20"/>
        </w:rPr>
      </w:pPr>
      <w:r w:rsidRPr="003A1E0B">
        <w:rPr>
          <w:rFonts w:ascii="Book Antiqua" w:hAnsi="Book Antiqua" w:cs="Times New Roman"/>
          <w:sz w:val="20"/>
          <w:szCs w:val="20"/>
        </w:rPr>
        <w:t>By 2020, 30% of WBG finance to MENA will go towards climate</w:t>
      </w:r>
      <w:r>
        <w:rPr>
          <w:rFonts w:ascii="Book Antiqua" w:hAnsi="Book Antiqua" w:cs="Times New Roman"/>
          <w:sz w:val="20"/>
          <w:szCs w:val="20"/>
        </w:rPr>
        <w:t xml:space="preserve"> action</w:t>
      </w:r>
      <w:r w:rsidRPr="00A40965">
        <w:rPr>
          <w:rFonts w:ascii="Book Antiqua" w:hAnsi="Book Antiqua" w:cs="Times New Roman"/>
          <w:sz w:val="20"/>
          <w:szCs w:val="20"/>
        </w:rPr>
        <w:t xml:space="preserve"> (this is above the Bank’s institutional target of 28%)</w:t>
      </w:r>
    </w:p>
    <w:p w14:paraId="2B189B0C" w14:textId="77777777" w:rsidR="003A1E0B" w:rsidRDefault="003A1E0B" w:rsidP="00F468F5">
      <w:pPr>
        <w:pStyle w:val="ListParagraph"/>
        <w:numPr>
          <w:ilvl w:val="0"/>
          <w:numId w:val="5"/>
        </w:numPr>
        <w:jc w:val="both"/>
        <w:rPr>
          <w:rFonts w:ascii="Book Antiqua" w:hAnsi="Book Antiqua" w:cs="Times New Roman"/>
          <w:sz w:val="20"/>
          <w:szCs w:val="20"/>
        </w:rPr>
      </w:pPr>
      <w:r w:rsidRPr="003A1E0B">
        <w:rPr>
          <w:rFonts w:ascii="Book Antiqua" w:hAnsi="Book Antiqua" w:cs="Times New Roman"/>
          <w:sz w:val="20"/>
          <w:szCs w:val="20"/>
        </w:rPr>
        <w:t>Significantly increase the share of adaptation financing</w:t>
      </w:r>
      <w:r w:rsidR="00A60C90">
        <w:rPr>
          <w:rFonts w:ascii="Book Antiqua" w:hAnsi="Book Antiqua" w:cs="Times New Roman"/>
          <w:sz w:val="20"/>
          <w:szCs w:val="20"/>
        </w:rPr>
        <w:t xml:space="preserve"> (up to 50%)</w:t>
      </w:r>
    </w:p>
    <w:p w14:paraId="6A00E40A" w14:textId="77777777" w:rsidR="003A1E0B" w:rsidRDefault="00024C22" w:rsidP="00F468F5">
      <w:pPr>
        <w:pStyle w:val="ListParagraph"/>
        <w:numPr>
          <w:ilvl w:val="0"/>
          <w:numId w:val="5"/>
        </w:numPr>
        <w:jc w:val="both"/>
        <w:rPr>
          <w:rFonts w:ascii="Book Antiqua" w:hAnsi="Book Antiqua" w:cs="Times New Roman"/>
          <w:sz w:val="20"/>
          <w:szCs w:val="20"/>
        </w:rPr>
      </w:pPr>
      <w:r w:rsidRPr="003A1E0B">
        <w:rPr>
          <w:rFonts w:ascii="Book Antiqua" w:hAnsi="Book Antiqua" w:cs="Times New Roman"/>
          <w:sz w:val="20"/>
          <w:szCs w:val="20"/>
        </w:rPr>
        <w:t>Support policy reforms that lay the foundations for a green future</w:t>
      </w:r>
    </w:p>
    <w:p w14:paraId="3F3934D1" w14:textId="77777777" w:rsidR="003A1E0B" w:rsidRPr="003A1E0B" w:rsidRDefault="003A1E0B" w:rsidP="00F468F5">
      <w:pPr>
        <w:pStyle w:val="ListParagraph"/>
        <w:numPr>
          <w:ilvl w:val="0"/>
          <w:numId w:val="5"/>
        </w:numPr>
        <w:jc w:val="both"/>
        <w:rPr>
          <w:rFonts w:ascii="Book Antiqua" w:hAnsi="Book Antiqua" w:cs="Times New Roman"/>
          <w:sz w:val="20"/>
          <w:szCs w:val="20"/>
        </w:rPr>
      </w:pPr>
      <w:r w:rsidRPr="003A1E0B">
        <w:rPr>
          <w:rFonts w:ascii="Book Antiqua" w:hAnsi="Book Antiqua" w:cs="Times New Roman"/>
          <w:sz w:val="20"/>
          <w:szCs w:val="20"/>
        </w:rPr>
        <w:t>Crowd in private finance by leveraging the whole WBG, including IFC and MIGA</w:t>
      </w:r>
    </w:p>
    <w:p w14:paraId="10ABFFF5" w14:textId="77777777" w:rsidR="00024C22" w:rsidRPr="003A1E0B" w:rsidRDefault="003A1E0B" w:rsidP="00F468F5">
      <w:pPr>
        <w:pStyle w:val="ListParagraph"/>
        <w:numPr>
          <w:ilvl w:val="0"/>
          <w:numId w:val="5"/>
        </w:numPr>
        <w:jc w:val="both"/>
        <w:rPr>
          <w:rFonts w:ascii="Book Antiqua" w:hAnsi="Book Antiqua" w:cs="Times New Roman"/>
          <w:sz w:val="20"/>
          <w:szCs w:val="20"/>
        </w:rPr>
      </w:pPr>
      <w:r>
        <w:rPr>
          <w:rFonts w:ascii="Book Antiqua" w:hAnsi="Book Antiqua" w:cs="Times New Roman"/>
          <w:sz w:val="20"/>
          <w:szCs w:val="20"/>
        </w:rPr>
        <w:t>Enable</w:t>
      </w:r>
      <w:r w:rsidR="00024C22" w:rsidRPr="003A1E0B">
        <w:rPr>
          <w:rFonts w:ascii="Book Antiqua" w:hAnsi="Book Antiqua" w:cs="Times New Roman"/>
          <w:sz w:val="20"/>
          <w:szCs w:val="20"/>
        </w:rPr>
        <w:t xml:space="preserve"> collective action to increase security in key cross-border challenges</w:t>
      </w:r>
    </w:p>
    <w:p w14:paraId="31871F2A" w14:textId="77777777" w:rsidR="007B3BAC" w:rsidRDefault="005177C6" w:rsidP="00A40965">
      <w:pPr>
        <w:jc w:val="both"/>
        <w:rPr>
          <w:rFonts w:ascii="Book Antiqua" w:hAnsi="Book Antiqua" w:cs="Times New Roman"/>
          <w:sz w:val="20"/>
          <w:szCs w:val="20"/>
        </w:rPr>
      </w:pPr>
      <w:r>
        <w:rPr>
          <w:rFonts w:ascii="Book Antiqua" w:eastAsia="Times New Roman" w:hAnsi="Book Antiqua" w:cs="Times New Roman"/>
          <w:i/>
          <w:noProof/>
          <w:sz w:val="20"/>
          <w:szCs w:val="20"/>
        </w:rPr>
        <mc:AlternateContent>
          <mc:Choice Requires="wps">
            <w:drawing>
              <wp:anchor distT="0" distB="0" distL="114300" distR="114300" simplePos="0" relativeHeight="251663360" behindDoc="0" locked="0" layoutInCell="1" allowOverlap="1" wp14:anchorId="7D734F78" wp14:editId="4BBCB3D1">
                <wp:simplePos x="0" y="0"/>
                <wp:positionH relativeFrom="margin">
                  <wp:posOffset>3171825</wp:posOffset>
                </wp:positionH>
                <wp:positionV relativeFrom="paragraph">
                  <wp:posOffset>499745</wp:posOffset>
                </wp:positionV>
                <wp:extent cx="2895600" cy="19907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90725"/>
                        </a:xfrm>
                        <a:prstGeom prst="rect">
                          <a:avLst/>
                        </a:prstGeom>
                        <a:solidFill>
                          <a:srgbClr val="E4FEBE"/>
                        </a:solidFill>
                        <a:ln>
                          <a:noFill/>
                        </a:ln>
                        <a:extLst>
                          <a:ext uri="{91240B29-F687-4F45-9708-019B960494DF}">
                            <a14:hiddenLine xmlns:a14="http://schemas.microsoft.com/office/drawing/2010/main" w="9525">
                              <a:solidFill>
                                <a:srgbClr val="F2F2F2"/>
                              </a:solidFill>
                              <a:miter lim="800000"/>
                              <a:headEnd/>
                              <a:tailEnd/>
                            </a14:hiddenLine>
                          </a:ext>
                        </a:extLst>
                      </wps:spPr>
                      <wps:txbx>
                        <w:txbxContent>
                          <w:p w14:paraId="48490C92" w14:textId="77777777" w:rsidR="006F563A" w:rsidRPr="00007594" w:rsidRDefault="006F563A" w:rsidP="006F563A">
                            <w:pPr>
                              <w:spacing w:line="200" w:lineRule="exact"/>
                              <w:jc w:val="both"/>
                              <w:rPr>
                                <w:rFonts w:ascii="Book Antiqua" w:hAnsi="Book Antiqua"/>
                                <w:b/>
                                <w:sz w:val="18"/>
                                <w:szCs w:val="18"/>
                                <w:u w:val="single"/>
                              </w:rPr>
                            </w:pPr>
                            <w:r w:rsidRPr="00007594">
                              <w:rPr>
                                <w:rFonts w:ascii="Book Antiqua" w:hAnsi="Book Antiqua"/>
                                <w:b/>
                                <w:sz w:val="18"/>
                                <w:szCs w:val="18"/>
                                <w:u w:val="single"/>
                              </w:rPr>
                              <w:t>Contact MNA K&amp;L:</w:t>
                            </w:r>
                          </w:p>
                          <w:p w14:paraId="3574136F" w14:textId="77777777" w:rsidR="006F563A" w:rsidRPr="00DC1720" w:rsidRDefault="006F563A" w:rsidP="006F563A">
                            <w:pPr>
                              <w:pStyle w:val="NormalWeb"/>
                              <w:spacing w:after="0" w:line="200" w:lineRule="exact"/>
                              <w:rPr>
                                <w:rFonts w:ascii="Book Antiqua" w:hAnsi="Book Antiqua"/>
                                <w:sz w:val="18"/>
                                <w:szCs w:val="18"/>
                              </w:rPr>
                            </w:pPr>
                            <w:r w:rsidRPr="00DC1720">
                              <w:rPr>
                                <w:rFonts w:ascii="Book Antiqua" w:hAnsi="Book Antiqua"/>
                                <w:i/>
                                <w:iCs/>
                                <w:sz w:val="18"/>
                                <w:szCs w:val="18"/>
                              </w:rPr>
                              <w:t xml:space="preserve">Samia Msadek, </w:t>
                            </w:r>
                            <w:r w:rsidRPr="00DC1720">
                              <w:rPr>
                                <w:rFonts w:ascii="Book Antiqua" w:hAnsi="Book Antiqua"/>
                                <w:sz w:val="18"/>
                                <w:szCs w:val="18"/>
                              </w:rPr>
                              <w:t>Director, Strategy and Operations. MENA Region, The World Bank</w:t>
                            </w:r>
                          </w:p>
                          <w:p w14:paraId="411A4D5C" w14:textId="77777777" w:rsidR="00F971EC" w:rsidRPr="00DC1720" w:rsidRDefault="00F971EC" w:rsidP="006F563A">
                            <w:pPr>
                              <w:pStyle w:val="NormalWeb"/>
                              <w:spacing w:after="0" w:line="200" w:lineRule="exact"/>
                              <w:rPr>
                                <w:rFonts w:ascii="Book Antiqua" w:hAnsi="Book Antiqua"/>
                                <w:sz w:val="18"/>
                                <w:szCs w:val="18"/>
                              </w:rPr>
                            </w:pPr>
                          </w:p>
                          <w:p w14:paraId="29169991" w14:textId="77777777" w:rsidR="00F971EC" w:rsidRPr="00DC1720" w:rsidRDefault="006F563A" w:rsidP="006F563A">
                            <w:pPr>
                              <w:rPr>
                                <w:sz w:val="18"/>
                                <w:szCs w:val="18"/>
                                <w:lang w:val="de-DE"/>
                              </w:rPr>
                            </w:pPr>
                            <w:r w:rsidRPr="00DC1720">
                              <w:rPr>
                                <w:rFonts w:ascii="Book Antiqua" w:hAnsi="Book Antiqua"/>
                                <w:sz w:val="18"/>
                                <w:szCs w:val="18"/>
                              </w:rPr>
                              <w:t>Regional Quick Notes Team</w:t>
                            </w:r>
                            <w:r w:rsidRPr="00DC1720">
                              <w:rPr>
                                <w:rFonts w:ascii="Book Antiqua" w:hAnsi="Book Antiqua"/>
                                <w:i/>
                                <w:iCs/>
                                <w:sz w:val="18"/>
                                <w:szCs w:val="18"/>
                              </w:rPr>
                              <w:t xml:space="preserve">: </w:t>
                            </w:r>
                            <w:r w:rsidRPr="00DC1720">
                              <w:rPr>
                                <w:rFonts w:ascii="Book Antiqua" w:hAnsi="Book Antiqua"/>
                                <w:sz w:val="18"/>
                                <w:szCs w:val="18"/>
                              </w:rPr>
                              <w:t>Omer Karasapan, &amp; Mark Volk - Tel #: (202) 473 8177</w:t>
                            </w:r>
                          </w:p>
                          <w:p w14:paraId="630E0CAA" w14:textId="77777777" w:rsidR="006F563A" w:rsidRPr="00DC1720" w:rsidRDefault="006F563A" w:rsidP="006F563A">
                            <w:pPr>
                              <w:rPr>
                                <w:sz w:val="18"/>
                                <w:szCs w:val="18"/>
                                <w:lang w:val="de-DE"/>
                              </w:rPr>
                            </w:pPr>
                            <w:r w:rsidRPr="00DC1720">
                              <w:rPr>
                                <w:rFonts w:ascii="Book Antiqua" w:hAnsi="Book Antiqua"/>
                                <w:i/>
                                <w:iCs/>
                                <w:sz w:val="18"/>
                                <w:szCs w:val="18"/>
                              </w:rPr>
                              <w:t>The MNA Quick Notes are intended to summarize lessons learned from MNA and other Bank Knowledge and Learning activities. The Notes do not necessarily reflect the views of the World Bank, its board or its member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97D6" id="Text Box 4" o:spid="_x0000_s1027" type="#_x0000_t202" style="position:absolute;left:0;text-align:left;margin-left:249.75pt;margin-top:39.35pt;width:228pt;height:15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" fillcolor="#e4febe" stroked="f" strokecolor="#f2f2f2">
                <v:textbox>
                  <w:txbxContent>
                    <w:p w:rsidR="006F563A" w:rsidRPr="00007594" w:rsidRDefault="006F563A" w:rsidP="006F563A">
                      <w:pPr>
                        <w:spacing w:line="200" w:lineRule="exact"/>
                        <w:jc w:val="both"/>
                        <w:rPr>
                          <w:rFonts w:ascii="Book Antiqua" w:hAnsi="Book Antiqua"/>
                          <w:b/>
                          <w:sz w:val="18"/>
                          <w:szCs w:val="18"/>
                          <w:u w:val="single"/>
                        </w:rPr>
                      </w:pPr>
                      <w:r w:rsidRPr="00007594">
                        <w:rPr>
                          <w:rFonts w:ascii="Book Antiqua" w:hAnsi="Book Antiqua"/>
                          <w:b/>
                          <w:sz w:val="18"/>
                          <w:szCs w:val="18"/>
                          <w:u w:val="single"/>
                        </w:rPr>
                        <w:t>Contact MNA K&amp;L:</w:t>
                      </w:r>
                    </w:p>
                    <w:p w:rsidR="006F563A" w:rsidRPr="00DC1720" w:rsidRDefault="006F563A" w:rsidP="006F563A">
                      <w:pPr>
                        <w:pStyle w:val="NormalWeb"/>
                        <w:spacing w:after="0" w:line="200" w:lineRule="exact"/>
                        <w:rPr>
                          <w:rFonts w:ascii="Book Antiqua" w:hAnsi="Book Antiqua"/>
                          <w:sz w:val="18"/>
                          <w:szCs w:val="18"/>
                        </w:rPr>
                      </w:pPr>
                      <w:r w:rsidRPr="00DC1720">
                        <w:rPr>
                          <w:rFonts w:ascii="Book Antiqua" w:hAnsi="Book Antiqua"/>
                          <w:i/>
                          <w:iCs/>
                          <w:sz w:val="18"/>
                          <w:szCs w:val="18"/>
                        </w:rPr>
                        <w:t xml:space="preserve">Samia Msadek, </w:t>
                      </w:r>
                      <w:r w:rsidRPr="00DC1720">
                        <w:rPr>
                          <w:rFonts w:ascii="Book Antiqua" w:hAnsi="Book Antiqua"/>
                          <w:sz w:val="18"/>
                          <w:szCs w:val="18"/>
                        </w:rPr>
                        <w:t>Director, Strategy and Operations. MENA Region, The World Bank</w:t>
                      </w:r>
                    </w:p>
                    <w:p w:rsidR="00F971EC" w:rsidRPr="00DC1720" w:rsidRDefault="00F971EC" w:rsidP="006F563A">
                      <w:pPr>
                        <w:pStyle w:val="NormalWeb"/>
                        <w:spacing w:after="0" w:line="200" w:lineRule="exact"/>
                        <w:rPr>
                          <w:rFonts w:ascii="Book Antiqua" w:hAnsi="Book Antiqua"/>
                          <w:sz w:val="18"/>
                          <w:szCs w:val="18"/>
                        </w:rPr>
                      </w:pPr>
                    </w:p>
                    <w:p w:rsidR="00F971EC" w:rsidRPr="00DC1720" w:rsidRDefault="006F563A" w:rsidP="006F563A">
                      <w:pPr>
                        <w:rPr>
                          <w:sz w:val="18"/>
                          <w:szCs w:val="18"/>
                          <w:lang w:val="de-DE"/>
                        </w:rPr>
                      </w:pPr>
                      <w:r w:rsidRPr="00DC1720">
                        <w:rPr>
                          <w:rFonts w:ascii="Book Antiqua" w:hAnsi="Book Antiqua"/>
                          <w:sz w:val="18"/>
                          <w:szCs w:val="18"/>
                        </w:rPr>
                        <w:t>Regional Quick Notes Team</w:t>
                      </w:r>
                      <w:r w:rsidRPr="00DC1720">
                        <w:rPr>
                          <w:rFonts w:ascii="Book Antiqua" w:hAnsi="Book Antiqua"/>
                          <w:i/>
                          <w:iCs/>
                          <w:sz w:val="18"/>
                          <w:szCs w:val="18"/>
                        </w:rPr>
                        <w:t xml:space="preserve">: </w:t>
                      </w:r>
                      <w:r w:rsidRPr="00DC1720">
                        <w:rPr>
                          <w:rFonts w:ascii="Book Antiqua" w:hAnsi="Book Antiqua"/>
                          <w:sz w:val="18"/>
                          <w:szCs w:val="18"/>
                        </w:rPr>
                        <w:t>Omer Karasapan, &amp; Mark Volk - Tel #: (202) 473 8177</w:t>
                      </w:r>
                    </w:p>
                    <w:p w:rsidR="006F563A" w:rsidRPr="00DC1720" w:rsidRDefault="006F563A" w:rsidP="006F563A">
                      <w:pPr>
                        <w:rPr>
                          <w:sz w:val="18"/>
                          <w:szCs w:val="18"/>
                          <w:lang w:val="de-DE"/>
                        </w:rPr>
                      </w:pPr>
                      <w:r w:rsidRPr="00DC1720">
                        <w:rPr>
                          <w:rFonts w:ascii="Book Antiqua" w:hAnsi="Book Antiqua"/>
                          <w:i/>
                          <w:iCs/>
                          <w:sz w:val="18"/>
                          <w:szCs w:val="18"/>
                        </w:rPr>
                        <w:t>The MNA Quick Notes are intended to summarize lessons learned from MNA and other Bank Knowledge and Learning activities. The Notes do not necessarily reflect the views of the World Bank, its board or its member countries.</w:t>
                      </w:r>
                    </w:p>
                  </w:txbxContent>
                </v:textbox>
                <w10:wrap type="square" anchorx="margin"/>
              </v:shape>
            </w:pict>
          </mc:Fallback>
        </mc:AlternateContent>
      </w:r>
      <w:r w:rsidR="00A40965" w:rsidRPr="00A40965">
        <w:rPr>
          <w:rFonts w:ascii="Book Antiqua" w:hAnsi="Book Antiqua" w:cs="Times New Roman"/>
          <w:sz w:val="20"/>
          <w:szCs w:val="20"/>
        </w:rPr>
        <w:t>In Iraq, the Bank is supporting a US$210 million project to improve the quality of drinking water supply and wastewater services in Baghdad. Leakage of untreated wastewater and the improper disposal of sewage contributes to outbreaks of waterborne diseases and aggravates health and environmental problems</w:t>
      </w:r>
      <w:r w:rsidR="00F468F5">
        <w:rPr>
          <w:rFonts w:ascii="Book Antiqua" w:hAnsi="Book Antiqua" w:cs="Times New Roman"/>
          <w:sz w:val="20"/>
          <w:szCs w:val="20"/>
        </w:rPr>
        <w:t xml:space="preserve"> for residents</w:t>
      </w:r>
      <w:r w:rsidR="00A40965" w:rsidRPr="00A40965">
        <w:rPr>
          <w:rFonts w:ascii="Book Antiqua" w:hAnsi="Book Antiqua" w:cs="Times New Roman"/>
          <w:sz w:val="20"/>
          <w:szCs w:val="20"/>
        </w:rPr>
        <w:t xml:space="preserve">. These issues are </w:t>
      </w:r>
      <w:r w:rsidR="00485F66">
        <w:rPr>
          <w:rFonts w:ascii="Book Antiqua" w:hAnsi="Book Antiqua" w:cs="Times New Roman"/>
          <w:sz w:val="20"/>
          <w:szCs w:val="20"/>
        </w:rPr>
        <w:t xml:space="preserve">only </w:t>
      </w:r>
      <w:r w:rsidR="00A40965" w:rsidRPr="00A40965">
        <w:rPr>
          <w:rFonts w:ascii="Book Antiqua" w:hAnsi="Book Antiqua" w:cs="Times New Roman"/>
          <w:sz w:val="20"/>
          <w:szCs w:val="20"/>
        </w:rPr>
        <w:t>compounded by climate change. The Baghdad Water Supply and Sewerage Improvement Project will tackle the</w:t>
      </w:r>
      <w:r w:rsidR="00485F66">
        <w:rPr>
          <w:rFonts w:ascii="Book Antiqua" w:hAnsi="Book Antiqua" w:cs="Times New Roman"/>
          <w:sz w:val="20"/>
          <w:szCs w:val="20"/>
        </w:rPr>
        <w:t>se</w:t>
      </w:r>
      <w:r w:rsidR="00A40965" w:rsidRPr="00A40965">
        <w:rPr>
          <w:rFonts w:ascii="Book Antiqua" w:hAnsi="Book Antiqua" w:cs="Times New Roman"/>
          <w:sz w:val="20"/>
          <w:szCs w:val="20"/>
        </w:rPr>
        <w:t xml:space="preserve"> issues through </w:t>
      </w:r>
      <w:r w:rsidR="00D67B59" w:rsidRPr="00A40965">
        <w:rPr>
          <w:rFonts w:ascii="Book Antiqua" w:hAnsi="Book Antiqua" w:cs="Times New Roman"/>
          <w:sz w:val="20"/>
          <w:szCs w:val="20"/>
        </w:rPr>
        <w:t xml:space="preserve">institutional </w:t>
      </w:r>
      <w:r w:rsidR="00A40965" w:rsidRPr="00A40965">
        <w:rPr>
          <w:rFonts w:ascii="Book Antiqua" w:hAnsi="Book Antiqua" w:cs="Times New Roman"/>
          <w:sz w:val="20"/>
          <w:szCs w:val="20"/>
        </w:rPr>
        <w:t xml:space="preserve">strengthening </w:t>
      </w:r>
      <w:r w:rsidR="00D67B59">
        <w:rPr>
          <w:rFonts w:ascii="Book Antiqua" w:hAnsi="Book Antiqua" w:cs="Times New Roman"/>
          <w:sz w:val="20"/>
          <w:szCs w:val="20"/>
        </w:rPr>
        <w:t xml:space="preserve">for </w:t>
      </w:r>
      <w:r w:rsidR="00A40965" w:rsidRPr="00A40965">
        <w:rPr>
          <w:rFonts w:ascii="Book Antiqua" w:hAnsi="Book Antiqua" w:cs="Times New Roman"/>
          <w:sz w:val="20"/>
          <w:szCs w:val="20"/>
        </w:rPr>
        <w:t>urban water</w:t>
      </w:r>
      <w:r w:rsidR="00D67B59">
        <w:rPr>
          <w:rFonts w:ascii="Book Antiqua" w:hAnsi="Book Antiqua" w:cs="Times New Roman"/>
          <w:sz w:val="20"/>
          <w:szCs w:val="20"/>
        </w:rPr>
        <w:t xml:space="preserve"> and utility</w:t>
      </w:r>
      <w:r w:rsidR="00A40965" w:rsidRPr="00A40965">
        <w:rPr>
          <w:rFonts w:ascii="Book Antiqua" w:hAnsi="Book Antiqua" w:cs="Times New Roman"/>
          <w:sz w:val="20"/>
          <w:szCs w:val="20"/>
        </w:rPr>
        <w:t xml:space="preserve"> </w:t>
      </w:r>
      <w:r w:rsidRPr="00A40965">
        <w:rPr>
          <w:rFonts w:ascii="Book Antiqua" w:hAnsi="Book Antiqua" w:cs="Times New Roman"/>
          <w:sz w:val="20"/>
          <w:szCs w:val="20"/>
        </w:rPr>
        <w:t xml:space="preserve">management </w:t>
      </w:r>
      <w:r>
        <w:rPr>
          <w:rFonts w:ascii="Book Antiqua" w:hAnsi="Book Antiqua" w:cs="Times New Roman"/>
          <w:sz w:val="20"/>
          <w:szCs w:val="20"/>
        </w:rPr>
        <w:t>and</w:t>
      </w:r>
      <w:r w:rsidR="00D67B59">
        <w:rPr>
          <w:rFonts w:ascii="Book Antiqua" w:hAnsi="Book Antiqua" w:cs="Times New Roman"/>
          <w:sz w:val="20"/>
          <w:szCs w:val="20"/>
        </w:rPr>
        <w:t xml:space="preserve"> </w:t>
      </w:r>
      <w:r w:rsidR="00A40965" w:rsidRPr="00A40965">
        <w:rPr>
          <w:rFonts w:ascii="Book Antiqua" w:hAnsi="Book Antiqua" w:cs="Times New Roman"/>
          <w:sz w:val="20"/>
          <w:szCs w:val="20"/>
        </w:rPr>
        <w:t>investment</w:t>
      </w:r>
      <w:r w:rsidR="00F468F5">
        <w:rPr>
          <w:rFonts w:ascii="Book Antiqua" w:hAnsi="Book Antiqua" w:cs="Times New Roman"/>
          <w:sz w:val="20"/>
          <w:szCs w:val="20"/>
        </w:rPr>
        <w:t>s</w:t>
      </w:r>
      <w:r w:rsidR="00A40965" w:rsidRPr="00A40965">
        <w:rPr>
          <w:rFonts w:ascii="Book Antiqua" w:hAnsi="Book Antiqua" w:cs="Times New Roman"/>
          <w:sz w:val="20"/>
          <w:szCs w:val="20"/>
        </w:rPr>
        <w:t xml:space="preserve"> in drinking water supply and </w:t>
      </w:r>
      <w:r w:rsidR="00A40965" w:rsidRPr="00A40965">
        <w:rPr>
          <w:rFonts w:ascii="Book Antiqua" w:hAnsi="Book Antiqua" w:cs="Times New Roman"/>
          <w:sz w:val="20"/>
          <w:szCs w:val="20"/>
        </w:rPr>
        <w:t xml:space="preserve">wastewater infrastructure, which </w:t>
      </w:r>
      <w:r w:rsidR="007B3BAC">
        <w:rPr>
          <w:rFonts w:ascii="Book Antiqua" w:hAnsi="Book Antiqua" w:cs="Times New Roman"/>
          <w:sz w:val="20"/>
          <w:szCs w:val="20"/>
        </w:rPr>
        <w:t xml:space="preserve">will include </w:t>
      </w:r>
      <w:r w:rsidR="00D67B59">
        <w:rPr>
          <w:rFonts w:ascii="Book Antiqua" w:hAnsi="Book Antiqua" w:cs="Times New Roman"/>
          <w:sz w:val="20"/>
          <w:szCs w:val="20"/>
        </w:rPr>
        <w:t xml:space="preserve">the </w:t>
      </w:r>
      <w:r w:rsidR="00A40965" w:rsidRPr="00A40965">
        <w:rPr>
          <w:rFonts w:ascii="Book Antiqua" w:hAnsi="Book Antiqua" w:cs="Times New Roman"/>
          <w:sz w:val="20"/>
          <w:szCs w:val="20"/>
        </w:rPr>
        <w:t xml:space="preserve">construction of a service reservoir with a total capacity of 135,000 cubic </w:t>
      </w:r>
      <w:r w:rsidR="007B3BAC">
        <w:rPr>
          <w:rFonts w:ascii="Book Antiqua" w:hAnsi="Book Antiqua" w:cs="Times New Roman"/>
          <w:sz w:val="20"/>
          <w:szCs w:val="20"/>
        </w:rPr>
        <w:t xml:space="preserve">meters to ensure improved water supply quality and reliability for over 550,000 people. </w:t>
      </w:r>
    </w:p>
    <w:p w14:paraId="27C35AD6" w14:textId="77777777" w:rsidR="00E307E1" w:rsidRDefault="00E307E1" w:rsidP="00A40965">
      <w:pPr>
        <w:jc w:val="both"/>
        <w:rPr>
          <w:rFonts w:ascii="Book Antiqua" w:hAnsi="Book Antiqua" w:cs="Times New Roman"/>
          <w:sz w:val="20"/>
          <w:szCs w:val="20"/>
        </w:rPr>
      </w:pPr>
      <w:r w:rsidRPr="00E307E1">
        <w:rPr>
          <w:rFonts w:ascii="Book Antiqua" w:hAnsi="Book Antiqua" w:cs="Times New Roman"/>
          <w:sz w:val="20"/>
          <w:szCs w:val="20"/>
        </w:rPr>
        <w:t>In Tunisia, the Bank is supporting a US$ 100 million project to improve landscape management and access to economic opportunities for targeted rural communities in the North West and Center West regions of Tunisia. The project</w:t>
      </w:r>
      <w:r w:rsidR="00D67B59">
        <w:rPr>
          <w:rFonts w:ascii="Book Antiqua" w:hAnsi="Book Antiqua" w:cs="Times New Roman"/>
          <w:sz w:val="20"/>
          <w:szCs w:val="20"/>
        </w:rPr>
        <w:t>,</w:t>
      </w:r>
      <w:r w:rsidRPr="00E307E1">
        <w:rPr>
          <w:rFonts w:ascii="Book Antiqua" w:hAnsi="Book Antiqua" w:cs="Times New Roman"/>
          <w:sz w:val="20"/>
          <w:szCs w:val="20"/>
        </w:rPr>
        <w:t xml:space="preserve"> which is targeting poorer rural communities</w:t>
      </w:r>
      <w:r w:rsidR="00D67B59">
        <w:rPr>
          <w:rFonts w:ascii="Book Antiqua" w:hAnsi="Book Antiqua" w:cs="Times New Roman"/>
          <w:sz w:val="20"/>
          <w:szCs w:val="20"/>
        </w:rPr>
        <w:t>,</w:t>
      </w:r>
      <w:r w:rsidR="004A2B98">
        <w:rPr>
          <w:rFonts w:ascii="Book Antiqua" w:hAnsi="Book Antiqua" w:cs="Times New Roman"/>
          <w:sz w:val="20"/>
          <w:szCs w:val="20"/>
        </w:rPr>
        <w:t xml:space="preserve"> </w:t>
      </w:r>
      <w:r w:rsidRPr="00E307E1">
        <w:rPr>
          <w:rFonts w:ascii="Book Antiqua" w:hAnsi="Book Antiqua" w:cs="Times New Roman"/>
          <w:sz w:val="20"/>
          <w:szCs w:val="20"/>
        </w:rPr>
        <w:t>is aimed at promoting sustainable management of natural resources, which are currently being threatened by climate change</w:t>
      </w:r>
      <w:r w:rsidR="004A2B98">
        <w:rPr>
          <w:rFonts w:ascii="Book Antiqua" w:hAnsi="Book Antiqua" w:cs="Times New Roman"/>
          <w:sz w:val="20"/>
          <w:szCs w:val="20"/>
        </w:rPr>
        <w:t>,</w:t>
      </w:r>
      <w:r w:rsidRPr="00E307E1">
        <w:rPr>
          <w:rFonts w:ascii="Book Antiqua" w:hAnsi="Book Antiqua" w:cs="Times New Roman"/>
          <w:sz w:val="20"/>
          <w:szCs w:val="20"/>
        </w:rPr>
        <w:t xml:space="preserve"> overgrazing and, deforestation. The integrated landscape development approach has the potential of raising the value of the regions output nearly five-fold from the current US$16 million to US$75 million, with the potential to create around 25,000 jobs</w:t>
      </w:r>
    </w:p>
    <w:p w14:paraId="0C808FA6" w14:textId="2E3011AE" w:rsidR="00A40965" w:rsidRPr="00A40965" w:rsidRDefault="0099306A" w:rsidP="00A40965">
      <w:pPr>
        <w:jc w:val="both"/>
        <w:rPr>
          <w:rFonts w:ascii="Book Antiqua" w:hAnsi="Book Antiqua" w:cs="Times New Roman"/>
          <w:sz w:val="20"/>
          <w:szCs w:val="20"/>
        </w:rPr>
      </w:pPr>
      <w:r w:rsidRPr="0099306A">
        <w:rPr>
          <w:rFonts w:ascii="Book Antiqua" w:hAnsi="Book Antiqua" w:cs="Times New Roman"/>
          <w:b/>
          <w:sz w:val="20"/>
          <w:szCs w:val="20"/>
        </w:rPr>
        <w:t>Next Steps</w:t>
      </w:r>
      <w:r>
        <w:rPr>
          <w:rFonts w:ascii="Book Antiqua" w:hAnsi="Book Antiqua" w:cs="Times New Roman"/>
          <w:sz w:val="20"/>
          <w:szCs w:val="20"/>
        </w:rPr>
        <w:t xml:space="preserve">: </w:t>
      </w:r>
      <w:r w:rsidR="00A40965" w:rsidRPr="00A40965">
        <w:rPr>
          <w:rFonts w:ascii="Book Antiqua" w:hAnsi="Book Antiqua" w:cs="Times New Roman"/>
          <w:sz w:val="20"/>
          <w:szCs w:val="20"/>
        </w:rPr>
        <w:t xml:space="preserve">Looking forward, the </w:t>
      </w:r>
      <w:r w:rsidR="003A6A30">
        <w:rPr>
          <w:rFonts w:ascii="Book Antiqua" w:hAnsi="Book Antiqua" w:cs="Times New Roman"/>
          <w:sz w:val="20"/>
          <w:szCs w:val="20"/>
        </w:rPr>
        <w:t xml:space="preserve">Bank’s </w:t>
      </w:r>
      <w:r w:rsidR="00A40965" w:rsidRPr="00A40965">
        <w:rPr>
          <w:rFonts w:ascii="Book Antiqua" w:hAnsi="Book Antiqua" w:cs="Times New Roman"/>
          <w:sz w:val="20"/>
          <w:szCs w:val="20"/>
        </w:rPr>
        <w:t xml:space="preserve">MENA region </w:t>
      </w:r>
      <w:r w:rsidR="007F5568">
        <w:rPr>
          <w:rFonts w:ascii="Book Antiqua" w:hAnsi="Book Antiqua" w:cs="Times New Roman"/>
          <w:sz w:val="20"/>
          <w:szCs w:val="20"/>
        </w:rPr>
        <w:t xml:space="preserve">will focus on achieving </w:t>
      </w:r>
      <w:r w:rsidR="007E666C">
        <w:rPr>
          <w:rFonts w:ascii="Book Antiqua" w:hAnsi="Book Antiqua" w:cs="Times New Roman"/>
          <w:sz w:val="20"/>
          <w:szCs w:val="20"/>
        </w:rPr>
        <w:t xml:space="preserve">all of </w:t>
      </w:r>
      <w:r w:rsidR="007F5568">
        <w:rPr>
          <w:rFonts w:ascii="Book Antiqua" w:hAnsi="Book Antiqua" w:cs="Times New Roman"/>
          <w:sz w:val="20"/>
          <w:szCs w:val="20"/>
        </w:rPr>
        <w:t>their</w:t>
      </w:r>
      <w:r w:rsidR="00A40965" w:rsidRPr="00A40965">
        <w:rPr>
          <w:rFonts w:ascii="Book Antiqua" w:hAnsi="Book Antiqua" w:cs="Times New Roman"/>
          <w:sz w:val="20"/>
          <w:szCs w:val="20"/>
        </w:rPr>
        <w:t xml:space="preserve"> ambitious targets. The example</w:t>
      </w:r>
      <w:r w:rsidR="00E307E1">
        <w:rPr>
          <w:rFonts w:ascii="Book Antiqua" w:hAnsi="Book Antiqua" w:cs="Times New Roman"/>
          <w:sz w:val="20"/>
          <w:szCs w:val="20"/>
        </w:rPr>
        <w:t>s</w:t>
      </w:r>
      <w:r w:rsidR="00A40965" w:rsidRPr="00A40965">
        <w:rPr>
          <w:rFonts w:ascii="Book Antiqua" w:hAnsi="Book Antiqua" w:cs="Times New Roman"/>
          <w:sz w:val="20"/>
          <w:szCs w:val="20"/>
        </w:rPr>
        <w:t xml:space="preserve"> from Iraq</w:t>
      </w:r>
      <w:r w:rsidR="000C4EC9">
        <w:rPr>
          <w:rFonts w:ascii="Book Antiqua" w:hAnsi="Book Antiqua" w:cs="Times New Roman"/>
          <w:sz w:val="20"/>
          <w:szCs w:val="20"/>
        </w:rPr>
        <w:t xml:space="preserve"> and</w:t>
      </w:r>
      <w:bookmarkStart w:id="2" w:name="_GoBack"/>
      <w:bookmarkEnd w:id="2"/>
      <w:r w:rsidR="00E307E1">
        <w:rPr>
          <w:rFonts w:ascii="Book Antiqua" w:hAnsi="Book Antiqua" w:cs="Times New Roman"/>
          <w:sz w:val="20"/>
          <w:szCs w:val="20"/>
        </w:rPr>
        <w:t xml:space="preserve"> Tunisia </w:t>
      </w:r>
      <w:r w:rsidR="002F383C">
        <w:rPr>
          <w:rFonts w:ascii="Book Antiqua" w:hAnsi="Book Antiqua" w:cs="Times New Roman"/>
          <w:sz w:val="20"/>
          <w:szCs w:val="20"/>
        </w:rPr>
        <w:t xml:space="preserve">both </w:t>
      </w:r>
      <w:r w:rsidR="002F383C" w:rsidRPr="00A40965">
        <w:rPr>
          <w:rFonts w:ascii="Book Antiqua" w:hAnsi="Book Antiqua" w:cs="Times New Roman"/>
          <w:sz w:val="20"/>
          <w:szCs w:val="20"/>
        </w:rPr>
        <w:t>demonstrate</w:t>
      </w:r>
      <w:r w:rsidR="00A40965" w:rsidRPr="00A40965">
        <w:rPr>
          <w:rFonts w:ascii="Book Antiqua" w:hAnsi="Book Antiqua" w:cs="Times New Roman"/>
          <w:sz w:val="20"/>
          <w:szCs w:val="20"/>
        </w:rPr>
        <w:t xml:space="preserve"> how the Bank is actively working with countries to help them deliver on and exceed their Paris ambitions as well as highlight the tremendous potential in the region for increasing resilience to climate impacts and reducing emissions, while advancing development goals.</w:t>
      </w:r>
    </w:p>
    <w:bookmarkEnd w:id="1"/>
    <w:p w14:paraId="3B1386DB" w14:textId="77777777" w:rsidR="00A40965" w:rsidRPr="00A40965" w:rsidRDefault="00A40965" w:rsidP="00A40965">
      <w:pPr>
        <w:jc w:val="both"/>
        <w:rPr>
          <w:rFonts w:ascii="Book Antiqua" w:hAnsi="Book Antiqua" w:cs="Times New Roman"/>
          <w:i/>
          <w:sz w:val="20"/>
          <w:szCs w:val="20"/>
        </w:rPr>
      </w:pPr>
    </w:p>
    <w:sectPr w:rsidR="00A40965" w:rsidRPr="00A40965" w:rsidSect="006F1DB5">
      <w:footerReference w:type="default" r:id="rId1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6983" w14:textId="77777777" w:rsidR="001B04C4" w:rsidRDefault="001B04C4" w:rsidP="0059718E">
      <w:pPr>
        <w:spacing w:after="0" w:line="240" w:lineRule="auto"/>
      </w:pPr>
      <w:r>
        <w:separator/>
      </w:r>
    </w:p>
  </w:endnote>
  <w:endnote w:type="continuationSeparator" w:id="0">
    <w:p w14:paraId="139616AC" w14:textId="77777777" w:rsidR="001B04C4" w:rsidRDefault="001B04C4" w:rsidP="0059718E">
      <w:pPr>
        <w:spacing w:after="0" w:line="240" w:lineRule="auto"/>
      </w:pPr>
      <w:r>
        <w:continuationSeparator/>
      </w:r>
    </w:p>
  </w:endnote>
  <w:endnote w:id="1">
    <w:p w14:paraId="31EFC9AB" w14:textId="77777777" w:rsidR="00A40965" w:rsidRPr="007B3BAC" w:rsidRDefault="00A40965" w:rsidP="00A40965">
      <w:pPr>
        <w:pStyle w:val="EndnoteText"/>
        <w:rPr>
          <w:rFonts w:ascii="Book Antiqua" w:hAnsi="Book Antiqua"/>
        </w:rPr>
      </w:pPr>
      <w:r w:rsidRPr="007B3BAC">
        <w:rPr>
          <w:rStyle w:val="EndnoteReference"/>
          <w:rFonts w:ascii="Book Antiqua" w:hAnsi="Book Antiqua"/>
        </w:rPr>
        <w:endnoteRef/>
      </w:r>
      <w:r w:rsidRPr="007B3BAC">
        <w:rPr>
          <w:rFonts w:ascii="Book Antiqua" w:hAnsi="Book Antiqua"/>
        </w:rPr>
        <w:t xml:space="preserve"> WBG Climate Action Plan, 2016</w:t>
      </w:r>
    </w:p>
  </w:endnote>
  <w:endnote w:id="2">
    <w:p w14:paraId="57187E23" w14:textId="77777777" w:rsidR="00A40965" w:rsidRPr="007B3BAC" w:rsidRDefault="00A40965" w:rsidP="00A40965">
      <w:pPr>
        <w:pStyle w:val="EndnoteText"/>
        <w:rPr>
          <w:rFonts w:ascii="Book Antiqua" w:hAnsi="Book Antiqua"/>
        </w:rPr>
      </w:pPr>
      <w:r w:rsidRPr="007B3BAC">
        <w:rPr>
          <w:rStyle w:val="EndnoteReference"/>
          <w:rFonts w:ascii="Book Antiqua" w:hAnsi="Book Antiqua"/>
        </w:rPr>
        <w:endnoteRef/>
      </w:r>
      <w:r w:rsidRPr="007B3BAC">
        <w:rPr>
          <w:rFonts w:ascii="Book Antiqua" w:hAnsi="Book Antiqua"/>
        </w:rPr>
        <w:t xml:space="preserve"> ibid</w:t>
      </w:r>
    </w:p>
  </w:endnote>
  <w:endnote w:id="3">
    <w:p w14:paraId="61ABD676" w14:textId="77777777" w:rsidR="00A40965" w:rsidRPr="007B3BAC" w:rsidRDefault="00A40965" w:rsidP="00A40965">
      <w:pPr>
        <w:pStyle w:val="EndnoteText"/>
        <w:rPr>
          <w:rFonts w:ascii="Book Antiqua" w:hAnsi="Book Antiqua"/>
        </w:rPr>
      </w:pPr>
      <w:r w:rsidRPr="007B3BAC">
        <w:rPr>
          <w:rStyle w:val="EndnoteReference"/>
          <w:rFonts w:ascii="Book Antiqua" w:hAnsi="Book Antiqua"/>
        </w:rPr>
        <w:endnoteRef/>
      </w:r>
      <w:r w:rsidRPr="007B3BAC">
        <w:rPr>
          <w:rFonts w:ascii="Book Antiqua" w:hAnsi="Book Antiqua"/>
        </w:rPr>
        <w:t xml:space="preserve"> http://documents.worldbank.org/curated/en/317301468242098870/pdf/927040v20WP00O0ull0Report000English.pdf</w:t>
      </w:r>
    </w:p>
  </w:endnote>
  <w:endnote w:id="4">
    <w:p w14:paraId="184F4D3A" w14:textId="77777777" w:rsidR="00A40965" w:rsidRPr="007B3BAC" w:rsidRDefault="00A40965" w:rsidP="00A40965">
      <w:pPr>
        <w:pStyle w:val="EndnoteText"/>
        <w:rPr>
          <w:rFonts w:ascii="Book Antiqua" w:hAnsi="Book Antiqua"/>
        </w:rPr>
      </w:pPr>
      <w:r w:rsidRPr="007B3BAC">
        <w:rPr>
          <w:rStyle w:val="EndnoteReference"/>
          <w:rFonts w:ascii="Book Antiqua" w:hAnsi="Book Antiqua"/>
        </w:rPr>
        <w:endnoteRef/>
      </w:r>
      <w:r w:rsidRPr="007B3BAC">
        <w:rPr>
          <w:rFonts w:ascii="Book Antiqua" w:hAnsi="Book Antiqua"/>
        </w:rPr>
        <w:t xml:space="preserve"> </w:t>
      </w:r>
      <w:hyperlink r:id="rId1" w:history="1">
        <w:r w:rsidR="007B3BAC" w:rsidRPr="008909EA">
          <w:rPr>
            <w:rStyle w:val="Hyperlink"/>
            <w:rFonts w:ascii="Book Antiqua" w:hAnsi="Book Antiqua"/>
          </w:rPr>
          <w:t>http://unfccc.int/paris_agreement/items/9444</w:t>
        </w:r>
      </w:hyperlink>
      <w:r w:rsidRPr="007B3BAC">
        <w:rPr>
          <w:rFonts w:ascii="Book Antiqua" w:hAnsi="Book Antiqua"/>
        </w:rPr>
        <w:t>.php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1438"/>
      <w:docPartObj>
        <w:docPartGallery w:val="Page Numbers (Bottom of Page)"/>
        <w:docPartUnique/>
      </w:docPartObj>
    </w:sdtPr>
    <w:sdtEndPr/>
    <w:sdtContent>
      <w:p w14:paraId="22C192FE" w14:textId="77777777" w:rsidR="00897048" w:rsidRDefault="00897048">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7730E546" w14:textId="77777777" w:rsidR="00897048" w:rsidRDefault="00897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0627"/>
      <w:docPartObj>
        <w:docPartGallery w:val="Page Numbers (Bottom of Page)"/>
        <w:docPartUnique/>
      </w:docPartObj>
    </w:sdtPr>
    <w:sdtEndPr/>
    <w:sdtContent>
      <w:p w14:paraId="77AABA4A" w14:textId="2E704ADC" w:rsidR="00897048" w:rsidRDefault="00897048">
        <w:pPr>
          <w:pStyle w:val="Footer"/>
          <w:jc w:val="center"/>
        </w:pPr>
        <w:r>
          <w:fldChar w:fldCharType="begin"/>
        </w:r>
        <w:r>
          <w:instrText xml:space="preserve"> PAGE   \* MERGEFORMAT </w:instrText>
        </w:r>
        <w:r>
          <w:fldChar w:fldCharType="separate"/>
        </w:r>
        <w:r w:rsidR="000C4EC9">
          <w:rPr>
            <w:noProof/>
          </w:rPr>
          <w:t>2</w:t>
        </w:r>
        <w:r>
          <w:fldChar w:fldCharType="end"/>
        </w:r>
      </w:p>
    </w:sdtContent>
  </w:sdt>
  <w:p w14:paraId="6BB9A004" w14:textId="77777777" w:rsidR="00897048" w:rsidRDefault="00897048">
    <w:pPr>
      <w:pStyle w:val="Footer"/>
    </w:pPr>
  </w:p>
  <w:p w14:paraId="4B3CB276" w14:textId="77777777" w:rsidR="00897048" w:rsidRDefault="00897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E58A" w14:textId="77777777" w:rsidR="001B04C4" w:rsidRDefault="001B04C4" w:rsidP="0059718E">
      <w:pPr>
        <w:spacing w:after="0" w:line="240" w:lineRule="auto"/>
      </w:pPr>
      <w:r>
        <w:separator/>
      </w:r>
    </w:p>
  </w:footnote>
  <w:footnote w:type="continuationSeparator" w:id="0">
    <w:p w14:paraId="12790CED" w14:textId="77777777" w:rsidR="001B04C4" w:rsidRDefault="001B04C4" w:rsidP="0059718E">
      <w:pPr>
        <w:spacing w:after="0" w:line="240" w:lineRule="auto"/>
      </w:pPr>
      <w:r>
        <w:continuationSeparator/>
      </w:r>
    </w:p>
  </w:footnote>
  <w:footnote w:id="1">
    <w:p w14:paraId="56887275" w14:textId="3AA65549" w:rsidR="00A40965" w:rsidRPr="002C3260" w:rsidRDefault="00A40965">
      <w:pPr>
        <w:pStyle w:val="FootnoteText"/>
        <w:rPr>
          <w:rFonts w:ascii="Times New Roman" w:hAnsi="Times New Roman" w:cs="Times New Roman"/>
          <w:sz w:val="16"/>
          <w:szCs w:val="16"/>
        </w:rPr>
      </w:pPr>
      <w:r>
        <w:rPr>
          <w:rStyle w:val="FootnoteReference"/>
        </w:rPr>
        <w:footnoteRef/>
      </w:r>
      <w:r>
        <w:t xml:space="preserve"> </w:t>
      </w:r>
      <w:r w:rsidR="002C3260" w:rsidRPr="002C3260">
        <w:rPr>
          <w:rFonts w:ascii="Times New Roman" w:hAnsi="Times New Roman" w:cs="Times New Roman"/>
          <w:sz w:val="16"/>
          <w:szCs w:val="16"/>
        </w:rPr>
        <w:t xml:space="preserve">The authors are in the Environment and Natural Resources Global Practice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BB9"/>
    <w:multiLevelType w:val="hybridMultilevel"/>
    <w:tmpl w:val="B1E8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52434"/>
    <w:multiLevelType w:val="hybridMultilevel"/>
    <w:tmpl w:val="4FAC085C"/>
    <w:lvl w:ilvl="0" w:tplc="0E9A762E">
      <w:start w:val="1"/>
      <w:numFmt w:val="decimal"/>
      <w:pStyle w:val="MainText"/>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FA97ECF"/>
    <w:multiLevelType w:val="hybridMultilevel"/>
    <w:tmpl w:val="32007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BF0BB1"/>
    <w:multiLevelType w:val="hybridMultilevel"/>
    <w:tmpl w:val="694AA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57858"/>
    <w:multiLevelType w:val="hybridMultilevel"/>
    <w:tmpl w:val="2FA64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95"/>
    <w:rsid w:val="00001505"/>
    <w:rsid w:val="00003EAB"/>
    <w:rsid w:val="00004857"/>
    <w:rsid w:val="000069A3"/>
    <w:rsid w:val="00007E5A"/>
    <w:rsid w:val="00010165"/>
    <w:rsid w:val="000104AF"/>
    <w:rsid w:val="00012DC5"/>
    <w:rsid w:val="00013229"/>
    <w:rsid w:val="00017970"/>
    <w:rsid w:val="00017F1D"/>
    <w:rsid w:val="00017FDB"/>
    <w:rsid w:val="00021AB2"/>
    <w:rsid w:val="00022990"/>
    <w:rsid w:val="00024C22"/>
    <w:rsid w:val="00025BD7"/>
    <w:rsid w:val="00026513"/>
    <w:rsid w:val="0002742F"/>
    <w:rsid w:val="00031F9F"/>
    <w:rsid w:val="000330D4"/>
    <w:rsid w:val="000333AD"/>
    <w:rsid w:val="00034A17"/>
    <w:rsid w:val="00036174"/>
    <w:rsid w:val="00036F4D"/>
    <w:rsid w:val="000400F0"/>
    <w:rsid w:val="000409A5"/>
    <w:rsid w:val="000421B9"/>
    <w:rsid w:val="00042419"/>
    <w:rsid w:val="000445A1"/>
    <w:rsid w:val="000500A9"/>
    <w:rsid w:val="000513AF"/>
    <w:rsid w:val="00051B55"/>
    <w:rsid w:val="0005220A"/>
    <w:rsid w:val="000523CD"/>
    <w:rsid w:val="000544FA"/>
    <w:rsid w:val="00054B41"/>
    <w:rsid w:val="00056370"/>
    <w:rsid w:val="00056B40"/>
    <w:rsid w:val="000573F4"/>
    <w:rsid w:val="00060477"/>
    <w:rsid w:val="000630C4"/>
    <w:rsid w:val="00063788"/>
    <w:rsid w:val="000667ED"/>
    <w:rsid w:val="00067605"/>
    <w:rsid w:val="00070475"/>
    <w:rsid w:val="000711A1"/>
    <w:rsid w:val="00071CB8"/>
    <w:rsid w:val="00073CB5"/>
    <w:rsid w:val="00075A90"/>
    <w:rsid w:val="00080DED"/>
    <w:rsid w:val="00081113"/>
    <w:rsid w:val="0008187D"/>
    <w:rsid w:val="0008201B"/>
    <w:rsid w:val="00082B80"/>
    <w:rsid w:val="000832ED"/>
    <w:rsid w:val="00090EA8"/>
    <w:rsid w:val="000931EC"/>
    <w:rsid w:val="000955D3"/>
    <w:rsid w:val="00096B62"/>
    <w:rsid w:val="000A0F34"/>
    <w:rsid w:val="000A1302"/>
    <w:rsid w:val="000A4A90"/>
    <w:rsid w:val="000A66D0"/>
    <w:rsid w:val="000A727E"/>
    <w:rsid w:val="000B06CF"/>
    <w:rsid w:val="000B3E04"/>
    <w:rsid w:val="000B5F8A"/>
    <w:rsid w:val="000C28CB"/>
    <w:rsid w:val="000C4EC9"/>
    <w:rsid w:val="000C6536"/>
    <w:rsid w:val="000C7E47"/>
    <w:rsid w:val="000D18B5"/>
    <w:rsid w:val="000D1C8C"/>
    <w:rsid w:val="000D2143"/>
    <w:rsid w:val="000D3C3B"/>
    <w:rsid w:val="000E3AC7"/>
    <w:rsid w:val="000F05A5"/>
    <w:rsid w:val="000F1C69"/>
    <w:rsid w:val="000F1FF2"/>
    <w:rsid w:val="000F6742"/>
    <w:rsid w:val="001009FE"/>
    <w:rsid w:val="00102E08"/>
    <w:rsid w:val="0010368A"/>
    <w:rsid w:val="00105A86"/>
    <w:rsid w:val="00105D41"/>
    <w:rsid w:val="001068F2"/>
    <w:rsid w:val="00111773"/>
    <w:rsid w:val="00115B1A"/>
    <w:rsid w:val="00117DB4"/>
    <w:rsid w:val="001233E5"/>
    <w:rsid w:val="001234D6"/>
    <w:rsid w:val="00134105"/>
    <w:rsid w:val="00134B25"/>
    <w:rsid w:val="00135632"/>
    <w:rsid w:val="0013691B"/>
    <w:rsid w:val="00137A17"/>
    <w:rsid w:val="00142993"/>
    <w:rsid w:val="001456F4"/>
    <w:rsid w:val="00155509"/>
    <w:rsid w:val="00157EB5"/>
    <w:rsid w:val="00161DDD"/>
    <w:rsid w:val="001630B0"/>
    <w:rsid w:val="00164DC6"/>
    <w:rsid w:val="00165121"/>
    <w:rsid w:val="0016525C"/>
    <w:rsid w:val="00167B6D"/>
    <w:rsid w:val="001737A5"/>
    <w:rsid w:val="00177136"/>
    <w:rsid w:val="00180346"/>
    <w:rsid w:val="001814B9"/>
    <w:rsid w:val="00182513"/>
    <w:rsid w:val="00184B08"/>
    <w:rsid w:val="00186D6F"/>
    <w:rsid w:val="00186EF5"/>
    <w:rsid w:val="0019629C"/>
    <w:rsid w:val="00197EA7"/>
    <w:rsid w:val="001A17C6"/>
    <w:rsid w:val="001A27DA"/>
    <w:rsid w:val="001A287E"/>
    <w:rsid w:val="001A4607"/>
    <w:rsid w:val="001A57D1"/>
    <w:rsid w:val="001B04C4"/>
    <w:rsid w:val="001B0A15"/>
    <w:rsid w:val="001B40BA"/>
    <w:rsid w:val="001B47E7"/>
    <w:rsid w:val="001B628F"/>
    <w:rsid w:val="001B64FE"/>
    <w:rsid w:val="001B77F4"/>
    <w:rsid w:val="001C0264"/>
    <w:rsid w:val="001C155F"/>
    <w:rsid w:val="001C19F5"/>
    <w:rsid w:val="001C2D77"/>
    <w:rsid w:val="001C4166"/>
    <w:rsid w:val="001C5CB3"/>
    <w:rsid w:val="001C641A"/>
    <w:rsid w:val="001C6DB1"/>
    <w:rsid w:val="001D082D"/>
    <w:rsid w:val="001D2199"/>
    <w:rsid w:val="001D27AB"/>
    <w:rsid w:val="001D7FD8"/>
    <w:rsid w:val="001E0374"/>
    <w:rsid w:val="001E2ACD"/>
    <w:rsid w:val="001E31A9"/>
    <w:rsid w:val="001E5A6E"/>
    <w:rsid w:val="001F2B07"/>
    <w:rsid w:val="001F7185"/>
    <w:rsid w:val="00201293"/>
    <w:rsid w:val="00202E28"/>
    <w:rsid w:val="00210C87"/>
    <w:rsid w:val="00211D6E"/>
    <w:rsid w:val="00212117"/>
    <w:rsid w:val="0021272F"/>
    <w:rsid w:val="00215FEF"/>
    <w:rsid w:val="00220F64"/>
    <w:rsid w:val="00231987"/>
    <w:rsid w:val="0023514B"/>
    <w:rsid w:val="00235268"/>
    <w:rsid w:val="002378A7"/>
    <w:rsid w:val="0024065E"/>
    <w:rsid w:val="002439CF"/>
    <w:rsid w:val="0025014A"/>
    <w:rsid w:val="00250C5E"/>
    <w:rsid w:val="0025210C"/>
    <w:rsid w:val="00253CC9"/>
    <w:rsid w:val="00255090"/>
    <w:rsid w:val="002550FD"/>
    <w:rsid w:val="002605D0"/>
    <w:rsid w:val="00261E4E"/>
    <w:rsid w:val="00265F9F"/>
    <w:rsid w:val="00266BC4"/>
    <w:rsid w:val="002673B4"/>
    <w:rsid w:val="00267D80"/>
    <w:rsid w:val="00271AAF"/>
    <w:rsid w:val="002743BB"/>
    <w:rsid w:val="00280BF3"/>
    <w:rsid w:val="00280F8B"/>
    <w:rsid w:val="002860AD"/>
    <w:rsid w:val="00286330"/>
    <w:rsid w:val="00287A18"/>
    <w:rsid w:val="00290FB7"/>
    <w:rsid w:val="00290FE9"/>
    <w:rsid w:val="00290FFC"/>
    <w:rsid w:val="00291C34"/>
    <w:rsid w:val="00292B40"/>
    <w:rsid w:val="00292FED"/>
    <w:rsid w:val="00295111"/>
    <w:rsid w:val="00296211"/>
    <w:rsid w:val="00297DBC"/>
    <w:rsid w:val="002A24D3"/>
    <w:rsid w:val="002A29F6"/>
    <w:rsid w:val="002B093A"/>
    <w:rsid w:val="002B0DA9"/>
    <w:rsid w:val="002B1A5B"/>
    <w:rsid w:val="002B33F6"/>
    <w:rsid w:val="002B3748"/>
    <w:rsid w:val="002B5D6A"/>
    <w:rsid w:val="002B5D94"/>
    <w:rsid w:val="002B6AC6"/>
    <w:rsid w:val="002B7454"/>
    <w:rsid w:val="002C3260"/>
    <w:rsid w:val="002C62B6"/>
    <w:rsid w:val="002C6E79"/>
    <w:rsid w:val="002D18FE"/>
    <w:rsid w:val="002D26E5"/>
    <w:rsid w:val="002D29E2"/>
    <w:rsid w:val="002D2AD5"/>
    <w:rsid w:val="002D5E7D"/>
    <w:rsid w:val="002E112B"/>
    <w:rsid w:val="002E1FBF"/>
    <w:rsid w:val="002E55E4"/>
    <w:rsid w:val="002E621A"/>
    <w:rsid w:val="002F1D4C"/>
    <w:rsid w:val="002F2A6F"/>
    <w:rsid w:val="002F2E43"/>
    <w:rsid w:val="002F383C"/>
    <w:rsid w:val="002F55A8"/>
    <w:rsid w:val="002F5D04"/>
    <w:rsid w:val="002F6A6F"/>
    <w:rsid w:val="00300EFC"/>
    <w:rsid w:val="00302194"/>
    <w:rsid w:val="003058EC"/>
    <w:rsid w:val="00306632"/>
    <w:rsid w:val="00307017"/>
    <w:rsid w:val="00307901"/>
    <w:rsid w:val="00311479"/>
    <w:rsid w:val="00312BD7"/>
    <w:rsid w:val="00314EC2"/>
    <w:rsid w:val="003152C4"/>
    <w:rsid w:val="00317BA3"/>
    <w:rsid w:val="00320389"/>
    <w:rsid w:val="00321B90"/>
    <w:rsid w:val="00321CB7"/>
    <w:rsid w:val="00323BCB"/>
    <w:rsid w:val="00334E33"/>
    <w:rsid w:val="00336E96"/>
    <w:rsid w:val="00342821"/>
    <w:rsid w:val="003436CF"/>
    <w:rsid w:val="00343BDE"/>
    <w:rsid w:val="003455BA"/>
    <w:rsid w:val="00350487"/>
    <w:rsid w:val="00353C2F"/>
    <w:rsid w:val="00354D9F"/>
    <w:rsid w:val="00360893"/>
    <w:rsid w:val="003608FE"/>
    <w:rsid w:val="00360F4E"/>
    <w:rsid w:val="003616FF"/>
    <w:rsid w:val="00361880"/>
    <w:rsid w:val="003622EE"/>
    <w:rsid w:val="00362492"/>
    <w:rsid w:val="00365332"/>
    <w:rsid w:val="00370A13"/>
    <w:rsid w:val="00372BAA"/>
    <w:rsid w:val="003741AD"/>
    <w:rsid w:val="003771EB"/>
    <w:rsid w:val="003837F7"/>
    <w:rsid w:val="0038631B"/>
    <w:rsid w:val="00392358"/>
    <w:rsid w:val="0039440C"/>
    <w:rsid w:val="003955F9"/>
    <w:rsid w:val="00395CF3"/>
    <w:rsid w:val="003966F7"/>
    <w:rsid w:val="00397EEF"/>
    <w:rsid w:val="003A1E0B"/>
    <w:rsid w:val="003A6A30"/>
    <w:rsid w:val="003B1A61"/>
    <w:rsid w:val="003B2612"/>
    <w:rsid w:val="003B4D54"/>
    <w:rsid w:val="003B51A4"/>
    <w:rsid w:val="003B55B5"/>
    <w:rsid w:val="003B5CF6"/>
    <w:rsid w:val="003B6F3C"/>
    <w:rsid w:val="003B7804"/>
    <w:rsid w:val="003C37D3"/>
    <w:rsid w:val="003C4BA4"/>
    <w:rsid w:val="003C54FC"/>
    <w:rsid w:val="003C772E"/>
    <w:rsid w:val="003D1B9E"/>
    <w:rsid w:val="003D1D57"/>
    <w:rsid w:val="003D25F7"/>
    <w:rsid w:val="003D57AA"/>
    <w:rsid w:val="003D636F"/>
    <w:rsid w:val="003D74E7"/>
    <w:rsid w:val="003E2E07"/>
    <w:rsid w:val="003E3079"/>
    <w:rsid w:val="003E6FFE"/>
    <w:rsid w:val="003E743B"/>
    <w:rsid w:val="003F1DD3"/>
    <w:rsid w:val="003F4A85"/>
    <w:rsid w:val="003F4E6C"/>
    <w:rsid w:val="0040279C"/>
    <w:rsid w:val="0040282B"/>
    <w:rsid w:val="00410443"/>
    <w:rsid w:val="0041269F"/>
    <w:rsid w:val="004137F1"/>
    <w:rsid w:val="00417AED"/>
    <w:rsid w:val="004225B3"/>
    <w:rsid w:val="004226E8"/>
    <w:rsid w:val="0042305D"/>
    <w:rsid w:val="00426EA0"/>
    <w:rsid w:val="004313B5"/>
    <w:rsid w:val="00433A95"/>
    <w:rsid w:val="0043539A"/>
    <w:rsid w:val="00436C15"/>
    <w:rsid w:val="0044170C"/>
    <w:rsid w:val="0044431D"/>
    <w:rsid w:val="004472E1"/>
    <w:rsid w:val="0045094F"/>
    <w:rsid w:val="004546A5"/>
    <w:rsid w:val="0045516A"/>
    <w:rsid w:val="00455463"/>
    <w:rsid w:val="0046159E"/>
    <w:rsid w:val="004623A1"/>
    <w:rsid w:val="004639CD"/>
    <w:rsid w:val="00467900"/>
    <w:rsid w:val="00467D1D"/>
    <w:rsid w:val="004730D2"/>
    <w:rsid w:val="00473A52"/>
    <w:rsid w:val="00482B29"/>
    <w:rsid w:val="00483BD4"/>
    <w:rsid w:val="00484B9F"/>
    <w:rsid w:val="00485F66"/>
    <w:rsid w:val="004950F7"/>
    <w:rsid w:val="00495286"/>
    <w:rsid w:val="00496444"/>
    <w:rsid w:val="00496F55"/>
    <w:rsid w:val="00497A3D"/>
    <w:rsid w:val="004A2B98"/>
    <w:rsid w:val="004A372C"/>
    <w:rsid w:val="004A43C9"/>
    <w:rsid w:val="004A5265"/>
    <w:rsid w:val="004A7CAD"/>
    <w:rsid w:val="004B0C37"/>
    <w:rsid w:val="004B39D1"/>
    <w:rsid w:val="004B43DA"/>
    <w:rsid w:val="004B56EE"/>
    <w:rsid w:val="004B6468"/>
    <w:rsid w:val="004B7760"/>
    <w:rsid w:val="004C1889"/>
    <w:rsid w:val="004C3950"/>
    <w:rsid w:val="004C40F6"/>
    <w:rsid w:val="004C6DA9"/>
    <w:rsid w:val="004D02FA"/>
    <w:rsid w:val="004D0EB9"/>
    <w:rsid w:val="004D3D96"/>
    <w:rsid w:val="004D4205"/>
    <w:rsid w:val="004E0232"/>
    <w:rsid w:val="004E2FC4"/>
    <w:rsid w:val="004E34AB"/>
    <w:rsid w:val="004F3530"/>
    <w:rsid w:val="004F68F6"/>
    <w:rsid w:val="00502FA3"/>
    <w:rsid w:val="00503C28"/>
    <w:rsid w:val="00504433"/>
    <w:rsid w:val="0050572B"/>
    <w:rsid w:val="0050648B"/>
    <w:rsid w:val="00507636"/>
    <w:rsid w:val="00507C56"/>
    <w:rsid w:val="00511155"/>
    <w:rsid w:val="00512DEB"/>
    <w:rsid w:val="0051354A"/>
    <w:rsid w:val="00513F10"/>
    <w:rsid w:val="00513F27"/>
    <w:rsid w:val="005173BC"/>
    <w:rsid w:val="005177C6"/>
    <w:rsid w:val="00520CE5"/>
    <w:rsid w:val="00522F45"/>
    <w:rsid w:val="00523CC9"/>
    <w:rsid w:val="00524851"/>
    <w:rsid w:val="00527E67"/>
    <w:rsid w:val="00530075"/>
    <w:rsid w:val="00533028"/>
    <w:rsid w:val="0053335C"/>
    <w:rsid w:val="00533FFA"/>
    <w:rsid w:val="00535600"/>
    <w:rsid w:val="0053679E"/>
    <w:rsid w:val="00540275"/>
    <w:rsid w:val="00540B35"/>
    <w:rsid w:val="005427E8"/>
    <w:rsid w:val="00547CFD"/>
    <w:rsid w:val="00547E75"/>
    <w:rsid w:val="00551732"/>
    <w:rsid w:val="0055294D"/>
    <w:rsid w:val="00552A89"/>
    <w:rsid w:val="00555A15"/>
    <w:rsid w:val="005631A9"/>
    <w:rsid w:val="00564603"/>
    <w:rsid w:val="005646CB"/>
    <w:rsid w:val="005648C2"/>
    <w:rsid w:val="00566C5E"/>
    <w:rsid w:val="00570090"/>
    <w:rsid w:val="005700F1"/>
    <w:rsid w:val="00572C7A"/>
    <w:rsid w:val="005774D8"/>
    <w:rsid w:val="00582594"/>
    <w:rsid w:val="0058364F"/>
    <w:rsid w:val="005836A7"/>
    <w:rsid w:val="00587E7F"/>
    <w:rsid w:val="005918C3"/>
    <w:rsid w:val="00591F6F"/>
    <w:rsid w:val="00592AF9"/>
    <w:rsid w:val="005932C4"/>
    <w:rsid w:val="00594D09"/>
    <w:rsid w:val="0059536C"/>
    <w:rsid w:val="005958A6"/>
    <w:rsid w:val="00595EE4"/>
    <w:rsid w:val="0059718E"/>
    <w:rsid w:val="00597FAD"/>
    <w:rsid w:val="005A05AE"/>
    <w:rsid w:val="005A1B33"/>
    <w:rsid w:val="005A2BB8"/>
    <w:rsid w:val="005A4D05"/>
    <w:rsid w:val="005A6B9A"/>
    <w:rsid w:val="005B2603"/>
    <w:rsid w:val="005B41F0"/>
    <w:rsid w:val="005B4F29"/>
    <w:rsid w:val="005B5EFE"/>
    <w:rsid w:val="005C0323"/>
    <w:rsid w:val="005C1AF2"/>
    <w:rsid w:val="005C3827"/>
    <w:rsid w:val="005C3D83"/>
    <w:rsid w:val="005D2A8E"/>
    <w:rsid w:val="005D3286"/>
    <w:rsid w:val="005D533A"/>
    <w:rsid w:val="005D568C"/>
    <w:rsid w:val="005D69F9"/>
    <w:rsid w:val="005D6AE5"/>
    <w:rsid w:val="005D70F2"/>
    <w:rsid w:val="005D7438"/>
    <w:rsid w:val="005E2DFE"/>
    <w:rsid w:val="005E42BC"/>
    <w:rsid w:val="005E4321"/>
    <w:rsid w:val="005F031C"/>
    <w:rsid w:val="005F1661"/>
    <w:rsid w:val="005F2034"/>
    <w:rsid w:val="005F3105"/>
    <w:rsid w:val="005F4887"/>
    <w:rsid w:val="00604729"/>
    <w:rsid w:val="0060671F"/>
    <w:rsid w:val="00612EF4"/>
    <w:rsid w:val="0061331A"/>
    <w:rsid w:val="0061340A"/>
    <w:rsid w:val="00614115"/>
    <w:rsid w:val="0061414C"/>
    <w:rsid w:val="00616B35"/>
    <w:rsid w:val="006213BD"/>
    <w:rsid w:val="006226A3"/>
    <w:rsid w:val="00623939"/>
    <w:rsid w:val="00623AF0"/>
    <w:rsid w:val="00623B9C"/>
    <w:rsid w:val="00625367"/>
    <w:rsid w:val="00626948"/>
    <w:rsid w:val="0062794B"/>
    <w:rsid w:val="00627A12"/>
    <w:rsid w:val="006325C4"/>
    <w:rsid w:val="00632F27"/>
    <w:rsid w:val="00633B37"/>
    <w:rsid w:val="006360B6"/>
    <w:rsid w:val="00636A21"/>
    <w:rsid w:val="006370E4"/>
    <w:rsid w:val="00637992"/>
    <w:rsid w:val="00642875"/>
    <w:rsid w:val="0064334A"/>
    <w:rsid w:val="00643407"/>
    <w:rsid w:val="00646287"/>
    <w:rsid w:val="00646EE2"/>
    <w:rsid w:val="00651F2C"/>
    <w:rsid w:val="00654BB6"/>
    <w:rsid w:val="00656977"/>
    <w:rsid w:val="0065787B"/>
    <w:rsid w:val="00662164"/>
    <w:rsid w:val="00663152"/>
    <w:rsid w:val="00664A7B"/>
    <w:rsid w:val="00666AEF"/>
    <w:rsid w:val="006742C1"/>
    <w:rsid w:val="00675AF8"/>
    <w:rsid w:val="0067661C"/>
    <w:rsid w:val="00681F5F"/>
    <w:rsid w:val="00682508"/>
    <w:rsid w:val="00682A6B"/>
    <w:rsid w:val="00682FA8"/>
    <w:rsid w:val="006854AA"/>
    <w:rsid w:val="00694785"/>
    <w:rsid w:val="0069631F"/>
    <w:rsid w:val="006A4F20"/>
    <w:rsid w:val="006A587E"/>
    <w:rsid w:val="006A68B1"/>
    <w:rsid w:val="006A6E7B"/>
    <w:rsid w:val="006B033F"/>
    <w:rsid w:val="006B0F1B"/>
    <w:rsid w:val="006B11C9"/>
    <w:rsid w:val="006B2BF7"/>
    <w:rsid w:val="006B3CF9"/>
    <w:rsid w:val="006B4464"/>
    <w:rsid w:val="006B76B2"/>
    <w:rsid w:val="006C02CB"/>
    <w:rsid w:val="006C0B71"/>
    <w:rsid w:val="006C1B0A"/>
    <w:rsid w:val="006C1C4B"/>
    <w:rsid w:val="006C5FF7"/>
    <w:rsid w:val="006C6EF4"/>
    <w:rsid w:val="006D5A93"/>
    <w:rsid w:val="006E68F9"/>
    <w:rsid w:val="006F1DB5"/>
    <w:rsid w:val="006F2206"/>
    <w:rsid w:val="006F2762"/>
    <w:rsid w:val="006F563A"/>
    <w:rsid w:val="00702031"/>
    <w:rsid w:val="007022B5"/>
    <w:rsid w:val="00702815"/>
    <w:rsid w:val="00702C88"/>
    <w:rsid w:val="0070600E"/>
    <w:rsid w:val="00706E62"/>
    <w:rsid w:val="00711346"/>
    <w:rsid w:val="0071345B"/>
    <w:rsid w:val="00716C92"/>
    <w:rsid w:val="00717378"/>
    <w:rsid w:val="00720185"/>
    <w:rsid w:val="00720E64"/>
    <w:rsid w:val="00723FFD"/>
    <w:rsid w:val="0072562E"/>
    <w:rsid w:val="00726D4B"/>
    <w:rsid w:val="00726DDF"/>
    <w:rsid w:val="00732EC6"/>
    <w:rsid w:val="00734347"/>
    <w:rsid w:val="00735466"/>
    <w:rsid w:val="00736995"/>
    <w:rsid w:val="0073731B"/>
    <w:rsid w:val="00737EA5"/>
    <w:rsid w:val="0074025E"/>
    <w:rsid w:val="0074316B"/>
    <w:rsid w:val="007477A2"/>
    <w:rsid w:val="00750CF4"/>
    <w:rsid w:val="007552F1"/>
    <w:rsid w:val="00762086"/>
    <w:rsid w:val="007655E8"/>
    <w:rsid w:val="0076640F"/>
    <w:rsid w:val="00772D2D"/>
    <w:rsid w:val="00774FFE"/>
    <w:rsid w:val="007759E2"/>
    <w:rsid w:val="00775FDB"/>
    <w:rsid w:val="00776337"/>
    <w:rsid w:val="00780A57"/>
    <w:rsid w:val="007836F7"/>
    <w:rsid w:val="00784F7F"/>
    <w:rsid w:val="00787413"/>
    <w:rsid w:val="00790E0F"/>
    <w:rsid w:val="00791969"/>
    <w:rsid w:val="00792C58"/>
    <w:rsid w:val="00793041"/>
    <w:rsid w:val="00793484"/>
    <w:rsid w:val="00793797"/>
    <w:rsid w:val="00793FEA"/>
    <w:rsid w:val="007941A9"/>
    <w:rsid w:val="00795118"/>
    <w:rsid w:val="007952DD"/>
    <w:rsid w:val="00796B99"/>
    <w:rsid w:val="00797444"/>
    <w:rsid w:val="007974F2"/>
    <w:rsid w:val="00797647"/>
    <w:rsid w:val="007A4218"/>
    <w:rsid w:val="007A4371"/>
    <w:rsid w:val="007A4E14"/>
    <w:rsid w:val="007A5982"/>
    <w:rsid w:val="007B13EC"/>
    <w:rsid w:val="007B1B81"/>
    <w:rsid w:val="007B2B8F"/>
    <w:rsid w:val="007B3BAC"/>
    <w:rsid w:val="007B3F81"/>
    <w:rsid w:val="007B6EBA"/>
    <w:rsid w:val="007B773A"/>
    <w:rsid w:val="007C0EEF"/>
    <w:rsid w:val="007C2516"/>
    <w:rsid w:val="007C2856"/>
    <w:rsid w:val="007D29FE"/>
    <w:rsid w:val="007D2ED9"/>
    <w:rsid w:val="007D468F"/>
    <w:rsid w:val="007D6BA6"/>
    <w:rsid w:val="007D7B9A"/>
    <w:rsid w:val="007D7D05"/>
    <w:rsid w:val="007E057A"/>
    <w:rsid w:val="007E14F4"/>
    <w:rsid w:val="007E1710"/>
    <w:rsid w:val="007E666C"/>
    <w:rsid w:val="007F048D"/>
    <w:rsid w:val="007F19EE"/>
    <w:rsid w:val="007F2952"/>
    <w:rsid w:val="007F5568"/>
    <w:rsid w:val="007F61E9"/>
    <w:rsid w:val="008007BF"/>
    <w:rsid w:val="00801656"/>
    <w:rsid w:val="008023C5"/>
    <w:rsid w:val="00803B53"/>
    <w:rsid w:val="008066B4"/>
    <w:rsid w:val="00807AAA"/>
    <w:rsid w:val="00813B1A"/>
    <w:rsid w:val="008166DB"/>
    <w:rsid w:val="008307E8"/>
    <w:rsid w:val="008320A4"/>
    <w:rsid w:val="00834D4B"/>
    <w:rsid w:val="008362D7"/>
    <w:rsid w:val="00837B48"/>
    <w:rsid w:val="00837C3B"/>
    <w:rsid w:val="00837DB6"/>
    <w:rsid w:val="00840812"/>
    <w:rsid w:val="008435A3"/>
    <w:rsid w:val="00843A77"/>
    <w:rsid w:val="0084788B"/>
    <w:rsid w:val="008501F1"/>
    <w:rsid w:val="00850AE2"/>
    <w:rsid w:val="00851529"/>
    <w:rsid w:val="00853799"/>
    <w:rsid w:val="00853B01"/>
    <w:rsid w:val="0085470E"/>
    <w:rsid w:val="00854AEA"/>
    <w:rsid w:val="008565E8"/>
    <w:rsid w:val="00860A95"/>
    <w:rsid w:val="008634D2"/>
    <w:rsid w:val="00863802"/>
    <w:rsid w:val="00863A88"/>
    <w:rsid w:val="008648FC"/>
    <w:rsid w:val="00864FB7"/>
    <w:rsid w:val="00870BF9"/>
    <w:rsid w:val="00870DCD"/>
    <w:rsid w:val="008712B6"/>
    <w:rsid w:val="00872C44"/>
    <w:rsid w:val="008756B3"/>
    <w:rsid w:val="008776FD"/>
    <w:rsid w:val="00877BDF"/>
    <w:rsid w:val="00884C03"/>
    <w:rsid w:val="00886120"/>
    <w:rsid w:val="0089042E"/>
    <w:rsid w:val="008936E6"/>
    <w:rsid w:val="00897048"/>
    <w:rsid w:val="00897E8C"/>
    <w:rsid w:val="008A120E"/>
    <w:rsid w:val="008A2FA1"/>
    <w:rsid w:val="008A3E08"/>
    <w:rsid w:val="008A611D"/>
    <w:rsid w:val="008B04E8"/>
    <w:rsid w:val="008B256E"/>
    <w:rsid w:val="008B68AD"/>
    <w:rsid w:val="008B76F7"/>
    <w:rsid w:val="008C1F2D"/>
    <w:rsid w:val="008C6986"/>
    <w:rsid w:val="008C7AA2"/>
    <w:rsid w:val="008D0BC3"/>
    <w:rsid w:val="008D1AEE"/>
    <w:rsid w:val="008D34C0"/>
    <w:rsid w:val="008D73C1"/>
    <w:rsid w:val="008E6CA9"/>
    <w:rsid w:val="008E7A54"/>
    <w:rsid w:val="008F0C22"/>
    <w:rsid w:val="008F3E8E"/>
    <w:rsid w:val="00901642"/>
    <w:rsid w:val="0090482E"/>
    <w:rsid w:val="0090564C"/>
    <w:rsid w:val="009106F6"/>
    <w:rsid w:val="00911F9C"/>
    <w:rsid w:val="0091281E"/>
    <w:rsid w:val="00915DDF"/>
    <w:rsid w:val="00916E5D"/>
    <w:rsid w:val="00917033"/>
    <w:rsid w:val="00920974"/>
    <w:rsid w:val="00921070"/>
    <w:rsid w:val="00926F8F"/>
    <w:rsid w:val="009316A7"/>
    <w:rsid w:val="0093210B"/>
    <w:rsid w:val="00932935"/>
    <w:rsid w:val="00933B7C"/>
    <w:rsid w:val="00933B86"/>
    <w:rsid w:val="009409F9"/>
    <w:rsid w:val="0094191D"/>
    <w:rsid w:val="00942944"/>
    <w:rsid w:val="00944512"/>
    <w:rsid w:val="00945517"/>
    <w:rsid w:val="00954694"/>
    <w:rsid w:val="009552A2"/>
    <w:rsid w:val="00960714"/>
    <w:rsid w:val="009623EF"/>
    <w:rsid w:val="00964636"/>
    <w:rsid w:val="00965DC6"/>
    <w:rsid w:val="00965F20"/>
    <w:rsid w:val="0096640A"/>
    <w:rsid w:val="00966496"/>
    <w:rsid w:val="00966550"/>
    <w:rsid w:val="009669D6"/>
    <w:rsid w:val="009727B7"/>
    <w:rsid w:val="009752EB"/>
    <w:rsid w:val="00977FAB"/>
    <w:rsid w:val="00981B10"/>
    <w:rsid w:val="009874F0"/>
    <w:rsid w:val="009920F1"/>
    <w:rsid w:val="0099306A"/>
    <w:rsid w:val="0099707F"/>
    <w:rsid w:val="009A11CA"/>
    <w:rsid w:val="009A7251"/>
    <w:rsid w:val="009B03DA"/>
    <w:rsid w:val="009B05A1"/>
    <w:rsid w:val="009B09AE"/>
    <w:rsid w:val="009B2D97"/>
    <w:rsid w:val="009B3B12"/>
    <w:rsid w:val="009B50D2"/>
    <w:rsid w:val="009B59EE"/>
    <w:rsid w:val="009B74E9"/>
    <w:rsid w:val="009C1CA0"/>
    <w:rsid w:val="009C5DE2"/>
    <w:rsid w:val="009C71B3"/>
    <w:rsid w:val="009C7269"/>
    <w:rsid w:val="009C7D8F"/>
    <w:rsid w:val="009D269F"/>
    <w:rsid w:val="009D457F"/>
    <w:rsid w:val="009D5967"/>
    <w:rsid w:val="009D5C4D"/>
    <w:rsid w:val="009D632A"/>
    <w:rsid w:val="009D6BEE"/>
    <w:rsid w:val="009D721D"/>
    <w:rsid w:val="009D77D9"/>
    <w:rsid w:val="009E0672"/>
    <w:rsid w:val="009E0734"/>
    <w:rsid w:val="009E189B"/>
    <w:rsid w:val="009E2023"/>
    <w:rsid w:val="009E4768"/>
    <w:rsid w:val="009E5389"/>
    <w:rsid w:val="009E7D00"/>
    <w:rsid w:val="009E7EF3"/>
    <w:rsid w:val="009F002F"/>
    <w:rsid w:val="009F0329"/>
    <w:rsid w:val="009F4A00"/>
    <w:rsid w:val="009F7D3E"/>
    <w:rsid w:val="00A01C15"/>
    <w:rsid w:val="00A04F4F"/>
    <w:rsid w:val="00A062F0"/>
    <w:rsid w:val="00A148C7"/>
    <w:rsid w:val="00A15B33"/>
    <w:rsid w:val="00A15D61"/>
    <w:rsid w:val="00A213EE"/>
    <w:rsid w:val="00A25299"/>
    <w:rsid w:val="00A27A70"/>
    <w:rsid w:val="00A33E2F"/>
    <w:rsid w:val="00A36F06"/>
    <w:rsid w:val="00A373FB"/>
    <w:rsid w:val="00A4046E"/>
    <w:rsid w:val="00A40965"/>
    <w:rsid w:val="00A41400"/>
    <w:rsid w:val="00A42051"/>
    <w:rsid w:val="00A422D8"/>
    <w:rsid w:val="00A467A4"/>
    <w:rsid w:val="00A46EDB"/>
    <w:rsid w:val="00A479F1"/>
    <w:rsid w:val="00A53B8E"/>
    <w:rsid w:val="00A6050D"/>
    <w:rsid w:val="00A60C90"/>
    <w:rsid w:val="00A64B00"/>
    <w:rsid w:val="00A65AA3"/>
    <w:rsid w:val="00A669E7"/>
    <w:rsid w:val="00A67535"/>
    <w:rsid w:val="00A70A0D"/>
    <w:rsid w:val="00A71288"/>
    <w:rsid w:val="00A71E15"/>
    <w:rsid w:val="00A72241"/>
    <w:rsid w:val="00A730CE"/>
    <w:rsid w:val="00A736D7"/>
    <w:rsid w:val="00A74E39"/>
    <w:rsid w:val="00A75AD6"/>
    <w:rsid w:val="00A75DEA"/>
    <w:rsid w:val="00A7667D"/>
    <w:rsid w:val="00A76C73"/>
    <w:rsid w:val="00A770E7"/>
    <w:rsid w:val="00A777D9"/>
    <w:rsid w:val="00A80974"/>
    <w:rsid w:val="00A83B20"/>
    <w:rsid w:val="00A842EF"/>
    <w:rsid w:val="00A84CFC"/>
    <w:rsid w:val="00A915B6"/>
    <w:rsid w:val="00A93C1C"/>
    <w:rsid w:val="00A9463A"/>
    <w:rsid w:val="00A95E30"/>
    <w:rsid w:val="00A9679B"/>
    <w:rsid w:val="00A968BB"/>
    <w:rsid w:val="00A9794D"/>
    <w:rsid w:val="00AA13BA"/>
    <w:rsid w:val="00AA2347"/>
    <w:rsid w:val="00AA3D0B"/>
    <w:rsid w:val="00AA3F43"/>
    <w:rsid w:val="00AA71F5"/>
    <w:rsid w:val="00AB01C5"/>
    <w:rsid w:val="00AB0C57"/>
    <w:rsid w:val="00AB45A7"/>
    <w:rsid w:val="00AB61BA"/>
    <w:rsid w:val="00AB7CCE"/>
    <w:rsid w:val="00AC04A1"/>
    <w:rsid w:val="00AC07F2"/>
    <w:rsid w:val="00AC2821"/>
    <w:rsid w:val="00AC3974"/>
    <w:rsid w:val="00AC648B"/>
    <w:rsid w:val="00AC7DBA"/>
    <w:rsid w:val="00AD4D1E"/>
    <w:rsid w:val="00AD4F8D"/>
    <w:rsid w:val="00AD7065"/>
    <w:rsid w:val="00AD724F"/>
    <w:rsid w:val="00AD7692"/>
    <w:rsid w:val="00AE0A38"/>
    <w:rsid w:val="00AE1849"/>
    <w:rsid w:val="00AE1A2B"/>
    <w:rsid w:val="00AE43AE"/>
    <w:rsid w:val="00AE723B"/>
    <w:rsid w:val="00AE7264"/>
    <w:rsid w:val="00AF0C5A"/>
    <w:rsid w:val="00AF160D"/>
    <w:rsid w:val="00AF1D36"/>
    <w:rsid w:val="00AF393B"/>
    <w:rsid w:val="00AF720E"/>
    <w:rsid w:val="00B01086"/>
    <w:rsid w:val="00B01615"/>
    <w:rsid w:val="00B114B8"/>
    <w:rsid w:val="00B170CA"/>
    <w:rsid w:val="00B20BF1"/>
    <w:rsid w:val="00B2191B"/>
    <w:rsid w:val="00B2241F"/>
    <w:rsid w:val="00B25B92"/>
    <w:rsid w:val="00B323C6"/>
    <w:rsid w:val="00B368E9"/>
    <w:rsid w:val="00B36D58"/>
    <w:rsid w:val="00B37CB0"/>
    <w:rsid w:val="00B434A7"/>
    <w:rsid w:val="00B460C4"/>
    <w:rsid w:val="00B50348"/>
    <w:rsid w:val="00B517A8"/>
    <w:rsid w:val="00B51B4A"/>
    <w:rsid w:val="00B52CA6"/>
    <w:rsid w:val="00B52F9B"/>
    <w:rsid w:val="00B53C55"/>
    <w:rsid w:val="00B53FFF"/>
    <w:rsid w:val="00B56B1A"/>
    <w:rsid w:val="00B617A7"/>
    <w:rsid w:val="00B63440"/>
    <w:rsid w:val="00B65219"/>
    <w:rsid w:val="00B653D7"/>
    <w:rsid w:val="00B6542A"/>
    <w:rsid w:val="00B67D5B"/>
    <w:rsid w:val="00B72397"/>
    <w:rsid w:val="00B73310"/>
    <w:rsid w:val="00B75106"/>
    <w:rsid w:val="00B752D5"/>
    <w:rsid w:val="00B755A3"/>
    <w:rsid w:val="00B76610"/>
    <w:rsid w:val="00B778E4"/>
    <w:rsid w:val="00B878B2"/>
    <w:rsid w:val="00B91FE8"/>
    <w:rsid w:val="00B94C8B"/>
    <w:rsid w:val="00B96052"/>
    <w:rsid w:val="00B961B4"/>
    <w:rsid w:val="00BA382D"/>
    <w:rsid w:val="00BA5CBB"/>
    <w:rsid w:val="00BA6CB9"/>
    <w:rsid w:val="00BA7234"/>
    <w:rsid w:val="00BB05E0"/>
    <w:rsid w:val="00BB2803"/>
    <w:rsid w:val="00BB4026"/>
    <w:rsid w:val="00BB52F0"/>
    <w:rsid w:val="00BC0898"/>
    <w:rsid w:val="00BC26F9"/>
    <w:rsid w:val="00BC3588"/>
    <w:rsid w:val="00BC5AF0"/>
    <w:rsid w:val="00BD329E"/>
    <w:rsid w:val="00BD352C"/>
    <w:rsid w:val="00BD3EEB"/>
    <w:rsid w:val="00BD6029"/>
    <w:rsid w:val="00BD6426"/>
    <w:rsid w:val="00BD6D71"/>
    <w:rsid w:val="00BD7094"/>
    <w:rsid w:val="00BD7BEA"/>
    <w:rsid w:val="00BD7E06"/>
    <w:rsid w:val="00BE14C2"/>
    <w:rsid w:val="00BE18A5"/>
    <w:rsid w:val="00BE18D3"/>
    <w:rsid w:val="00BE1938"/>
    <w:rsid w:val="00BE1A68"/>
    <w:rsid w:val="00BE3D3D"/>
    <w:rsid w:val="00BE5520"/>
    <w:rsid w:val="00BE6FD6"/>
    <w:rsid w:val="00BF1B1C"/>
    <w:rsid w:val="00BF3005"/>
    <w:rsid w:val="00BF66A8"/>
    <w:rsid w:val="00BF6FA3"/>
    <w:rsid w:val="00C017B1"/>
    <w:rsid w:val="00C01A82"/>
    <w:rsid w:val="00C01E77"/>
    <w:rsid w:val="00C053C7"/>
    <w:rsid w:val="00C06AB0"/>
    <w:rsid w:val="00C07C8D"/>
    <w:rsid w:val="00C122F5"/>
    <w:rsid w:val="00C15ABD"/>
    <w:rsid w:val="00C166B4"/>
    <w:rsid w:val="00C201D8"/>
    <w:rsid w:val="00C22E47"/>
    <w:rsid w:val="00C26221"/>
    <w:rsid w:val="00C31949"/>
    <w:rsid w:val="00C342AA"/>
    <w:rsid w:val="00C37153"/>
    <w:rsid w:val="00C4071A"/>
    <w:rsid w:val="00C41013"/>
    <w:rsid w:val="00C42F19"/>
    <w:rsid w:val="00C43763"/>
    <w:rsid w:val="00C44F5E"/>
    <w:rsid w:val="00C4578F"/>
    <w:rsid w:val="00C5006A"/>
    <w:rsid w:val="00C5089E"/>
    <w:rsid w:val="00C50916"/>
    <w:rsid w:val="00C51B0F"/>
    <w:rsid w:val="00C5206B"/>
    <w:rsid w:val="00C52891"/>
    <w:rsid w:val="00C529F8"/>
    <w:rsid w:val="00C531E2"/>
    <w:rsid w:val="00C57E48"/>
    <w:rsid w:val="00C606FD"/>
    <w:rsid w:val="00C64960"/>
    <w:rsid w:val="00C651C5"/>
    <w:rsid w:val="00C65442"/>
    <w:rsid w:val="00C663A5"/>
    <w:rsid w:val="00C671A2"/>
    <w:rsid w:val="00C7052E"/>
    <w:rsid w:val="00C72C1B"/>
    <w:rsid w:val="00C72E0B"/>
    <w:rsid w:val="00C74615"/>
    <w:rsid w:val="00C75C81"/>
    <w:rsid w:val="00C77615"/>
    <w:rsid w:val="00C77D6D"/>
    <w:rsid w:val="00C804BC"/>
    <w:rsid w:val="00C80E5D"/>
    <w:rsid w:val="00C856BD"/>
    <w:rsid w:val="00C86074"/>
    <w:rsid w:val="00C86D12"/>
    <w:rsid w:val="00C875CC"/>
    <w:rsid w:val="00C92403"/>
    <w:rsid w:val="00C93B9C"/>
    <w:rsid w:val="00C95077"/>
    <w:rsid w:val="00C957F4"/>
    <w:rsid w:val="00C9601E"/>
    <w:rsid w:val="00C967CB"/>
    <w:rsid w:val="00CA46B9"/>
    <w:rsid w:val="00CB1AAA"/>
    <w:rsid w:val="00CB3904"/>
    <w:rsid w:val="00CC3779"/>
    <w:rsid w:val="00CC4367"/>
    <w:rsid w:val="00CD3FD4"/>
    <w:rsid w:val="00CD6B5A"/>
    <w:rsid w:val="00CE7384"/>
    <w:rsid w:val="00CF1D0B"/>
    <w:rsid w:val="00CF3700"/>
    <w:rsid w:val="00CF3DCB"/>
    <w:rsid w:val="00CF4ADF"/>
    <w:rsid w:val="00CF7754"/>
    <w:rsid w:val="00D00342"/>
    <w:rsid w:val="00D02245"/>
    <w:rsid w:val="00D02E2F"/>
    <w:rsid w:val="00D03F34"/>
    <w:rsid w:val="00D04E60"/>
    <w:rsid w:val="00D07629"/>
    <w:rsid w:val="00D1054C"/>
    <w:rsid w:val="00D10EE2"/>
    <w:rsid w:val="00D11386"/>
    <w:rsid w:val="00D12C57"/>
    <w:rsid w:val="00D2152A"/>
    <w:rsid w:val="00D21576"/>
    <w:rsid w:val="00D2168B"/>
    <w:rsid w:val="00D229B8"/>
    <w:rsid w:val="00D25C4B"/>
    <w:rsid w:val="00D25D7C"/>
    <w:rsid w:val="00D26042"/>
    <w:rsid w:val="00D26A38"/>
    <w:rsid w:val="00D26D95"/>
    <w:rsid w:val="00D30FE6"/>
    <w:rsid w:val="00D310DC"/>
    <w:rsid w:val="00D31C28"/>
    <w:rsid w:val="00D32FA4"/>
    <w:rsid w:val="00D35200"/>
    <w:rsid w:val="00D41BEB"/>
    <w:rsid w:val="00D441D6"/>
    <w:rsid w:val="00D44B71"/>
    <w:rsid w:val="00D50711"/>
    <w:rsid w:val="00D53866"/>
    <w:rsid w:val="00D6011A"/>
    <w:rsid w:val="00D6643F"/>
    <w:rsid w:val="00D67B59"/>
    <w:rsid w:val="00D71D67"/>
    <w:rsid w:val="00D74D62"/>
    <w:rsid w:val="00D777C4"/>
    <w:rsid w:val="00D856D0"/>
    <w:rsid w:val="00D923C3"/>
    <w:rsid w:val="00D9481C"/>
    <w:rsid w:val="00D960B6"/>
    <w:rsid w:val="00D97644"/>
    <w:rsid w:val="00D97BA2"/>
    <w:rsid w:val="00DA03CB"/>
    <w:rsid w:val="00DA098F"/>
    <w:rsid w:val="00DA188E"/>
    <w:rsid w:val="00DA1BA3"/>
    <w:rsid w:val="00DA47FD"/>
    <w:rsid w:val="00DB048D"/>
    <w:rsid w:val="00DB3C05"/>
    <w:rsid w:val="00DB40B2"/>
    <w:rsid w:val="00DB560E"/>
    <w:rsid w:val="00DB737D"/>
    <w:rsid w:val="00DC1720"/>
    <w:rsid w:val="00DC3E76"/>
    <w:rsid w:val="00DC458E"/>
    <w:rsid w:val="00DC7325"/>
    <w:rsid w:val="00DD1566"/>
    <w:rsid w:val="00DD16CE"/>
    <w:rsid w:val="00DD39A6"/>
    <w:rsid w:val="00DF0F59"/>
    <w:rsid w:val="00DF72E1"/>
    <w:rsid w:val="00DF797B"/>
    <w:rsid w:val="00DF7DB8"/>
    <w:rsid w:val="00E02015"/>
    <w:rsid w:val="00E03AA0"/>
    <w:rsid w:val="00E052CC"/>
    <w:rsid w:val="00E06CAC"/>
    <w:rsid w:val="00E0775F"/>
    <w:rsid w:val="00E07896"/>
    <w:rsid w:val="00E127C5"/>
    <w:rsid w:val="00E12AFC"/>
    <w:rsid w:val="00E15E47"/>
    <w:rsid w:val="00E16A3A"/>
    <w:rsid w:val="00E214AE"/>
    <w:rsid w:val="00E23D05"/>
    <w:rsid w:val="00E307E1"/>
    <w:rsid w:val="00E32387"/>
    <w:rsid w:val="00E32D94"/>
    <w:rsid w:val="00E34B0D"/>
    <w:rsid w:val="00E36466"/>
    <w:rsid w:val="00E41214"/>
    <w:rsid w:val="00E41C39"/>
    <w:rsid w:val="00E41F6A"/>
    <w:rsid w:val="00E41F83"/>
    <w:rsid w:val="00E43B04"/>
    <w:rsid w:val="00E4494D"/>
    <w:rsid w:val="00E458A2"/>
    <w:rsid w:val="00E4684E"/>
    <w:rsid w:val="00E5184B"/>
    <w:rsid w:val="00E524AE"/>
    <w:rsid w:val="00E53DA6"/>
    <w:rsid w:val="00E62B29"/>
    <w:rsid w:val="00E63544"/>
    <w:rsid w:val="00E64FC8"/>
    <w:rsid w:val="00E65D7F"/>
    <w:rsid w:val="00E67785"/>
    <w:rsid w:val="00E71F1A"/>
    <w:rsid w:val="00E75664"/>
    <w:rsid w:val="00E75B06"/>
    <w:rsid w:val="00E8679C"/>
    <w:rsid w:val="00E86A6D"/>
    <w:rsid w:val="00E874CF"/>
    <w:rsid w:val="00E90CC7"/>
    <w:rsid w:val="00E927A2"/>
    <w:rsid w:val="00E934B9"/>
    <w:rsid w:val="00E94461"/>
    <w:rsid w:val="00E96C6F"/>
    <w:rsid w:val="00E96FCA"/>
    <w:rsid w:val="00E97EF5"/>
    <w:rsid w:val="00EA040E"/>
    <w:rsid w:val="00EA0D9B"/>
    <w:rsid w:val="00EA40C8"/>
    <w:rsid w:val="00EA553B"/>
    <w:rsid w:val="00EB0AA6"/>
    <w:rsid w:val="00EB3C8B"/>
    <w:rsid w:val="00EB5472"/>
    <w:rsid w:val="00EB57D0"/>
    <w:rsid w:val="00EB6A42"/>
    <w:rsid w:val="00EB79EE"/>
    <w:rsid w:val="00EC0B34"/>
    <w:rsid w:val="00EC0CFC"/>
    <w:rsid w:val="00EC2576"/>
    <w:rsid w:val="00EC3647"/>
    <w:rsid w:val="00EC3BD2"/>
    <w:rsid w:val="00EC3F6F"/>
    <w:rsid w:val="00EC4470"/>
    <w:rsid w:val="00EC463F"/>
    <w:rsid w:val="00EC6541"/>
    <w:rsid w:val="00ED377D"/>
    <w:rsid w:val="00ED572F"/>
    <w:rsid w:val="00ED71AA"/>
    <w:rsid w:val="00EE0208"/>
    <w:rsid w:val="00EE2A02"/>
    <w:rsid w:val="00EE4148"/>
    <w:rsid w:val="00EE51F9"/>
    <w:rsid w:val="00EF0756"/>
    <w:rsid w:val="00EF2326"/>
    <w:rsid w:val="00EF60B8"/>
    <w:rsid w:val="00EF67CA"/>
    <w:rsid w:val="00F02F20"/>
    <w:rsid w:val="00F04340"/>
    <w:rsid w:val="00F05058"/>
    <w:rsid w:val="00F0594B"/>
    <w:rsid w:val="00F06595"/>
    <w:rsid w:val="00F076A8"/>
    <w:rsid w:val="00F124FD"/>
    <w:rsid w:val="00F126F3"/>
    <w:rsid w:val="00F15404"/>
    <w:rsid w:val="00F17CC2"/>
    <w:rsid w:val="00F206E0"/>
    <w:rsid w:val="00F2422D"/>
    <w:rsid w:val="00F24422"/>
    <w:rsid w:val="00F270E0"/>
    <w:rsid w:val="00F314A9"/>
    <w:rsid w:val="00F31CE7"/>
    <w:rsid w:val="00F32E30"/>
    <w:rsid w:val="00F32FC5"/>
    <w:rsid w:val="00F33742"/>
    <w:rsid w:val="00F348FC"/>
    <w:rsid w:val="00F372C4"/>
    <w:rsid w:val="00F420AB"/>
    <w:rsid w:val="00F468F5"/>
    <w:rsid w:val="00F502EC"/>
    <w:rsid w:val="00F512D1"/>
    <w:rsid w:val="00F525E6"/>
    <w:rsid w:val="00F54568"/>
    <w:rsid w:val="00F54F4B"/>
    <w:rsid w:val="00F56CFB"/>
    <w:rsid w:val="00F5740B"/>
    <w:rsid w:val="00F61C08"/>
    <w:rsid w:val="00F623CA"/>
    <w:rsid w:val="00F633F1"/>
    <w:rsid w:val="00F73AD8"/>
    <w:rsid w:val="00F756D6"/>
    <w:rsid w:val="00F76166"/>
    <w:rsid w:val="00F80050"/>
    <w:rsid w:val="00F80170"/>
    <w:rsid w:val="00F81789"/>
    <w:rsid w:val="00F818A3"/>
    <w:rsid w:val="00F853C2"/>
    <w:rsid w:val="00F92923"/>
    <w:rsid w:val="00F92D79"/>
    <w:rsid w:val="00F92F1B"/>
    <w:rsid w:val="00F94D10"/>
    <w:rsid w:val="00F971EC"/>
    <w:rsid w:val="00F972D4"/>
    <w:rsid w:val="00F97C5D"/>
    <w:rsid w:val="00FB0761"/>
    <w:rsid w:val="00FC0A96"/>
    <w:rsid w:val="00FC0ACF"/>
    <w:rsid w:val="00FC246B"/>
    <w:rsid w:val="00FC4330"/>
    <w:rsid w:val="00FC483F"/>
    <w:rsid w:val="00FC499C"/>
    <w:rsid w:val="00FC70E4"/>
    <w:rsid w:val="00FD11E1"/>
    <w:rsid w:val="00FD1FA9"/>
    <w:rsid w:val="00FD2710"/>
    <w:rsid w:val="00FD4722"/>
    <w:rsid w:val="00FD4FDE"/>
    <w:rsid w:val="00FD6302"/>
    <w:rsid w:val="00FD7037"/>
    <w:rsid w:val="00FD7CB1"/>
    <w:rsid w:val="00FE2693"/>
    <w:rsid w:val="00FE2710"/>
    <w:rsid w:val="00FE6097"/>
    <w:rsid w:val="00FE702C"/>
    <w:rsid w:val="00FF0D3A"/>
    <w:rsid w:val="00FF145D"/>
    <w:rsid w:val="00FF14F4"/>
    <w:rsid w:val="00FF2C9C"/>
    <w:rsid w:val="00FF3771"/>
    <w:rsid w:val="00FF3AD9"/>
    <w:rsid w:val="00FF5EEE"/>
    <w:rsid w:val="00FF6225"/>
    <w:rsid w:val="00FF7A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6A67"/>
  <w15:docId w15:val="{C12A4D82-8F2A-4BB6-8FF2-96365A5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26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95"/>
  </w:style>
  <w:style w:type="paragraph" w:styleId="BalloonText">
    <w:name w:val="Balloon Text"/>
    <w:basedOn w:val="Normal"/>
    <w:link w:val="BalloonTextChar"/>
    <w:uiPriority w:val="99"/>
    <w:semiHidden/>
    <w:unhideWhenUsed/>
    <w:rsid w:val="00D26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95"/>
    <w:rPr>
      <w:rFonts w:ascii="Tahoma" w:hAnsi="Tahoma" w:cs="Tahoma"/>
      <w:sz w:val="16"/>
      <w:szCs w:val="16"/>
    </w:rPr>
  </w:style>
  <w:style w:type="paragraph" w:styleId="FootnoteText">
    <w:name w:val="footnote text"/>
    <w:aliases w:val="single space,footnote text,FOOTNOTES,fn,ADB,WB-Fu€notentext,Footnote,Fu€note,Char Char Char,Char Char,Footnote Text Char2,Footnote Text Char Char1,Footnote Text Char1 Char Char,Footnote Text Char Char Char Char,f,Footnote text,ft,fn1,ft1"/>
    <w:basedOn w:val="Normal"/>
    <w:link w:val="FootnoteTextChar"/>
    <w:uiPriority w:val="99"/>
    <w:unhideWhenUsed/>
    <w:rsid w:val="000C6536"/>
    <w:pPr>
      <w:spacing w:after="0" w:line="240" w:lineRule="auto"/>
    </w:pPr>
    <w:rPr>
      <w:sz w:val="20"/>
      <w:szCs w:val="20"/>
    </w:rPr>
  </w:style>
  <w:style w:type="character" w:customStyle="1" w:styleId="FootnoteTextChar">
    <w:name w:val="Footnote Text Char"/>
    <w:aliases w:val="single space Char,footnote text Char,FOOTNOTES Char,fn Char,ADB Char,WB-Fu€notentext Char,Footnote Char,Fu€note Char,Char Char Char Char,Char Char Char1,Footnote Text Char2 Char,Footnote Text Char Char1 Char,f Char,Footnote text Char"/>
    <w:basedOn w:val="DefaultParagraphFont"/>
    <w:link w:val="FootnoteText"/>
    <w:uiPriority w:val="99"/>
    <w:rsid w:val="000C6536"/>
    <w:rPr>
      <w:sz w:val="20"/>
      <w:szCs w:val="20"/>
    </w:r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basedOn w:val="DefaultParagraphFont"/>
    <w:uiPriority w:val="99"/>
    <w:unhideWhenUsed/>
    <w:rsid w:val="000C6536"/>
    <w:rPr>
      <w:vertAlign w:val="superscript"/>
    </w:rPr>
  </w:style>
  <w:style w:type="character" w:styleId="CommentReference">
    <w:name w:val="annotation reference"/>
    <w:basedOn w:val="DefaultParagraphFont"/>
    <w:uiPriority w:val="99"/>
    <w:semiHidden/>
    <w:unhideWhenUsed/>
    <w:rsid w:val="00C4071A"/>
    <w:rPr>
      <w:sz w:val="16"/>
      <w:szCs w:val="16"/>
    </w:rPr>
  </w:style>
  <w:style w:type="paragraph" w:styleId="CommentText">
    <w:name w:val="annotation text"/>
    <w:basedOn w:val="Normal"/>
    <w:link w:val="CommentTextChar"/>
    <w:uiPriority w:val="99"/>
    <w:semiHidden/>
    <w:unhideWhenUsed/>
    <w:rsid w:val="00C4071A"/>
    <w:pPr>
      <w:spacing w:line="240" w:lineRule="auto"/>
    </w:pPr>
    <w:rPr>
      <w:sz w:val="20"/>
      <w:szCs w:val="20"/>
    </w:rPr>
  </w:style>
  <w:style w:type="character" w:customStyle="1" w:styleId="CommentTextChar">
    <w:name w:val="Comment Text Char"/>
    <w:basedOn w:val="DefaultParagraphFont"/>
    <w:link w:val="CommentText"/>
    <w:uiPriority w:val="99"/>
    <w:semiHidden/>
    <w:rsid w:val="00C4071A"/>
    <w:rPr>
      <w:sz w:val="20"/>
      <w:szCs w:val="20"/>
    </w:rPr>
  </w:style>
  <w:style w:type="paragraph" w:styleId="CommentSubject">
    <w:name w:val="annotation subject"/>
    <w:basedOn w:val="CommentText"/>
    <w:next w:val="CommentText"/>
    <w:link w:val="CommentSubjectChar"/>
    <w:uiPriority w:val="99"/>
    <w:semiHidden/>
    <w:unhideWhenUsed/>
    <w:rsid w:val="00C4071A"/>
    <w:rPr>
      <w:b/>
      <w:bCs/>
    </w:rPr>
  </w:style>
  <w:style w:type="character" w:customStyle="1" w:styleId="CommentSubjectChar">
    <w:name w:val="Comment Subject Char"/>
    <w:basedOn w:val="CommentTextChar"/>
    <w:link w:val="CommentSubject"/>
    <w:uiPriority w:val="99"/>
    <w:semiHidden/>
    <w:rsid w:val="00C4071A"/>
    <w:rPr>
      <w:b/>
      <w:bCs/>
      <w:sz w:val="20"/>
      <w:szCs w:val="20"/>
    </w:rPr>
  </w:style>
  <w:style w:type="character" w:styleId="Hyperlink">
    <w:name w:val="Hyperlink"/>
    <w:basedOn w:val="DefaultParagraphFont"/>
    <w:uiPriority w:val="99"/>
    <w:unhideWhenUsed/>
    <w:rsid w:val="00AA13BA"/>
    <w:rPr>
      <w:color w:val="0000FF"/>
      <w:u w:val="single"/>
    </w:rPr>
  </w:style>
  <w:style w:type="paragraph" w:customStyle="1" w:styleId="MainText">
    <w:name w:val="Main Text"/>
    <w:basedOn w:val="Normal"/>
    <w:rsid w:val="00520CE5"/>
    <w:pPr>
      <w:numPr>
        <w:numId w:val="1"/>
      </w:numPr>
      <w:tabs>
        <w:tab w:val="left" w:pos="720"/>
      </w:tabs>
      <w:autoSpaceDE w:val="0"/>
      <w:autoSpaceDN w:val="0"/>
      <w:adjustRightInd w:val="0"/>
      <w:spacing w:after="240" w:line="240" w:lineRule="auto"/>
      <w:jc w:val="both"/>
    </w:pPr>
    <w:rPr>
      <w:rFonts w:ascii="Times New Roman" w:eastAsia="MS Mincho" w:hAnsi="Times New Roman" w:cs="Times New Roman"/>
      <w:sz w:val="24"/>
      <w:szCs w:val="24"/>
      <w:lang w:eastAsia="ja-JP" w:bidi="th-TH"/>
    </w:rPr>
  </w:style>
  <w:style w:type="paragraph" w:styleId="Header">
    <w:name w:val="header"/>
    <w:basedOn w:val="Normal"/>
    <w:link w:val="HeaderChar"/>
    <w:uiPriority w:val="99"/>
    <w:unhideWhenUsed/>
    <w:rsid w:val="00BC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F0"/>
  </w:style>
  <w:style w:type="character" w:styleId="FollowedHyperlink">
    <w:name w:val="FollowedHyperlink"/>
    <w:basedOn w:val="DefaultParagraphFont"/>
    <w:uiPriority w:val="99"/>
    <w:semiHidden/>
    <w:unhideWhenUsed/>
    <w:rsid w:val="00625367"/>
    <w:rPr>
      <w:color w:val="800080"/>
      <w:u w:val="single"/>
    </w:rPr>
  </w:style>
  <w:style w:type="paragraph" w:customStyle="1" w:styleId="font5">
    <w:name w:val="font5"/>
    <w:basedOn w:val="Normal"/>
    <w:rsid w:val="00625367"/>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625367"/>
    <w:pPr>
      <w:spacing w:before="100" w:beforeAutospacing="1" w:after="100" w:afterAutospacing="1" w:line="240" w:lineRule="auto"/>
    </w:pPr>
    <w:rPr>
      <w:rFonts w:ascii="Arial" w:eastAsia="Times New Roman" w:hAnsi="Arial" w:cs="Arial"/>
      <w:b/>
      <w:bCs/>
      <w:color w:val="993300"/>
      <w:sz w:val="20"/>
      <w:szCs w:val="20"/>
    </w:rPr>
  </w:style>
  <w:style w:type="paragraph" w:customStyle="1" w:styleId="xl148">
    <w:name w:val="xl148"/>
    <w:basedOn w:val="Normal"/>
    <w:rsid w:val="00625367"/>
    <w:pPr>
      <w:spacing w:before="100" w:beforeAutospacing="1" w:after="100" w:afterAutospacing="1" w:line="240" w:lineRule="auto"/>
    </w:pPr>
    <w:rPr>
      <w:rFonts w:ascii="Arial" w:eastAsia="Times New Roman" w:hAnsi="Arial" w:cs="Arial"/>
      <w:sz w:val="24"/>
      <w:szCs w:val="24"/>
    </w:rPr>
  </w:style>
  <w:style w:type="paragraph" w:customStyle="1" w:styleId="xl149">
    <w:name w:val="xl149"/>
    <w:basedOn w:val="Normal"/>
    <w:rsid w:val="0062536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2536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62536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253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6253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6253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625367"/>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59">
    <w:name w:val="xl159"/>
    <w:basedOn w:val="Normal"/>
    <w:rsid w:val="00625367"/>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0">
    <w:name w:val="xl160"/>
    <w:basedOn w:val="Normal"/>
    <w:rsid w:val="0062536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625367"/>
    <w:pP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625367"/>
    <w:pP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625367"/>
    <w:pPr>
      <w:spacing w:before="100" w:beforeAutospacing="1" w:after="100" w:afterAutospacing="1" w:line="240" w:lineRule="auto"/>
    </w:pPr>
    <w:rPr>
      <w:rFonts w:ascii="Arial" w:eastAsia="Times New Roman" w:hAnsi="Arial" w:cs="Arial"/>
      <w:sz w:val="24"/>
      <w:szCs w:val="24"/>
    </w:rPr>
  </w:style>
  <w:style w:type="paragraph" w:customStyle="1" w:styleId="xl165">
    <w:name w:val="xl165"/>
    <w:basedOn w:val="Normal"/>
    <w:rsid w:val="00625367"/>
    <w:pPr>
      <w:pBdr>
        <w:bottom w:val="single" w:sz="4" w:space="0" w:color="auto"/>
      </w:pBdr>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66">
    <w:name w:val="xl166"/>
    <w:basedOn w:val="Normal"/>
    <w:rsid w:val="00625367"/>
    <w:pPr>
      <w:pBdr>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167">
    <w:name w:val="xl167"/>
    <w:basedOn w:val="Normal"/>
    <w:rsid w:val="006253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25367"/>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styleId="EndnoteText">
    <w:name w:val="endnote text"/>
    <w:basedOn w:val="Normal"/>
    <w:link w:val="EndnoteTextChar"/>
    <w:uiPriority w:val="99"/>
    <w:semiHidden/>
    <w:unhideWhenUsed/>
    <w:rsid w:val="003B5C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CF6"/>
    <w:rPr>
      <w:sz w:val="20"/>
      <w:szCs w:val="20"/>
    </w:rPr>
  </w:style>
  <w:style w:type="character" w:styleId="EndnoteReference">
    <w:name w:val="endnote reference"/>
    <w:basedOn w:val="DefaultParagraphFont"/>
    <w:uiPriority w:val="99"/>
    <w:semiHidden/>
    <w:unhideWhenUsed/>
    <w:rsid w:val="003B5CF6"/>
    <w:rPr>
      <w:vertAlign w:val="superscript"/>
    </w:rPr>
  </w:style>
  <w:style w:type="character" w:customStyle="1" w:styleId="span6">
    <w:name w:val="span6"/>
    <w:basedOn w:val="DefaultParagraphFont"/>
    <w:rsid w:val="00036174"/>
  </w:style>
  <w:style w:type="character" w:customStyle="1" w:styleId="title2">
    <w:name w:val="title2"/>
    <w:basedOn w:val="DefaultParagraphFont"/>
    <w:rsid w:val="00036174"/>
  </w:style>
  <w:style w:type="paragraph" w:styleId="ListParagraph">
    <w:name w:val="List Paragraph"/>
    <w:basedOn w:val="Normal"/>
    <w:uiPriority w:val="34"/>
    <w:qFormat/>
    <w:rsid w:val="006F2762"/>
    <w:pPr>
      <w:ind w:left="720"/>
      <w:contextualSpacing/>
    </w:pPr>
  </w:style>
  <w:style w:type="paragraph" w:styleId="NormalWeb">
    <w:name w:val="Normal (Web)"/>
    <w:basedOn w:val="Normal"/>
    <w:uiPriority w:val="99"/>
    <w:semiHidden/>
    <w:unhideWhenUsed/>
    <w:rsid w:val="0049528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B3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4070">
      <w:bodyDiv w:val="1"/>
      <w:marLeft w:val="0"/>
      <w:marRight w:val="0"/>
      <w:marTop w:val="0"/>
      <w:marBottom w:val="0"/>
      <w:divBdr>
        <w:top w:val="none" w:sz="0" w:space="0" w:color="auto"/>
        <w:left w:val="none" w:sz="0" w:space="0" w:color="auto"/>
        <w:bottom w:val="none" w:sz="0" w:space="0" w:color="auto"/>
        <w:right w:val="none" w:sz="0" w:space="0" w:color="auto"/>
      </w:divBdr>
    </w:div>
    <w:div w:id="130172424">
      <w:bodyDiv w:val="1"/>
      <w:marLeft w:val="0"/>
      <w:marRight w:val="0"/>
      <w:marTop w:val="0"/>
      <w:marBottom w:val="0"/>
      <w:divBdr>
        <w:top w:val="none" w:sz="0" w:space="0" w:color="auto"/>
        <w:left w:val="none" w:sz="0" w:space="0" w:color="auto"/>
        <w:bottom w:val="none" w:sz="0" w:space="0" w:color="auto"/>
        <w:right w:val="none" w:sz="0" w:space="0" w:color="auto"/>
      </w:divBdr>
    </w:div>
    <w:div w:id="194931353">
      <w:bodyDiv w:val="1"/>
      <w:marLeft w:val="0"/>
      <w:marRight w:val="0"/>
      <w:marTop w:val="0"/>
      <w:marBottom w:val="0"/>
      <w:divBdr>
        <w:top w:val="none" w:sz="0" w:space="0" w:color="auto"/>
        <w:left w:val="none" w:sz="0" w:space="0" w:color="auto"/>
        <w:bottom w:val="none" w:sz="0" w:space="0" w:color="auto"/>
        <w:right w:val="none" w:sz="0" w:space="0" w:color="auto"/>
      </w:divBdr>
    </w:div>
    <w:div w:id="197546618">
      <w:bodyDiv w:val="1"/>
      <w:marLeft w:val="0"/>
      <w:marRight w:val="0"/>
      <w:marTop w:val="0"/>
      <w:marBottom w:val="0"/>
      <w:divBdr>
        <w:top w:val="none" w:sz="0" w:space="0" w:color="auto"/>
        <w:left w:val="none" w:sz="0" w:space="0" w:color="auto"/>
        <w:bottom w:val="none" w:sz="0" w:space="0" w:color="auto"/>
        <w:right w:val="none" w:sz="0" w:space="0" w:color="auto"/>
      </w:divBdr>
    </w:div>
    <w:div w:id="386030197">
      <w:bodyDiv w:val="1"/>
      <w:marLeft w:val="0"/>
      <w:marRight w:val="0"/>
      <w:marTop w:val="0"/>
      <w:marBottom w:val="0"/>
      <w:divBdr>
        <w:top w:val="none" w:sz="0" w:space="0" w:color="auto"/>
        <w:left w:val="none" w:sz="0" w:space="0" w:color="auto"/>
        <w:bottom w:val="none" w:sz="0" w:space="0" w:color="auto"/>
        <w:right w:val="none" w:sz="0" w:space="0" w:color="auto"/>
      </w:divBdr>
    </w:div>
    <w:div w:id="476268837">
      <w:bodyDiv w:val="1"/>
      <w:marLeft w:val="0"/>
      <w:marRight w:val="0"/>
      <w:marTop w:val="0"/>
      <w:marBottom w:val="0"/>
      <w:divBdr>
        <w:top w:val="none" w:sz="0" w:space="0" w:color="auto"/>
        <w:left w:val="none" w:sz="0" w:space="0" w:color="auto"/>
        <w:bottom w:val="none" w:sz="0" w:space="0" w:color="auto"/>
        <w:right w:val="none" w:sz="0" w:space="0" w:color="auto"/>
      </w:divBdr>
    </w:div>
    <w:div w:id="482746039">
      <w:bodyDiv w:val="1"/>
      <w:marLeft w:val="0"/>
      <w:marRight w:val="0"/>
      <w:marTop w:val="0"/>
      <w:marBottom w:val="0"/>
      <w:divBdr>
        <w:top w:val="none" w:sz="0" w:space="0" w:color="auto"/>
        <w:left w:val="none" w:sz="0" w:space="0" w:color="auto"/>
        <w:bottom w:val="none" w:sz="0" w:space="0" w:color="auto"/>
        <w:right w:val="none" w:sz="0" w:space="0" w:color="auto"/>
      </w:divBdr>
    </w:div>
    <w:div w:id="586033789">
      <w:bodyDiv w:val="1"/>
      <w:marLeft w:val="0"/>
      <w:marRight w:val="0"/>
      <w:marTop w:val="0"/>
      <w:marBottom w:val="0"/>
      <w:divBdr>
        <w:top w:val="none" w:sz="0" w:space="0" w:color="auto"/>
        <w:left w:val="none" w:sz="0" w:space="0" w:color="auto"/>
        <w:bottom w:val="none" w:sz="0" w:space="0" w:color="auto"/>
        <w:right w:val="none" w:sz="0" w:space="0" w:color="auto"/>
      </w:divBdr>
    </w:div>
    <w:div w:id="666714118">
      <w:bodyDiv w:val="1"/>
      <w:marLeft w:val="0"/>
      <w:marRight w:val="0"/>
      <w:marTop w:val="0"/>
      <w:marBottom w:val="0"/>
      <w:divBdr>
        <w:top w:val="none" w:sz="0" w:space="0" w:color="auto"/>
        <w:left w:val="none" w:sz="0" w:space="0" w:color="auto"/>
        <w:bottom w:val="none" w:sz="0" w:space="0" w:color="auto"/>
        <w:right w:val="none" w:sz="0" w:space="0" w:color="auto"/>
      </w:divBdr>
    </w:div>
    <w:div w:id="711879557">
      <w:bodyDiv w:val="1"/>
      <w:marLeft w:val="0"/>
      <w:marRight w:val="0"/>
      <w:marTop w:val="0"/>
      <w:marBottom w:val="0"/>
      <w:divBdr>
        <w:top w:val="none" w:sz="0" w:space="0" w:color="auto"/>
        <w:left w:val="none" w:sz="0" w:space="0" w:color="auto"/>
        <w:bottom w:val="none" w:sz="0" w:space="0" w:color="auto"/>
        <w:right w:val="none" w:sz="0" w:space="0" w:color="auto"/>
      </w:divBdr>
    </w:div>
    <w:div w:id="764300819">
      <w:bodyDiv w:val="1"/>
      <w:marLeft w:val="0"/>
      <w:marRight w:val="0"/>
      <w:marTop w:val="0"/>
      <w:marBottom w:val="0"/>
      <w:divBdr>
        <w:top w:val="none" w:sz="0" w:space="0" w:color="auto"/>
        <w:left w:val="none" w:sz="0" w:space="0" w:color="auto"/>
        <w:bottom w:val="none" w:sz="0" w:space="0" w:color="auto"/>
        <w:right w:val="none" w:sz="0" w:space="0" w:color="auto"/>
      </w:divBdr>
    </w:div>
    <w:div w:id="770473476">
      <w:bodyDiv w:val="1"/>
      <w:marLeft w:val="0"/>
      <w:marRight w:val="0"/>
      <w:marTop w:val="0"/>
      <w:marBottom w:val="0"/>
      <w:divBdr>
        <w:top w:val="none" w:sz="0" w:space="0" w:color="auto"/>
        <w:left w:val="none" w:sz="0" w:space="0" w:color="auto"/>
        <w:bottom w:val="none" w:sz="0" w:space="0" w:color="auto"/>
        <w:right w:val="none" w:sz="0" w:space="0" w:color="auto"/>
      </w:divBdr>
    </w:div>
    <w:div w:id="795758875">
      <w:bodyDiv w:val="1"/>
      <w:marLeft w:val="0"/>
      <w:marRight w:val="0"/>
      <w:marTop w:val="0"/>
      <w:marBottom w:val="0"/>
      <w:divBdr>
        <w:top w:val="none" w:sz="0" w:space="0" w:color="auto"/>
        <w:left w:val="none" w:sz="0" w:space="0" w:color="auto"/>
        <w:bottom w:val="none" w:sz="0" w:space="0" w:color="auto"/>
        <w:right w:val="none" w:sz="0" w:space="0" w:color="auto"/>
      </w:divBdr>
    </w:div>
    <w:div w:id="859009146">
      <w:bodyDiv w:val="1"/>
      <w:marLeft w:val="0"/>
      <w:marRight w:val="0"/>
      <w:marTop w:val="0"/>
      <w:marBottom w:val="0"/>
      <w:divBdr>
        <w:top w:val="none" w:sz="0" w:space="0" w:color="auto"/>
        <w:left w:val="none" w:sz="0" w:space="0" w:color="auto"/>
        <w:bottom w:val="none" w:sz="0" w:space="0" w:color="auto"/>
        <w:right w:val="none" w:sz="0" w:space="0" w:color="auto"/>
      </w:divBdr>
    </w:div>
    <w:div w:id="949970396">
      <w:bodyDiv w:val="1"/>
      <w:marLeft w:val="0"/>
      <w:marRight w:val="0"/>
      <w:marTop w:val="0"/>
      <w:marBottom w:val="0"/>
      <w:divBdr>
        <w:top w:val="none" w:sz="0" w:space="0" w:color="auto"/>
        <w:left w:val="none" w:sz="0" w:space="0" w:color="auto"/>
        <w:bottom w:val="none" w:sz="0" w:space="0" w:color="auto"/>
        <w:right w:val="none" w:sz="0" w:space="0" w:color="auto"/>
      </w:divBdr>
    </w:div>
    <w:div w:id="972515470">
      <w:bodyDiv w:val="1"/>
      <w:marLeft w:val="0"/>
      <w:marRight w:val="0"/>
      <w:marTop w:val="0"/>
      <w:marBottom w:val="0"/>
      <w:divBdr>
        <w:top w:val="none" w:sz="0" w:space="0" w:color="auto"/>
        <w:left w:val="none" w:sz="0" w:space="0" w:color="auto"/>
        <w:bottom w:val="none" w:sz="0" w:space="0" w:color="auto"/>
        <w:right w:val="none" w:sz="0" w:space="0" w:color="auto"/>
      </w:divBdr>
    </w:div>
    <w:div w:id="1075125841">
      <w:bodyDiv w:val="1"/>
      <w:marLeft w:val="0"/>
      <w:marRight w:val="0"/>
      <w:marTop w:val="0"/>
      <w:marBottom w:val="0"/>
      <w:divBdr>
        <w:top w:val="none" w:sz="0" w:space="0" w:color="auto"/>
        <w:left w:val="none" w:sz="0" w:space="0" w:color="auto"/>
        <w:bottom w:val="none" w:sz="0" w:space="0" w:color="auto"/>
        <w:right w:val="none" w:sz="0" w:space="0" w:color="auto"/>
      </w:divBdr>
    </w:div>
    <w:div w:id="1098063055">
      <w:bodyDiv w:val="1"/>
      <w:marLeft w:val="0"/>
      <w:marRight w:val="0"/>
      <w:marTop w:val="0"/>
      <w:marBottom w:val="0"/>
      <w:divBdr>
        <w:top w:val="none" w:sz="0" w:space="0" w:color="auto"/>
        <w:left w:val="none" w:sz="0" w:space="0" w:color="auto"/>
        <w:bottom w:val="none" w:sz="0" w:space="0" w:color="auto"/>
        <w:right w:val="none" w:sz="0" w:space="0" w:color="auto"/>
      </w:divBdr>
    </w:div>
    <w:div w:id="1109541309">
      <w:bodyDiv w:val="1"/>
      <w:marLeft w:val="0"/>
      <w:marRight w:val="0"/>
      <w:marTop w:val="0"/>
      <w:marBottom w:val="0"/>
      <w:divBdr>
        <w:top w:val="none" w:sz="0" w:space="0" w:color="auto"/>
        <w:left w:val="none" w:sz="0" w:space="0" w:color="auto"/>
        <w:bottom w:val="none" w:sz="0" w:space="0" w:color="auto"/>
        <w:right w:val="none" w:sz="0" w:space="0" w:color="auto"/>
      </w:divBdr>
    </w:div>
    <w:div w:id="1112557140">
      <w:bodyDiv w:val="1"/>
      <w:marLeft w:val="0"/>
      <w:marRight w:val="0"/>
      <w:marTop w:val="0"/>
      <w:marBottom w:val="0"/>
      <w:divBdr>
        <w:top w:val="none" w:sz="0" w:space="0" w:color="auto"/>
        <w:left w:val="none" w:sz="0" w:space="0" w:color="auto"/>
        <w:bottom w:val="none" w:sz="0" w:space="0" w:color="auto"/>
        <w:right w:val="none" w:sz="0" w:space="0" w:color="auto"/>
      </w:divBdr>
    </w:div>
    <w:div w:id="1126504922">
      <w:bodyDiv w:val="1"/>
      <w:marLeft w:val="0"/>
      <w:marRight w:val="0"/>
      <w:marTop w:val="0"/>
      <w:marBottom w:val="0"/>
      <w:divBdr>
        <w:top w:val="none" w:sz="0" w:space="0" w:color="auto"/>
        <w:left w:val="none" w:sz="0" w:space="0" w:color="auto"/>
        <w:bottom w:val="none" w:sz="0" w:space="0" w:color="auto"/>
        <w:right w:val="none" w:sz="0" w:space="0" w:color="auto"/>
      </w:divBdr>
    </w:div>
    <w:div w:id="1199469553">
      <w:bodyDiv w:val="1"/>
      <w:marLeft w:val="0"/>
      <w:marRight w:val="0"/>
      <w:marTop w:val="0"/>
      <w:marBottom w:val="0"/>
      <w:divBdr>
        <w:top w:val="none" w:sz="0" w:space="0" w:color="auto"/>
        <w:left w:val="none" w:sz="0" w:space="0" w:color="auto"/>
        <w:bottom w:val="none" w:sz="0" w:space="0" w:color="auto"/>
        <w:right w:val="none" w:sz="0" w:space="0" w:color="auto"/>
      </w:divBdr>
    </w:div>
    <w:div w:id="1214269672">
      <w:bodyDiv w:val="1"/>
      <w:marLeft w:val="0"/>
      <w:marRight w:val="0"/>
      <w:marTop w:val="0"/>
      <w:marBottom w:val="0"/>
      <w:divBdr>
        <w:top w:val="none" w:sz="0" w:space="0" w:color="auto"/>
        <w:left w:val="none" w:sz="0" w:space="0" w:color="auto"/>
        <w:bottom w:val="none" w:sz="0" w:space="0" w:color="auto"/>
        <w:right w:val="none" w:sz="0" w:space="0" w:color="auto"/>
      </w:divBdr>
    </w:div>
    <w:div w:id="1312249125">
      <w:bodyDiv w:val="1"/>
      <w:marLeft w:val="0"/>
      <w:marRight w:val="0"/>
      <w:marTop w:val="0"/>
      <w:marBottom w:val="0"/>
      <w:divBdr>
        <w:top w:val="none" w:sz="0" w:space="0" w:color="auto"/>
        <w:left w:val="none" w:sz="0" w:space="0" w:color="auto"/>
        <w:bottom w:val="none" w:sz="0" w:space="0" w:color="auto"/>
        <w:right w:val="none" w:sz="0" w:space="0" w:color="auto"/>
      </w:divBdr>
    </w:div>
    <w:div w:id="1390230118">
      <w:bodyDiv w:val="1"/>
      <w:marLeft w:val="0"/>
      <w:marRight w:val="0"/>
      <w:marTop w:val="0"/>
      <w:marBottom w:val="0"/>
      <w:divBdr>
        <w:top w:val="none" w:sz="0" w:space="0" w:color="auto"/>
        <w:left w:val="none" w:sz="0" w:space="0" w:color="auto"/>
        <w:bottom w:val="none" w:sz="0" w:space="0" w:color="auto"/>
        <w:right w:val="none" w:sz="0" w:space="0" w:color="auto"/>
      </w:divBdr>
    </w:div>
    <w:div w:id="1425957992">
      <w:bodyDiv w:val="1"/>
      <w:marLeft w:val="0"/>
      <w:marRight w:val="0"/>
      <w:marTop w:val="0"/>
      <w:marBottom w:val="0"/>
      <w:divBdr>
        <w:top w:val="none" w:sz="0" w:space="0" w:color="auto"/>
        <w:left w:val="none" w:sz="0" w:space="0" w:color="auto"/>
        <w:bottom w:val="none" w:sz="0" w:space="0" w:color="auto"/>
        <w:right w:val="none" w:sz="0" w:space="0" w:color="auto"/>
      </w:divBdr>
    </w:div>
    <w:div w:id="1443647663">
      <w:bodyDiv w:val="1"/>
      <w:marLeft w:val="0"/>
      <w:marRight w:val="0"/>
      <w:marTop w:val="0"/>
      <w:marBottom w:val="0"/>
      <w:divBdr>
        <w:top w:val="none" w:sz="0" w:space="0" w:color="auto"/>
        <w:left w:val="none" w:sz="0" w:space="0" w:color="auto"/>
        <w:bottom w:val="none" w:sz="0" w:space="0" w:color="auto"/>
        <w:right w:val="none" w:sz="0" w:space="0" w:color="auto"/>
      </w:divBdr>
    </w:div>
    <w:div w:id="1610434957">
      <w:bodyDiv w:val="1"/>
      <w:marLeft w:val="0"/>
      <w:marRight w:val="0"/>
      <w:marTop w:val="0"/>
      <w:marBottom w:val="0"/>
      <w:divBdr>
        <w:top w:val="none" w:sz="0" w:space="0" w:color="auto"/>
        <w:left w:val="none" w:sz="0" w:space="0" w:color="auto"/>
        <w:bottom w:val="none" w:sz="0" w:space="0" w:color="auto"/>
        <w:right w:val="none" w:sz="0" w:space="0" w:color="auto"/>
      </w:divBdr>
    </w:div>
    <w:div w:id="1622345533">
      <w:bodyDiv w:val="1"/>
      <w:marLeft w:val="0"/>
      <w:marRight w:val="0"/>
      <w:marTop w:val="0"/>
      <w:marBottom w:val="0"/>
      <w:divBdr>
        <w:top w:val="none" w:sz="0" w:space="0" w:color="auto"/>
        <w:left w:val="none" w:sz="0" w:space="0" w:color="auto"/>
        <w:bottom w:val="none" w:sz="0" w:space="0" w:color="auto"/>
        <w:right w:val="none" w:sz="0" w:space="0" w:color="auto"/>
      </w:divBdr>
    </w:div>
    <w:div w:id="1638219838">
      <w:bodyDiv w:val="1"/>
      <w:marLeft w:val="0"/>
      <w:marRight w:val="0"/>
      <w:marTop w:val="0"/>
      <w:marBottom w:val="0"/>
      <w:divBdr>
        <w:top w:val="none" w:sz="0" w:space="0" w:color="auto"/>
        <w:left w:val="none" w:sz="0" w:space="0" w:color="auto"/>
        <w:bottom w:val="none" w:sz="0" w:space="0" w:color="auto"/>
        <w:right w:val="none" w:sz="0" w:space="0" w:color="auto"/>
      </w:divBdr>
    </w:div>
    <w:div w:id="1707364144">
      <w:bodyDiv w:val="1"/>
      <w:marLeft w:val="0"/>
      <w:marRight w:val="0"/>
      <w:marTop w:val="0"/>
      <w:marBottom w:val="0"/>
      <w:divBdr>
        <w:top w:val="none" w:sz="0" w:space="0" w:color="auto"/>
        <w:left w:val="none" w:sz="0" w:space="0" w:color="auto"/>
        <w:bottom w:val="none" w:sz="0" w:space="0" w:color="auto"/>
        <w:right w:val="none" w:sz="0" w:space="0" w:color="auto"/>
      </w:divBdr>
    </w:div>
    <w:div w:id="1762221161">
      <w:bodyDiv w:val="1"/>
      <w:marLeft w:val="0"/>
      <w:marRight w:val="0"/>
      <w:marTop w:val="0"/>
      <w:marBottom w:val="0"/>
      <w:divBdr>
        <w:top w:val="none" w:sz="0" w:space="0" w:color="auto"/>
        <w:left w:val="none" w:sz="0" w:space="0" w:color="auto"/>
        <w:bottom w:val="none" w:sz="0" w:space="0" w:color="auto"/>
        <w:right w:val="none" w:sz="0" w:space="0" w:color="auto"/>
      </w:divBdr>
    </w:div>
    <w:div w:id="1939173185">
      <w:bodyDiv w:val="1"/>
      <w:marLeft w:val="0"/>
      <w:marRight w:val="0"/>
      <w:marTop w:val="0"/>
      <w:marBottom w:val="0"/>
      <w:divBdr>
        <w:top w:val="none" w:sz="0" w:space="0" w:color="auto"/>
        <w:left w:val="none" w:sz="0" w:space="0" w:color="auto"/>
        <w:bottom w:val="none" w:sz="0" w:space="0" w:color="auto"/>
        <w:right w:val="none" w:sz="0" w:space="0" w:color="auto"/>
      </w:divBdr>
    </w:div>
    <w:div w:id="1976327703">
      <w:bodyDiv w:val="1"/>
      <w:marLeft w:val="0"/>
      <w:marRight w:val="0"/>
      <w:marTop w:val="0"/>
      <w:marBottom w:val="0"/>
      <w:divBdr>
        <w:top w:val="none" w:sz="0" w:space="0" w:color="auto"/>
        <w:left w:val="none" w:sz="0" w:space="0" w:color="auto"/>
        <w:bottom w:val="none" w:sz="0" w:space="0" w:color="auto"/>
        <w:right w:val="none" w:sz="0" w:space="0" w:color="auto"/>
      </w:divBdr>
    </w:div>
    <w:div w:id="1983459556">
      <w:bodyDiv w:val="1"/>
      <w:marLeft w:val="0"/>
      <w:marRight w:val="0"/>
      <w:marTop w:val="0"/>
      <w:marBottom w:val="0"/>
      <w:divBdr>
        <w:top w:val="none" w:sz="0" w:space="0" w:color="auto"/>
        <w:left w:val="none" w:sz="0" w:space="0" w:color="auto"/>
        <w:bottom w:val="none" w:sz="0" w:space="0" w:color="auto"/>
        <w:right w:val="none" w:sz="0" w:space="0" w:color="auto"/>
      </w:divBdr>
    </w:div>
    <w:div w:id="1992903477">
      <w:bodyDiv w:val="1"/>
      <w:marLeft w:val="0"/>
      <w:marRight w:val="0"/>
      <w:marTop w:val="0"/>
      <w:marBottom w:val="0"/>
      <w:divBdr>
        <w:top w:val="none" w:sz="0" w:space="0" w:color="auto"/>
        <w:left w:val="none" w:sz="0" w:space="0" w:color="auto"/>
        <w:bottom w:val="none" w:sz="0" w:space="0" w:color="auto"/>
        <w:right w:val="none" w:sz="0" w:space="0" w:color="auto"/>
      </w:divBdr>
    </w:div>
    <w:div w:id="2000498805">
      <w:bodyDiv w:val="1"/>
      <w:marLeft w:val="0"/>
      <w:marRight w:val="0"/>
      <w:marTop w:val="0"/>
      <w:marBottom w:val="0"/>
      <w:divBdr>
        <w:top w:val="none" w:sz="0" w:space="0" w:color="auto"/>
        <w:left w:val="none" w:sz="0" w:space="0" w:color="auto"/>
        <w:bottom w:val="none" w:sz="0" w:space="0" w:color="auto"/>
        <w:right w:val="none" w:sz="0" w:space="0" w:color="auto"/>
      </w:divBdr>
    </w:div>
    <w:div w:id="21035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unfccc.int/paris_agreement/items/9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7F7D-DA0D-4B0C-9C19-9E9581E1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Wb370380</dc:creator>
  <cp:lastModifiedBy>Omer M. Karasapan</cp:lastModifiedBy>
  <cp:revision>2</cp:revision>
  <cp:lastPrinted>2018-02-27T03:17:00Z</cp:lastPrinted>
  <dcterms:created xsi:type="dcterms:W3CDTF">2018-03-05T20:43:00Z</dcterms:created>
  <dcterms:modified xsi:type="dcterms:W3CDTF">2018-03-05T20:43:00Z</dcterms:modified>
</cp:coreProperties>
</file>