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C3" w:rsidRPr="008573CA" w:rsidRDefault="006568E9" w:rsidP="006A6CC3">
      <w:pPr>
        <w:pStyle w:val="SE4ALLchapterhea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35pt;margin-top:-41pt;width:114.75pt;height:40.75pt;z-index:251658240" stroked="f">
            <v:textbox>
              <w:txbxContent>
                <w:p w:rsidR="006568E9" w:rsidRDefault="006568E9" w:rsidP="006568E9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ascii="Arial" w:hAnsi="Arial" w:cs="Arial"/>
                      <w:sz w:val="44"/>
                      <w:szCs w:val="44"/>
                    </w:rPr>
                    <w:t>77889 v1</w:t>
                  </w:r>
                  <w:bookmarkEnd w:id="0"/>
                </w:p>
              </w:txbxContent>
            </v:textbox>
          </v:shape>
        </w:pict>
      </w:r>
      <w:r w:rsidR="008725C9">
        <w:rPr>
          <w:lang w:val="ru-RU"/>
        </w:rPr>
        <w:t>Резюме</w:t>
      </w:r>
    </w:p>
    <w:p w:rsidR="00077CC6" w:rsidRPr="008573CA" w:rsidRDefault="003871A3" w:rsidP="00DC4F95">
      <w:pPr>
        <w:pStyle w:val="SE4ALLbodycopy"/>
        <w:rPr>
          <w:lang w:val="ru-RU"/>
        </w:rPr>
      </w:pPr>
      <w:r w:rsidRPr="00A30CF2">
        <w:rPr>
          <w:lang w:val="ru-RU"/>
        </w:rPr>
        <w:t>Объявив 2012</w:t>
      </w:r>
      <w:r w:rsidR="008725C9">
        <w:rPr>
          <w:lang w:val="ru-RU"/>
        </w:rPr>
        <w:t> </w:t>
      </w:r>
      <w:r w:rsidRPr="00A30CF2">
        <w:rPr>
          <w:lang w:val="ru-RU"/>
        </w:rPr>
        <w:t>г</w:t>
      </w:r>
      <w:r w:rsidR="00A30CF2">
        <w:rPr>
          <w:lang w:val="ru-RU"/>
        </w:rPr>
        <w:t>од</w:t>
      </w:r>
      <w:r w:rsidRPr="00A30CF2">
        <w:rPr>
          <w:lang w:val="ru-RU"/>
        </w:rPr>
        <w:t xml:space="preserve"> Международным годом устойчивой энергетики для всех, Генеральная ассамблея </w:t>
      </w:r>
      <w:r w:rsidR="008725C9">
        <w:rPr>
          <w:lang w:val="ru-RU"/>
        </w:rPr>
        <w:t>Организации Объединенных Наций</w:t>
      </w:r>
      <w:r w:rsidRPr="00A30CF2">
        <w:rPr>
          <w:lang w:val="ru-RU"/>
        </w:rPr>
        <w:t xml:space="preserve"> (2011 г</w:t>
      </w:r>
      <w:r w:rsidR="008725C9">
        <w:rPr>
          <w:lang w:val="ru-RU"/>
        </w:rPr>
        <w:t>од</w:t>
      </w:r>
      <w:r w:rsidRPr="00A30CF2">
        <w:rPr>
          <w:lang w:val="ru-RU"/>
        </w:rPr>
        <w:t xml:space="preserve">) </w:t>
      </w:r>
      <w:r w:rsidR="00A30CF2" w:rsidRPr="00A30CF2">
        <w:rPr>
          <w:lang w:val="ru-RU"/>
        </w:rPr>
        <w:t xml:space="preserve">по инициативе Генерального секретаря </w:t>
      </w:r>
      <w:r w:rsidR="008725C9">
        <w:rPr>
          <w:lang w:val="ru-RU"/>
        </w:rPr>
        <w:t xml:space="preserve">Организации Объединенных Наций установила </w:t>
      </w:r>
      <w:r w:rsidRPr="00A30CF2">
        <w:rPr>
          <w:lang w:val="ru-RU"/>
        </w:rPr>
        <w:t xml:space="preserve">три глобальные </w:t>
      </w:r>
      <w:r w:rsidR="00F44A29" w:rsidRPr="00A30CF2">
        <w:rPr>
          <w:lang w:val="ru-RU"/>
        </w:rPr>
        <w:t>цели</w:t>
      </w:r>
      <w:r w:rsidRPr="00A30CF2">
        <w:rPr>
          <w:lang w:val="ru-RU"/>
        </w:rPr>
        <w:t xml:space="preserve">, которые </w:t>
      </w:r>
      <w:r w:rsidR="00F44A29" w:rsidRPr="00A30CF2">
        <w:rPr>
          <w:lang w:val="ru-RU"/>
        </w:rPr>
        <w:t>необходимо выполнить к</w:t>
      </w:r>
      <w:r w:rsidRPr="00A30CF2">
        <w:rPr>
          <w:lang w:val="ru-RU"/>
        </w:rPr>
        <w:t xml:space="preserve"> </w:t>
      </w:r>
      <w:r w:rsidR="00C67665" w:rsidRPr="001B07FA">
        <w:rPr>
          <w:lang w:val="ru-RU"/>
        </w:rPr>
        <w:t>2030</w:t>
      </w:r>
      <w:r w:rsidR="008725C9">
        <w:rPr>
          <w:lang w:val="ru-RU"/>
        </w:rPr>
        <w:t> </w:t>
      </w:r>
      <w:r w:rsidRPr="00A30CF2">
        <w:rPr>
          <w:lang w:val="ru-RU"/>
        </w:rPr>
        <w:t>г</w:t>
      </w:r>
      <w:r w:rsidR="008725C9">
        <w:rPr>
          <w:lang w:val="ru-RU"/>
        </w:rPr>
        <w:t>оду</w:t>
      </w:r>
      <w:r w:rsidRPr="00A30CF2">
        <w:rPr>
          <w:lang w:val="ru-RU"/>
        </w:rPr>
        <w:t>.</w:t>
      </w:r>
      <w:r w:rsidR="006A6CC3" w:rsidRPr="001B07FA">
        <w:rPr>
          <w:lang w:val="ru-RU"/>
        </w:rPr>
        <w:t xml:space="preserve"> </w:t>
      </w:r>
      <w:r w:rsidR="008725C9">
        <w:rPr>
          <w:lang w:val="ru-RU"/>
        </w:rPr>
        <w:t xml:space="preserve">Эти цели включают </w:t>
      </w:r>
      <w:r w:rsidRPr="00A30CF2">
        <w:rPr>
          <w:lang w:val="ru-RU"/>
        </w:rPr>
        <w:t xml:space="preserve">обеспечение </w:t>
      </w:r>
      <w:r w:rsidR="00A30CF2" w:rsidRPr="00A30CF2">
        <w:rPr>
          <w:lang w:val="ru-RU"/>
        </w:rPr>
        <w:t xml:space="preserve">всеобщего доступа к современным </w:t>
      </w:r>
      <w:r w:rsidR="00A30CF2">
        <w:rPr>
          <w:lang w:val="ru-RU"/>
        </w:rPr>
        <w:t xml:space="preserve">энергетическим </w:t>
      </w:r>
      <w:r w:rsidR="00A30CF2" w:rsidRPr="00A30CF2">
        <w:rPr>
          <w:lang w:val="ru-RU"/>
        </w:rPr>
        <w:t>услугам (включая электроснабжени</w:t>
      </w:r>
      <w:r w:rsidR="008573CA">
        <w:rPr>
          <w:lang w:val="ru-RU"/>
        </w:rPr>
        <w:t>е</w:t>
      </w:r>
      <w:r w:rsidR="00A30CF2" w:rsidRPr="00A30CF2">
        <w:rPr>
          <w:lang w:val="ru-RU"/>
        </w:rPr>
        <w:t xml:space="preserve"> и </w:t>
      </w:r>
      <w:r w:rsidR="00A30CF2">
        <w:rPr>
          <w:lang w:val="ru-RU"/>
        </w:rPr>
        <w:t xml:space="preserve">экологически безвредные </w:t>
      </w:r>
      <w:r w:rsidR="00A30CF2" w:rsidRPr="00A30CF2">
        <w:rPr>
          <w:lang w:val="ru-RU"/>
        </w:rPr>
        <w:t>современны</w:t>
      </w:r>
      <w:r w:rsidR="00A30CF2">
        <w:rPr>
          <w:lang w:val="ru-RU"/>
        </w:rPr>
        <w:t>е</w:t>
      </w:r>
      <w:r w:rsidR="00A30CF2" w:rsidRPr="00A30CF2">
        <w:rPr>
          <w:lang w:val="ru-RU"/>
        </w:rPr>
        <w:t xml:space="preserve"> техн</w:t>
      </w:r>
      <w:r w:rsidR="00A30CF2">
        <w:rPr>
          <w:lang w:val="ru-RU"/>
        </w:rPr>
        <w:t xml:space="preserve">ические решения для </w:t>
      </w:r>
      <w:r w:rsidR="00A30CF2" w:rsidRPr="00A30CF2">
        <w:rPr>
          <w:lang w:val="ru-RU"/>
        </w:rPr>
        <w:t>приготовления пищи)</w:t>
      </w:r>
      <w:r w:rsidR="008725C9">
        <w:rPr>
          <w:lang w:val="ru-RU"/>
        </w:rPr>
        <w:t>,</w:t>
      </w:r>
      <w:r w:rsidR="00A30CF2" w:rsidRPr="00A30CF2">
        <w:rPr>
          <w:lang w:val="ru-RU"/>
        </w:rPr>
        <w:t xml:space="preserve"> </w:t>
      </w:r>
      <w:r w:rsidR="00D513C9">
        <w:rPr>
          <w:lang w:val="ru-RU"/>
        </w:rPr>
        <w:t>повышени</w:t>
      </w:r>
      <w:r w:rsidR="008725C9">
        <w:rPr>
          <w:lang w:val="ru-RU"/>
        </w:rPr>
        <w:t>е</w:t>
      </w:r>
      <w:r w:rsidR="00D513C9">
        <w:rPr>
          <w:lang w:val="ru-RU"/>
        </w:rPr>
        <w:t xml:space="preserve"> в два раза мирового </w:t>
      </w:r>
      <w:r w:rsidR="00A30CF2" w:rsidRPr="00A30CF2">
        <w:rPr>
          <w:lang w:val="ru-RU"/>
        </w:rPr>
        <w:t>уровн</w:t>
      </w:r>
      <w:r w:rsidR="00D513C9">
        <w:rPr>
          <w:lang w:val="ru-RU"/>
        </w:rPr>
        <w:t>я</w:t>
      </w:r>
      <w:r w:rsidR="00A30CF2" w:rsidRPr="00A30CF2">
        <w:rPr>
          <w:lang w:val="ru-RU"/>
        </w:rPr>
        <w:t xml:space="preserve"> энергосбережения, а также удво</w:t>
      </w:r>
      <w:r w:rsidR="00D513C9">
        <w:rPr>
          <w:lang w:val="ru-RU"/>
        </w:rPr>
        <w:t>ени</w:t>
      </w:r>
      <w:r w:rsidR="008725C9">
        <w:rPr>
          <w:lang w:val="ru-RU"/>
        </w:rPr>
        <w:t>е</w:t>
      </w:r>
      <w:r w:rsidR="00D513C9">
        <w:rPr>
          <w:lang w:val="ru-RU"/>
        </w:rPr>
        <w:t xml:space="preserve"> </w:t>
      </w:r>
      <w:r w:rsidR="00A30CF2" w:rsidRPr="00A30CF2">
        <w:rPr>
          <w:lang w:val="ru-RU"/>
        </w:rPr>
        <w:t>дол</w:t>
      </w:r>
      <w:r w:rsidR="00D513C9">
        <w:rPr>
          <w:lang w:val="ru-RU"/>
        </w:rPr>
        <w:t>и</w:t>
      </w:r>
      <w:r w:rsidR="00A30CF2" w:rsidRPr="00A30CF2">
        <w:rPr>
          <w:lang w:val="ru-RU"/>
        </w:rPr>
        <w:t xml:space="preserve"> возобновляемых источников энергии в общей </w:t>
      </w:r>
      <w:r w:rsidR="000978CE">
        <w:rPr>
          <w:lang w:val="ru-RU"/>
        </w:rPr>
        <w:t xml:space="preserve">мировой </w:t>
      </w:r>
      <w:r w:rsidR="00A30CF2" w:rsidRPr="00A30CF2">
        <w:rPr>
          <w:lang w:val="ru-RU"/>
        </w:rPr>
        <w:t xml:space="preserve">структуре </w:t>
      </w:r>
      <w:r w:rsidR="00BC6F40">
        <w:rPr>
          <w:lang w:val="ru-RU"/>
        </w:rPr>
        <w:t>энергетики</w:t>
      </w:r>
      <w:r w:rsidR="00A30CF2" w:rsidRPr="00A30CF2">
        <w:rPr>
          <w:lang w:val="ru-RU"/>
        </w:rPr>
        <w:t xml:space="preserve">. Около 70 стран формально поддержали инициативу </w:t>
      </w:r>
      <w:r w:rsidR="008725C9">
        <w:rPr>
          <w:lang w:val="ru-RU"/>
        </w:rPr>
        <w:t>"</w:t>
      </w:r>
      <w:r w:rsidR="00A30CF2">
        <w:rPr>
          <w:lang w:val="ru-RU"/>
        </w:rPr>
        <w:t>Устойчивая энергетика для всех</w:t>
      </w:r>
      <w:r w:rsidR="008725C9">
        <w:rPr>
          <w:lang w:val="ru-RU"/>
        </w:rPr>
        <w:t>"</w:t>
      </w:r>
      <w:r w:rsidR="00A30CF2" w:rsidRPr="00A30CF2">
        <w:rPr>
          <w:lang w:val="ru-RU"/>
        </w:rPr>
        <w:t xml:space="preserve"> </w:t>
      </w:r>
      <w:r w:rsidR="00CD5A68" w:rsidRPr="008573CA">
        <w:rPr>
          <w:lang w:val="ru-RU"/>
        </w:rPr>
        <w:t>(</w:t>
      </w:r>
      <w:r w:rsidR="00CD5A68" w:rsidRPr="00A30CF2">
        <w:t>SE</w:t>
      </w:r>
      <w:r w:rsidR="00CD5A68" w:rsidRPr="008573CA">
        <w:rPr>
          <w:lang w:val="ru-RU"/>
        </w:rPr>
        <w:t>4</w:t>
      </w:r>
      <w:r w:rsidR="00CD5A68" w:rsidRPr="00A30CF2">
        <w:t>ALL</w:t>
      </w:r>
      <w:r w:rsidR="00CD5A68" w:rsidRPr="008573CA">
        <w:rPr>
          <w:lang w:val="ru-RU"/>
        </w:rPr>
        <w:t>)</w:t>
      </w:r>
      <w:r w:rsidR="00C67665" w:rsidRPr="008573CA">
        <w:rPr>
          <w:lang w:val="ru-RU"/>
        </w:rPr>
        <w:t xml:space="preserve">, </w:t>
      </w:r>
      <w:r w:rsidR="00A30CF2">
        <w:rPr>
          <w:lang w:val="ru-RU"/>
        </w:rPr>
        <w:t xml:space="preserve">а многочисленные корпорации и </w:t>
      </w:r>
      <w:r w:rsidR="008725C9">
        <w:rPr>
          <w:lang w:val="ru-RU"/>
        </w:rPr>
        <w:t>учреждения</w:t>
      </w:r>
      <w:r w:rsidR="00A30CF2">
        <w:rPr>
          <w:lang w:val="ru-RU"/>
        </w:rPr>
        <w:t xml:space="preserve"> выделили десятки миллиардов долларов для выполнения поставленных </w:t>
      </w:r>
      <w:r w:rsidR="008725C9">
        <w:rPr>
          <w:lang w:val="ru-RU"/>
        </w:rPr>
        <w:t xml:space="preserve">в ее рамках </w:t>
      </w:r>
      <w:r w:rsidR="00A30CF2">
        <w:rPr>
          <w:lang w:val="ru-RU"/>
        </w:rPr>
        <w:t>задач. В конце 2012</w:t>
      </w:r>
      <w:r w:rsidR="008725C9">
        <w:rPr>
          <w:lang w:val="ru-RU"/>
        </w:rPr>
        <w:t> </w:t>
      </w:r>
      <w:r w:rsidR="00A30CF2">
        <w:rPr>
          <w:lang w:val="ru-RU"/>
        </w:rPr>
        <w:t>г</w:t>
      </w:r>
      <w:r w:rsidR="008725C9">
        <w:rPr>
          <w:lang w:val="ru-RU"/>
        </w:rPr>
        <w:t>ода</w:t>
      </w:r>
      <w:r w:rsidR="00A30CF2">
        <w:rPr>
          <w:lang w:val="ru-RU"/>
        </w:rPr>
        <w:t xml:space="preserve"> Генеральная ассамблея </w:t>
      </w:r>
      <w:r w:rsidR="008725C9">
        <w:rPr>
          <w:lang w:val="ru-RU"/>
        </w:rPr>
        <w:t xml:space="preserve">Организации Объединенных Наций </w:t>
      </w:r>
      <w:r w:rsidR="00A30CF2">
        <w:rPr>
          <w:lang w:val="ru-RU"/>
        </w:rPr>
        <w:t>объявила 2014</w:t>
      </w:r>
      <w:r w:rsidR="008725C9">
        <w:rPr>
          <w:lang w:val="ru-RU"/>
        </w:rPr>
        <w:t>–</w:t>
      </w:r>
      <w:r w:rsidR="00A30CF2">
        <w:rPr>
          <w:lang w:val="ru-RU"/>
        </w:rPr>
        <w:t>2024</w:t>
      </w:r>
      <w:r w:rsidR="008725C9">
        <w:rPr>
          <w:lang w:val="ru-RU"/>
        </w:rPr>
        <w:t> годы "</w:t>
      </w:r>
      <w:r w:rsidR="00A30CF2">
        <w:rPr>
          <w:lang w:val="ru-RU"/>
        </w:rPr>
        <w:t>Десятилетием устойчивой энергетики для всех</w:t>
      </w:r>
      <w:r w:rsidR="008725C9">
        <w:rPr>
          <w:lang w:val="ru-RU"/>
        </w:rPr>
        <w:t>"</w:t>
      </w:r>
      <w:r w:rsidR="00C67665" w:rsidRPr="008573CA">
        <w:rPr>
          <w:lang w:val="ru-RU"/>
        </w:rPr>
        <w:t>.</w:t>
      </w:r>
    </w:p>
    <w:p w:rsidR="00D178D8" w:rsidRPr="00353C09" w:rsidRDefault="008725C9" w:rsidP="00FA4606">
      <w:pPr>
        <w:pStyle w:val="SE4ALLbodycopy"/>
        <w:rPr>
          <w:lang w:val="ru-RU"/>
        </w:rPr>
      </w:pPr>
      <w:r>
        <w:rPr>
          <w:lang w:val="ru-RU"/>
        </w:rPr>
        <w:t>Для достижения в срок целей инициативы "Устойчивая энергетика для всех" необходимо наличие механизма отслеживания глобального прогресса на протяжении всего периода до 2030 года.</w:t>
      </w:r>
      <w:r w:rsidR="00FA4606" w:rsidRPr="001B07FA">
        <w:rPr>
          <w:lang w:val="ru-RU"/>
        </w:rPr>
        <w:t xml:space="preserve"> </w:t>
      </w:r>
      <w:r w:rsidR="00A30CF2" w:rsidRPr="00A30CF2">
        <w:rPr>
          <w:lang w:val="ru-RU"/>
        </w:rPr>
        <w:t xml:space="preserve">Создание необходимой структуры координировалось Всемирным </w:t>
      </w:r>
      <w:r w:rsidR="004B17FC">
        <w:rPr>
          <w:lang w:val="ru-RU"/>
        </w:rPr>
        <w:t>б</w:t>
      </w:r>
      <w:r w:rsidR="00A30CF2" w:rsidRPr="00A30CF2">
        <w:rPr>
          <w:lang w:val="ru-RU"/>
        </w:rPr>
        <w:t>анком</w:t>
      </w:r>
      <w:r w:rsidR="00D178D8" w:rsidRPr="001B07FA">
        <w:rPr>
          <w:rFonts w:cs="Calibri"/>
          <w:color w:val="000000"/>
          <w:lang w:val="ru-RU"/>
        </w:rPr>
        <w:t>/</w:t>
      </w:r>
      <w:r w:rsidR="00A30CF2" w:rsidRPr="001B07FA">
        <w:rPr>
          <w:lang w:val="ru-RU"/>
        </w:rPr>
        <w:t>Программ</w:t>
      </w:r>
      <w:r w:rsidR="00A30CF2" w:rsidRPr="00A30CF2">
        <w:rPr>
          <w:lang w:val="ru-RU"/>
        </w:rPr>
        <w:t xml:space="preserve">ой оказания </w:t>
      </w:r>
      <w:r w:rsidR="00A30CF2" w:rsidRPr="001B07FA">
        <w:rPr>
          <w:lang w:val="ru-RU"/>
        </w:rPr>
        <w:t>помощи в области управления энергетическим сектором</w:t>
      </w:r>
      <w:r w:rsidR="004B17FC">
        <w:rPr>
          <w:lang w:val="ru-RU"/>
        </w:rPr>
        <w:t xml:space="preserve"> (ЭСМАП)</w:t>
      </w:r>
      <w:r w:rsidR="00A30CF2" w:rsidRPr="00A30CF2">
        <w:rPr>
          <w:lang w:val="ru-RU"/>
        </w:rPr>
        <w:t xml:space="preserve">, а также Международным энергетическим агентством </w:t>
      </w:r>
      <w:r w:rsidR="004B17FC">
        <w:rPr>
          <w:lang w:val="ru-RU"/>
        </w:rPr>
        <w:t xml:space="preserve">(МЭА) </w:t>
      </w:r>
      <w:r w:rsidR="00A30CF2" w:rsidRPr="00A30CF2">
        <w:rPr>
          <w:lang w:val="ru-RU"/>
        </w:rPr>
        <w:t>в сотрудничестве с 13</w:t>
      </w:r>
      <w:r w:rsidR="004B17FC">
        <w:rPr>
          <w:lang w:val="ru-RU"/>
        </w:rPr>
        <w:t> </w:t>
      </w:r>
      <w:r w:rsidR="00A30CF2" w:rsidRPr="00A30CF2">
        <w:rPr>
          <w:lang w:val="ru-RU"/>
        </w:rPr>
        <w:t>другими агентствами</w:t>
      </w:r>
      <w:r w:rsidR="00A30CF2">
        <w:rPr>
          <w:sz w:val="20"/>
          <w:szCs w:val="20"/>
          <w:lang w:val="ru-RU"/>
        </w:rPr>
        <w:t xml:space="preserve">. </w:t>
      </w:r>
      <w:r w:rsidR="004B17FC">
        <w:rPr>
          <w:lang w:val="ru-RU"/>
        </w:rPr>
        <w:t>Большую пользу принесли консультации с более чем ста группами заинтересованных сторон.</w:t>
      </w:r>
    </w:p>
    <w:p w:rsidR="009275E5" w:rsidRPr="008573CA" w:rsidRDefault="00C4322E" w:rsidP="00067E45">
      <w:pPr>
        <w:pStyle w:val="Heading2"/>
        <w:rPr>
          <w:lang w:val="ru-RU"/>
        </w:rPr>
      </w:pPr>
      <w:r>
        <w:rPr>
          <w:lang w:val="ru-RU"/>
        </w:rPr>
        <w:t xml:space="preserve">Новая </w:t>
      </w:r>
      <w:r w:rsidR="008F4CE3">
        <w:rPr>
          <w:lang w:val="ru-RU"/>
        </w:rPr>
        <w:t xml:space="preserve">система отслеживания прогресса </w:t>
      </w:r>
      <w:r w:rsidR="00087A6E">
        <w:rPr>
          <w:lang w:val="ru-RU"/>
        </w:rPr>
        <w:t>в достижении целей инициативы</w:t>
      </w:r>
      <w:r w:rsidR="00087A6E">
        <w:rPr>
          <w:lang w:val="ru-RU"/>
        </w:rPr>
        <w:br/>
        <w:t>"Устойчивая энергетика для всех</w:t>
      </w:r>
      <w:r w:rsidR="008725C9">
        <w:rPr>
          <w:lang w:val="ru-RU"/>
        </w:rPr>
        <w:t>"</w:t>
      </w:r>
      <w:r w:rsidR="00A30CF2">
        <w:rPr>
          <w:lang w:val="ru-RU"/>
        </w:rPr>
        <w:t xml:space="preserve"> </w:t>
      </w:r>
    </w:p>
    <w:p w:rsidR="00CD5A68" w:rsidRPr="008573CA" w:rsidRDefault="00745957" w:rsidP="00CD5A68">
      <w:pPr>
        <w:pStyle w:val="SE4ALLbodycopy"/>
        <w:rPr>
          <w:lang w:val="ru-RU"/>
        </w:rPr>
      </w:pPr>
      <w:r>
        <w:rPr>
          <w:lang w:val="ru-RU"/>
        </w:rPr>
        <w:t xml:space="preserve">Описанная в настоящем докладе глобальная система отслеживания прогресса – это начальная система предоставления регулярной международной отчетности по показателям, которые, с одной стороны, являются технически жесткими и поддающимися исчислению на основе имеющихся </w:t>
      </w:r>
      <w:r w:rsidRPr="00745957">
        <w:rPr>
          <w:i/>
          <w:lang w:val="ru-RU"/>
        </w:rPr>
        <w:t>действующих</w:t>
      </w:r>
      <w:r>
        <w:rPr>
          <w:lang w:val="ru-RU"/>
        </w:rPr>
        <w:t xml:space="preserve"> международных энергетических баз данных, а с другой стороны, позволяют в перспективе обеспечить постепенные усовершенствования. </w:t>
      </w:r>
      <w:r w:rsidR="00A30CF2">
        <w:rPr>
          <w:lang w:val="ru-RU"/>
        </w:rPr>
        <w:t xml:space="preserve">Хотя определение </w:t>
      </w:r>
      <w:r w:rsidR="00D513C9">
        <w:rPr>
          <w:lang w:val="ru-RU"/>
        </w:rPr>
        <w:t xml:space="preserve">надлежащих </w:t>
      </w:r>
      <w:r w:rsidR="00A30CF2">
        <w:rPr>
          <w:lang w:val="ru-RU"/>
        </w:rPr>
        <w:t xml:space="preserve">показателей для данной </w:t>
      </w:r>
      <w:r>
        <w:rPr>
          <w:lang w:val="ru-RU"/>
        </w:rPr>
        <w:t xml:space="preserve">системы </w:t>
      </w:r>
      <w:r w:rsidR="00A30CF2">
        <w:rPr>
          <w:lang w:val="ru-RU"/>
        </w:rPr>
        <w:t xml:space="preserve">было достаточно сложной методологической задачей, но она не была сложнее тех </w:t>
      </w:r>
      <w:r w:rsidR="00D513C9">
        <w:rPr>
          <w:lang w:val="ru-RU"/>
        </w:rPr>
        <w:t>задач</w:t>
      </w:r>
      <w:r w:rsidR="00A30CF2">
        <w:rPr>
          <w:lang w:val="ru-RU"/>
        </w:rPr>
        <w:t xml:space="preserve">, с которыми </w:t>
      </w:r>
      <w:r>
        <w:rPr>
          <w:lang w:val="ru-RU"/>
        </w:rPr>
        <w:t xml:space="preserve">сталкиваются </w:t>
      </w:r>
      <w:r w:rsidR="00A30CF2">
        <w:rPr>
          <w:lang w:val="ru-RU"/>
        </w:rPr>
        <w:t>при попытке измерения других аспектов развития, таких как нищета, здравоохранение, доступ к чистой питьевой воде и санитарии, где</w:t>
      </w:r>
      <w:r w:rsidR="00CA0F21">
        <w:rPr>
          <w:lang w:val="ru-RU"/>
        </w:rPr>
        <w:t xml:space="preserve"> глобальный прогресс отлеживается уже в </w:t>
      </w:r>
      <w:r w:rsidR="003D623F">
        <w:rPr>
          <w:lang w:val="ru-RU"/>
        </w:rPr>
        <w:t>т</w:t>
      </w:r>
      <w:r w:rsidR="00CA0F21">
        <w:rPr>
          <w:lang w:val="ru-RU"/>
        </w:rPr>
        <w:t>ечение длительного времени</w:t>
      </w:r>
      <w:r w:rsidR="00A30CF2">
        <w:rPr>
          <w:lang w:val="ru-RU"/>
        </w:rPr>
        <w:t>. В</w:t>
      </w:r>
      <w:r w:rsidR="00CA0F21">
        <w:rPr>
          <w:lang w:val="ru-RU"/>
        </w:rPr>
        <w:t> </w:t>
      </w:r>
      <w:r w:rsidR="00A30CF2">
        <w:rPr>
          <w:lang w:val="ru-RU"/>
        </w:rPr>
        <w:t xml:space="preserve">отношении всех этих аспектов развития </w:t>
      </w:r>
      <w:r w:rsidR="00CA0F21">
        <w:rPr>
          <w:lang w:val="ru-RU"/>
        </w:rPr>
        <w:t xml:space="preserve">большинству стран </w:t>
      </w:r>
      <w:r w:rsidR="00A30CF2">
        <w:rPr>
          <w:lang w:val="ru-RU"/>
        </w:rPr>
        <w:t xml:space="preserve">необходимо прилагать постоянные усилия для развития </w:t>
      </w:r>
      <w:r w:rsidR="00D513C9">
        <w:rPr>
          <w:lang w:val="ru-RU"/>
        </w:rPr>
        <w:t xml:space="preserve">потенциала в области проведения </w:t>
      </w:r>
      <w:r w:rsidR="00A30CF2">
        <w:rPr>
          <w:lang w:val="ru-RU"/>
        </w:rPr>
        <w:t>анализа и сбор</w:t>
      </w:r>
      <w:r w:rsidR="00D513C9">
        <w:rPr>
          <w:lang w:val="ru-RU"/>
        </w:rPr>
        <w:t>а</w:t>
      </w:r>
      <w:r w:rsidR="00A30CF2">
        <w:rPr>
          <w:lang w:val="ru-RU"/>
        </w:rPr>
        <w:t xml:space="preserve"> данных</w:t>
      </w:r>
      <w:r w:rsidR="00301634" w:rsidRPr="008573CA">
        <w:rPr>
          <w:lang w:val="ru-RU"/>
        </w:rPr>
        <w:t>.</w:t>
      </w:r>
      <w:r w:rsidR="008725C9">
        <w:rPr>
          <w:lang w:val="ru-RU"/>
        </w:rPr>
        <w:t xml:space="preserve"> </w:t>
      </w:r>
    </w:p>
    <w:p w:rsidR="00CB68BF" w:rsidRPr="004342AA" w:rsidRDefault="00C64387" w:rsidP="00FA4606">
      <w:pPr>
        <w:pStyle w:val="SE4ALLbodycopy"/>
        <w:rPr>
          <w:lang w:val="ru-RU"/>
        </w:rPr>
      </w:pPr>
      <w:r>
        <w:rPr>
          <w:lang w:val="ru-RU"/>
        </w:rPr>
        <w:t>В отношении доступа</w:t>
      </w:r>
      <w:r w:rsidR="008725C9">
        <w:rPr>
          <w:lang w:val="ru-RU"/>
        </w:rPr>
        <w:t xml:space="preserve"> </w:t>
      </w:r>
      <w:r w:rsidR="006972F7">
        <w:rPr>
          <w:lang w:val="ru-RU"/>
        </w:rPr>
        <w:t xml:space="preserve">к </w:t>
      </w:r>
      <w:r>
        <w:rPr>
          <w:lang w:val="ru-RU"/>
        </w:rPr>
        <w:t xml:space="preserve">энергоресурсам </w:t>
      </w:r>
      <w:r w:rsidR="006972F7">
        <w:rPr>
          <w:lang w:val="ru-RU"/>
        </w:rPr>
        <w:t xml:space="preserve">используются результаты обследования домашних хозяйств для определения процента населения, имеющего </w:t>
      </w:r>
      <w:r w:rsidR="00D513C9">
        <w:rPr>
          <w:lang w:val="ru-RU"/>
        </w:rPr>
        <w:t xml:space="preserve">доступ к </w:t>
      </w:r>
      <w:r w:rsidR="006972F7">
        <w:rPr>
          <w:lang w:val="ru-RU"/>
        </w:rPr>
        <w:t>электроснабжени</w:t>
      </w:r>
      <w:r w:rsidR="00D513C9">
        <w:rPr>
          <w:lang w:val="ru-RU"/>
        </w:rPr>
        <w:t>ю</w:t>
      </w:r>
      <w:r w:rsidR="006972F7">
        <w:rPr>
          <w:lang w:val="ru-RU"/>
        </w:rPr>
        <w:t xml:space="preserve">, и процента населения, </w:t>
      </w:r>
      <w:r w:rsidR="00D513C9">
        <w:rPr>
          <w:lang w:val="ru-RU"/>
        </w:rPr>
        <w:t xml:space="preserve">в основном </w:t>
      </w:r>
      <w:r w:rsidR="006972F7">
        <w:rPr>
          <w:lang w:val="ru-RU"/>
        </w:rPr>
        <w:t>использующего нетвердые виды топлива для приготовления пищи</w:t>
      </w:r>
      <w:r w:rsidR="00B81924" w:rsidRPr="008573CA">
        <w:rPr>
          <w:lang w:val="ru-RU"/>
        </w:rPr>
        <w:t>.</w:t>
      </w:r>
      <w:r>
        <w:rPr>
          <w:lang w:val="ru-RU"/>
        </w:rPr>
        <w:t xml:space="preserve"> В качестве показателя энергоэффективности давно применяется общая энергоемкость. В новой системе такой подход сохраняется, но помимо этого первоначального параметра </w:t>
      </w:r>
      <w:r>
        <w:rPr>
          <w:lang w:val="ru-RU"/>
        </w:rPr>
        <w:lastRenderedPageBreak/>
        <w:t xml:space="preserve">применяется статистический анализ, позволяющий приблизиться к базисному показателю энергоэффективности, а национальные показатели </w:t>
      </w:r>
      <w:r w:rsidR="000763FB">
        <w:rPr>
          <w:lang w:val="ru-RU"/>
        </w:rPr>
        <w:t>энергоемкости</w:t>
      </w:r>
      <w:r>
        <w:rPr>
          <w:lang w:val="ru-RU"/>
        </w:rPr>
        <w:t xml:space="preserve"> </w:t>
      </w:r>
      <w:r w:rsidR="000763FB">
        <w:rPr>
          <w:lang w:val="ru-RU"/>
        </w:rPr>
        <w:t xml:space="preserve">дополняются эквивалентными показателями для четырех ведущих отраслей экономики. </w:t>
      </w:r>
      <w:r w:rsidR="004342AA">
        <w:rPr>
          <w:lang w:val="ru-RU"/>
        </w:rPr>
        <w:t>Что</w:t>
      </w:r>
      <w:r w:rsidR="004342AA" w:rsidRPr="004342AA">
        <w:rPr>
          <w:lang w:val="ru-RU"/>
        </w:rPr>
        <w:t xml:space="preserve"> </w:t>
      </w:r>
      <w:r w:rsidR="004342AA">
        <w:rPr>
          <w:lang w:val="ru-RU"/>
        </w:rPr>
        <w:t>касается</w:t>
      </w:r>
      <w:r w:rsidR="004342AA" w:rsidRPr="004342AA">
        <w:rPr>
          <w:lang w:val="ru-RU"/>
        </w:rPr>
        <w:t xml:space="preserve"> </w:t>
      </w:r>
      <w:r w:rsidR="004342AA">
        <w:rPr>
          <w:lang w:val="ru-RU"/>
        </w:rPr>
        <w:t xml:space="preserve">возобновляемой энергии, то </w:t>
      </w:r>
      <w:r w:rsidR="000763FB">
        <w:rPr>
          <w:lang w:val="ru-RU"/>
        </w:rPr>
        <w:t>показателем</w:t>
      </w:r>
      <w:r w:rsidR="004342AA">
        <w:rPr>
          <w:lang w:val="ru-RU"/>
        </w:rPr>
        <w:t xml:space="preserve"> является дол</w:t>
      </w:r>
      <w:r w:rsidR="000763FB">
        <w:rPr>
          <w:lang w:val="ru-RU"/>
        </w:rPr>
        <w:t>я</w:t>
      </w:r>
      <w:r w:rsidR="004342AA">
        <w:rPr>
          <w:lang w:val="ru-RU"/>
        </w:rPr>
        <w:t xml:space="preserve"> в </w:t>
      </w:r>
      <w:r w:rsidR="000763FB">
        <w:rPr>
          <w:lang w:val="ru-RU"/>
        </w:rPr>
        <w:t>конечном</w:t>
      </w:r>
      <w:r w:rsidR="004342AA">
        <w:rPr>
          <w:lang w:val="ru-RU"/>
        </w:rPr>
        <w:t xml:space="preserve"> потреблении энергии</w:t>
      </w:r>
      <w:r w:rsidR="004342AA">
        <w:rPr>
          <w:rStyle w:val="FootnoteReference"/>
        </w:rPr>
        <w:footnoteReference w:id="1"/>
      </w:r>
      <w:r w:rsidR="004342AA">
        <w:rPr>
          <w:lang w:val="ru-RU"/>
        </w:rPr>
        <w:t xml:space="preserve">, производимой </w:t>
      </w:r>
      <w:r w:rsidR="000763FB">
        <w:rPr>
          <w:lang w:val="ru-RU"/>
        </w:rPr>
        <w:t>их всех</w:t>
      </w:r>
      <w:r w:rsidR="004342AA">
        <w:rPr>
          <w:lang w:val="ru-RU"/>
        </w:rPr>
        <w:t xml:space="preserve"> возобновляемы</w:t>
      </w:r>
      <w:r w:rsidR="000763FB">
        <w:rPr>
          <w:lang w:val="ru-RU"/>
        </w:rPr>
        <w:t>х</w:t>
      </w:r>
      <w:r w:rsidR="004342AA">
        <w:rPr>
          <w:lang w:val="ru-RU"/>
        </w:rPr>
        <w:t xml:space="preserve"> источник</w:t>
      </w:r>
      <w:r w:rsidR="000763FB">
        <w:rPr>
          <w:lang w:val="ru-RU"/>
        </w:rPr>
        <w:t xml:space="preserve">ов </w:t>
      </w:r>
      <w:r w:rsidR="004342AA">
        <w:rPr>
          <w:lang w:val="ru-RU"/>
        </w:rPr>
        <w:t>энергии</w:t>
      </w:r>
      <w:r w:rsidR="009A7914" w:rsidRPr="004342AA">
        <w:rPr>
          <w:lang w:val="ru-RU"/>
        </w:rPr>
        <w:t xml:space="preserve"> (</w:t>
      </w:r>
      <w:r w:rsidR="004342AA" w:rsidRPr="004342AA">
        <w:rPr>
          <w:lang w:val="ru-RU"/>
        </w:rPr>
        <w:t xml:space="preserve">биоэнергия, </w:t>
      </w:r>
      <w:r w:rsidR="004342AA">
        <w:rPr>
          <w:lang w:val="ru-RU"/>
        </w:rPr>
        <w:t xml:space="preserve">аэротермальная, геотермальная, гидро, океаническая, солнечная и </w:t>
      </w:r>
      <w:r w:rsidR="000763FB">
        <w:rPr>
          <w:lang w:val="ru-RU"/>
        </w:rPr>
        <w:t>ветровая</w:t>
      </w:r>
      <w:r w:rsidR="004342AA">
        <w:rPr>
          <w:lang w:val="ru-RU"/>
        </w:rPr>
        <w:t xml:space="preserve"> энергия</w:t>
      </w:r>
      <w:r w:rsidR="006F2A37" w:rsidRPr="004342AA">
        <w:rPr>
          <w:lang w:val="ru-RU"/>
        </w:rPr>
        <w:t>)</w:t>
      </w:r>
      <w:r w:rsidR="004A7882" w:rsidRPr="004342AA">
        <w:rPr>
          <w:lang w:val="ru-RU"/>
        </w:rPr>
        <w:t>.</w:t>
      </w:r>
      <w:r w:rsidR="00FA4606" w:rsidRPr="004342AA">
        <w:rPr>
          <w:lang w:val="ru-RU"/>
        </w:rPr>
        <w:t xml:space="preserve"> </w:t>
      </w:r>
    </w:p>
    <w:p w:rsidR="00BA6F04" w:rsidRPr="00C4322E" w:rsidRDefault="004342AA" w:rsidP="00BA6F04">
      <w:pPr>
        <w:pStyle w:val="SE4ALLbodycopy"/>
        <w:rPr>
          <w:lang w:val="ru-RU"/>
        </w:rPr>
      </w:pPr>
      <w:r>
        <w:rPr>
          <w:lang w:val="ru-RU"/>
        </w:rPr>
        <w:t>Для</w:t>
      </w:r>
      <w:r w:rsidRPr="00C4322E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C4322E">
        <w:rPr>
          <w:lang w:val="ru-RU"/>
        </w:rPr>
        <w:t xml:space="preserve"> </w:t>
      </w:r>
      <w:r>
        <w:rPr>
          <w:lang w:val="ru-RU"/>
        </w:rPr>
        <w:t>отслеживания</w:t>
      </w:r>
      <w:r w:rsidRPr="00C4322E">
        <w:rPr>
          <w:lang w:val="ru-RU"/>
        </w:rPr>
        <w:t xml:space="preserve"> </w:t>
      </w:r>
      <w:r w:rsidR="000763FB">
        <w:rPr>
          <w:lang w:val="ru-RU"/>
        </w:rPr>
        <w:t xml:space="preserve">прогресса в рамках инициативы "Устойчивая энергетика для всех" </w:t>
      </w:r>
      <w:r w:rsidR="00C4322E">
        <w:rPr>
          <w:lang w:val="ru-RU"/>
        </w:rPr>
        <w:t xml:space="preserve">была создана глобальная платформа данных </w:t>
      </w:r>
      <w:r w:rsidR="000763FB">
        <w:rPr>
          <w:lang w:val="ru-RU"/>
        </w:rPr>
        <w:t>на основе имеющихся данных</w:t>
      </w:r>
      <w:r w:rsidR="00C4322E">
        <w:rPr>
          <w:lang w:val="ru-RU"/>
        </w:rPr>
        <w:t xml:space="preserve"> обследований домашних хозяйств и национальных энергобалансов</w:t>
      </w:r>
      <w:r w:rsidR="00CD5A68" w:rsidRPr="00C4322E">
        <w:rPr>
          <w:lang w:val="ru-RU"/>
        </w:rPr>
        <w:t xml:space="preserve">. </w:t>
      </w:r>
      <w:r w:rsidR="000763FB">
        <w:rPr>
          <w:lang w:val="ru-RU"/>
        </w:rPr>
        <w:t xml:space="preserve">Эти источники охватывают большую группу </w:t>
      </w:r>
      <w:r w:rsidR="00D513C9">
        <w:rPr>
          <w:lang w:val="ru-RU"/>
        </w:rPr>
        <w:t>стран</w:t>
      </w:r>
      <w:r w:rsidR="00C4322E" w:rsidRPr="00C4322E">
        <w:rPr>
          <w:lang w:val="ru-RU"/>
        </w:rPr>
        <w:t xml:space="preserve"> –</w:t>
      </w:r>
      <w:r w:rsidR="008725C9">
        <w:rPr>
          <w:lang w:val="ru-RU"/>
        </w:rPr>
        <w:t xml:space="preserve"> </w:t>
      </w:r>
      <w:r w:rsidR="00C4322E" w:rsidRPr="00C4322E">
        <w:rPr>
          <w:lang w:val="ru-RU"/>
        </w:rPr>
        <w:t>181</w:t>
      </w:r>
      <w:r w:rsidR="000763FB">
        <w:rPr>
          <w:lang w:val="ru-RU"/>
        </w:rPr>
        <w:t> </w:t>
      </w:r>
      <w:r w:rsidR="00C4322E">
        <w:rPr>
          <w:lang w:val="ru-RU"/>
        </w:rPr>
        <w:t>стран</w:t>
      </w:r>
      <w:r w:rsidR="000763FB">
        <w:rPr>
          <w:lang w:val="ru-RU"/>
        </w:rPr>
        <w:t>а</w:t>
      </w:r>
      <w:r w:rsidR="00C4322E" w:rsidRPr="00C4322E">
        <w:rPr>
          <w:lang w:val="ru-RU"/>
        </w:rPr>
        <w:t xml:space="preserve"> </w:t>
      </w:r>
      <w:r w:rsidR="00D513C9">
        <w:rPr>
          <w:lang w:val="ru-RU"/>
        </w:rPr>
        <w:t>предоставля</w:t>
      </w:r>
      <w:r w:rsidR="000763FB">
        <w:rPr>
          <w:lang w:val="ru-RU"/>
        </w:rPr>
        <w:t>е</w:t>
      </w:r>
      <w:r w:rsidR="00D513C9">
        <w:rPr>
          <w:lang w:val="ru-RU"/>
        </w:rPr>
        <w:t xml:space="preserve">т </w:t>
      </w:r>
      <w:r w:rsidR="00C4322E">
        <w:rPr>
          <w:lang w:val="ru-RU"/>
        </w:rPr>
        <w:t>данны</w:t>
      </w:r>
      <w:r w:rsidR="00D513C9">
        <w:rPr>
          <w:lang w:val="ru-RU"/>
        </w:rPr>
        <w:t xml:space="preserve">е по </w:t>
      </w:r>
      <w:r w:rsidR="00C4322E">
        <w:rPr>
          <w:lang w:val="ru-RU"/>
        </w:rPr>
        <w:t>экологически</w:t>
      </w:r>
      <w:r w:rsidR="00C4322E" w:rsidRPr="00C4322E">
        <w:rPr>
          <w:lang w:val="ru-RU"/>
        </w:rPr>
        <w:t xml:space="preserve"> </w:t>
      </w:r>
      <w:r w:rsidR="00C4322E">
        <w:rPr>
          <w:lang w:val="ru-RU"/>
        </w:rPr>
        <w:t>чистым</w:t>
      </w:r>
      <w:r w:rsidR="00C4322E" w:rsidRPr="00C4322E">
        <w:rPr>
          <w:lang w:val="ru-RU"/>
        </w:rPr>
        <w:t xml:space="preserve"> </w:t>
      </w:r>
      <w:r w:rsidR="00C4322E">
        <w:rPr>
          <w:lang w:val="ru-RU"/>
        </w:rPr>
        <w:t xml:space="preserve">источникам энергии, </w:t>
      </w:r>
      <w:r w:rsidR="00D513C9">
        <w:rPr>
          <w:lang w:val="ru-RU"/>
        </w:rPr>
        <w:t>а</w:t>
      </w:r>
      <w:r w:rsidR="00C4322E">
        <w:rPr>
          <w:lang w:val="ru-RU"/>
        </w:rPr>
        <w:t xml:space="preserve"> 212</w:t>
      </w:r>
      <w:r w:rsidR="000763FB">
        <w:rPr>
          <w:lang w:val="ru-RU"/>
        </w:rPr>
        <w:t> </w:t>
      </w:r>
      <w:r w:rsidR="00C4322E">
        <w:rPr>
          <w:lang w:val="ru-RU"/>
        </w:rPr>
        <w:t>стран</w:t>
      </w:r>
      <w:r w:rsidR="008725C9">
        <w:rPr>
          <w:lang w:val="ru-RU"/>
        </w:rPr>
        <w:t xml:space="preserve"> – </w:t>
      </w:r>
      <w:r w:rsidR="00C4322E">
        <w:rPr>
          <w:lang w:val="ru-RU"/>
        </w:rPr>
        <w:t>данны</w:t>
      </w:r>
      <w:r w:rsidR="00D513C9">
        <w:rPr>
          <w:lang w:val="ru-RU"/>
        </w:rPr>
        <w:t>е</w:t>
      </w:r>
      <w:r w:rsidR="00C4322E">
        <w:rPr>
          <w:lang w:val="ru-RU"/>
        </w:rPr>
        <w:t xml:space="preserve"> </w:t>
      </w:r>
      <w:r w:rsidR="00D513C9">
        <w:rPr>
          <w:lang w:val="ru-RU"/>
        </w:rPr>
        <w:t xml:space="preserve">по </w:t>
      </w:r>
      <w:r w:rsidR="00C4322E">
        <w:rPr>
          <w:lang w:val="ru-RU"/>
        </w:rPr>
        <w:t>современны</w:t>
      </w:r>
      <w:r w:rsidR="00D513C9">
        <w:rPr>
          <w:lang w:val="ru-RU"/>
        </w:rPr>
        <w:t>м</w:t>
      </w:r>
      <w:r w:rsidR="00C4322E">
        <w:rPr>
          <w:lang w:val="ru-RU"/>
        </w:rPr>
        <w:t xml:space="preserve"> энергетически</w:t>
      </w:r>
      <w:r w:rsidR="00D513C9">
        <w:rPr>
          <w:lang w:val="ru-RU"/>
        </w:rPr>
        <w:t>м</w:t>
      </w:r>
      <w:r w:rsidR="008725C9">
        <w:rPr>
          <w:lang w:val="ru-RU"/>
        </w:rPr>
        <w:t xml:space="preserve"> </w:t>
      </w:r>
      <w:r w:rsidR="00C4322E">
        <w:rPr>
          <w:lang w:val="ru-RU"/>
        </w:rPr>
        <w:t>услуг</w:t>
      </w:r>
      <w:r w:rsidR="00D513C9">
        <w:rPr>
          <w:lang w:val="ru-RU"/>
        </w:rPr>
        <w:t>ам</w:t>
      </w:r>
      <w:r w:rsidR="00C4322E">
        <w:rPr>
          <w:lang w:val="ru-RU"/>
        </w:rPr>
        <w:t xml:space="preserve">, </w:t>
      </w:r>
      <w:r w:rsidR="000763FB">
        <w:rPr>
          <w:lang w:val="ru-RU"/>
        </w:rPr>
        <w:t>в которых проживало, по меньшей мере</w:t>
      </w:r>
      <w:r w:rsidR="00C4322E">
        <w:rPr>
          <w:lang w:val="ru-RU"/>
        </w:rPr>
        <w:t>, 98</w:t>
      </w:r>
      <w:r w:rsidR="000763FB">
        <w:rPr>
          <w:lang w:val="ru-RU"/>
        </w:rPr>
        <w:t> </w:t>
      </w:r>
      <w:r w:rsidR="00C4322E">
        <w:rPr>
          <w:lang w:val="ru-RU"/>
        </w:rPr>
        <w:t>процент</w:t>
      </w:r>
      <w:r w:rsidR="000763FB">
        <w:rPr>
          <w:lang w:val="ru-RU"/>
        </w:rPr>
        <w:t>ов</w:t>
      </w:r>
      <w:r w:rsidR="00C4322E">
        <w:rPr>
          <w:lang w:val="ru-RU"/>
        </w:rPr>
        <w:t xml:space="preserve"> </w:t>
      </w:r>
      <w:r w:rsidR="00D513C9">
        <w:rPr>
          <w:lang w:val="ru-RU"/>
        </w:rPr>
        <w:t xml:space="preserve">мирового </w:t>
      </w:r>
      <w:r w:rsidR="00C4322E">
        <w:rPr>
          <w:lang w:val="ru-RU"/>
        </w:rPr>
        <w:t xml:space="preserve">населения </w:t>
      </w:r>
      <w:r w:rsidR="000763FB">
        <w:rPr>
          <w:lang w:val="ru-RU"/>
        </w:rPr>
        <w:t>в</w:t>
      </w:r>
      <w:r w:rsidR="00C4322E">
        <w:rPr>
          <w:lang w:val="ru-RU"/>
        </w:rPr>
        <w:t xml:space="preserve"> период с </w:t>
      </w:r>
      <w:r w:rsidR="008344B1" w:rsidRPr="00C4322E">
        <w:rPr>
          <w:lang w:val="ru-RU"/>
        </w:rPr>
        <w:t>1990</w:t>
      </w:r>
      <w:r w:rsidR="00C4322E">
        <w:rPr>
          <w:lang w:val="ru-RU"/>
        </w:rPr>
        <w:t xml:space="preserve"> по </w:t>
      </w:r>
      <w:r w:rsidR="008344B1" w:rsidRPr="00C4322E">
        <w:rPr>
          <w:lang w:val="ru-RU"/>
        </w:rPr>
        <w:t>2010</w:t>
      </w:r>
      <w:r w:rsidR="000763FB">
        <w:rPr>
          <w:lang w:val="ru-RU"/>
        </w:rPr>
        <w:t> </w:t>
      </w:r>
      <w:r w:rsidR="00C4322E">
        <w:rPr>
          <w:lang w:val="ru-RU"/>
        </w:rPr>
        <w:t>г</w:t>
      </w:r>
      <w:r w:rsidR="000763FB">
        <w:rPr>
          <w:lang w:val="ru-RU"/>
        </w:rPr>
        <w:t>од</w:t>
      </w:r>
      <w:r w:rsidR="00C4322E">
        <w:rPr>
          <w:lang w:val="ru-RU"/>
        </w:rPr>
        <w:t>.</w:t>
      </w:r>
      <w:r w:rsidR="004A7882" w:rsidRPr="00C4322E">
        <w:rPr>
          <w:lang w:val="ru-RU"/>
        </w:rPr>
        <w:t xml:space="preserve"> </w:t>
      </w:r>
      <w:r w:rsidR="00C4322E">
        <w:rPr>
          <w:lang w:val="ru-RU"/>
        </w:rPr>
        <w:t xml:space="preserve">Показатели по отдельным странам можно найти в приложении с данными к Глобальной </w:t>
      </w:r>
      <w:r w:rsidR="000763FB">
        <w:rPr>
          <w:lang w:val="ru-RU"/>
        </w:rPr>
        <w:t>системе</w:t>
      </w:r>
      <w:r w:rsidR="00C4322E">
        <w:rPr>
          <w:lang w:val="ru-RU"/>
        </w:rPr>
        <w:t xml:space="preserve"> отслеживания </w:t>
      </w:r>
      <w:r w:rsidR="000763FB">
        <w:rPr>
          <w:lang w:val="ru-RU"/>
        </w:rPr>
        <w:t>прогресса</w:t>
      </w:r>
      <w:r w:rsidR="00CE5847" w:rsidRPr="00C4322E">
        <w:rPr>
          <w:lang w:val="ru-RU"/>
        </w:rPr>
        <w:t xml:space="preserve">, </w:t>
      </w:r>
      <w:r w:rsidR="00C4322E">
        <w:rPr>
          <w:lang w:val="ru-RU"/>
        </w:rPr>
        <w:t>а</w:t>
      </w:r>
      <w:r w:rsidR="000763FB">
        <w:rPr>
          <w:lang w:val="ru-RU"/>
        </w:rPr>
        <w:t> </w:t>
      </w:r>
      <w:r w:rsidR="00C4322E">
        <w:rPr>
          <w:lang w:val="ru-RU"/>
        </w:rPr>
        <w:t xml:space="preserve">также </w:t>
      </w:r>
      <w:r w:rsidR="00C4322E" w:rsidRPr="000978CE">
        <w:rPr>
          <w:lang w:val="ru-RU"/>
        </w:rPr>
        <w:t xml:space="preserve">в </w:t>
      </w:r>
      <w:r w:rsidR="000978CE" w:rsidRPr="000978CE">
        <w:rPr>
          <w:lang w:val="ru-RU"/>
        </w:rPr>
        <w:t xml:space="preserve">режиме </w:t>
      </w:r>
      <w:r w:rsidR="008725C9">
        <w:rPr>
          <w:lang w:val="ru-RU"/>
        </w:rPr>
        <w:t>"</w:t>
      </w:r>
      <w:r w:rsidR="00C4322E" w:rsidRPr="000978CE">
        <w:rPr>
          <w:lang w:val="ru-RU"/>
        </w:rPr>
        <w:t>онлайн</w:t>
      </w:r>
      <w:r w:rsidR="008725C9">
        <w:rPr>
          <w:lang w:val="ru-RU"/>
        </w:rPr>
        <w:t>"</w:t>
      </w:r>
      <w:r w:rsidR="00C4322E">
        <w:rPr>
          <w:lang w:val="ru-RU"/>
        </w:rPr>
        <w:t xml:space="preserve"> на платформе данных открытого доступа Всемирного банка</w:t>
      </w:r>
      <w:r w:rsidR="007E47DD" w:rsidRPr="00C4322E">
        <w:rPr>
          <w:lang w:val="ru-RU"/>
        </w:rPr>
        <w:t xml:space="preserve">: </w:t>
      </w:r>
      <w:r w:rsidR="007E47DD" w:rsidRPr="007E47DD">
        <w:t>http</w:t>
      </w:r>
      <w:r w:rsidR="007E47DD" w:rsidRPr="00C4322E">
        <w:rPr>
          <w:lang w:val="ru-RU"/>
        </w:rPr>
        <w:t>://</w:t>
      </w:r>
      <w:r w:rsidR="007E47DD" w:rsidRPr="007E47DD">
        <w:t>data</w:t>
      </w:r>
      <w:r w:rsidR="007E47DD" w:rsidRPr="00C4322E">
        <w:rPr>
          <w:lang w:val="ru-RU"/>
        </w:rPr>
        <w:t>.</w:t>
      </w:r>
      <w:proofErr w:type="spellStart"/>
      <w:r w:rsidR="007E47DD" w:rsidRPr="007E47DD">
        <w:t>worldbank</w:t>
      </w:r>
      <w:proofErr w:type="spellEnd"/>
      <w:r w:rsidR="007E47DD" w:rsidRPr="00C4322E">
        <w:rPr>
          <w:lang w:val="ru-RU"/>
        </w:rPr>
        <w:t>.</w:t>
      </w:r>
      <w:r w:rsidR="007E47DD" w:rsidRPr="007E47DD">
        <w:t>org</w:t>
      </w:r>
      <w:r w:rsidR="007E47DD" w:rsidRPr="00C4322E">
        <w:rPr>
          <w:lang w:val="ru-RU"/>
        </w:rPr>
        <w:t>/</w:t>
      </w:r>
      <w:r w:rsidR="007E47DD" w:rsidRPr="007E47DD">
        <w:t>data</w:t>
      </w:r>
      <w:r w:rsidR="007E47DD" w:rsidRPr="00C4322E">
        <w:rPr>
          <w:lang w:val="ru-RU"/>
        </w:rPr>
        <w:t>-</w:t>
      </w:r>
      <w:r w:rsidR="007E47DD" w:rsidRPr="007E47DD">
        <w:t>catalog</w:t>
      </w:r>
      <w:r w:rsidR="007E47DD" w:rsidRPr="00C4322E">
        <w:rPr>
          <w:lang w:val="ru-RU"/>
        </w:rPr>
        <w:t>.</w:t>
      </w:r>
    </w:p>
    <w:p w:rsidR="009275E5" w:rsidRPr="00C4322E" w:rsidRDefault="000763FB" w:rsidP="00067E45">
      <w:pPr>
        <w:pStyle w:val="Heading2"/>
        <w:rPr>
          <w:lang w:val="ru-RU"/>
        </w:rPr>
      </w:pPr>
      <w:r>
        <w:rPr>
          <w:lang w:val="ru-RU"/>
        </w:rPr>
        <w:t>Для достижения новых целей прогресс в последнее время</w:t>
      </w:r>
      <w:r>
        <w:rPr>
          <w:lang w:val="ru-RU"/>
        </w:rPr>
        <w:br/>
        <w:t>был слишком медленным</w:t>
      </w:r>
    </w:p>
    <w:p w:rsidR="00701C18" w:rsidRPr="0016487C" w:rsidRDefault="000763FB" w:rsidP="00701C18">
      <w:pPr>
        <w:pStyle w:val="SE4ALLbodycopy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Согласно вышеуказанным показателям, за последние 20 лет во всем мире</w:t>
      </w:r>
      <w:r w:rsidR="00D55F3A" w:rsidRPr="00D55F3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на энергетическом фронте были достигнуты значительные успехи. Дополнительно 1,</w:t>
      </w:r>
      <w:r w:rsidR="00652726">
        <w:rPr>
          <w:rFonts w:cstheme="minorHAnsi"/>
          <w:color w:val="000000"/>
        </w:rPr>
        <w:t>7</w:t>
      </w:r>
      <w:r>
        <w:rPr>
          <w:rFonts w:cstheme="minorHAnsi"/>
          <w:color w:val="000000"/>
          <w:lang w:val="ru-RU"/>
        </w:rPr>
        <w:t xml:space="preserve"> млрд. человек </w:t>
      </w:r>
      <w:r w:rsidR="00701C18" w:rsidRPr="00D55F3A">
        <w:rPr>
          <w:rFonts w:cstheme="minorHAnsi"/>
          <w:color w:val="000000"/>
          <w:lang w:val="ru-RU"/>
        </w:rPr>
        <w:t>(</w:t>
      </w:r>
      <w:r w:rsidR="00D55F3A">
        <w:rPr>
          <w:rFonts w:cstheme="minorHAnsi"/>
          <w:color w:val="000000"/>
          <w:lang w:val="ru-RU"/>
        </w:rPr>
        <w:t>что</w:t>
      </w:r>
      <w:r w:rsidR="00D55F3A" w:rsidRPr="00D55F3A">
        <w:rPr>
          <w:rFonts w:cstheme="minorHAnsi"/>
          <w:color w:val="000000"/>
          <w:lang w:val="ru-RU"/>
        </w:rPr>
        <w:t xml:space="preserve"> </w:t>
      </w:r>
      <w:r w:rsidR="00D55F3A">
        <w:rPr>
          <w:rFonts w:cstheme="minorHAnsi"/>
          <w:color w:val="000000"/>
          <w:lang w:val="ru-RU"/>
        </w:rPr>
        <w:t>эквивалентно</w:t>
      </w:r>
      <w:r w:rsidR="00D55F3A" w:rsidRPr="00D55F3A">
        <w:rPr>
          <w:rFonts w:cstheme="minorHAnsi"/>
          <w:color w:val="000000"/>
          <w:lang w:val="ru-RU"/>
        </w:rPr>
        <w:t xml:space="preserve"> </w:t>
      </w:r>
      <w:r w:rsidR="00D513C9">
        <w:rPr>
          <w:rFonts w:cstheme="minorHAnsi"/>
          <w:color w:val="000000"/>
          <w:lang w:val="ru-RU"/>
        </w:rPr>
        <w:t xml:space="preserve">совокупному </w:t>
      </w:r>
      <w:r w:rsidR="00D55F3A">
        <w:rPr>
          <w:rFonts w:cstheme="minorHAnsi"/>
          <w:color w:val="000000"/>
          <w:lang w:val="ru-RU"/>
        </w:rPr>
        <w:t>населению</w:t>
      </w:r>
      <w:r w:rsidR="00D55F3A" w:rsidRPr="00D55F3A">
        <w:rPr>
          <w:rFonts w:cstheme="minorHAnsi"/>
          <w:color w:val="000000"/>
          <w:lang w:val="ru-RU"/>
        </w:rPr>
        <w:t xml:space="preserve"> </w:t>
      </w:r>
      <w:r w:rsidR="00D55F3A">
        <w:rPr>
          <w:rFonts w:cstheme="minorHAnsi"/>
          <w:color w:val="000000"/>
          <w:lang w:val="ru-RU"/>
        </w:rPr>
        <w:t>Индии</w:t>
      </w:r>
      <w:r w:rsidR="00D55F3A" w:rsidRPr="00D55F3A">
        <w:rPr>
          <w:rFonts w:cstheme="minorHAnsi"/>
          <w:color w:val="000000"/>
          <w:lang w:val="ru-RU"/>
        </w:rPr>
        <w:t xml:space="preserve"> </w:t>
      </w:r>
      <w:r w:rsidR="00D55F3A">
        <w:rPr>
          <w:rFonts w:cstheme="minorHAnsi"/>
          <w:color w:val="000000"/>
          <w:lang w:val="ru-RU"/>
        </w:rPr>
        <w:t>и</w:t>
      </w:r>
      <w:r w:rsidR="00D55F3A" w:rsidRPr="00D55F3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 xml:space="preserve">стран </w:t>
      </w:r>
      <w:r w:rsidR="00D55F3A">
        <w:rPr>
          <w:rFonts w:cstheme="minorHAnsi"/>
          <w:color w:val="000000"/>
          <w:lang w:val="ru-RU"/>
        </w:rPr>
        <w:t>Африк</w:t>
      </w:r>
      <w:r>
        <w:rPr>
          <w:rFonts w:cstheme="minorHAnsi"/>
          <w:color w:val="000000"/>
          <w:lang w:val="ru-RU"/>
        </w:rPr>
        <w:t xml:space="preserve">и к югу от </w:t>
      </w:r>
      <w:r w:rsidR="00D55F3A">
        <w:rPr>
          <w:rFonts w:cstheme="minorHAnsi"/>
          <w:color w:val="000000"/>
          <w:lang w:val="ru-RU"/>
        </w:rPr>
        <w:t>Сахары</w:t>
      </w:r>
      <w:r w:rsidR="00701C18" w:rsidRPr="00D55F3A">
        <w:rPr>
          <w:rFonts w:cstheme="minorHAnsi"/>
          <w:color w:val="000000"/>
          <w:lang w:val="ru-RU"/>
        </w:rPr>
        <w:t xml:space="preserve">) </w:t>
      </w:r>
      <w:r w:rsidR="00D55F3A">
        <w:rPr>
          <w:rFonts w:cstheme="minorHAnsi"/>
          <w:color w:val="000000"/>
          <w:lang w:val="ru-RU"/>
        </w:rPr>
        <w:t>получили</w:t>
      </w:r>
      <w:r w:rsidR="00D55F3A" w:rsidRPr="00D55F3A">
        <w:rPr>
          <w:rFonts w:cstheme="minorHAnsi"/>
          <w:color w:val="000000"/>
          <w:lang w:val="ru-RU"/>
        </w:rPr>
        <w:t xml:space="preserve"> </w:t>
      </w:r>
      <w:r w:rsidR="00D55F3A">
        <w:rPr>
          <w:rFonts w:cstheme="minorHAnsi"/>
          <w:color w:val="000000"/>
          <w:lang w:val="ru-RU"/>
        </w:rPr>
        <w:t>преимущества</w:t>
      </w:r>
      <w:r w:rsidR="00D55F3A" w:rsidRPr="00D55F3A">
        <w:rPr>
          <w:rFonts w:cstheme="minorHAnsi"/>
          <w:color w:val="000000"/>
          <w:lang w:val="ru-RU"/>
        </w:rPr>
        <w:t xml:space="preserve"> </w:t>
      </w:r>
      <w:r w:rsidR="00D55F3A">
        <w:rPr>
          <w:rFonts w:cstheme="minorHAnsi"/>
          <w:color w:val="000000"/>
          <w:lang w:val="ru-RU"/>
        </w:rPr>
        <w:t>от</w:t>
      </w:r>
      <w:r w:rsidR="00D55F3A" w:rsidRPr="00D55F3A">
        <w:rPr>
          <w:rFonts w:cstheme="minorHAnsi"/>
          <w:color w:val="000000"/>
          <w:lang w:val="ru-RU"/>
        </w:rPr>
        <w:t xml:space="preserve"> </w:t>
      </w:r>
      <w:r w:rsidR="00D55F3A">
        <w:rPr>
          <w:rFonts w:cstheme="minorHAnsi"/>
          <w:color w:val="000000"/>
          <w:lang w:val="ru-RU"/>
        </w:rPr>
        <w:t>электрификации</w:t>
      </w:r>
      <w:r w:rsidR="00701C18" w:rsidRPr="00D55F3A">
        <w:rPr>
          <w:rFonts w:cstheme="minorHAnsi"/>
          <w:color w:val="000000"/>
          <w:lang w:val="ru-RU"/>
        </w:rPr>
        <w:t xml:space="preserve">, </w:t>
      </w:r>
      <w:r w:rsidR="00D55F3A">
        <w:rPr>
          <w:rFonts w:cstheme="minorHAnsi"/>
          <w:color w:val="000000"/>
          <w:lang w:val="ru-RU"/>
        </w:rPr>
        <w:t xml:space="preserve">в то время как </w:t>
      </w:r>
      <w:r w:rsidR="00701C18" w:rsidRPr="00D55F3A">
        <w:rPr>
          <w:rFonts w:cstheme="minorHAnsi"/>
          <w:color w:val="000000"/>
          <w:lang w:val="ru-RU"/>
        </w:rPr>
        <w:t>1</w:t>
      </w:r>
      <w:r w:rsidR="00D55F3A">
        <w:rPr>
          <w:rFonts w:cstheme="minorHAnsi"/>
          <w:color w:val="000000"/>
          <w:lang w:val="ru-RU"/>
        </w:rPr>
        <w:t>,</w:t>
      </w:r>
      <w:r w:rsidR="00701C18" w:rsidRPr="00D55F3A">
        <w:rPr>
          <w:rFonts w:cstheme="minorHAnsi"/>
          <w:color w:val="000000"/>
          <w:lang w:val="ru-RU"/>
        </w:rPr>
        <w:t>6</w:t>
      </w:r>
      <w:r>
        <w:rPr>
          <w:rFonts w:cstheme="minorHAnsi"/>
          <w:color w:val="000000"/>
          <w:lang w:val="ru-RU"/>
        </w:rPr>
        <w:t> млрд. </w:t>
      </w:r>
      <w:r w:rsidR="00D55F3A">
        <w:rPr>
          <w:rFonts w:cstheme="minorHAnsi"/>
          <w:color w:val="000000"/>
          <w:lang w:val="ru-RU"/>
        </w:rPr>
        <w:t xml:space="preserve">человек </w:t>
      </w:r>
      <w:r w:rsidR="00701C18" w:rsidRPr="00D55F3A">
        <w:rPr>
          <w:rFonts w:cstheme="minorHAnsi"/>
          <w:color w:val="000000"/>
          <w:lang w:val="ru-RU"/>
        </w:rPr>
        <w:t>(</w:t>
      </w:r>
      <w:r w:rsidR="00D45602">
        <w:rPr>
          <w:rFonts w:cstheme="minorHAnsi"/>
          <w:color w:val="000000"/>
          <w:lang w:val="ru-RU"/>
        </w:rPr>
        <w:t xml:space="preserve">эквивалентно </w:t>
      </w:r>
      <w:r w:rsidR="00D513C9">
        <w:rPr>
          <w:rFonts w:cstheme="minorHAnsi"/>
          <w:color w:val="000000"/>
          <w:lang w:val="ru-RU"/>
        </w:rPr>
        <w:t xml:space="preserve">совокупному </w:t>
      </w:r>
      <w:r w:rsidR="00D45602">
        <w:rPr>
          <w:rFonts w:cstheme="minorHAnsi"/>
          <w:color w:val="000000"/>
          <w:lang w:val="ru-RU"/>
        </w:rPr>
        <w:t>населению Китая</w:t>
      </w:r>
      <w:r w:rsidR="00D45602" w:rsidRPr="00D45602">
        <w:rPr>
          <w:rFonts w:cstheme="minorHAnsi"/>
          <w:color w:val="000000"/>
          <w:lang w:val="ru-RU"/>
        </w:rPr>
        <w:t xml:space="preserve"> </w:t>
      </w:r>
      <w:r w:rsidR="00D45602">
        <w:rPr>
          <w:rFonts w:cstheme="minorHAnsi"/>
          <w:color w:val="000000"/>
          <w:lang w:val="ru-RU"/>
        </w:rPr>
        <w:t>и</w:t>
      </w:r>
      <w:r w:rsidR="00D45602" w:rsidRPr="00D45602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Соединенных Штатов</w:t>
      </w:r>
      <w:r w:rsidR="00D45602" w:rsidRPr="00D45602">
        <w:rPr>
          <w:rFonts w:cstheme="minorHAnsi"/>
          <w:color w:val="000000"/>
          <w:lang w:val="ru-RU"/>
        </w:rPr>
        <w:t xml:space="preserve">) </w:t>
      </w:r>
      <w:r w:rsidR="00D45602">
        <w:rPr>
          <w:rFonts w:cstheme="minorHAnsi"/>
          <w:color w:val="000000"/>
          <w:lang w:val="ru-RU"/>
        </w:rPr>
        <w:t>получили</w:t>
      </w:r>
      <w:r w:rsidR="00D45602" w:rsidRPr="00D45602">
        <w:rPr>
          <w:rFonts w:cstheme="minorHAnsi"/>
          <w:color w:val="000000"/>
          <w:lang w:val="ru-RU"/>
        </w:rPr>
        <w:t xml:space="preserve"> </w:t>
      </w:r>
      <w:r w:rsidR="00D45602">
        <w:rPr>
          <w:rFonts w:cstheme="minorHAnsi"/>
          <w:color w:val="000000"/>
          <w:lang w:val="ru-RU"/>
        </w:rPr>
        <w:t>гарантированный</w:t>
      </w:r>
      <w:r w:rsidR="00D45602" w:rsidRPr="00D45602">
        <w:rPr>
          <w:rFonts w:cstheme="minorHAnsi"/>
          <w:color w:val="000000"/>
          <w:lang w:val="ru-RU"/>
        </w:rPr>
        <w:t xml:space="preserve"> </w:t>
      </w:r>
      <w:r w:rsidR="00D45602">
        <w:rPr>
          <w:rFonts w:cstheme="minorHAnsi"/>
          <w:color w:val="000000"/>
          <w:lang w:val="ru-RU"/>
        </w:rPr>
        <w:t>доступ</w:t>
      </w:r>
      <w:r w:rsidR="00D45602" w:rsidRPr="00D45602">
        <w:rPr>
          <w:rFonts w:cstheme="minorHAnsi"/>
          <w:color w:val="000000"/>
          <w:lang w:val="ru-RU"/>
        </w:rPr>
        <w:t xml:space="preserve"> </w:t>
      </w:r>
      <w:r w:rsidR="00D45602">
        <w:rPr>
          <w:rFonts w:cstheme="minorHAnsi"/>
          <w:color w:val="000000"/>
          <w:lang w:val="ru-RU"/>
        </w:rPr>
        <w:t>к</w:t>
      </w:r>
      <w:r w:rsidR="00D45602" w:rsidRPr="00D45602">
        <w:rPr>
          <w:rFonts w:cstheme="minorHAnsi"/>
          <w:color w:val="000000"/>
          <w:lang w:val="ru-RU"/>
        </w:rPr>
        <w:t xml:space="preserve"> </w:t>
      </w:r>
      <w:r w:rsidR="00D45602">
        <w:rPr>
          <w:rFonts w:cstheme="minorHAnsi"/>
          <w:color w:val="000000"/>
          <w:lang w:val="ru-RU"/>
        </w:rPr>
        <w:t>нетвердым</w:t>
      </w:r>
      <w:r w:rsidR="00D45602" w:rsidRPr="00D45602">
        <w:rPr>
          <w:rFonts w:cstheme="minorHAnsi"/>
          <w:color w:val="000000"/>
          <w:lang w:val="ru-RU"/>
        </w:rPr>
        <w:t xml:space="preserve"> </w:t>
      </w:r>
      <w:r w:rsidR="00D45602">
        <w:rPr>
          <w:rFonts w:cstheme="minorHAnsi"/>
          <w:color w:val="000000"/>
          <w:lang w:val="ru-RU"/>
        </w:rPr>
        <w:t>видам</w:t>
      </w:r>
      <w:r w:rsidR="00D45602" w:rsidRPr="00D45602">
        <w:rPr>
          <w:rFonts w:cstheme="minorHAnsi"/>
          <w:color w:val="000000"/>
          <w:lang w:val="ru-RU"/>
        </w:rPr>
        <w:t xml:space="preserve"> </w:t>
      </w:r>
      <w:r w:rsidR="00D45602">
        <w:rPr>
          <w:rFonts w:cstheme="minorHAnsi"/>
          <w:color w:val="000000"/>
          <w:lang w:val="ru-RU"/>
        </w:rPr>
        <w:t>топлива, которые обычно являются менее вредными для окружающей среды</w:t>
      </w:r>
      <w:r w:rsidR="00701C18" w:rsidRPr="00D45602">
        <w:rPr>
          <w:rFonts w:cstheme="minorHAnsi"/>
          <w:color w:val="000000"/>
          <w:lang w:val="ru-RU"/>
        </w:rPr>
        <w:t>.</w:t>
      </w:r>
      <w:r w:rsidR="00701C18" w:rsidRPr="00D45602" w:rsidDel="00AC42E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З</w:t>
      </w:r>
      <w:r w:rsidR="0016487C">
        <w:rPr>
          <w:rFonts w:cstheme="minorHAnsi"/>
          <w:color w:val="000000"/>
          <w:lang w:val="ru-RU"/>
        </w:rPr>
        <w:t>начительно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снизилась</w:t>
      </w:r>
      <w:r>
        <w:rPr>
          <w:rFonts w:cstheme="minorHAnsi"/>
          <w:color w:val="000000"/>
          <w:lang w:val="ru-RU"/>
        </w:rPr>
        <w:t xml:space="preserve"> энергоемкость</w:t>
      </w:r>
      <w:r w:rsidR="00701C18" w:rsidRPr="0016487C">
        <w:rPr>
          <w:rFonts w:cstheme="minorHAnsi"/>
          <w:color w:val="000000"/>
          <w:lang w:val="ru-RU"/>
        </w:rPr>
        <w:t xml:space="preserve">, </w:t>
      </w:r>
      <w:r w:rsidR="0016487C">
        <w:rPr>
          <w:rFonts w:cstheme="minorHAnsi"/>
          <w:color w:val="000000"/>
          <w:lang w:val="ru-RU"/>
        </w:rPr>
        <w:t>что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позволило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избежать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затрат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на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обеспечение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дополнительного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энергоснабжения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в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размере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6C1C4E" w:rsidRPr="004D299A">
        <w:rPr>
          <w:rFonts w:cstheme="minorHAnsi"/>
          <w:color w:val="000000"/>
          <w:lang w:val="ru-RU"/>
        </w:rPr>
        <w:t>23</w:t>
      </w:r>
      <w:r w:rsidR="000535A3" w:rsidRPr="004D299A">
        <w:rPr>
          <w:rFonts w:cstheme="minorHAnsi"/>
          <w:color w:val="000000"/>
          <w:lang w:val="ru-RU"/>
        </w:rPr>
        <w:t>00</w:t>
      </w:r>
      <w:r w:rsidR="00701C18" w:rsidRPr="004D299A">
        <w:rPr>
          <w:rFonts w:cstheme="minorHAnsi"/>
          <w:color w:val="000000"/>
          <w:lang w:val="ru-RU"/>
        </w:rPr>
        <w:t xml:space="preserve"> </w:t>
      </w:r>
      <w:r w:rsidR="004D299A" w:rsidRPr="004D299A">
        <w:rPr>
          <w:rFonts w:cstheme="minorHAnsi"/>
          <w:color w:val="000000"/>
          <w:lang w:val="ru-RU"/>
        </w:rPr>
        <w:t>ЭДж</w:t>
      </w:r>
      <w:r w:rsidR="00701C18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за последние 20</w:t>
      </w:r>
      <w:r w:rsidR="00E70768">
        <w:rPr>
          <w:rFonts w:cstheme="minorHAnsi"/>
          <w:color w:val="000000"/>
          <w:lang w:val="ru-RU"/>
        </w:rPr>
        <w:t> </w:t>
      </w:r>
      <w:r w:rsidR="0016487C">
        <w:rPr>
          <w:rFonts w:cstheme="minorHAnsi"/>
          <w:color w:val="000000"/>
          <w:lang w:val="ru-RU"/>
        </w:rPr>
        <w:t>лет и снизить общий мировой спрос</w:t>
      </w:r>
      <w:r w:rsidR="00D513C9">
        <w:rPr>
          <w:rFonts w:cstheme="minorHAnsi"/>
          <w:color w:val="000000"/>
          <w:lang w:val="ru-RU"/>
        </w:rPr>
        <w:t xml:space="preserve"> на энергию </w:t>
      </w:r>
      <w:r w:rsidR="0016487C">
        <w:rPr>
          <w:rFonts w:cstheme="minorHAnsi"/>
          <w:color w:val="000000"/>
          <w:lang w:val="ru-RU"/>
        </w:rPr>
        <w:t>на</w:t>
      </w:r>
      <w:r w:rsidR="00E70768">
        <w:rPr>
          <w:rFonts w:cstheme="minorHAnsi"/>
          <w:color w:val="000000"/>
          <w:lang w:val="ru-RU"/>
        </w:rPr>
        <w:t> </w:t>
      </w:r>
      <w:r w:rsidR="0016487C">
        <w:rPr>
          <w:rFonts w:cstheme="minorHAnsi"/>
          <w:color w:val="000000"/>
          <w:lang w:val="ru-RU"/>
        </w:rPr>
        <w:t xml:space="preserve">25 процентов в течение </w:t>
      </w:r>
      <w:r w:rsidR="006C1C4E" w:rsidRPr="0016487C">
        <w:rPr>
          <w:lang w:val="ru-RU"/>
        </w:rPr>
        <w:t>1990</w:t>
      </w:r>
      <w:r w:rsidR="00E70768">
        <w:rPr>
          <w:lang w:val="ru-RU"/>
        </w:rPr>
        <w:t>–</w:t>
      </w:r>
      <w:r w:rsidR="006C1C4E" w:rsidRPr="0016487C">
        <w:rPr>
          <w:lang w:val="ru-RU"/>
        </w:rPr>
        <w:t>2010</w:t>
      </w:r>
      <w:r w:rsidR="00E70768">
        <w:rPr>
          <w:lang w:val="ru-RU"/>
        </w:rPr>
        <w:t> </w:t>
      </w:r>
      <w:r w:rsidR="0016487C">
        <w:rPr>
          <w:lang w:val="ru-RU"/>
        </w:rPr>
        <w:t>г</w:t>
      </w:r>
      <w:r w:rsidR="00E70768">
        <w:rPr>
          <w:lang w:val="ru-RU"/>
        </w:rPr>
        <w:t>одов</w:t>
      </w:r>
      <w:r w:rsidR="00D30A15" w:rsidRPr="0016487C">
        <w:rPr>
          <w:lang w:val="ru-RU"/>
        </w:rPr>
        <w:t>,</w:t>
      </w:r>
      <w:r w:rsidR="006C1C4E" w:rsidRPr="0016487C">
        <w:rPr>
          <w:lang w:val="ru-RU"/>
        </w:rPr>
        <w:t xml:space="preserve"> </w:t>
      </w:r>
      <w:r w:rsidR="0016487C">
        <w:rPr>
          <w:lang w:val="ru-RU"/>
        </w:rPr>
        <w:t xml:space="preserve">а также обеспечить </w:t>
      </w:r>
      <w:r w:rsidR="00E70768">
        <w:rPr>
          <w:lang w:val="ru-RU"/>
        </w:rPr>
        <w:t xml:space="preserve">уровень электропотребления в 2010 году, на треть ниже того, </w:t>
      </w:r>
      <w:r w:rsidR="004D299A">
        <w:rPr>
          <w:lang w:val="ru-RU"/>
        </w:rPr>
        <w:t xml:space="preserve">который </w:t>
      </w:r>
      <w:r w:rsidR="00D15CF3">
        <w:rPr>
          <w:lang w:val="ru-RU"/>
        </w:rPr>
        <w:t xml:space="preserve">иначе </w:t>
      </w:r>
      <w:r w:rsidR="004D299A">
        <w:rPr>
          <w:lang w:val="ru-RU"/>
        </w:rPr>
        <w:t>был бы</w:t>
      </w:r>
      <w:r w:rsidR="00D513C9">
        <w:rPr>
          <w:lang w:val="ru-RU"/>
        </w:rPr>
        <w:t xml:space="preserve"> в этом году</w:t>
      </w:r>
      <w:r w:rsidR="004D299A">
        <w:rPr>
          <w:lang w:val="ru-RU"/>
        </w:rPr>
        <w:t>.</w:t>
      </w:r>
      <w:r w:rsidR="006F2A37" w:rsidRPr="004D299A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В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течение</w:t>
      </w:r>
      <w:r w:rsidR="0016487C" w:rsidRPr="0016487C">
        <w:rPr>
          <w:rFonts w:cstheme="minorHAnsi"/>
          <w:color w:val="000000"/>
          <w:lang w:val="ru-RU"/>
        </w:rPr>
        <w:t xml:space="preserve"> 1990</w:t>
      </w:r>
      <w:r w:rsidR="00E70768">
        <w:rPr>
          <w:rFonts w:cstheme="minorHAnsi"/>
          <w:color w:val="000000"/>
          <w:lang w:val="ru-RU"/>
        </w:rPr>
        <w:t>–</w:t>
      </w:r>
      <w:r w:rsidR="0016487C" w:rsidRPr="0016487C">
        <w:rPr>
          <w:rFonts w:cstheme="minorHAnsi"/>
          <w:color w:val="000000"/>
          <w:lang w:val="ru-RU"/>
        </w:rPr>
        <w:t>2010</w:t>
      </w:r>
      <w:r w:rsidR="00E70768">
        <w:rPr>
          <w:rFonts w:cstheme="minorHAnsi"/>
          <w:color w:val="000000"/>
          <w:lang w:val="ru-RU"/>
        </w:rPr>
        <w:t> </w:t>
      </w:r>
      <w:r w:rsidR="0016487C">
        <w:rPr>
          <w:rFonts w:cstheme="minorHAnsi"/>
          <w:color w:val="000000"/>
          <w:lang w:val="ru-RU"/>
        </w:rPr>
        <w:t>г</w:t>
      </w:r>
      <w:r w:rsidR="00E70768">
        <w:rPr>
          <w:rFonts w:cstheme="minorHAnsi"/>
          <w:color w:val="000000"/>
          <w:lang w:val="ru-RU"/>
        </w:rPr>
        <w:t>одов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5B1176">
        <w:rPr>
          <w:rFonts w:cstheme="minorHAnsi"/>
          <w:color w:val="000000"/>
          <w:lang w:val="ru-RU"/>
        </w:rPr>
        <w:t xml:space="preserve">за счет </w:t>
      </w:r>
      <w:r w:rsidR="0016487C">
        <w:rPr>
          <w:rFonts w:cstheme="minorHAnsi"/>
          <w:color w:val="000000"/>
          <w:lang w:val="ru-RU"/>
        </w:rPr>
        <w:t>возоб</w:t>
      </w:r>
      <w:r w:rsidR="000978CE">
        <w:rPr>
          <w:rFonts w:cstheme="minorHAnsi"/>
          <w:color w:val="000000"/>
          <w:lang w:val="ru-RU"/>
        </w:rPr>
        <w:t>но</w:t>
      </w:r>
      <w:r w:rsidR="0016487C">
        <w:rPr>
          <w:rFonts w:cstheme="minorHAnsi"/>
          <w:color w:val="000000"/>
          <w:lang w:val="ru-RU"/>
        </w:rPr>
        <w:t>вляемы</w:t>
      </w:r>
      <w:r w:rsidR="005B1176">
        <w:rPr>
          <w:rFonts w:cstheme="minorHAnsi"/>
          <w:color w:val="000000"/>
          <w:lang w:val="ru-RU"/>
        </w:rPr>
        <w:t>х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16487C">
        <w:rPr>
          <w:rFonts w:cstheme="minorHAnsi"/>
          <w:color w:val="000000"/>
          <w:lang w:val="ru-RU"/>
        </w:rPr>
        <w:t>источник</w:t>
      </w:r>
      <w:r w:rsidR="005B1176">
        <w:rPr>
          <w:rFonts w:cstheme="minorHAnsi"/>
          <w:color w:val="000000"/>
          <w:lang w:val="ru-RU"/>
        </w:rPr>
        <w:t xml:space="preserve">ов </w:t>
      </w:r>
      <w:r w:rsidR="0016487C">
        <w:rPr>
          <w:rFonts w:cstheme="minorHAnsi"/>
          <w:color w:val="000000"/>
          <w:lang w:val="ru-RU"/>
        </w:rPr>
        <w:t>энергии</w:t>
      </w:r>
      <w:r w:rsidR="0016487C" w:rsidRPr="0016487C">
        <w:rPr>
          <w:rFonts w:cstheme="minorHAnsi"/>
          <w:color w:val="000000"/>
          <w:lang w:val="ru-RU"/>
        </w:rPr>
        <w:t xml:space="preserve"> </w:t>
      </w:r>
      <w:r w:rsidR="005B1176">
        <w:rPr>
          <w:rFonts w:cstheme="minorHAnsi"/>
          <w:color w:val="000000"/>
          <w:lang w:val="ru-RU"/>
        </w:rPr>
        <w:t xml:space="preserve">было произведено </w:t>
      </w:r>
      <w:r w:rsidR="003D623F">
        <w:rPr>
          <w:rFonts w:cstheme="minorHAnsi"/>
          <w:color w:val="000000"/>
          <w:lang w:val="ru-RU"/>
        </w:rPr>
        <w:t xml:space="preserve">более </w:t>
      </w:r>
      <w:r w:rsidR="006F2A37" w:rsidRPr="004D299A">
        <w:rPr>
          <w:rFonts w:cs="Helv"/>
          <w:color w:val="000000"/>
          <w:lang w:val="ru-RU"/>
        </w:rPr>
        <w:t>1000</w:t>
      </w:r>
      <w:r w:rsidR="005B1176">
        <w:rPr>
          <w:rFonts w:cs="Helv"/>
          <w:color w:val="000000"/>
          <w:lang w:val="ru-RU"/>
        </w:rPr>
        <w:t> </w:t>
      </w:r>
      <w:r w:rsidR="004D299A" w:rsidRPr="004D299A">
        <w:rPr>
          <w:rFonts w:cs="Helv"/>
          <w:color w:val="000000"/>
          <w:lang w:val="ru-RU"/>
        </w:rPr>
        <w:t>ЭДж</w:t>
      </w:r>
      <w:r w:rsidR="005B1176">
        <w:rPr>
          <w:rFonts w:cs="Helv"/>
          <w:color w:val="000000"/>
          <w:lang w:val="ru-RU"/>
        </w:rPr>
        <w:t xml:space="preserve"> энергии</w:t>
      </w:r>
      <w:r w:rsidR="0016487C" w:rsidRPr="0016487C">
        <w:rPr>
          <w:rFonts w:cs="Helv"/>
          <w:color w:val="000000"/>
          <w:lang w:val="ru-RU"/>
        </w:rPr>
        <w:t xml:space="preserve">, что соответствует совокупному энергопотреблению Китая и </w:t>
      </w:r>
      <w:r w:rsidR="0016487C">
        <w:rPr>
          <w:rFonts w:cs="Helv"/>
          <w:color w:val="000000"/>
          <w:lang w:val="ru-RU"/>
        </w:rPr>
        <w:t>Франции</w:t>
      </w:r>
      <w:r w:rsidR="00D513C9">
        <w:rPr>
          <w:rFonts w:cs="Helv"/>
          <w:color w:val="000000"/>
          <w:lang w:val="ru-RU"/>
        </w:rPr>
        <w:t xml:space="preserve"> за тот же период времени</w:t>
      </w:r>
      <w:r w:rsidR="006F2A37" w:rsidRPr="0016487C">
        <w:rPr>
          <w:rFonts w:cs="Helv"/>
          <w:color w:val="000000"/>
          <w:lang w:val="ru-RU"/>
        </w:rPr>
        <w:t>.</w:t>
      </w:r>
    </w:p>
    <w:p w:rsidR="00136D6A" w:rsidRPr="00D15CF3" w:rsidRDefault="0016487C" w:rsidP="00701C18">
      <w:pPr>
        <w:pStyle w:val="SE4ALLbodycopy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Однако стремительный демографический и экономические рост за последние 20</w:t>
      </w:r>
      <w:r w:rsidR="005B1176">
        <w:rPr>
          <w:rFonts w:cstheme="minorHAnsi"/>
          <w:color w:val="000000"/>
          <w:lang w:val="ru-RU"/>
        </w:rPr>
        <w:t> </w:t>
      </w:r>
      <w:r>
        <w:rPr>
          <w:rFonts w:cstheme="minorHAnsi"/>
          <w:color w:val="000000"/>
          <w:lang w:val="ru-RU"/>
        </w:rPr>
        <w:t xml:space="preserve">лет в некоторой степени снизил </w:t>
      </w:r>
      <w:r w:rsidR="004D299A">
        <w:rPr>
          <w:rFonts w:cstheme="minorHAnsi"/>
          <w:color w:val="000000"/>
          <w:lang w:val="ru-RU"/>
        </w:rPr>
        <w:t xml:space="preserve">положительный эффект </w:t>
      </w:r>
      <w:r>
        <w:rPr>
          <w:rFonts w:cstheme="minorHAnsi"/>
          <w:color w:val="000000"/>
          <w:lang w:val="ru-RU"/>
        </w:rPr>
        <w:t xml:space="preserve">этих </w:t>
      </w:r>
      <w:r w:rsidR="004D299A">
        <w:rPr>
          <w:rFonts w:cstheme="minorHAnsi"/>
          <w:color w:val="000000"/>
          <w:lang w:val="ru-RU"/>
        </w:rPr>
        <w:t>успехов</w:t>
      </w:r>
      <w:r w:rsidR="009378A7" w:rsidRPr="0016487C">
        <w:rPr>
          <w:rFonts w:cstheme="minorHAnsi"/>
          <w:color w:val="000000"/>
          <w:lang w:val="ru-RU"/>
        </w:rPr>
        <w:t xml:space="preserve">. </w:t>
      </w:r>
      <w:r w:rsidR="004D299A">
        <w:rPr>
          <w:rFonts w:cstheme="minorHAnsi"/>
          <w:color w:val="000000"/>
          <w:lang w:val="ru-RU"/>
        </w:rPr>
        <w:t>Например</w:t>
      </w:r>
      <w:r w:rsidR="004D299A" w:rsidRPr="004D299A">
        <w:rPr>
          <w:rFonts w:cstheme="minorHAnsi"/>
          <w:color w:val="000000"/>
          <w:lang w:val="ru-RU"/>
        </w:rPr>
        <w:t xml:space="preserve">, </w:t>
      </w:r>
      <w:r w:rsidR="004D299A">
        <w:rPr>
          <w:rFonts w:cstheme="minorHAnsi"/>
          <w:color w:val="000000"/>
          <w:lang w:val="ru-RU"/>
        </w:rPr>
        <w:t>процент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населения</w:t>
      </w:r>
      <w:r w:rsidR="004D299A" w:rsidRPr="004D299A">
        <w:rPr>
          <w:rFonts w:cstheme="minorHAnsi"/>
          <w:color w:val="000000"/>
          <w:lang w:val="ru-RU"/>
        </w:rPr>
        <w:t xml:space="preserve">, </w:t>
      </w:r>
      <w:r w:rsidR="004D299A">
        <w:rPr>
          <w:rFonts w:cstheme="minorHAnsi"/>
          <w:color w:val="000000"/>
          <w:lang w:val="ru-RU"/>
        </w:rPr>
        <w:t>имеющего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доступ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к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электроснабжению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и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нетвердым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видам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топлива</w:t>
      </w:r>
      <w:r w:rsidR="004D299A" w:rsidRPr="004D299A">
        <w:rPr>
          <w:rFonts w:cstheme="minorHAnsi"/>
          <w:color w:val="000000"/>
          <w:lang w:val="ru-RU"/>
        </w:rPr>
        <w:t xml:space="preserve">, </w:t>
      </w:r>
      <w:r w:rsidR="004D299A">
        <w:rPr>
          <w:rFonts w:cstheme="minorHAnsi"/>
          <w:color w:val="000000"/>
          <w:lang w:val="ru-RU"/>
        </w:rPr>
        <w:t>увеличивался на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B33B0E" w:rsidRPr="004D299A">
        <w:rPr>
          <w:rFonts w:cstheme="minorHAnsi"/>
          <w:color w:val="000000"/>
          <w:lang w:val="ru-RU"/>
        </w:rPr>
        <w:t>1</w:t>
      </w:r>
      <w:r w:rsidR="004D299A">
        <w:rPr>
          <w:rFonts w:cstheme="minorHAnsi"/>
          <w:color w:val="000000"/>
          <w:lang w:val="ru-RU"/>
        </w:rPr>
        <w:t>,</w:t>
      </w:r>
      <w:r w:rsidR="00F661E9" w:rsidRPr="004D299A">
        <w:rPr>
          <w:rFonts w:cstheme="minorHAnsi"/>
          <w:color w:val="000000"/>
          <w:lang w:val="ru-RU"/>
        </w:rPr>
        <w:t>2</w:t>
      </w:r>
      <w:r w:rsidR="005B1176">
        <w:rPr>
          <w:rFonts w:cstheme="minorHAnsi"/>
          <w:color w:val="000000"/>
          <w:lang w:val="ru-RU"/>
        </w:rPr>
        <w:t> процента</w:t>
      </w:r>
      <w:r w:rsidR="004D299A">
        <w:rPr>
          <w:rFonts w:cstheme="minorHAnsi"/>
          <w:color w:val="000000"/>
          <w:lang w:val="ru-RU"/>
        </w:rPr>
        <w:t xml:space="preserve"> и 1,1</w:t>
      </w:r>
      <w:r w:rsidR="005B1176">
        <w:rPr>
          <w:rFonts w:cstheme="minorHAnsi"/>
          <w:color w:val="000000"/>
          <w:lang w:val="ru-RU"/>
        </w:rPr>
        <w:t> процента</w:t>
      </w:r>
      <w:r w:rsidR="00D513C9">
        <w:rPr>
          <w:rFonts w:cstheme="minorHAnsi"/>
          <w:color w:val="000000"/>
          <w:lang w:val="ru-RU"/>
        </w:rPr>
        <w:t>,</w:t>
      </w:r>
      <w:r w:rsidR="00F661E9" w:rsidRPr="004D299A">
        <w:rPr>
          <w:rFonts w:cstheme="minorHAnsi"/>
          <w:color w:val="000000"/>
          <w:lang w:val="ru-RU"/>
        </w:rPr>
        <w:t xml:space="preserve"> </w:t>
      </w:r>
      <w:r w:rsidR="00D15CF3">
        <w:rPr>
          <w:rFonts w:cstheme="minorHAnsi"/>
          <w:color w:val="000000"/>
          <w:lang w:val="ru-RU"/>
        </w:rPr>
        <w:t>соответственно</w:t>
      </w:r>
      <w:r w:rsidR="00D513C9">
        <w:rPr>
          <w:rFonts w:cstheme="minorHAnsi"/>
          <w:color w:val="000000"/>
          <w:lang w:val="ru-RU"/>
        </w:rPr>
        <w:t>,</w:t>
      </w:r>
      <w:r w:rsidR="00D15CF3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 xml:space="preserve">в год за период с </w:t>
      </w:r>
      <w:r w:rsidR="008132A8" w:rsidRPr="004D299A">
        <w:rPr>
          <w:rFonts w:cstheme="minorHAnsi"/>
          <w:color w:val="000000"/>
          <w:lang w:val="ru-RU"/>
        </w:rPr>
        <w:t>1990</w:t>
      </w:r>
      <w:r w:rsidR="004D299A">
        <w:rPr>
          <w:rFonts w:cstheme="minorHAnsi"/>
          <w:color w:val="000000"/>
          <w:lang w:val="ru-RU"/>
        </w:rPr>
        <w:t xml:space="preserve"> по </w:t>
      </w:r>
      <w:r w:rsidR="008132A8" w:rsidRPr="004D299A">
        <w:rPr>
          <w:rFonts w:cstheme="minorHAnsi"/>
          <w:color w:val="000000"/>
          <w:lang w:val="ru-RU"/>
        </w:rPr>
        <w:t>2010</w:t>
      </w:r>
      <w:r w:rsidR="005B1176">
        <w:rPr>
          <w:rFonts w:cstheme="minorHAnsi"/>
          <w:color w:val="000000"/>
          <w:lang w:val="ru-RU"/>
        </w:rPr>
        <w:t> </w:t>
      </w:r>
      <w:r w:rsidR="004D299A">
        <w:rPr>
          <w:rFonts w:cstheme="minorHAnsi"/>
          <w:color w:val="000000"/>
          <w:lang w:val="ru-RU"/>
        </w:rPr>
        <w:t>г</w:t>
      </w:r>
      <w:r w:rsidR="005B1176">
        <w:rPr>
          <w:rFonts w:cstheme="minorHAnsi"/>
          <w:color w:val="000000"/>
          <w:lang w:val="ru-RU"/>
        </w:rPr>
        <w:t>од</w:t>
      </w:r>
      <w:r w:rsidR="008132A8" w:rsidRPr="004D299A">
        <w:rPr>
          <w:rFonts w:cstheme="minorHAnsi"/>
          <w:color w:val="000000"/>
          <w:lang w:val="ru-RU"/>
        </w:rPr>
        <w:t xml:space="preserve">, </w:t>
      </w:r>
      <w:r w:rsidR="004D299A">
        <w:rPr>
          <w:rFonts w:cstheme="minorHAnsi"/>
          <w:color w:val="000000"/>
          <w:lang w:val="ru-RU"/>
        </w:rPr>
        <w:t xml:space="preserve">что </w:t>
      </w:r>
      <w:r w:rsidR="00D513C9">
        <w:rPr>
          <w:rFonts w:cstheme="minorHAnsi"/>
          <w:color w:val="000000"/>
          <w:lang w:val="ru-RU"/>
        </w:rPr>
        <w:t xml:space="preserve">было </w:t>
      </w:r>
      <w:r w:rsidR="005B1176">
        <w:rPr>
          <w:rFonts w:cstheme="minorHAnsi"/>
          <w:color w:val="000000"/>
          <w:lang w:val="ru-RU"/>
        </w:rPr>
        <w:t xml:space="preserve">немного </w:t>
      </w:r>
      <w:r w:rsidR="00D513C9">
        <w:rPr>
          <w:rFonts w:cstheme="minorHAnsi"/>
          <w:color w:val="000000"/>
          <w:lang w:val="ru-RU"/>
        </w:rPr>
        <w:t>ниже темпов роста</w:t>
      </w:r>
      <w:r w:rsidR="004D299A">
        <w:rPr>
          <w:rFonts w:cstheme="minorHAnsi"/>
          <w:color w:val="000000"/>
          <w:lang w:val="ru-RU"/>
        </w:rPr>
        <w:t xml:space="preserve"> населения, которы</w:t>
      </w:r>
      <w:r w:rsidR="00D513C9">
        <w:rPr>
          <w:rFonts w:cstheme="minorHAnsi"/>
          <w:color w:val="000000"/>
          <w:lang w:val="ru-RU"/>
        </w:rPr>
        <w:t>е</w:t>
      </w:r>
      <w:r w:rsidR="004D299A">
        <w:rPr>
          <w:rFonts w:cstheme="minorHAnsi"/>
          <w:color w:val="000000"/>
          <w:lang w:val="ru-RU"/>
        </w:rPr>
        <w:t xml:space="preserve"> составлял</w:t>
      </w:r>
      <w:r w:rsidR="00D513C9">
        <w:rPr>
          <w:rFonts w:cstheme="minorHAnsi"/>
          <w:color w:val="000000"/>
          <w:lang w:val="ru-RU"/>
        </w:rPr>
        <w:t>и</w:t>
      </w:r>
      <w:r w:rsidR="004D299A">
        <w:rPr>
          <w:rFonts w:cstheme="minorHAnsi"/>
          <w:color w:val="000000"/>
          <w:lang w:val="ru-RU"/>
        </w:rPr>
        <w:t xml:space="preserve"> в течение этого же период</w:t>
      </w:r>
      <w:r w:rsidR="00D513C9">
        <w:rPr>
          <w:rFonts w:cstheme="minorHAnsi"/>
          <w:color w:val="000000"/>
          <w:lang w:val="ru-RU"/>
        </w:rPr>
        <w:t>а</w:t>
      </w:r>
      <w:r w:rsidR="009378A7" w:rsidRPr="004D299A">
        <w:rPr>
          <w:rFonts w:cstheme="minorHAnsi"/>
          <w:color w:val="000000"/>
          <w:lang w:val="ru-RU"/>
        </w:rPr>
        <w:t xml:space="preserve"> 1</w:t>
      </w:r>
      <w:r w:rsidR="004D299A">
        <w:rPr>
          <w:rFonts w:cstheme="minorHAnsi"/>
          <w:color w:val="000000"/>
          <w:lang w:val="ru-RU"/>
        </w:rPr>
        <w:t>,</w:t>
      </w:r>
      <w:r w:rsidR="009378A7" w:rsidRPr="004D299A">
        <w:rPr>
          <w:rFonts w:cstheme="minorHAnsi"/>
          <w:color w:val="000000"/>
          <w:lang w:val="ru-RU"/>
        </w:rPr>
        <w:t>3</w:t>
      </w:r>
      <w:r w:rsidR="005B1176">
        <w:rPr>
          <w:rFonts w:cstheme="minorHAnsi"/>
          <w:color w:val="000000"/>
          <w:lang w:val="ru-RU"/>
        </w:rPr>
        <w:t> процента</w:t>
      </w:r>
      <w:r w:rsidR="009378A7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в год</w:t>
      </w:r>
      <w:r w:rsidR="008132A8" w:rsidRPr="004D299A">
        <w:rPr>
          <w:rFonts w:cstheme="minorHAnsi"/>
          <w:color w:val="000000"/>
          <w:lang w:val="ru-RU"/>
        </w:rPr>
        <w:t xml:space="preserve">. </w:t>
      </w:r>
      <w:r w:rsidR="004D299A">
        <w:rPr>
          <w:rFonts w:cstheme="minorHAnsi"/>
          <w:color w:val="000000"/>
          <w:lang w:val="ru-RU"/>
        </w:rPr>
        <w:t>Это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lastRenderedPageBreak/>
        <w:t>сдерживало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рост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5B1176" w:rsidRPr="005B1176">
        <w:rPr>
          <w:rFonts w:cstheme="minorHAnsi"/>
          <w:i/>
          <w:color w:val="000000"/>
          <w:lang w:val="ru-RU"/>
        </w:rPr>
        <w:t>показателей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доступа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населения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к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энергоснабжению</w:t>
      </w:r>
      <w:r w:rsidR="004D299A" w:rsidRPr="004D299A">
        <w:rPr>
          <w:rFonts w:cstheme="minorHAnsi"/>
          <w:color w:val="000000"/>
          <w:lang w:val="ru-RU"/>
        </w:rPr>
        <w:t xml:space="preserve">, </w:t>
      </w:r>
      <w:r w:rsidR="005B1176">
        <w:rPr>
          <w:rFonts w:cstheme="minorHAnsi"/>
          <w:color w:val="000000"/>
          <w:lang w:val="ru-RU"/>
        </w:rPr>
        <w:t>сводя его примерно к </w:t>
      </w:r>
      <w:r w:rsidR="004D299A" w:rsidRPr="004D299A">
        <w:rPr>
          <w:rFonts w:cstheme="minorHAnsi"/>
          <w:color w:val="000000"/>
          <w:lang w:val="ru-RU"/>
        </w:rPr>
        <w:t>1</w:t>
      </w:r>
      <w:r w:rsidR="005B1176">
        <w:rPr>
          <w:rFonts w:cstheme="minorHAnsi"/>
          <w:color w:val="000000"/>
          <w:lang w:val="ru-RU"/>
        </w:rPr>
        <w:t> проценту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в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год</w:t>
      </w:r>
      <w:r w:rsidR="009378A7" w:rsidRPr="004D299A">
        <w:rPr>
          <w:rFonts w:cstheme="minorHAnsi"/>
          <w:color w:val="000000"/>
          <w:lang w:val="ru-RU"/>
        </w:rPr>
        <w:t xml:space="preserve">. </w:t>
      </w:r>
      <w:r w:rsidR="004D299A">
        <w:rPr>
          <w:rFonts w:cstheme="minorHAnsi"/>
          <w:color w:val="000000"/>
          <w:lang w:val="ru-RU"/>
        </w:rPr>
        <w:t>Хотя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2A6062">
        <w:rPr>
          <w:rFonts w:cstheme="minorHAnsi"/>
          <w:color w:val="000000"/>
          <w:lang w:val="ru-RU"/>
        </w:rPr>
        <w:t xml:space="preserve">конечное </w:t>
      </w:r>
      <w:r w:rsidR="004D299A">
        <w:rPr>
          <w:rFonts w:cstheme="minorHAnsi"/>
          <w:color w:val="000000"/>
          <w:lang w:val="ru-RU"/>
        </w:rPr>
        <w:t>потребление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энергии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из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возобновляемых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источников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увеличивалось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на</w:t>
      </w:r>
      <w:r w:rsidR="004D299A" w:rsidRPr="004D299A">
        <w:rPr>
          <w:rFonts w:cstheme="minorHAnsi"/>
          <w:color w:val="000000"/>
          <w:lang w:val="ru-RU"/>
        </w:rPr>
        <w:t xml:space="preserve"> 2</w:t>
      </w:r>
      <w:r w:rsidR="005B1176">
        <w:rPr>
          <w:rFonts w:cstheme="minorHAnsi"/>
          <w:color w:val="000000"/>
          <w:lang w:val="ru-RU"/>
        </w:rPr>
        <w:t> процента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ежегодно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в</w:t>
      </w:r>
      <w:r w:rsidR="004D299A" w:rsidRPr="004D299A">
        <w:rPr>
          <w:rFonts w:cstheme="minorHAnsi"/>
          <w:color w:val="000000"/>
          <w:lang w:val="ru-RU"/>
        </w:rPr>
        <w:t xml:space="preserve"> </w:t>
      </w:r>
      <w:r w:rsidR="00136D6A" w:rsidRPr="004D299A">
        <w:rPr>
          <w:rFonts w:cstheme="minorHAnsi"/>
          <w:color w:val="000000"/>
          <w:lang w:val="ru-RU"/>
        </w:rPr>
        <w:t>1990</w:t>
      </w:r>
      <w:r w:rsidR="00A73CEB">
        <w:rPr>
          <w:rFonts w:cstheme="minorHAnsi"/>
          <w:color w:val="000000"/>
          <w:lang w:val="ru-RU"/>
        </w:rPr>
        <w:t>–</w:t>
      </w:r>
      <w:r w:rsidR="00136D6A" w:rsidRPr="004D299A">
        <w:rPr>
          <w:rFonts w:cstheme="minorHAnsi"/>
          <w:color w:val="000000"/>
          <w:lang w:val="ru-RU"/>
        </w:rPr>
        <w:t>2010</w:t>
      </w:r>
      <w:r w:rsidR="00A73CEB">
        <w:rPr>
          <w:rFonts w:cstheme="minorHAnsi"/>
          <w:color w:val="000000"/>
          <w:lang w:val="ru-RU"/>
        </w:rPr>
        <w:t> годах</w:t>
      </w:r>
      <w:r w:rsidR="00136D6A" w:rsidRPr="004D299A">
        <w:rPr>
          <w:rFonts w:cstheme="minorHAnsi"/>
          <w:color w:val="000000"/>
          <w:lang w:val="ru-RU"/>
        </w:rPr>
        <w:t xml:space="preserve">, </w:t>
      </w:r>
      <w:r w:rsidR="004D299A">
        <w:rPr>
          <w:rFonts w:cstheme="minorHAnsi"/>
          <w:color w:val="000000"/>
          <w:lang w:val="ru-RU"/>
        </w:rPr>
        <w:t xml:space="preserve">это </w:t>
      </w:r>
      <w:r w:rsidR="00A73CEB">
        <w:rPr>
          <w:rFonts w:cstheme="minorHAnsi"/>
          <w:color w:val="000000"/>
          <w:lang w:val="ru-RU"/>
        </w:rPr>
        <w:t xml:space="preserve">лишь </w:t>
      </w:r>
      <w:r w:rsidR="004D299A">
        <w:rPr>
          <w:rFonts w:cstheme="minorHAnsi"/>
          <w:color w:val="000000"/>
          <w:lang w:val="ru-RU"/>
        </w:rPr>
        <w:t>незначительно опережало общи</w:t>
      </w:r>
      <w:r w:rsidR="00D513C9">
        <w:rPr>
          <w:rFonts w:cstheme="minorHAnsi"/>
          <w:color w:val="000000"/>
          <w:lang w:val="ru-RU"/>
        </w:rPr>
        <w:t xml:space="preserve">е темпы </w:t>
      </w:r>
      <w:r w:rsidR="004D299A">
        <w:rPr>
          <w:rFonts w:cstheme="minorHAnsi"/>
          <w:color w:val="000000"/>
          <w:lang w:val="ru-RU"/>
        </w:rPr>
        <w:t xml:space="preserve">роста </w:t>
      </w:r>
      <w:r w:rsidR="00A73CEB">
        <w:rPr>
          <w:rFonts w:cstheme="minorHAnsi"/>
          <w:color w:val="000000"/>
          <w:lang w:val="ru-RU"/>
        </w:rPr>
        <w:t xml:space="preserve">конечного </w:t>
      </w:r>
      <w:r w:rsidR="004D299A">
        <w:rPr>
          <w:rFonts w:cstheme="minorHAnsi"/>
          <w:color w:val="000000"/>
          <w:lang w:val="ru-RU"/>
        </w:rPr>
        <w:t xml:space="preserve">энергопотребления, </w:t>
      </w:r>
      <w:r w:rsidR="00D513C9">
        <w:rPr>
          <w:rFonts w:cstheme="minorHAnsi"/>
          <w:color w:val="000000"/>
          <w:lang w:val="ru-RU"/>
        </w:rPr>
        <w:t>которые составляли</w:t>
      </w:r>
      <w:r w:rsidR="008725C9">
        <w:rPr>
          <w:rFonts w:cstheme="minorHAnsi"/>
          <w:color w:val="000000"/>
          <w:lang w:val="ru-RU"/>
        </w:rPr>
        <w:t xml:space="preserve"> </w:t>
      </w:r>
      <w:r w:rsidR="004D299A">
        <w:rPr>
          <w:rFonts w:cstheme="minorHAnsi"/>
          <w:color w:val="000000"/>
          <w:lang w:val="ru-RU"/>
        </w:rPr>
        <w:t>1,5</w:t>
      </w:r>
      <w:r w:rsidR="005B1176">
        <w:rPr>
          <w:rFonts w:cstheme="minorHAnsi"/>
          <w:color w:val="000000"/>
          <w:lang w:val="ru-RU"/>
        </w:rPr>
        <w:t> процента</w:t>
      </w:r>
      <w:r w:rsidR="00D513C9">
        <w:rPr>
          <w:rFonts w:cstheme="minorHAnsi"/>
          <w:color w:val="000000"/>
          <w:lang w:val="ru-RU"/>
        </w:rPr>
        <w:t xml:space="preserve"> в год</w:t>
      </w:r>
      <w:r w:rsidR="00136D6A" w:rsidRPr="004D299A">
        <w:rPr>
          <w:rFonts w:cstheme="minorHAnsi"/>
          <w:color w:val="000000"/>
          <w:lang w:val="ru-RU"/>
        </w:rPr>
        <w:t xml:space="preserve">. </w:t>
      </w:r>
      <w:r w:rsidR="00D15CF3">
        <w:rPr>
          <w:rFonts w:cstheme="minorHAnsi"/>
          <w:color w:val="000000"/>
          <w:lang w:val="ru-RU"/>
        </w:rPr>
        <w:t>В</w:t>
      </w:r>
      <w:r w:rsidR="00A73CEB">
        <w:rPr>
          <w:rFonts w:cstheme="minorHAnsi"/>
          <w:color w:val="000000"/>
          <w:lang w:val="ru-RU"/>
        </w:rPr>
        <w:t> </w:t>
      </w:r>
      <w:r w:rsidR="00D15CF3">
        <w:rPr>
          <w:rFonts w:cstheme="minorHAnsi"/>
          <w:color w:val="000000"/>
          <w:lang w:val="ru-RU"/>
        </w:rPr>
        <w:t>результате</w:t>
      </w:r>
      <w:r w:rsidR="00D15CF3" w:rsidRPr="00D15CF3">
        <w:rPr>
          <w:rFonts w:cstheme="minorHAnsi"/>
          <w:color w:val="000000"/>
          <w:lang w:val="ru-RU"/>
        </w:rPr>
        <w:t xml:space="preserve"> </w:t>
      </w:r>
      <w:r w:rsidR="00D15CF3">
        <w:rPr>
          <w:rFonts w:cstheme="minorHAnsi"/>
          <w:color w:val="000000"/>
          <w:lang w:val="ru-RU"/>
        </w:rPr>
        <w:t>соответствующая</w:t>
      </w:r>
      <w:r w:rsidR="00D15CF3" w:rsidRPr="00D15CF3">
        <w:rPr>
          <w:rFonts w:cstheme="minorHAnsi"/>
          <w:color w:val="000000"/>
          <w:lang w:val="ru-RU"/>
        </w:rPr>
        <w:t xml:space="preserve"> </w:t>
      </w:r>
      <w:r w:rsidR="00D15CF3">
        <w:rPr>
          <w:rFonts w:cstheme="minorHAnsi"/>
          <w:color w:val="000000"/>
          <w:lang w:val="ru-RU"/>
        </w:rPr>
        <w:t>доля</w:t>
      </w:r>
      <w:r w:rsidR="00D15CF3" w:rsidRPr="00D15CF3">
        <w:rPr>
          <w:rFonts w:cstheme="minorHAnsi"/>
          <w:color w:val="000000"/>
          <w:lang w:val="ru-RU"/>
        </w:rPr>
        <w:t xml:space="preserve"> </w:t>
      </w:r>
      <w:r w:rsidR="00D15CF3">
        <w:rPr>
          <w:rFonts w:cstheme="minorHAnsi"/>
          <w:color w:val="000000"/>
          <w:lang w:val="ru-RU"/>
        </w:rPr>
        <w:t>возобновляемых</w:t>
      </w:r>
      <w:r w:rsidR="00D15CF3" w:rsidRPr="00D15CF3">
        <w:rPr>
          <w:rFonts w:cstheme="minorHAnsi"/>
          <w:color w:val="000000"/>
          <w:lang w:val="ru-RU"/>
        </w:rPr>
        <w:t xml:space="preserve"> </w:t>
      </w:r>
      <w:r w:rsidR="00D15CF3">
        <w:rPr>
          <w:rFonts w:cstheme="minorHAnsi"/>
          <w:color w:val="000000"/>
          <w:lang w:val="ru-RU"/>
        </w:rPr>
        <w:t>источников</w:t>
      </w:r>
      <w:r w:rsidR="00D15CF3" w:rsidRPr="00D15CF3">
        <w:rPr>
          <w:rFonts w:cstheme="minorHAnsi"/>
          <w:color w:val="000000"/>
          <w:lang w:val="ru-RU"/>
        </w:rPr>
        <w:t xml:space="preserve"> </w:t>
      </w:r>
      <w:r w:rsidR="00D15CF3">
        <w:rPr>
          <w:rFonts w:cstheme="minorHAnsi"/>
          <w:color w:val="000000"/>
          <w:lang w:val="ru-RU"/>
        </w:rPr>
        <w:t>энергии</w:t>
      </w:r>
      <w:r w:rsidR="00D15CF3" w:rsidRPr="00D15CF3">
        <w:rPr>
          <w:rFonts w:cstheme="minorHAnsi"/>
          <w:color w:val="000000"/>
          <w:lang w:val="ru-RU"/>
        </w:rPr>
        <w:t xml:space="preserve"> </w:t>
      </w:r>
      <w:r w:rsidR="00D15CF3">
        <w:rPr>
          <w:rFonts w:cstheme="minorHAnsi"/>
          <w:color w:val="000000"/>
          <w:lang w:val="ru-RU"/>
        </w:rPr>
        <w:t xml:space="preserve">увеличилась </w:t>
      </w:r>
      <w:r w:rsidR="00D513C9">
        <w:rPr>
          <w:rFonts w:cstheme="minorHAnsi"/>
          <w:color w:val="000000"/>
          <w:lang w:val="ru-RU"/>
        </w:rPr>
        <w:t xml:space="preserve">лишь </w:t>
      </w:r>
      <w:r w:rsidR="00D15CF3">
        <w:rPr>
          <w:rFonts w:cstheme="minorHAnsi"/>
          <w:color w:val="000000"/>
          <w:lang w:val="ru-RU"/>
        </w:rPr>
        <w:t xml:space="preserve">незначительно с </w:t>
      </w:r>
      <w:r w:rsidR="00EE420F" w:rsidRPr="00D15CF3">
        <w:rPr>
          <w:rFonts w:cstheme="minorHAnsi"/>
          <w:color w:val="000000"/>
          <w:lang w:val="ru-RU"/>
        </w:rPr>
        <w:t>16</w:t>
      </w:r>
      <w:r w:rsidR="00D15CF3">
        <w:rPr>
          <w:rFonts w:cstheme="minorHAnsi"/>
          <w:color w:val="000000"/>
          <w:lang w:val="ru-RU"/>
        </w:rPr>
        <w:t>,</w:t>
      </w:r>
      <w:r w:rsidR="00EE420F" w:rsidRPr="00D15CF3">
        <w:rPr>
          <w:rFonts w:cstheme="minorHAnsi"/>
          <w:color w:val="000000"/>
          <w:lang w:val="ru-RU"/>
        </w:rPr>
        <w:t>6</w:t>
      </w:r>
      <w:r w:rsidR="005B1176">
        <w:rPr>
          <w:rFonts w:cstheme="minorHAnsi"/>
          <w:color w:val="000000"/>
          <w:lang w:val="ru-RU"/>
        </w:rPr>
        <w:t> процента</w:t>
      </w:r>
      <w:r w:rsidR="00D15CF3">
        <w:rPr>
          <w:rFonts w:cstheme="minorHAnsi"/>
          <w:color w:val="000000"/>
          <w:lang w:val="ru-RU"/>
        </w:rPr>
        <w:t xml:space="preserve"> в </w:t>
      </w:r>
      <w:r w:rsidR="00EE420F" w:rsidRPr="00D15CF3">
        <w:rPr>
          <w:rFonts w:cstheme="minorHAnsi"/>
          <w:color w:val="000000"/>
          <w:lang w:val="ru-RU"/>
        </w:rPr>
        <w:t>1990</w:t>
      </w:r>
      <w:r w:rsidR="00A73CEB">
        <w:rPr>
          <w:rFonts w:cstheme="minorHAnsi"/>
          <w:color w:val="000000"/>
          <w:lang w:val="ru-RU"/>
        </w:rPr>
        <w:t xml:space="preserve"> году </w:t>
      </w:r>
      <w:r w:rsidR="00D15CF3">
        <w:rPr>
          <w:rFonts w:cstheme="minorHAnsi"/>
          <w:color w:val="000000"/>
          <w:lang w:val="ru-RU"/>
        </w:rPr>
        <w:t xml:space="preserve">до </w:t>
      </w:r>
      <w:r w:rsidR="00EE420F" w:rsidRPr="00D15CF3">
        <w:rPr>
          <w:rFonts w:cstheme="minorHAnsi"/>
          <w:color w:val="000000"/>
          <w:lang w:val="ru-RU"/>
        </w:rPr>
        <w:t>18</w:t>
      </w:r>
      <w:r w:rsidR="00D15CF3">
        <w:rPr>
          <w:rFonts w:cstheme="minorHAnsi"/>
          <w:color w:val="000000"/>
          <w:lang w:val="ru-RU"/>
        </w:rPr>
        <w:t>,</w:t>
      </w:r>
      <w:r w:rsidR="00EE420F" w:rsidRPr="00D15CF3">
        <w:rPr>
          <w:rFonts w:cstheme="minorHAnsi"/>
          <w:color w:val="000000"/>
          <w:lang w:val="ru-RU"/>
        </w:rPr>
        <w:t>0</w:t>
      </w:r>
      <w:r w:rsidR="005B1176">
        <w:rPr>
          <w:rFonts w:cstheme="minorHAnsi"/>
          <w:color w:val="000000"/>
          <w:lang w:val="ru-RU"/>
        </w:rPr>
        <w:t> процента</w:t>
      </w:r>
      <w:r w:rsidR="00D15CF3">
        <w:rPr>
          <w:rFonts w:cstheme="minorHAnsi"/>
          <w:color w:val="000000"/>
          <w:lang w:val="ru-RU"/>
        </w:rPr>
        <w:t xml:space="preserve"> в </w:t>
      </w:r>
      <w:r w:rsidR="00EE420F" w:rsidRPr="00D15CF3">
        <w:rPr>
          <w:rFonts w:cstheme="minorHAnsi"/>
          <w:color w:val="000000"/>
          <w:lang w:val="ru-RU"/>
        </w:rPr>
        <w:t>2010</w:t>
      </w:r>
      <w:r w:rsidR="00A73CEB">
        <w:rPr>
          <w:rFonts w:cstheme="minorHAnsi"/>
          <w:color w:val="000000"/>
          <w:lang w:val="ru-RU"/>
        </w:rPr>
        <w:t> </w:t>
      </w:r>
      <w:r w:rsidR="00D15CF3">
        <w:rPr>
          <w:rFonts w:cstheme="minorHAnsi"/>
          <w:color w:val="000000"/>
          <w:lang w:val="ru-RU"/>
        </w:rPr>
        <w:t>г</w:t>
      </w:r>
      <w:r w:rsidR="00A73CEB">
        <w:rPr>
          <w:rFonts w:cstheme="minorHAnsi"/>
          <w:color w:val="000000"/>
          <w:lang w:val="ru-RU"/>
        </w:rPr>
        <w:t>оду</w:t>
      </w:r>
      <w:r w:rsidR="00D15CF3">
        <w:rPr>
          <w:rFonts w:cstheme="minorHAnsi"/>
          <w:color w:val="000000"/>
          <w:lang w:val="ru-RU"/>
        </w:rPr>
        <w:t>.</w:t>
      </w:r>
    </w:p>
    <w:p w:rsidR="00701C18" w:rsidRPr="00D64B9E" w:rsidRDefault="00D513C9" w:rsidP="00701C18">
      <w:pPr>
        <w:pStyle w:val="SE4ALLbodycopy"/>
        <w:rPr>
          <w:rFonts w:cstheme="minorHAnsi"/>
          <w:color w:val="000000"/>
          <w:lang w:val="ru-RU"/>
        </w:rPr>
      </w:pPr>
      <w:r>
        <w:rPr>
          <w:rFonts w:eastAsia="Arial Unicode MS" w:cstheme="minorHAnsi"/>
          <w:color w:val="000000"/>
          <w:u w:color="000000"/>
          <w:lang w:val="ru-RU"/>
        </w:rPr>
        <w:t xml:space="preserve">Для </w:t>
      </w:r>
      <w:r w:rsidR="00D15CF3">
        <w:rPr>
          <w:rFonts w:eastAsia="Arial Unicode MS" w:cstheme="minorHAnsi"/>
          <w:color w:val="000000"/>
          <w:u w:color="000000"/>
          <w:lang w:val="ru-RU"/>
        </w:rPr>
        <w:t>Глобальной</w:t>
      </w:r>
      <w:r w:rsidR="00D15CF3" w:rsidRPr="00D15CF3">
        <w:rPr>
          <w:rFonts w:eastAsia="Arial Unicode MS" w:cstheme="minorHAnsi"/>
          <w:color w:val="000000"/>
          <w:u w:color="000000"/>
          <w:lang w:val="ru-RU"/>
        </w:rPr>
        <w:t xml:space="preserve"> </w:t>
      </w:r>
      <w:r w:rsidR="00A73CEB">
        <w:rPr>
          <w:rFonts w:eastAsia="Arial Unicode MS" w:cstheme="minorHAnsi"/>
          <w:color w:val="000000"/>
          <w:u w:color="000000"/>
          <w:lang w:val="ru-RU"/>
        </w:rPr>
        <w:t>системы</w:t>
      </w:r>
      <w:r w:rsidR="00D15CF3" w:rsidRPr="00D15CF3">
        <w:rPr>
          <w:rFonts w:eastAsia="Arial Unicode MS" w:cstheme="minorHAnsi"/>
          <w:color w:val="000000"/>
          <w:u w:color="000000"/>
          <w:lang w:val="ru-RU"/>
        </w:rPr>
        <w:t xml:space="preserve"> </w:t>
      </w:r>
      <w:r w:rsidR="00D15CF3">
        <w:rPr>
          <w:rFonts w:eastAsia="Arial Unicode MS" w:cstheme="minorHAnsi"/>
          <w:color w:val="000000"/>
          <w:u w:color="000000"/>
          <w:lang w:val="ru-RU"/>
        </w:rPr>
        <w:t>отслеживания</w:t>
      </w:r>
      <w:r w:rsidR="00D15CF3" w:rsidRPr="00D15CF3">
        <w:rPr>
          <w:rFonts w:eastAsia="Arial Unicode MS" w:cstheme="minorHAnsi"/>
          <w:color w:val="000000"/>
          <w:u w:color="000000"/>
          <w:lang w:val="ru-RU"/>
        </w:rPr>
        <w:t xml:space="preserve"> </w:t>
      </w:r>
      <w:r w:rsidR="00A73CEB">
        <w:rPr>
          <w:rFonts w:eastAsia="Arial Unicode MS" w:cstheme="minorHAnsi"/>
          <w:color w:val="000000"/>
          <w:u w:color="000000"/>
          <w:lang w:val="ru-RU"/>
        </w:rPr>
        <w:t>прогресса</w:t>
      </w:r>
      <w:r w:rsidR="00D15CF3" w:rsidRPr="00D15CF3">
        <w:rPr>
          <w:rFonts w:eastAsia="Arial Unicode MS" w:cstheme="minorHAnsi"/>
          <w:color w:val="000000"/>
          <w:u w:color="000000"/>
          <w:lang w:val="ru-RU"/>
        </w:rPr>
        <w:t xml:space="preserve"> </w:t>
      </w:r>
      <w:r w:rsidR="00D15CF3">
        <w:rPr>
          <w:rFonts w:eastAsia="Arial Unicode MS" w:cstheme="minorHAnsi"/>
          <w:color w:val="000000"/>
          <w:u w:color="000000"/>
          <w:lang w:val="ru-RU"/>
        </w:rPr>
        <w:t xml:space="preserve">были установлены </w:t>
      </w:r>
      <w:r w:rsidR="00D64B9E">
        <w:rPr>
          <w:rFonts w:eastAsia="Arial Unicode MS" w:cstheme="minorHAnsi"/>
          <w:color w:val="000000"/>
          <w:u w:color="000000"/>
          <w:lang w:val="ru-RU"/>
        </w:rPr>
        <w:t xml:space="preserve">отправные точки, по которым </w:t>
      </w:r>
      <w:r>
        <w:rPr>
          <w:rFonts w:eastAsia="Arial Unicode MS" w:cstheme="minorHAnsi"/>
          <w:color w:val="000000"/>
          <w:u w:color="000000"/>
          <w:lang w:val="ru-RU"/>
        </w:rPr>
        <w:t xml:space="preserve">будет измеряться </w:t>
      </w:r>
      <w:r w:rsidR="00D64B9E">
        <w:rPr>
          <w:rFonts w:eastAsia="Arial Unicode MS" w:cstheme="minorHAnsi"/>
          <w:color w:val="000000"/>
          <w:u w:color="000000"/>
          <w:lang w:val="ru-RU"/>
        </w:rPr>
        <w:t xml:space="preserve">прогресс </w:t>
      </w:r>
      <w:r>
        <w:rPr>
          <w:rFonts w:eastAsia="Arial Unicode MS" w:cstheme="minorHAnsi"/>
          <w:color w:val="000000"/>
          <w:u w:color="000000"/>
          <w:lang w:val="ru-RU"/>
        </w:rPr>
        <w:t xml:space="preserve">реализации </w:t>
      </w:r>
      <w:r w:rsidR="00D64B9E">
        <w:rPr>
          <w:rFonts w:eastAsia="Arial Unicode MS" w:cstheme="minorHAnsi"/>
          <w:color w:val="000000"/>
          <w:u w:color="000000"/>
          <w:lang w:val="ru-RU"/>
        </w:rPr>
        <w:t>инициативы</w:t>
      </w:r>
      <w:r w:rsidR="00701C18" w:rsidRPr="00D15CF3">
        <w:rPr>
          <w:u w:color="000000"/>
          <w:lang w:val="ru-RU"/>
        </w:rPr>
        <w:t xml:space="preserve"> </w:t>
      </w:r>
      <w:r w:rsidR="00A73CEB">
        <w:rPr>
          <w:u w:color="000000"/>
          <w:lang w:val="ru-RU"/>
        </w:rPr>
        <w:t>"Устойчивая энергетика для всех"</w:t>
      </w:r>
      <w:r w:rsidR="00701C18" w:rsidRPr="00D15CF3">
        <w:rPr>
          <w:u w:color="000000"/>
          <w:lang w:val="ru-RU"/>
        </w:rPr>
        <w:t xml:space="preserve"> (</w:t>
      </w:r>
      <w:r w:rsidR="00A73CEB">
        <w:rPr>
          <w:u w:color="000000"/>
          <w:lang w:val="ru-RU"/>
        </w:rPr>
        <w:t>т</w:t>
      </w:r>
      <w:r w:rsidR="00D64B9E">
        <w:rPr>
          <w:u w:color="000000"/>
          <w:lang w:val="ru-RU"/>
        </w:rPr>
        <w:t>аблица</w:t>
      </w:r>
      <w:r w:rsidR="00701C18" w:rsidRPr="00D15CF3">
        <w:rPr>
          <w:u w:color="000000"/>
          <w:lang w:val="ru-RU"/>
        </w:rPr>
        <w:t xml:space="preserve"> </w:t>
      </w:r>
      <w:r w:rsidR="00701C18">
        <w:rPr>
          <w:u w:color="000000"/>
        </w:rPr>
        <w:t>ES</w:t>
      </w:r>
      <w:r w:rsidR="00701C18" w:rsidRPr="00D15CF3">
        <w:rPr>
          <w:u w:color="000000"/>
          <w:lang w:val="ru-RU"/>
        </w:rPr>
        <w:t xml:space="preserve">.1). </w:t>
      </w:r>
      <w:r w:rsidR="00A73CEB">
        <w:rPr>
          <w:u w:color="000000"/>
          <w:lang w:val="ru-RU"/>
        </w:rPr>
        <w:t>Показатели</w:t>
      </w:r>
      <w:r>
        <w:rPr>
          <w:u w:color="000000"/>
          <w:lang w:val="ru-RU"/>
        </w:rPr>
        <w:t xml:space="preserve"> д</w:t>
      </w:r>
      <w:r w:rsidR="00D64B9E">
        <w:rPr>
          <w:u w:color="000000"/>
          <w:lang w:val="ru-RU"/>
        </w:rPr>
        <w:t>оступ</w:t>
      </w:r>
      <w:r>
        <w:rPr>
          <w:u w:color="000000"/>
          <w:lang w:val="ru-RU"/>
        </w:rPr>
        <w:t>а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к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электроснабжению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и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использовани</w:t>
      </w:r>
      <w:r>
        <w:rPr>
          <w:u w:color="000000"/>
          <w:lang w:val="ru-RU"/>
        </w:rPr>
        <w:t>я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нетвердых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видов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топлива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в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качестве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основного</w:t>
      </w:r>
      <w:r w:rsidR="00D64B9E" w:rsidRPr="00D64B9E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 xml:space="preserve">вида </w:t>
      </w:r>
      <w:r w:rsidR="00D64B9E">
        <w:rPr>
          <w:u w:color="000000"/>
          <w:lang w:val="ru-RU"/>
        </w:rPr>
        <w:t>топлива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для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приготовления</w:t>
      </w:r>
      <w:r w:rsidR="00D64B9E" w:rsidRPr="00D64B9E">
        <w:rPr>
          <w:u w:color="000000"/>
          <w:lang w:val="ru-RU"/>
        </w:rPr>
        <w:t xml:space="preserve"> </w:t>
      </w:r>
      <w:r w:rsidR="00D64B9E">
        <w:rPr>
          <w:u w:color="000000"/>
          <w:lang w:val="ru-RU"/>
        </w:rPr>
        <w:t>пищи</w:t>
      </w:r>
      <w:r w:rsidR="00D64B9E" w:rsidRPr="00D64B9E">
        <w:rPr>
          <w:u w:color="000000"/>
          <w:lang w:val="ru-RU"/>
        </w:rPr>
        <w:t xml:space="preserve"> </w:t>
      </w:r>
      <w:r w:rsidR="00A73CEB">
        <w:rPr>
          <w:u w:color="000000"/>
          <w:lang w:val="ru-RU"/>
        </w:rPr>
        <w:t>должны</w:t>
      </w:r>
      <w:r w:rsidR="00D64B9E" w:rsidRPr="00D64B9E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 xml:space="preserve">увеличиться с </w:t>
      </w:r>
      <w:r w:rsidR="00A73CEB">
        <w:rPr>
          <w:u w:color="000000"/>
          <w:lang w:val="ru-RU"/>
        </w:rPr>
        <w:t xml:space="preserve">их уровня </w:t>
      </w:r>
      <w:r>
        <w:rPr>
          <w:u w:color="000000"/>
          <w:lang w:val="ru-RU"/>
        </w:rPr>
        <w:t>2010</w:t>
      </w:r>
      <w:r w:rsidR="00A73CEB">
        <w:rPr>
          <w:u w:color="000000"/>
          <w:lang w:val="ru-RU"/>
        </w:rPr>
        <w:t> </w:t>
      </w:r>
      <w:r>
        <w:rPr>
          <w:u w:color="000000"/>
          <w:lang w:val="ru-RU"/>
        </w:rPr>
        <w:t>г</w:t>
      </w:r>
      <w:r w:rsidR="00A73CEB">
        <w:rPr>
          <w:u w:color="000000"/>
          <w:lang w:val="ru-RU"/>
        </w:rPr>
        <w:t>ода</w:t>
      </w:r>
      <w:r w:rsidR="003D623F">
        <w:rPr>
          <w:u w:color="000000"/>
          <w:lang w:val="ru-RU"/>
        </w:rPr>
        <w:t>,</w:t>
      </w:r>
      <w:r>
        <w:rPr>
          <w:u w:color="000000"/>
          <w:lang w:val="ru-RU"/>
        </w:rPr>
        <w:t xml:space="preserve"> </w:t>
      </w:r>
      <w:r w:rsidR="003D623F">
        <w:rPr>
          <w:u w:color="000000"/>
          <w:lang w:val="ru-RU"/>
        </w:rPr>
        <w:t>составляющего</w:t>
      </w:r>
      <w:r w:rsidR="00D64B9E" w:rsidRPr="00D64B9E">
        <w:rPr>
          <w:u w:color="000000"/>
          <w:lang w:val="ru-RU"/>
        </w:rPr>
        <w:t xml:space="preserve"> </w:t>
      </w:r>
      <w:r w:rsidR="00701C18" w:rsidRPr="00D64B9E">
        <w:rPr>
          <w:u w:color="000000"/>
          <w:lang w:val="ru-RU"/>
        </w:rPr>
        <w:t>83</w:t>
      </w:r>
      <w:r w:rsidR="005B1176">
        <w:rPr>
          <w:u w:color="000000"/>
          <w:lang w:val="ru-RU"/>
        </w:rPr>
        <w:t> процента</w:t>
      </w:r>
      <w:r w:rsidR="00D64B9E">
        <w:rPr>
          <w:u w:color="000000"/>
          <w:lang w:val="ru-RU"/>
        </w:rPr>
        <w:t xml:space="preserve"> и</w:t>
      </w:r>
      <w:r w:rsidR="00701C18" w:rsidRPr="00D64B9E">
        <w:rPr>
          <w:u w:color="000000"/>
          <w:lang w:val="ru-RU"/>
        </w:rPr>
        <w:t xml:space="preserve"> 59</w:t>
      </w:r>
      <w:r w:rsidR="005B1176">
        <w:rPr>
          <w:u w:color="000000"/>
          <w:lang w:val="ru-RU"/>
        </w:rPr>
        <w:t> процентов</w:t>
      </w:r>
      <w:r w:rsidR="00D64B9E">
        <w:rPr>
          <w:u w:color="000000"/>
          <w:lang w:val="ru-RU"/>
        </w:rPr>
        <w:t>, соответственно, до 100</w:t>
      </w:r>
      <w:r w:rsidR="005B1176">
        <w:rPr>
          <w:u w:color="000000"/>
          <w:lang w:val="ru-RU"/>
        </w:rPr>
        <w:t> процентов</w:t>
      </w:r>
      <w:r w:rsidR="00D64B9E">
        <w:rPr>
          <w:u w:color="000000"/>
          <w:lang w:val="ru-RU"/>
        </w:rPr>
        <w:t xml:space="preserve"> к 2030</w:t>
      </w:r>
      <w:r w:rsidR="00A73CEB">
        <w:rPr>
          <w:u w:color="000000"/>
          <w:lang w:val="ru-RU"/>
        </w:rPr>
        <w:t> </w:t>
      </w:r>
      <w:r w:rsidR="00D64B9E">
        <w:rPr>
          <w:u w:color="000000"/>
          <w:lang w:val="ru-RU"/>
        </w:rPr>
        <w:t>г</w:t>
      </w:r>
      <w:r w:rsidR="00A73CEB">
        <w:rPr>
          <w:u w:color="000000"/>
          <w:lang w:val="ru-RU"/>
        </w:rPr>
        <w:t>оду</w:t>
      </w:r>
      <w:r w:rsidR="00D64B9E">
        <w:rPr>
          <w:u w:color="000000"/>
          <w:lang w:val="ru-RU"/>
        </w:rPr>
        <w:t>.</w:t>
      </w:r>
      <w:r w:rsidR="007E47DD" w:rsidRPr="00D64B9E">
        <w:rPr>
          <w:u w:color="000000"/>
          <w:lang w:val="ru-RU"/>
        </w:rPr>
        <w:t xml:space="preserve"> </w:t>
      </w:r>
      <w:r w:rsidR="00A73CEB">
        <w:rPr>
          <w:u w:color="000000"/>
          <w:lang w:val="ru-RU"/>
        </w:rPr>
        <w:t xml:space="preserve">Показатель снижения энергоемкости должен увеличиться вдвое – с –1,3 процента </w:t>
      </w:r>
      <w:r w:rsidR="00A73CEB">
        <w:rPr>
          <w:u w:color="000000"/>
          <w:lang w:val="ru-RU"/>
        </w:rPr>
        <w:br/>
        <w:t xml:space="preserve">в 1990–2010 годах до –2,6 процента в 2010–2030 годах. </w:t>
      </w:r>
      <w:r w:rsidR="00D64B9E">
        <w:rPr>
          <w:u w:color="000000"/>
          <w:lang w:val="ru-RU"/>
        </w:rPr>
        <w:t xml:space="preserve">Доля возобновляемых источников энергии в мировом </w:t>
      </w:r>
      <w:r w:rsidR="00A73CEB">
        <w:rPr>
          <w:u w:color="000000"/>
          <w:lang w:val="ru-RU"/>
        </w:rPr>
        <w:t xml:space="preserve">конечном </w:t>
      </w:r>
      <w:r w:rsidR="00D64B9E">
        <w:rPr>
          <w:u w:color="000000"/>
          <w:lang w:val="ru-RU"/>
        </w:rPr>
        <w:t>энергопотреблении должна увеличиться вдвое с оценочного отправного уровня 18</w:t>
      </w:r>
      <w:r w:rsidR="005B1176">
        <w:rPr>
          <w:u w:color="000000"/>
          <w:lang w:val="ru-RU"/>
        </w:rPr>
        <w:t xml:space="preserve"> процентов </w:t>
      </w:r>
      <w:r w:rsidR="00D64B9E">
        <w:rPr>
          <w:u w:color="000000"/>
          <w:lang w:val="ru-RU"/>
        </w:rPr>
        <w:t>в 2010 г</w:t>
      </w:r>
      <w:r w:rsidR="00A73CEB">
        <w:rPr>
          <w:u w:color="000000"/>
          <w:lang w:val="ru-RU"/>
        </w:rPr>
        <w:t>оду</w:t>
      </w:r>
      <w:r w:rsidR="00D64B9E">
        <w:rPr>
          <w:u w:color="000000"/>
          <w:lang w:val="ru-RU"/>
        </w:rPr>
        <w:t xml:space="preserve"> </w:t>
      </w:r>
      <w:r w:rsidR="00A73CEB">
        <w:rPr>
          <w:u w:color="000000"/>
          <w:lang w:val="ru-RU"/>
        </w:rPr>
        <w:t xml:space="preserve">и достичь запланированного уровня в </w:t>
      </w:r>
      <w:r w:rsidR="00701C18" w:rsidRPr="00D64B9E">
        <w:rPr>
          <w:u w:color="000000"/>
          <w:lang w:val="ru-RU"/>
        </w:rPr>
        <w:t>36</w:t>
      </w:r>
      <w:r w:rsidR="005B1176">
        <w:rPr>
          <w:u w:color="000000"/>
          <w:lang w:val="ru-RU"/>
        </w:rPr>
        <w:t> процентов</w:t>
      </w:r>
      <w:r w:rsidR="00D64B9E">
        <w:rPr>
          <w:u w:color="000000"/>
          <w:lang w:val="ru-RU"/>
        </w:rPr>
        <w:t xml:space="preserve"> к</w:t>
      </w:r>
      <w:r w:rsidR="00701C18" w:rsidRPr="00D64B9E">
        <w:rPr>
          <w:u w:color="000000"/>
          <w:lang w:val="ru-RU"/>
        </w:rPr>
        <w:t xml:space="preserve"> 2030</w:t>
      </w:r>
      <w:r w:rsidR="00A73CEB">
        <w:rPr>
          <w:u w:color="000000"/>
          <w:lang w:val="ru-RU"/>
        </w:rPr>
        <w:t> </w:t>
      </w:r>
      <w:r w:rsidR="00D64B9E">
        <w:rPr>
          <w:u w:color="000000"/>
          <w:lang w:val="ru-RU"/>
        </w:rPr>
        <w:t>г</w:t>
      </w:r>
      <w:r w:rsidR="00A73CEB">
        <w:rPr>
          <w:u w:color="000000"/>
          <w:lang w:val="ru-RU"/>
        </w:rPr>
        <w:t>оду</w:t>
      </w:r>
      <w:r w:rsidR="00D64B9E">
        <w:rPr>
          <w:u w:color="000000"/>
          <w:lang w:val="ru-RU"/>
        </w:rPr>
        <w:t>.</w:t>
      </w:r>
      <w:r w:rsidR="007E47DD" w:rsidRPr="00D64B9E">
        <w:rPr>
          <w:u w:color="000000"/>
          <w:lang w:val="ru-RU"/>
        </w:rPr>
        <w:t xml:space="preserve"> </w:t>
      </w:r>
    </w:p>
    <w:p w:rsidR="009A2178" w:rsidRPr="00D64B9E" w:rsidRDefault="00D64B9E" w:rsidP="006F2A37">
      <w:pPr>
        <w:pStyle w:val="SE4ALLtablecaption"/>
        <w:rPr>
          <w:lang w:val="ru-RU"/>
        </w:rPr>
      </w:pPr>
      <w:r>
        <w:rPr>
          <w:lang w:val="ru-RU"/>
        </w:rPr>
        <w:t>Таблица</w:t>
      </w:r>
      <w:r w:rsidR="00701C18" w:rsidRPr="00D64B9E">
        <w:rPr>
          <w:lang w:val="ru-RU"/>
        </w:rPr>
        <w:t xml:space="preserve"> </w:t>
      </w:r>
      <w:r w:rsidR="00701C18" w:rsidRPr="00772EDB">
        <w:t>ES</w:t>
      </w:r>
      <w:r w:rsidR="00701C18" w:rsidRPr="00D64B9E">
        <w:rPr>
          <w:lang w:val="ru-RU"/>
        </w:rPr>
        <w:t xml:space="preserve">.1. </w:t>
      </w:r>
      <w:r>
        <w:rPr>
          <w:lang w:val="ru-RU"/>
        </w:rPr>
        <w:t xml:space="preserve">Цели инициативы </w:t>
      </w:r>
      <w:r w:rsidR="00A73CEB">
        <w:rPr>
          <w:lang w:val="ru-RU"/>
        </w:rPr>
        <w:t>"Устойчивая энергетика для всех"</w:t>
      </w:r>
      <w:r w:rsidR="00701C18" w:rsidRPr="00D64B9E">
        <w:rPr>
          <w:lang w:val="ru-RU"/>
        </w:rPr>
        <w:t xml:space="preserve"> </w:t>
      </w:r>
      <w:r>
        <w:rPr>
          <w:lang w:val="ru-RU"/>
        </w:rPr>
        <w:t>в исторической перспективе</w:t>
      </w:r>
    </w:p>
    <w:p w:rsidR="00701C18" w:rsidRDefault="00D64B9E" w:rsidP="00701C18">
      <w:pPr>
        <w:pStyle w:val="SE4ALLtabletext"/>
      </w:pPr>
      <w:r>
        <w:rPr>
          <w:lang w:val="ru-RU"/>
        </w:rPr>
        <w:t>Процент</w:t>
      </w:r>
    </w:p>
    <w:tbl>
      <w:tblPr>
        <w:tblStyle w:val="TableGrid"/>
        <w:tblW w:w="5000" w:type="pct"/>
        <w:tblBorders>
          <w:top w:val="single" w:sz="2" w:space="0" w:color="000000" w:themeColor="text1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18"/>
        <w:gridCol w:w="1890"/>
        <w:gridCol w:w="1955"/>
        <w:gridCol w:w="1770"/>
        <w:gridCol w:w="186"/>
        <w:gridCol w:w="1957"/>
      </w:tblGrid>
      <w:tr w:rsidR="00701C18" w:rsidRPr="00B81A58" w:rsidTr="00106AB0">
        <w:tc>
          <w:tcPr>
            <w:tcW w:w="949" w:type="pct"/>
            <w:vMerge w:val="restart"/>
            <w:tcBorders>
              <w:right w:val="nil"/>
            </w:tcBorders>
            <w:vAlign w:val="bottom"/>
          </w:tcPr>
          <w:p w:rsidR="00701C18" w:rsidRPr="00067E45" w:rsidDel="00512CEE" w:rsidRDefault="00D64B9E" w:rsidP="00D64B9E">
            <w:pPr>
              <w:pStyle w:val="SE4ALLfiguresubcaption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ru-RU"/>
              </w:rPr>
              <w:t>Показатель-индикатор</w:t>
            </w:r>
          </w:p>
        </w:tc>
        <w:tc>
          <w:tcPr>
            <w:tcW w:w="2008" w:type="pct"/>
            <w:gridSpan w:val="2"/>
            <w:tcBorders>
              <w:left w:val="nil"/>
              <w:right w:val="nil"/>
            </w:tcBorders>
            <w:vAlign w:val="bottom"/>
          </w:tcPr>
          <w:p w:rsidR="00701C18" w:rsidRPr="00B81A58" w:rsidRDefault="00D64B9E" w:rsidP="00D64B9E">
            <w:pPr>
              <w:pStyle w:val="SE4ALLfiguresubcaption"/>
            </w:pPr>
            <w:r>
              <w:rPr>
                <w:lang w:val="ru-RU"/>
              </w:rPr>
              <w:t>Цель</w:t>
            </w:r>
            <w:r w:rsidR="00701C18">
              <w:t xml:space="preserve"> 1</w:t>
            </w:r>
          </w:p>
        </w:tc>
        <w:tc>
          <w:tcPr>
            <w:tcW w:w="924" w:type="pct"/>
            <w:tcBorders>
              <w:left w:val="nil"/>
              <w:right w:val="nil"/>
            </w:tcBorders>
            <w:vAlign w:val="bottom"/>
          </w:tcPr>
          <w:p w:rsidR="00701C18" w:rsidRPr="00B81A58" w:rsidRDefault="00D64B9E" w:rsidP="00D64B9E">
            <w:pPr>
              <w:pStyle w:val="SE4ALLfiguresubcaption"/>
            </w:pPr>
            <w:r>
              <w:rPr>
                <w:lang w:val="ru-RU"/>
              </w:rPr>
              <w:t>Цель</w:t>
            </w:r>
            <w:r w:rsidR="00701C18">
              <w:t xml:space="preserve"> 2</w:t>
            </w:r>
          </w:p>
        </w:tc>
        <w:tc>
          <w:tcPr>
            <w:tcW w:w="1119" w:type="pct"/>
            <w:gridSpan w:val="2"/>
            <w:tcBorders>
              <w:left w:val="nil"/>
              <w:right w:val="nil"/>
            </w:tcBorders>
            <w:vAlign w:val="bottom"/>
          </w:tcPr>
          <w:p w:rsidR="00701C18" w:rsidRPr="00B81A58" w:rsidRDefault="00D64B9E" w:rsidP="00D64B9E">
            <w:pPr>
              <w:pStyle w:val="SE4ALLfiguresubcaption"/>
            </w:pPr>
            <w:r>
              <w:rPr>
                <w:lang w:val="ru-RU"/>
              </w:rPr>
              <w:t>Цель</w:t>
            </w:r>
            <w:r w:rsidR="00701C18">
              <w:t xml:space="preserve"> 3</w:t>
            </w:r>
          </w:p>
        </w:tc>
      </w:tr>
      <w:tr w:rsidR="000978CE" w:rsidRPr="008725C9" w:rsidTr="00106AB0">
        <w:tc>
          <w:tcPr>
            <w:tcW w:w="949" w:type="pct"/>
            <w:vMerge/>
            <w:tcBorders>
              <w:right w:val="nil"/>
            </w:tcBorders>
            <w:vAlign w:val="bottom"/>
          </w:tcPr>
          <w:p w:rsidR="000436AC" w:rsidRDefault="000436AC" w:rsidP="00CD5A68">
            <w:pPr>
              <w:pStyle w:val="SE4ALLfiguresubcaption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</w:rPr>
            </w:pPr>
          </w:p>
        </w:tc>
        <w:tc>
          <w:tcPr>
            <w:tcW w:w="2008" w:type="pct"/>
            <w:gridSpan w:val="2"/>
            <w:tcBorders>
              <w:left w:val="nil"/>
              <w:right w:val="nil"/>
            </w:tcBorders>
            <w:vAlign w:val="bottom"/>
          </w:tcPr>
          <w:p w:rsidR="000436AC" w:rsidRPr="008725C9" w:rsidRDefault="00A73CEB" w:rsidP="000978CE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lang w:val="ru-RU"/>
              </w:rPr>
            </w:pPr>
            <w:r>
              <w:rPr>
                <w:b/>
                <w:lang w:val="ru-RU"/>
              </w:rPr>
              <w:t>Всеобщий</w:t>
            </w:r>
            <w:r w:rsidR="000978CE" w:rsidRPr="008725C9">
              <w:rPr>
                <w:b/>
                <w:lang w:val="ru-RU"/>
              </w:rPr>
              <w:t xml:space="preserve"> </w:t>
            </w:r>
            <w:r w:rsidR="000978CE">
              <w:rPr>
                <w:b/>
                <w:lang w:val="ru-RU"/>
              </w:rPr>
              <w:t>доступ</w:t>
            </w:r>
            <w:r w:rsidR="000978CE" w:rsidRPr="008725C9">
              <w:rPr>
                <w:b/>
                <w:lang w:val="ru-RU"/>
              </w:rPr>
              <w:t xml:space="preserve"> </w:t>
            </w:r>
            <w:r w:rsidR="000978CE">
              <w:rPr>
                <w:b/>
                <w:lang w:val="ru-RU"/>
              </w:rPr>
              <w:t>к</w:t>
            </w:r>
            <w:r w:rsidR="000978CE" w:rsidRPr="008725C9">
              <w:rPr>
                <w:b/>
                <w:lang w:val="ru-RU"/>
              </w:rPr>
              <w:t xml:space="preserve"> </w:t>
            </w:r>
            <w:r w:rsidR="000978CE">
              <w:rPr>
                <w:b/>
                <w:lang w:val="ru-RU"/>
              </w:rPr>
              <w:t>современным</w:t>
            </w:r>
            <w:r w:rsidR="000978CE" w:rsidRPr="008725C9">
              <w:rPr>
                <w:b/>
                <w:lang w:val="ru-RU"/>
              </w:rPr>
              <w:t xml:space="preserve"> </w:t>
            </w:r>
            <w:r w:rsidR="000978CE">
              <w:rPr>
                <w:b/>
                <w:lang w:val="ru-RU"/>
              </w:rPr>
              <w:t>энергетическим</w:t>
            </w:r>
            <w:r w:rsidR="000978CE" w:rsidRPr="008725C9">
              <w:rPr>
                <w:b/>
                <w:lang w:val="ru-RU"/>
              </w:rPr>
              <w:t xml:space="preserve"> </w:t>
            </w:r>
            <w:r w:rsidR="000978CE">
              <w:rPr>
                <w:b/>
                <w:lang w:val="ru-RU"/>
              </w:rPr>
              <w:t>услугам</w:t>
            </w:r>
          </w:p>
        </w:tc>
        <w:tc>
          <w:tcPr>
            <w:tcW w:w="1021" w:type="pct"/>
            <w:gridSpan w:val="2"/>
            <w:tcBorders>
              <w:left w:val="nil"/>
              <w:right w:val="nil"/>
            </w:tcBorders>
            <w:vAlign w:val="bottom"/>
          </w:tcPr>
          <w:p w:rsidR="000436AC" w:rsidRPr="000978CE" w:rsidRDefault="00A73CEB" w:rsidP="000978CE">
            <w:pPr>
              <w:pStyle w:val="SE4ALLtabletext"/>
              <w:jc w:val="center"/>
              <w:rPr>
                <w:rFonts w:eastAsiaTheme="majorEastAsia" w:cstheme="majorBidi"/>
                <w:b/>
                <w:iCs/>
                <w:lang w:val="ru-RU"/>
              </w:rPr>
            </w:pPr>
            <w:r>
              <w:rPr>
                <w:b/>
                <w:lang w:val="ru-RU"/>
              </w:rPr>
              <w:t>Удвоение уровня повышения энергоэффективности в мире</w:t>
            </w:r>
          </w:p>
        </w:tc>
        <w:tc>
          <w:tcPr>
            <w:tcW w:w="1022" w:type="pct"/>
            <w:tcBorders>
              <w:left w:val="nil"/>
              <w:right w:val="nil"/>
            </w:tcBorders>
            <w:vAlign w:val="bottom"/>
          </w:tcPr>
          <w:p w:rsidR="000436AC" w:rsidRPr="000978CE" w:rsidRDefault="00A73CEB" w:rsidP="00A73CEB">
            <w:pPr>
              <w:pStyle w:val="SE4ALLtabletext"/>
              <w:jc w:val="center"/>
              <w:rPr>
                <w:rFonts w:asciiTheme="majorHAnsi" w:hAnsiTheme="majorHAnsi"/>
                <w:b/>
                <w:bCs/>
                <w:iCs/>
                <w:lang w:val="ru-RU"/>
              </w:rPr>
            </w:pPr>
            <w:r>
              <w:rPr>
                <w:rFonts w:eastAsiaTheme="majorEastAsia" w:cstheme="majorBidi"/>
                <w:b/>
                <w:iCs/>
                <w:lang w:val="ru-RU"/>
              </w:rPr>
              <w:t>Удвоение</w:t>
            </w:r>
            <w:r w:rsidR="000978CE" w:rsidRPr="000978CE">
              <w:rPr>
                <w:rFonts w:eastAsiaTheme="majorEastAsia" w:cstheme="majorBidi"/>
                <w:b/>
                <w:iCs/>
                <w:lang w:val="ru-RU"/>
              </w:rPr>
              <w:t xml:space="preserve"> </w:t>
            </w:r>
            <w:r w:rsidR="000978CE">
              <w:rPr>
                <w:rFonts w:eastAsiaTheme="majorEastAsia" w:cstheme="majorBidi"/>
                <w:b/>
                <w:iCs/>
                <w:lang w:val="ru-RU"/>
              </w:rPr>
              <w:t>доли</w:t>
            </w:r>
            <w:r w:rsidR="000978CE" w:rsidRPr="000978CE">
              <w:rPr>
                <w:rFonts w:eastAsiaTheme="majorEastAsia" w:cstheme="majorBidi"/>
                <w:b/>
                <w:iCs/>
                <w:lang w:val="ru-RU"/>
              </w:rPr>
              <w:t xml:space="preserve"> </w:t>
            </w:r>
            <w:r w:rsidR="000978CE">
              <w:rPr>
                <w:rFonts w:eastAsiaTheme="majorEastAsia" w:cstheme="majorBidi"/>
                <w:b/>
                <w:iCs/>
                <w:lang w:val="ru-RU"/>
              </w:rPr>
              <w:t>возобновляемых</w:t>
            </w:r>
            <w:r w:rsidR="000978CE" w:rsidRPr="000978CE">
              <w:rPr>
                <w:rFonts w:eastAsiaTheme="majorEastAsia" w:cstheme="majorBidi"/>
                <w:b/>
                <w:iCs/>
                <w:lang w:val="ru-RU"/>
              </w:rPr>
              <w:t xml:space="preserve"> </w:t>
            </w:r>
            <w:r w:rsidR="000978CE">
              <w:rPr>
                <w:rFonts w:eastAsiaTheme="majorEastAsia" w:cstheme="majorBidi"/>
                <w:b/>
                <w:iCs/>
                <w:lang w:val="ru-RU"/>
              </w:rPr>
              <w:t>источников энергии в</w:t>
            </w:r>
            <w:r>
              <w:rPr>
                <w:rFonts w:eastAsiaTheme="majorEastAsia" w:cstheme="majorBidi"/>
                <w:b/>
                <w:iCs/>
                <w:lang w:val="ru-RU"/>
              </w:rPr>
              <w:t> </w:t>
            </w:r>
            <w:r w:rsidR="000978CE">
              <w:rPr>
                <w:rFonts w:eastAsiaTheme="majorEastAsia" w:cstheme="majorBidi"/>
                <w:b/>
                <w:iCs/>
                <w:lang w:val="ru-RU"/>
              </w:rPr>
              <w:t>глобальной структуре энергоносителей</w:t>
            </w:r>
          </w:p>
        </w:tc>
      </w:tr>
      <w:tr w:rsidR="000978CE" w:rsidRPr="008725C9" w:rsidTr="00106AB0">
        <w:tc>
          <w:tcPr>
            <w:tcW w:w="949" w:type="pct"/>
            <w:vMerge/>
            <w:tcBorders>
              <w:right w:val="nil"/>
            </w:tcBorders>
          </w:tcPr>
          <w:p w:rsidR="000436AC" w:rsidRPr="000978CE" w:rsidRDefault="000436AC" w:rsidP="00CD5A68">
            <w:pPr>
              <w:pStyle w:val="SE4ALLtabletext"/>
              <w:rPr>
                <w:lang w:val="ru-RU"/>
              </w:rPr>
            </w:pPr>
          </w:p>
        </w:tc>
        <w:tc>
          <w:tcPr>
            <w:tcW w:w="987" w:type="pct"/>
            <w:tcBorders>
              <w:left w:val="nil"/>
              <w:right w:val="nil"/>
            </w:tcBorders>
            <w:vAlign w:val="bottom"/>
          </w:tcPr>
          <w:p w:rsidR="000436AC" w:rsidRPr="008725C9" w:rsidRDefault="000978CE" w:rsidP="00A73CEB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lang w:val="ru-RU"/>
              </w:rPr>
            </w:pPr>
            <w:r>
              <w:rPr>
                <w:b/>
                <w:lang w:val="ru-RU"/>
              </w:rPr>
              <w:t>Процент</w:t>
            </w:r>
            <w:r w:rsidRPr="008725C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населения</w:t>
            </w:r>
            <w:r w:rsidRPr="008725C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</w:t>
            </w:r>
            <w:r w:rsidR="00A73CEB">
              <w:rPr>
                <w:b/>
                <w:lang w:val="ru-RU"/>
              </w:rPr>
              <w:t> </w:t>
            </w:r>
            <w:r>
              <w:rPr>
                <w:b/>
                <w:lang w:val="ru-RU"/>
              </w:rPr>
              <w:t>доступом</w:t>
            </w:r>
            <w:r w:rsidRPr="008725C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</w:t>
            </w:r>
            <w:r w:rsidR="00A73CEB">
              <w:rPr>
                <w:b/>
                <w:lang w:val="ru-RU"/>
              </w:rPr>
              <w:t> </w:t>
            </w:r>
            <w:r>
              <w:rPr>
                <w:b/>
                <w:lang w:val="ru-RU"/>
              </w:rPr>
              <w:t>электроснабжению</w:t>
            </w:r>
          </w:p>
        </w:tc>
        <w:tc>
          <w:tcPr>
            <w:tcW w:w="1021" w:type="pct"/>
            <w:tcBorders>
              <w:left w:val="nil"/>
              <w:right w:val="nil"/>
            </w:tcBorders>
            <w:vAlign w:val="bottom"/>
          </w:tcPr>
          <w:p w:rsidR="000436AC" w:rsidRPr="000978CE" w:rsidRDefault="000978CE" w:rsidP="000978CE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lang w:val="ru-RU"/>
              </w:rPr>
            </w:pPr>
            <w:r>
              <w:rPr>
                <w:b/>
                <w:lang w:val="ru-RU"/>
              </w:rPr>
              <w:t>Процент</w:t>
            </w:r>
            <w:r w:rsidRPr="000978C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населения, которое в основном использует нетвердые виды топлива</w:t>
            </w:r>
          </w:p>
        </w:tc>
        <w:tc>
          <w:tcPr>
            <w:tcW w:w="1021" w:type="pct"/>
            <w:gridSpan w:val="2"/>
            <w:tcBorders>
              <w:left w:val="nil"/>
              <w:right w:val="nil"/>
            </w:tcBorders>
            <w:vAlign w:val="bottom"/>
          </w:tcPr>
          <w:p w:rsidR="000436AC" w:rsidRPr="00067E45" w:rsidRDefault="00A73CEB" w:rsidP="00A73CEB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</w:rPr>
            </w:pPr>
            <w:r>
              <w:rPr>
                <w:b/>
                <w:lang w:val="ru-RU"/>
              </w:rPr>
              <w:t>Показатель</w:t>
            </w:r>
            <w:r w:rsidR="000978CE" w:rsidRPr="000978CE">
              <w:rPr>
                <w:b/>
              </w:rPr>
              <w:t xml:space="preserve"> </w:t>
            </w:r>
            <w:r w:rsidR="000978CE">
              <w:rPr>
                <w:b/>
                <w:lang w:val="ru-RU"/>
              </w:rPr>
              <w:t>снижения</w:t>
            </w:r>
            <w:r w:rsidR="000978CE" w:rsidRPr="000978CE">
              <w:rPr>
                <w:b/>
              </w:rPr>
              <w:t xml:space="preserve"> </w:t>
            </w:r>
            <w:r w:rsidR="000978CE">
              <w:rPr>
                <w:b/>
                <w:lang w:val="ru-RU"/>
              </w:rPr>
              <w:t>энергоемкости</w:t>
            </w:r>
            <w:r w:rsidR="00B1694E">
              <w:rPr>
                <w:b/>
              </w:rPr>
              <w:t>*</w:t>
            </w:r>
          </w:p>
        </w:tc>
        <w:tc>
          <w:tcPr>
            <w:tcW w:w="1022" w:type="pct"/>
            <w:tcBorders>
              <w:left w:val="nil"/>
              <w:right w:val="nil"/>
            </w:tcBorders>
            <w:vAlign w:val="bottom"/>
          </w:tcPr>
          <w:p w:rsidR="000436AC" w:rsidRPr="000978CE" w:rsidRDefault="000978CE" w:rsidP="00A73CEB">
            <w:pPr>
              <w:pStyle w:val="SE4ALL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возобновляемых источников энергии в</w:t>
            </w:r>
            <w:r w:rsidR="00A73CEB">
              <w:rPr>
                <w:b/>
                <w:lang w:val="ru-RU"/>
              </w:rPr>
              <w:t> ОКЭП</w:t>
            </w:r>
            <w:r w:rsidR="00485B56">
              <w:rPr>
                <w:b/>
                <w:lang w:val="ru-RU"/>
              </w:rPr>
              <w:t xml:space="preserve"> </w:t>
            </w:r>
          </w:p>
        </w:tc>
      </w:tr>
      <w:tr w:rsidR="000978CE" w:rsidRPr="00B81A58" w:rsidTr="00106AB0">
        <w:trPr>
          <w:trHeight w:val="301"/>
        </w:trPr>
        <w:tc>
          <w:tcPr>
            <w:tcW w:w="949" w:type="pct"/>
            <w:tcBorders>
              <w:right w:val="nil"/>
            </w:tcBorders>
            <w:vAlign w:val="center"/>
          </w:tcPr>
          <w:p w:rsidR="00106AB0" w:rsidRPr="00485B56" w:rsidRDefault="008C7536" w:rsidP="008C7536">
            <w:pPr>
              <w:pStyle w:val="SE4ALLtabletext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Cs w:val="20"/>
                <w:lang w:val="ru-RU"/>
              </w:rPr>
            </w:pPr>
            <w:r>
              <w:rPr>
                <w:lang w:val="ru-RU"/>
              </w:rPr>
              <w:t>Год отсчета</w:t>
            </w:r>
            <w:r w:rsidR="00485B56">
              <w:rPr>
                <w:lang w:val="ru-RU"/>
              </w:rPr>
              <w:t xml:space="preserve"> – </w:t>
            </w:r>
            <w:r w:rsidR="00106AB0">
              <w:t>1990</w:t>
            </w:r>
            <w:r w:rsidR="00485B56">
              <w:rPr>
                <w:lang w:val="ru-RU"/>
              </w:rPr>
              <w:t xml:space="preserve"> г</w:t>
            </w:r>
            <w:r>
              <w:rPr>
                <w:lang w:val="ru-RU"/>
              </w:rPr>
              <w:t>од</w:t>
            </w:r>
          </w:p>
        </w:tc>
        <w:tc>
          <w:tcPr>
            <w:tcW w:w="987" w:type="pct"/>
            <w:tcBorders>
              <w:left w:val="nil"/>
              <w:right w:val="nil"/>
            </w:tcBorders>
            <w:vAlign w:val="center"/>
          </w:tcPr>
          <w:p w:rsidR="00106AB0" w:rsidRDefault="008A3773" w:rsidP="008A3773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Cs w:val="20"/>
              </w:rPr>
            </w:pPr>
            <w:r>
              <w:t>76</w:t>
            </w:r>
          </w:p>
        </w:tc>
        <w:tc>
          <w:tcPr>
            <w:tcW w:w="1021" w:type="pct"/>
            <w:tcBorders>
              <w:left w:val="nil"/>
              <w:right w:val="nil"/>
            </w:tcBorders>
            <w:vAlign w:val="center"/>
          </w:tcPr>
          <w:p w:rsidR="00106AB0" w:rsidRDefault="00106AB0" w:rsidP="00CD5A68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Cs w:val="20"/>
              </w:rPr>
            </w:pPr>
            <w:r>
              <w:t>47</w:t>
            </w:r>
          </w:p>
        </w:tc>
        <w:tc>
          <w:tcPr>
            <w:tcW w:w="924" w:type="pct"/>
            <w:vMerge w:val="restart"/>
            <w:tcBorders>
              <w:left w:val="nil"/>
              <w:right w:val="nil"/>
            </w:tcBorders>
            <w:vAlign w:val="center"/>
          </w:tcPr>
          <w:p w:rsidR="00106AB0" w:rsidRDefault="00106AB0" w:rsidP="00106AB0">
            <w:pPr>
              <w:pStyle w:val="SE4ALLtabletext"/>
              <w:jc w:val="center"/>
            </w:pPr>
            <w:r>
              <w:t>–1</w:t>
            </w:r>
            <w:r w:rsidR="008C7536">
              <w:t>,</w:t>
            </w:r>
            <w:r>
              <w:t>3</w:t>
            </w:r>
          </w:p>
        </w:tc>
        <w:tc>
          <w:tcPr>
            <w:tcW w:w="1119" w:type="pct"/>
            <w:gridSpan w:val="2"/>
            <w:tcBorders>
              <w:left w:val="nil"/>
              <w:right w:val="nil"/>
            </w:tcBorders>
            <w:vAlign w:val="center"/>
          </w:tcPr>
          <w:p w:rsidR="00106AB0" w:rsidRDefault="00136D6A" w:rsidP="00106AB0">
            <w:pPr>
              <w:pStyle w:val="SE4ALLtabletext"/>
              <w:jc w:val="center"/>
            </w:pPr>
            <w:r>
              <w:t>16</w:t>
            </w:r>
            <w:r w:rsidR="008C7536">
              <w:t>,</w:t>
            </w:r>
            <w:r>
              <w:t>6</w:t>
            </w:r>
          </w:p>
        </w:tc>
      </w:tr>
      <w:tr w:rsidR="000978CE" w:rsidRPr="00B81A58" w:rsidTr="00106AB0">
        <w:trPr>
          <w:trHeight w:val="679"/>
        </w:trPr>
        <w:tc>
          <w:tcPr>
            <w:tcW w:w="949" w:type="pct"/>
            <w:tcBorders>
              <w:bottom w:val="single" w:sz="2" w:space="0" w:color="000000" w:themeColor="text1"/>
              <w:right w:val="nil"/>
            </w:tcBorders>
            <w:vAlign w:val="center"/>
          </w:tcPr>
          <w:p w:rsidR="00106AB0" w:rsidRPr="00485B56" w:rsidRDefault="00485B56" w:rsidP="008C7536">
            <w:pPr>
              <w:pStyle w:val="SE4ALLtabletext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Cs w:val="20"/>
                <w:lang w:val="ru-RU"/>
              </w:rPr>
            </w:pPr>
            <w:r>
              <w:rPr>
                <w:lang w:val="ru-RU"/>
              </w:rPr>
              <w:t xml:space="preserve">Отправная точка – </w:t>
            </w:r>
            <w:r w:rsidR="00106AB0" w:rsidRPr="00B81A58">
              <w:t>2010</w:t>
            </w:r>
            <w:r>
              <w:rPr>
                <w:lang w:val="ru-RU"/>
              </w:rPr>
              <w:t xml:space="preserve"> г</w:t>
            </w:r>
            <w:r w:rsidR="008C7536">
              <w:rPr>
                <w:lang w:val="ru-RU"/>
              </w:rPr>
              <w:t>од</w:t>
            </w:r>
          </w:p>
        </w:tc>
        <w:tc>
          <w:tcPr>
            <w:tcW w:w="987" w:type="pct"/>
            <w:tcBorders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106AB0" w:rsidRDefault="00106AB0" w:rsidP="00CD5A68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Cs w:val="20"/>
              </w:rPr>
            </w:pPr>
            <w:r w:rsidRPr="00B81A58">
              <w:t>83</w:t>
            </w:r>
          </w:p>
        </w:tc>
        <w:tc>
          <w:tcPr>
            <w:tcW w:w="1021" w:type="pct"/>
            <w:tcBorders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106AB0" w:rsidRDefault="00106AB0" w:rsidP="00CD5A68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Cs w:val="20"/>
              </w:rPr>
            </w:pPr>
            <w:r w:rsidRPr="00B81A58">
              <w:t>59</w:t>
            </w:r>
          </w:p>
        </w:tc>
        <w:tc>
          <w:tcPr>
            <w:tcW w:w="924" w:type="pct"/>
            <w:vMerge/>
            <w:tcBorders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106AB0" w:rsidRDefault="00106AB0" w:rsidP="00CD5A68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Cs w:val="20"/>
              </w:rPr>
            </w:pPr>
          </w:p>
        </w:tc>
        <w:tc>
          <w:tcPr>
            <w:tcW w:w="1119" w:type="pct"/>
            <w:gridSpan w:val="2"/>
            <w:tcBorders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106AB0" w:rsidRDefault="00106AB0" w:rsidP="00CD5A68">
            <w:pPr>
              <w:pStyle w:val="SE4ALLtabletext"/>
              <w:jc w:val="center"/>
            </w:pPr>
            <w:r>
              <w:t>18</w:t>
            </w:r>
            <w:r w:rsidR="008C7536">
              <w:t>,</w:t>
            </w:r>
            <w:r>
              <w:t>0</w:t>
            </w:r>
          </w:p>
        </w:tc>
      </w:tr>
      <w:tr w:rsidR="000978CE" w:rsidRPr="00B81A58" w:rsidTr="00106AB0">
        <w:tc>
          <w:tcPr>
            <w:tcW w:w="949" w:type="pct"/>
            <w:tcBorders>
              <w:right w:val="nil"/>
            </w:tcBorders>
            <w:vAlign w:val="center"/>
          </w:tcPr>
          <w:p w:rsidR="000436AC" w:rsidRPr="00485B56" w:rsidRDefault="00485B56" w:rsidP="008C7536">
            <w:pPr>
              <w:pStyle w:val="SE4ALLtabletext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Cs w:val="20"/>
                <w:lang w:val="ru-RU"/>
              </w:rPr>
            </w:pPr>
            <w:r>
              <w:rPr>
                <w:lang w:val="ru-RU"/>
              </w:rPr>
              <w:t xml:space="preserve">Цель на </w:t>
            </w:r>
            <w:r w:rsidR="000436AC" w:rsidRPr="00B81A58">
              <w:t>2030</w:t>
            </w:r>
            <w:r>
              <w:rPr>
                <w:lang w:val="ru-RU"/>
              </w:rPr>
              <w:t xml:space="preserve"> г</w:t>
            </w:r>
            <w:r w:rsidR="008C7536">
              <w:rPr>
                <w:lang w:val="ru-RU"/>
              </w:rPr>
              <w:t>од</w:t>
            </w:r>
          </w:p>
        </w:tc>
        <w:tc>
          <w:tcPr>
            <w:tcW w:w="987" w:type="pct"/>
            <w:tcBorders>
              <w:left w:val="nil"/>
              <w:right w:val="nil"/>
            </w:tcBorders>
            <w:vAlign w:val="center"/>
          </w:tcPr>
          <w:p w:rsidR="000436AC" w:rsidRDefault="000436AC" w:rsidP="00CD5A68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Cs w:val="20"/>
              </w:rPr>
            </w:pPr>
            <w:r w:rsidRPr="00B81A58">
              <w:t>100</w:t>
            </w:r>
          </w:p>
        </w:tc>
        <w:tc>
          <w:tcPr>
            <w:tcW w:w="1021" w:type="pct"/>
            <w:tcBorders>
              <w:left w:val="nil"/>
              <w:right w:val="nil"/>
            </w:tcBorders>
            <w:vAlign w:val="center"/>
          </w:tcPr>
          <w:p w:rsidR="000436AC" w:rsidRDefault="000436AC" w:rsidP="00CD5A68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Cs w:val="20"/>
              </w:rPr>
            </w:pPr>
            <w:r w:rsidRPr="00B81A58">
              <w:t>100</w:t>
            </w:r>
          </w:p>
        </w:tc>
        <w:tc>
          <w:tcPr>
            <w:tcW w:w="924" w:type="pct"/>
            <w:tcBorders>
              <w:left w:val="nil"/>
              <w:right w:val="nil"/>
            </w:tcBorders>
            <w:vAlign w:val="center"/>
          </w:tcPr>
          <w:p w:rsidR="000436AC" w:rsidRDefault="00106AB0" w:rsidP="00CD5A68">
            <w:pPr>
              <w:pStyle w:val="SE4ALLtabletext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Cs w:val="20"/>
              </w:rPr>
            </w:pPr>
            <w:r>
              <w:t>–2</w:t>
            </w:r>
            <w:r w:rsidR="008C7536">
              <w:t>,</w:t>
            </w:r>
            <w:r>
              <w:t>6</w:t>
            </w:r>
          </w:p>
        </w:tc>
        <w:tc>
          <w:tcPr>
            <w:tcW w:w="1119" w:type="pct"/>
            <w:gridSpan w:val="2"/>
            <w:tcBorders>
              <w:left w:val="nil"/>
              <w:right w:val="nil"/>
            </w:tcBorders>
            <w:vAlign w:val="center"/>
          </w:tcPr>
          <w:p w:rsidR="000436AC" w:rsidRPr="00B81A58" w:rsidRDefault="00106AB0" w:rsidP="00CD5A68">
            <w:pPr>
              <w:pStyle w:val="SE4ALLtabletext"/>
              <w:jc w:val="center"/>
            </w:pPr>
            <w:r>
              <w:t>36</w:t>
            </w:r>
            <w:r w:rsidR="008C7536">
              <w:t>,</w:t>
            </w:r>
            <w:r>
              <w:t>0</w:t>
            </w:r>
          </w:p>
        </w:tc>
      </w:tr>
    </w:tbl>
    <w:p w:rsidR="00701C18" w:rsidRDefault="00485B56" w:rsidP="00701C18">
      <w:pPr>
        <w:pStyle w:val="SE4ALLsource"/>
      </w:pPr>
      <w:r>
        <w:rPr>
          <w:lang w:val="ru-RU"/>
        </w:rPr>
        <w:t>Источник</w:t>
      </w:r>
      <w:r w:rsidR="00701C18">
        <w:t xml:space="preserve">: </w:t>
      </w:r>
      <w:r>
        <w:rPr>
          <w:lang w:val="ru-RU"/>
        </w:rPr>
        <w:t>авторы</w:t>
      </w:r>
    </w:p>
    <w:p w:rsidR="00CE192B" w:rsidRPr="008C7536" w:rsidRDefault="00485B56" w:rsidP="00701C18">
      <w:pPr>
        <w:pStyle w:val="SE4ALLsource"/>
        <w:rPr>
          <w:lang w:val="ru-RU"/>
        </w:rPr>
      </w:pPr>
      <w:r>
        <w:rPr>
          <w:lang w:val="ru-RU"/>
        </w:rPr>
        <w:t>Примечание</w:t>
      </w:r>
      <w:r w:rsidR="00CE192B" w:rsidRPr="008C7536">
        <w:rPr>
          <w:lang w:val="ru-RU"/>
        </w:rPr>
        <w:t xml:space="preserve">: </w:t>
      </w:r>
      <w:r w:rsidR="008C7536">
        <w:rPr>
          <w:lang w:val="ru-RU"/>
        </w:rPr>
        <w:t>ОКЭП</w:t>
      </w:r>
      <w:r w:rsidR="00CE192B" w:rsidRPr="008C7536">
        <w:rPr>
          <w:lang w:val="ru-RU"/>
        </w:rPr>
        <w:t xml:space="preserve"> = </w:t>
      </w:r>
      <w:r>
        <w:rPr>
          <w:lang w:val="ru-RU"/>
        </w:rPr>
        <w:t>общее</w:t>
      </w:r>
      <w:r w:rsidRPr="008C7536">
        <w:rPr>
          <w:lang w:val="ru-RU"/>
        </w:rPr>
        <w:t xml:space="preserve"> </w:t>
      </w:r>
      <w:r w:rsidR="008C7536">
        <w:rPr>
          <w:lang w:val="ru-RU"/>
        </w:rPr>
        <w:t xml:space="preserve">конечное </w:t>
      </w:r>
      <w:r>
        <w:rPr>
          <w:lang w:val="ru-RU"/>
        </w:rPr>
        <w:t>энергопотребление</w:t>
      </w:r>
    </w:p>
    <w:p w:rsidR="00B1694E" w:rsidRPr="00485B56" w:rsidRDefault="00B1694E" w:rsidP="00B1694E">
      <w:pPr>
        <w:pStyle w:val="SE4ALLsource"/>
        <w:rPr>
          <w:lang w:val="ru-RU"/>
        </w:rPr>
      </w:pPr>
      <w:r w:rsidRPr="00485B56">
        <w:rPr>
          <w:lang w:val="ru-RU"/>
        </w:rPr>
        <w:t>*</w:t>
      </w:r>
      <w:r w:rsidR="00485B56">
        <w:rPr>
          <w:lang w:val="ru-RU"/>
        </w:rPr>
        <w:t>Измерено</w:t>
      </w:r>
      <w:r w:rsidR="00485B56" w:rsidRPr="00485B56">
        <w:rPr>
          <w:lang w:val="ru-RU"/>
        </w:rPr>
        <w:t xml:space="preserve"> </w:t>
      </w:r>
      <w:r w:rsidR="00485B56">
        <w:rPr>
          <w:lang w:val="ru-RU"/>
        </w:rPr>
        <w:t>в</w:t>
      </w:r>
      <w:r w:rsidR="00485B56" w:rsidRPr="00485B56">
        <w:rPr>
          <w:lang w:val="ru-RU"/>
        </w:rPr>
        <w:t xml:space="preserve"> </w:t>
      </w:r>
      <w:r w:rsidR="00485B56">
        <w:rPr>
          <w:lang w:val="ru-RU"/>
        </w:rPr>
        <w:t>единицах</w:t>
      </w:r>
      <w:r w:rsidR="00485B56" w:rsidRPr="00485B56">
        <w:rPr>
          <w:lang w:val="ru-RU"/>
        </w:rPr>
        <w:t xml:space="preserve"> </w:t>
      </w:r>
      <w:r w:rsidR="00485B56">
        <w:rPr>
          <w:lang w:val="ru-RU"/>
        </w:rPr>
        <w:t>первичной</w:t>
      </w:r>
      <w:r w:rsidR="00485B56" w:rsidRPr="00485B56">
        <w:rPr>
          <w:lang w:val="ru-RU"/>
        </w:rPr>
        <w:t xml:space="preserve"> </w:t>
      </w:r>
      <w:r w:rsidR="00485B56">
        <w:rPr>
          <w:lang w:val="ru-RU"/>
        </w:rPr>
        <w:t>энергии</w:t>
      </w:r>
      <w:r w:rsidR="00485B56" w:rsidRPr="00485B56">
        <w:rPr>
          <w:lang w:val="ru-RU"/>
        </w:rPr>
        <w:t xml:space="preserve"> </w:t>
      </w:r>
      <w:r w:rsidR="00485B56">
        <w:rPr>
          <w:lang w:val="ru-RU"/>
        </w:rPr>
        <w:t>и</w:t>
      </w:r>
      <w:r w:rsidR="00485B56" w:rsidRPr="00485B56">
        <w:rPr>
          <w:lang w:val="ru-RU"/>
        </w:rPr>
        <w:t xml:space="preserve"> </w:t>
      </w:r>
      <w:r w:rsidR="00485B56">
        <w:rPr>
          <w:lang w:val="ru-RU"/>
        </w:rPr>
        <w:t>ВНП</w:t>
      </w:r>
      <w:r w:rsidR="00485B56" w:rsidRPr="00485B56">
        <w:rPr>
          <w:lang w:val="ru-RU"/>
        </w:rPr>
        <w:t xml:space="preserve"> </w:t>
      </w:r>
      <w:r w:rsidR="008C7536">
        <w:rPr>
          <w:lang w:val="ru-RU"/>
        </w:rPr>
        <w:t>по</w:t>
      </w:r>
      <w:r w:rsidR="00485B56">
        <w:rPr>
          <w:lang w:val="ru-RU"/>
        </w:rPr>
        <w:t xml:space="preserve"> паритет</w:t>
      </w:r>
      <w:r w:rsidR="008C7536">
        <w:rPr>
          <w:lang w:val="ru-RU"/>
        </w:rPr>
        <w:t>у</w:t>
      </w:r>
      <w:r w:rsidR="00485B56">
        <w:rPr>
          <w:lang w:val="ru-RU"/>
        </w:rPr>
        <w:t xml:space="preserve"> покупательной способности</w:t>
      </w:r>
    </w:p>
    <w:p w:rsidR="00CE192B" w:rsidRPr="003E17BE" w:rsidRDefault="00485B56" w:rsidP="00067E45">
      <w:pPr>
        <w:pStyle w:val="Heading2"/>
        <w:rPr>
          <w:lang w:val="ru-RU"/>
        </w:rPr>
      </w:pPr>
      <w:r w:rsidRPr="008C7536">
        <w:rPr>
          <w:lang w:val="ru-RU"/>
        </w:rPr>
        <w:t>Группы</w:t>
      </w:r>
      <w:r w:rsidR="00B12A69" w:rsidRPr="008C7536">
        <w:rPr>
          <w:lang w:val="ru-RU"/>
        </w:rPr>
        <w:t xml:space="preserve"> стран</w:t>
      </w:r>
      <w:r w:rsidR="009275E5" w:rsidRPr="008C7536">
        <w:rPr>
          <w:lang w:val="ru-RU"/>
        </w:rPr>
        <w:t xml:space="preserve"> </w:t>
      </w:r>
      <w:r w:rsidR="008725C9" w:rsidRPr="008C7536">
        <w:rPr>
          <w:lang w:val="ru-RU"/>
        </w:rPr>
        <w:t>"</w:t>
      </w:r>
      <w:r w:rsidR="008C7536">
        <w:rPr>
          <w:lang w:val="ru-RU"/>
        </w:rPr>
        <w:t>значительного</w:t>
      </w:r>
      <w:r w:rsidR="003E17BE" w:rsidRPr="008C7536">
        <w:rPr>
          <w:lang w:val="ru-RU"/>
        </w:rPr>
        <w:t xml:space="preserve"> воздействия</w:t>
      </w:r>
      <w:r w:rsidR="008725C9" w:rsidRPr="008C7536">
        <w:rPr>
          <w:lang w:val="ru-RU"/>
        </w:rPr>
        <w:t>"</w:t>
      </w:r>
      <w:r w:rsidR="009275E5" w:rsidRPr="008C7536">
        <w:rPr>
          <w:lang w:val="ru-RU"/>
        </w:rPr>
        <w:t xml:space="preserve"> </w:t>
      </w:r>
      <w:r w:rsidR="003E17BE" w:rsidRPr="008C7536">
        <w:rPr>
          <w:lang w:val="ru-RU"/>
        </w:rPr>
        <w:t>и</w:t>
      </w:r>
      <w:r w:rsidR="009275E5" w:rsidRPr="008C7536">
        <w:rPr>
          <w:lang w:val="ru-RU"/>
        </w:rPr>
        <w:t xml:space="preserve"> </w:t>
      </w:r>
      <w:r w:rsidR="008725C9" w:rsidRPr="008C7536">
        <w:rPr>
          <w:lang w:val="ru-RU"/>
        </w:rPr>
        <w:t>"</w:t>
      </w:r>
      <w:r w:rsidR="003E17BE" w:rsidRPr="008C7536">
        <w:rPr>
          <w:lang w:val="ru-RU"/>
        </w:rPr>
        <w:t>быстро</w:t>
      </w:r>
      <w:r w:rsidR="00D513C9" w:rsidRPr="008C7536">
        <w:rPr>
          <w:lang w:val="ru-RU"/>
        </w:rPr>
        <w:t xml:space="preserve">го </w:t>
      </w:r>
      <w:r w:rsidR="008C7536">
        <w:rPr>
          <w:lang w:val="ru-RU"/>
        </w:rPr>
        <w:t>продвижения</w:t>
      </w:r>
      <w:r w:rsidR="008725C9" w:rsidRPr="008C7536">
        <w:rPr>
          <w:lang w:val="ru-RU"/>
        </w:rPr>
        <w:t>"</w:t>
      </w:r>
      <w:r w:rsidR="008C7536">
        <w:rPr>
          <w:lang w:val="ru-RU"/>
        </w:rPr>
        <w:br/>
        <w:t>определяют</w:t>
      </w:r>
      <w:r w:rsidR="003E17BE" w:rsidRPr="008C7536">
        <w:rPr>
          <w:lang w:val="ru-RU"/>
        </w:rPr>
        <w:t xml:space="preserve"> ситуацию</w:t>
      </w:r>
    </w:p>
    <w:p w:rsidR="00701C18" w:rsidRPr="00EA1649" w:rsidRDefault="00485B56" w:rsidP="00701C18">
      <w:pPr>
        <w:pStyle w:val="SE4ALLbodycopy"/>
        <w:rPr>
          <w:lang w:val="ru-RU"/>
        </w:rPr>
      </w:pPr>
      <w:r>
        <w:rPr>
          <w:lang w:val="ru-RU"/>
        </w:rPr>
        <w:t>Хотя</w:t>
      </w:r>
      <w:r w:rsidRPr="00485B56">
        <w:rPr>
          <w:lang w:val="ru-RU"/>
        </w:rPr>
        <w:t xml:space="preserve"> </w:t>
      </w:r>
      <w:r w:rsidR="00D513C9">
        <w:rPr>
          <w:lang w:val="ru-RU"/>
        </w:rPr>
        <w:t>достижение прогресса во всех странах</w:t>
      </w:r>
      <w:r w:rsidR="008C7536">
        <w:rPr>
          <w:lang w:val="ru-RU"/>
        </w:rPr>
        <w:t xml:space="preserve"> имеет большое значение</w:t>
      </w:r>
      <w:r w:rsidRPr="00485B56">
        <w:rPr>
          <w:lang w:val="ru-RU"/>
        </w:rPr>
        <w:t xml:space="preserve">, </w:t>
      </w:r>
      <w:r w:rsidR="00D513C9">
        <w:rPr>
          <w:lang w:val="ru-RU"/>
        </w:rPr>
        <w:t>выполнение задач</w:t>
      </w:r>
      <w:r w:rsidRPr="00485B56">
        <w:rPr>
          <w:lang w:val="ru-RU"/>
        </w:rPr>
        <w:t xml:space="preserve"> </w:t>
      </w:r>
      <w:r w:rsidR="00EA1649">
        <w:rPr>
          <w:lang w:val="ru-RU"/>
        </w:rPr>
        <w:t xml:space="preserve">глобальной </w:t>
      </w:r>
      <w:r>
        <w:rPr>
          <w:lang w:val="ru-RU"/>
        </w:rPr>
        <w:t>инициативы</w:t>
      </w:r>
      <w:r w:rsidR="004E698A" w:rsidRPr="00485B56">
        <w:rPr>
          <w:lang w:val="ru-RU"/>
        </w:rPr>
        <w:t xml:space="preserve"> </w:t>
      </w:r>
      <w:r w:rsidR="008C7536">
        <w:rPr>
          <w:lang w:val="ru-RU"/>
        </w:rPr>
        <w:t>"Устойчивая энергетика для всех"</w:t>
      </w:r>
      <w:r w:rsidR="004E698A" w:rsidRPr="00485B56">
        <w:rPr>
          <w:lang w:val="ru-RU"/>
        </w:rPr>
        <w:t xml:space="preserve"> </w:t>
      </w:r>
      <w:r>
        <w:rPr>
          <w:lang w:val="ru-RU"/>
        </w:rPr>
        <w:t>буд</w:t>
      </w:r>
      <w:r w:rsidR="00D513C9">
        <w:rPr>
          <w:lang w:val="ru-RU"/>
        </w:rPr>
        <w:t>е</w:t>
      </w:r>
      <w:r>
        <w:rPr>
          <w:lang w:val="ru-RU"/>
        </w:rPr>
        <w:t>т</w:t>
      </w:r>
      <w:r w:rsidRPr="00485B56">
        <w:rPr>
          <w:lang w:val="ru-RU"/>
        </w:rPr>
        <w:t xml:space="preserve"> </w:t>
      </w:r>
      <w:r w:rsidR="008C7536">
        <w:rPr>
          <w:lang w:val="ru-RU"/>
        </w:rPr>
        <w:t>во многом</w:t>
      </w:r>
      <w:r w:rsidRPr="00485B56">
        <w:rPr>
          <w:lang w:val="ru-RU"/>
        </w:rPr>
        <w:t xml:space="preserve"> </w:t>
      </w:r>
      <w:r>
        <w:rPr>
          <w:lang w:val="ru-RU"/>
        </w:rPr>
        <w:t>зависеть</w:t>
      </w:r>
      <w:r w:rsidRPr="00485B56">
        <w:rPr>
          <w:lang w:val="ru-RU"/>
        </w:rPr>
        <w:t xml:space="preserve"> </w:t>
      </w:r>
      <w:r>
        <w:rPr>
          <w:lang w:val="ru-RU"/>
        </w:rPr>
        <w:t>от</w:t>
      </w:r>
      <w:r w:rsidRPr="00485B56">
        <w:rPr>
          <w:lang w:val="ru-RU"/>
        </w:rPr>
        <w:t xml:space="preserve"> </w:t>
      </w:r>
      <w:r>
        <w:rPr>
          <w:lang w:val="ru-RU"/>
        </w:rPr>
        <w:t>усилий</w:t>
      </w:r>
      <w:r w:rsidRPr="00485B56">
        <w:rPr>
          <w:lang w:val="ru-RU"/>
        </w:rPr>
        <w:t xml:space="preserve"> </w:t>
      </w:r>
      <w:r>
        <w:rPr>
          <w:lang w:val="ru-RU"/>
        </w:rPr>
        <w:t>стран</w:t>
      </w:r>
      <w:r w:rsidR="00D513C9">
        <w:rPr>
          <w:lang w:val="ru-RU"/>
        </w:rPr>
        <w:t xml:space="preserve"> </w:t>
      </w:r>
      <w:r w:rsidR="008725C9">
        <w:rPr>
          <w:lang w:val="ru-RU"/>
        </w:rPr>
        <w:t>"</w:t>
      </w:r>
      <w:r w:rsidR="008C7536">
        <w:rPr>
          <w:lang w:val="ru-RU"/>
        </w:rPr>
        <w:t>значительного</w:t>
      </w:r>
      <w:r w:rsidR="00D513C9">
        <w:rPr>
          <w:lang w:val="ru-RU"/>
        </w:rPr>
        <w:t xml:space="preserve"> воздействия</w:t>
      </w:r>
      <w:r w:rsidR="008725C9">
        <w:rPr>
          <w:lang w:val="ru-RU"/>
        </w:rPr>
        <w:t>"</w:t>
      </w:r>
      <w:r w:rsidRPr="00485B56">
        <w:rPr>
          <w:lang w:val="ru-RU"/>
        </w:rPr>
        <w:t xml:space="preserve">, </w:t>
      </w:r>
      <w:r>
        <w:rPr>
          <w:lang w:val="ru-RU"/>
        </w:rPr>
        <w:t>которые</w:t>
      </w:r>
      <w:r w:rsidRPr="00485B56">
        <w:rPr>
          <w:lang w:val="ru-RU"/>
        </w:rPr>
        <w:t xml:space="preserve"> </w:t>
      </w:r>
      <w:r>
        <w:rPr>
          <w:lang w:val="ru-RU"/>
        </w:rPr>
        <w:t>имеют</w:t>
      </w:r>
      <w:r w:rsidRPr="00485B56">
        <w:rPr>
          <w:lang w:val="ru-RU"/>
        </w:rPr>
        <w:t xml:space="preserve"> </w:t>
      </w:r>
      <w:r>
        <w:rPr>
          <w:lang w:val="ru-RU"/>
        </w:rPr>
        <w:t>особенно</w:t>
      </w:r>
      <w:r w:rsidRPr="00485B56">
        <w:rPr>
          <w:lang w:val="ru-RU"/>
        </w:rPr>
        <w:t xml:space="preserve"> </w:t>
      </w:r>
      <w:r>
        <w:rPr>
          <w:lang w:val="ru-RU"/>
        </w:rPr>
        <w:t>большой</w:t>
      </w:r>
      <w:r w:rsidRPr="00485B56">
        <w:rPr>
          <w:lang w:val="ru-RU"/>
        </w:rPr>
        <w:t xml:space="preserve"> </w:t>
      </w:r>
      <w:r>
        <w:rPr>
          <w:lang w:val="ru-RU"/>
        </w:rPr>
        <w:t>вес</w:t>
      </w:r>
      <w:r w:rsidRPr="00485B56">
        <w:rPr>
          <w:lang w:val="ru-RU"/>
        </w:rPr>
        <w:t xml:space="preserve"> </w:t>
      </w:r>
      <w:r>
        <w:rPr>
          <w:lang w:val="ru-RU"/>
        </w:rPr>
        <w:t>в</w:t>
      </w:r>
      <w:r w:rsidRPr="00485B56">
        <w:rPr>
          <w:lang w:val="ru-RU"/>
        </w:rPr>
        <w:t xml:space="preserve"> </w:t>
      </w:r>
      <w:r w:rsidR="00D11550">
        <w:rPr>
          <w:lang w:val="ru-RU"/>
        </w:rPr>
        <w:t>системе глобальных результатов</w:t>
      </w:r>
      <w:r w:rsidR="00701C18" w:rsidRPr="00485B56">
        <w:rPr>
          <w:lang w:val="ru-RU"/>
        </w:rPr>
        <w:t xml:space="preserve">. </w:t>
      </w:r>
      <w:r>
        <w:rPr>
          <w:lang w:val="ru-RU"/>
        </w:rPr>
        <w:t>На</w:t>
      </w:r>
      <w:r w:rsidRPr="004340F5">
        <w:rPr>
          <w:lang w:val="ru-RU"/>
        </w:rPr>
        <w:t xml:space="preserve"> </w:t>
      </w:r>
      <w:r>
        <w:rPr>
          <w:lang w:val="ru-RU"/>
        </w:rPr>
        <w:t>две</w:t>
      </w:r>
      <w:r w:rsidRPr="004340F5">
        <w:rPr>
          <w:lang w:val="ru-RU"/>
        </w:rPr>
        <w:t xml:space="preserve"> </w:t>
      </w:r>
      <w:r w:rsidR="00D513C9">
        <w:rPr>
          <w:lang w:val="ru-RU"/>
        </w:rPr>
        <w:t xml:space="preserve">пересекающиеся </w:t>
      </w:r>
      <w:r>
        <w:rPr>
          <w:lang w:val="ru-RU"/>
        </w:rPr>
        <w:t>группы</w:t>
      </w:r>
      <w:r w:rsidRPr="004340F5">
        <w:rPr>
          <w:lang w:val="ru-RU"/>
        </w:rPr>
        <w:t xml:space="preserve"> </w:t>
      </w:r>
      <w:r>
        <w:rPr>
          <w:lang w:val="ru-RU"/>
        </w:rPr>
        <w:t>из</w:t>
      </w:r>
      <w:r w:rsidRPr="004340F5">
        <w:rPr>
          <w:lang w:val="ru-RU"/>
        </w:rPr>
        <w:t xml:space="preserve"> 20</w:t>
      </w:r>
      <w:r w:rsidR="00D11550">
        <w:rPr>
          <w:lang w:val="ru-RU"/>
        </w:rPr>
        <w:t> </w:t>
      </w:r>
      <w:r>
        <w:rPr>
          <w:lang w:val="ru-RU"/>
        </w:rPr>
        <w:t>стран</w:t>
      </w:r>
      <w:r w:rsidRPr="004340F5">
        <w:rPr>
          <w:lang w:val="ru-RU"/>
        </w:rPr>
        <w:t xml:space="preserve"> </w:t>
      </w:r>
      <w:r>
        <w:rPr>
          <w:lang w:val="ru-RU"/>
        </w:rPr>
        <w:t>Азии</w:t>
      </w:r>
      <w:r w:rsidRPr="004340F5">
        <w:rPr>
          <w:lang w:val="ru-RU"/>
        </w:rPr>
        <w:t xml:space="preserve"> </w:t>
      </w:r>
      <w:r>
        <w:rPr>
          <w:lang w:val="ru-RU"/>
        </w:rPr>
        <w:t>и</w:t>
      </w:r>
      <w:r w:rsidRPr="004340F5">
        <w:rPr>
          <w:lang w:val="ru-RU"/>
        </w:rPr>
        <w:t xml:space="preserve"> </w:t>
      </w:r>
      <w:r>
        <w:rPr>
          <w:lang w:val="ru-RU"/>
        </w:rPr>
        <w:t>Африки</w:t>
      </w:r>
      <w:r w:rsidRPr="004340F5">
        <w:rPr>
          <w:lang w:val="ru-RU"/>
        </w:rPr>
        <w:t xml:space="preserve"> </w:t>
      </w:r>
      <w:r>
        <w:rPr>
          <w:lang w:val="ru-RU"/>
        </w:rPr>
        <w:t>приходится</w:t>
      </w:r>
      <w:r w:rsidRPr="004340F5">
        <w:rPr>
          <w:lang w:val="ru-RU"/>
        </w:rPr>
        <w:t xml:space="preserve"> </w:t>
      </w:r>
      <w:r>
        <w:rPr>
          <w:lang w:val="ru-RU"/>
        </w:rPr>
        <w:t>две</w:t>
      </w:r>
      <w:r w:rsidRPr="004340F5">
        <w:rPr>
          <w:lang w:val="ru-RU"/>
        </w:rPr>
        <w:t xml:space="preserve"> </w:t>
      </w:r>
      <w:r>
        <w:rPr>
          <w:lang w:val="ru-RU"/>
        </w:rPr>
        <w:t>трети</w:t>
      </w:r>
      <w:r w:rsidRPr="004340F5">
        <w:rPr>
          <w:lang w:val="ru-RU"/>
        </w:rPr>
        <w:t xml:space="preserve"> </w:t>
      </w:r>
      <w:r>
        <w:rPr>
          <w:lang w:val="ru-RU"/>
        </w:rPr>
        <w:t>обще</w:t>
      </w:r>
      <w:r w:rsidR="00D11550">
        <w:rPr>
          <w:lang w:val="ru-RU"/>
        </w:rPr>
        <w:t>мирового</w:t>
      </w:r>
      <w:r w:rsidRPr="004340F5">
        <w:rPr>
          <w:lang w:val="ru-RU"/>
        </w:rPr>
        <w:t xml:space="preserve"> </w:t>
      </w:r>
      <w:r>
        <w:rPr>
          <w:lang w:val="ru-RU"/>
        </w:rPr>
        <w:t>дефицита</w:t>
      </w:r>
      <w:r w:rsidRPr="004340F5">
        <w:rPr>
          <w:lang w:val="ru-RU"/>
        </w:rPr>
        <w:t xml:space="preserve"> </w:t>
      </w:r>
      <w:r w:rsidR="00D513C9">
        <w:rPr>
          <w:lang w:val="ru-RU"/>
        </w:rPr>
        <w:t xml:space="preserve">услуг по </w:t>
      </w:r>
      <w:r w:rsidR="004340F5">
        <w:rPr>
          <w:lang w:val="ru-RU"/>
        </w:rPr>
        <w:t>электроснабжени</w:t>
      </w:r>
      <w:r w:rsidR="00D513C9">
        <w:rPr>
          <w:lang w:val="ru-RU"/>
        </w:rPr>
        <w:t>ю</w:t>
      </w:r>
      <w:r w:rsidR="004340F5" w:rsidRPr="004340F5">
        <w:rPr>
          <w:lang w:val="ru-RU"/>
        </w:rPr>
        <w:t xml:space="preserve"> </w:t>
      </w:r>
      <w:r w:rsidR="004340F5">
        <w:rPr>
          <w:lang w:val="ru-RU"/>
        </w:rPr>
        <w:t>и</w:t>
      </w:r>
      <w:r w:rsidR="004340F5" w:rsidRPr="004340F5">
        <w:rPr>
          <w:lang w:val="ru-RU"/>
        </w:rPr>
        <w:t xml:space="preserve"> </w:t>
      </w:r>
      <w:r w:rsidR="004340F5">
        <w:rPr>
          <w:lang w:val="ru-RU"/>
        </w:rPr>
        <w:t>четыре</w:t>
      </w:r>
      <w:r w:rsidR="004340F5" w:rsidRPr="004340F5">
        <w:rPr>
          <w:lang w:val="ru-RU"/>
        </w:rPr>
        <w:t xml:space="preserve"> </w:t>
      </w:r>
      <w:r w:rsidR="004340F5">
        <w:rPr>
          <w:lang w:val="ru-RU"/>
        </w:rPr>
        <w:t>пятых</w:t>
      </w:r>
      <w:r w:rsidR="004340F5" w:rsidRPr="004340F5">
        <w:rPr>
          <w:lang w:val="ru-RU"/>
        </w:rPr>
        <w:t xml:space="preserve"> </w:t>
      </w:r>
      <w:r w:rsidR="00D11550">
        <w:rPr>
          <w:lang w:val="ru-RU"/>
        </w:rPr>
        <w:t xml:space="preserve">общемирового </w:t>
      </w:r>
      <w:r w:rsidR="004340F5">
        <w:rPr>
          <w:lang w:val="ru-RU"/>
        </w:rPr>
        <w:t>дефицита</w:t>
      </w:r>
      <w:r w:rsidR="004340F5" w:rsidRPr="004340F5">
        <w:rPr>
          <w:lang w:val="ru-RU"/>
        </w:rPr>
        <w:t xml:space="preserve"> </w:t>
      </w:r>
      <w:r w:rsidR="004340F5">
        <w:rPr>
          <w:lang w:val="ru-RU"/>
        </w:rPr>
        <w:lastRenderedPageBreak/>
        <w:t>доступа</w:t>
      </w:r>
      <w:r w:rsidR="004340F5" w:rsidRPr="004340F5">
        <w:rPr>
          <w:lang w:val="ru-RU"/>
        </w:rPr>
        <w:t xml:space="preserve"> </w:t>
      </w:r>
      <w:r w:rsidR="004340F5">
        <w:rPr>
          <w:lang w:val="ru-RU"/>
        </w:rPr>
        <w:t>к</w:t>
      </w:r>
      <w:r w:rsidR="00D11550">
        <w:rPr>
          <w:lang w:val="ru-RU"/>
        </w:rPr>
        <w:t> </w:t>
      </w:r>
      <w:r w:rsidR="004340F5">
        <w:rPr>
          <w:lang w:val="ru-RU"/>
        </w:rPr>
        <w:t>нетвердым</w:t>
      </w:r>
      <w:r w:rsidR="004340F5" w:rsidRPr="004340F5">
        <w:rPr>
          <w:lang w:val="ru-RU"/>
        </w:rPr>
        <w:t xml:space="preserve"> </w:t>
      </w:r>
      <w:r w:rsidR="004340F5">
        <w:rPr>
          <w:lang w:val="ru-RU"/>
        </w:rPr>
        <w:t>видам</w:t>
      </w:r>
      <w:r w:rsidR="004340F5" w:rsidRPr="004340F5">
        <w:rPr>
          <w:lang w:val="ru-RU"/>
        </w:rPr>
        <w:t xml:space="preserve"> </w:t>
      </w:r>
      <w:r w:rsidR="004340F5">
        <w:rPr>
          <w:lang w:val="ru-RU"/>
        </w:rPr>
        <w:t>топлива</w:t>
      </w:r>
      <w:r w:rsidR="00701C18" w:rsidRPr="004340F5">
        <w:rPr>
          <w:lang w:val="ru-RU"/>
        </w:rPr>
        <w:t xml:space="preserve"> (</w:t>
      </w:r>
      <w:r w:rsidR="00D11550">
        <w:rPr>
          <w:lang w:val="ru-RU"/>
        </w:rPr>
        <w:t>рисунок</w:t>
      </w:r>
      <w:r w:rsidR="00701C18" w:rsidRPr="004340F5">
        <w:rPr>
          <w:lang w:val="ru-RU"/>
        </w:rPr>
        <w:t xml:space="preserve"> </w:t>
      </w:r>
      <w:r w:rsidR="00701C18">
        <w:t>ES</w:t>
      </w:r>
      <w:r w:rsidR="00701C18" w:rsidRPr="004340F5">
        <w:rPr>
          <w:lang w:val="ru-RU"/>
        </w:rPr>
        <w:t>.1).</w:t>
      </w:r>
      <w:r w:rsidR="00F56DBE" w:rsidRPr="004340F5">
        <w:rPr>
          <w:lang w:val="ru-RU"/>
        </w:rPr>
        <w:t xml:space="preserve"> </w:t>
      </w:r>
      <w:r w:rsidR="004340F5">
        <w:rPr>
          <w:lang w:val="ru-RU"/>
        </w:rPr>
        <w:t>Выполнение</w:t>
      </w:r>
      <w:r w:rsidR="004340F5" w:rsidRPr="004340F5">
        <w:rPr>
          <w:lang w:val="ru-RU"/>
        </w:rPr>
        <w:t xml:space="preserve"> </w:t>
      </w:r>
      <w:r w:rsidR="004340F5">
        <w:rPr>
          <w:lang w:val="ru-RU"/>
        </w:rPr>
        <w:t>задач</w:t>
      </w:r>
      <w:r w:rsidR="004340F5" w:rsidRPr="004340F5">
        <w:rPr>
          <w:lang w:val="ru-RU"/>
        </w:rPr>
        <w:t xml:space="preserve"> </w:t>
      </w:r>
      <w:r w:rsidR="00D11550">
        <w:rPr>
          <w:lang w:val="ru-RU"/>
        </w:rPr>
        <w:t>по обеспечению всеобщего доступа во всем мире</w:t>
      </w:r>
      <w:r w:rsidR="004340F5">
        <w:rPr>
          <w:lang w:val="ru-RU"/>
        </w:rPr>
        <w:t xml:space="preserve"> будет зависеть в первую очередь от прогресса, </w:t>
      </w:r>
      <w:r w:rsidR="00D11550">
        <w:rPr>
          <w:lang w:val="ru-RU"/>
        </w:rPr>
        <w:t xml:space="preserve">который может быть достигнут в этих </w:t>
      </w:r>
      <w:r w:rsidR="004340F5">
        <w:rPr>
          <w:lang w:val="ru-RU"/>
        </w:rPr>
        <w:t>странах</w:t>
      </w:r>
      <w:r w:rsidR="00F56DBE" w:rsidRPr="004340F5">
        <w:rPr>
          <w:lang w:val="ru-RU"/>
        </w:rPr>
        <w:t>.</w:t>
      </w:r>
      <w:r w:rsidR="00701C18" w:rsidRPr="004340F5">
        <w:rPr>
          <w:lang w:val="ru-RU"/>
        </w:rPr>
        <w:t xml:space="preserve"> </w:t>
      </w:r>
      <w:r w:rsidR="00EA1649">
        <w:rPr>
          <w:lang w:val="ru-RU"/>
        </w:rPr>
        <w:t>На долю третьей</w:t>
      </w:r>
      <w:r w:rsidR="00EA1649" w:rsidRPr="00EA1649">
        <w:rPr>
          <w:lang w:val="ru-RU"/>
        </w:rPr>
        <w:t xml:space="preserve"> </w:t>
      </w:r>
      <w:r w:rsidR="00EA1649">
        <w:rPr>
          <w:lang w:val="ru-RU"/>
        </w:rPr>
        <w:t>группы</w:t>
      </w:r>
      <w:r w:rsidR="00EA1649" w:rsidRPr="00EA1649">
        <w:rPr>
          <w:lang w:val="ru-RU"/>
        </w:rPr>
        <w:t xml:space="preserve">, </w:t>
      </w:r>
      <w:r w:rsidR="00EA1649">
        <w:rPr>
          <w:lang w:val="ru-RU"/>
        </w:rPr>
        <w:t>включающей</w:t>
      </w:r>
      <w:r w:rsidR="00EA1649" w:rsidRPr="00EA1649">
        <w:rPr>
          <w:lang w:val="ru-RU"/>
        </w:rPr>
        <w:t xml:space="preserve"> 20</w:t>
      </w:r>
      <w:r w:rsidR="00D11550">
        <w:rPr>
          <w:lang w:val="ru-RU"/>
        </w:rPr>
        <w:t> стран с высоким уровнем дохода и стран с формирующейся экономикой приходится четыре пятых общемирового уровня энергопотребления.</w:t>
      </w:r>
      <w:r w:rsidR="00701C18" w:rsidRPr="00EA1649">
        <w:rPr>
          <w:lang w:val="ru-RU"/>
        </w:rPr>
        <w:t xml:space="preserve"> </w:t>
      </w:r>
      <w:r w:rsidR="00EA1649">
        <w:rPr>
          <w:lang w:val="ru-RU"/>
        </w:rPr>
        <w:t>Поэтому</w:t>
      </w:r>
      <w:r w:rsidR="00EA1649" w:rsidRPr="00EA1649">
        <w:rPr>
          <w:lang w:val="ru-RU"/>
        </w:rPr>
        <w:t xml:space="preserve"> </w:t>
      </w:r>
      <w:r w:rsidR="00EA1649">
        <w:rPr>
          <w:lang w:val="ru-RU"/>
        </w:rPr>
        <w:t>достижение</w:t>
      </w:r>
      <w:r w:rsidR="00EA1649" w:rsidRPr="00EA1649">
        <w:rPr>
          <w:lang w:val="ru-RU"/>
        </w:rPr>
        <w:t xml:space="preserve"> </w:t>
      </w:r>
      <w:r w:rsidR="00EA1649">
        <w:rPr>
          <w:lang w:val="ru-RU"/>
        </w:rPr>
        <w:t>целей</w:t>
      </w:r>
      <w:r w:rsidR="00EA1649" w:rsidRPr="00EA1649">
        <w:rPr>
          <w:lang w:val="ru-RU"/>
        </w:rPr>
        <w:t xml:space="preserve"> </w:t>
      </w:r>
      <w:r w:rsidR="00EA1649">
        <w:rPr>
          <w:lang w:val="ru-RU"/>
        </w:rPr>
        <w:t>глобальной инициативы</w:t>
      </w:r>
      <w:r w:rsidR="0050747F" w:rsidRPr="00EA1649">
        <w:rPr>
          <w:lang w:val="ru-RU"/>
        </w:rPr>
        <w:t xml:space="preserve"> </w:t>
      </w:r>
      <w:r w:rsidR="00D11550">
        <w:rPr>
          <w:lang w:val="ru-RU"/>
        </w:rPr>
        <w:t>"Устойчивая энергетика для всех"</w:t>
      </w:r>
      <w:r w:rsidR="0050747F" w:rsidRPr="00EA1649">
        <w:rPr>
          <w:lang w:val="ru-RU"/>
        </w:rPr>
        <w:t xml:space="preserve"> </w:t>
      </w:r>
      <w:r w:rsidR="00EA1649">
        <w:rPr>
          <w:lang w:val="ru-RU"/>
        </w:rPr>
        <w:t xml:space="preserve">в области возобновляемых источников энергии и энергоэффективности невозможно без </w:t>
      </w:r>
      <w:r w:rsidR="00D11550">
        <w:rPr>
          <w:lang w:val="ru-RU"/>
        </w:rPr>
        <w:t>ощутимого</w:t>
      </w:r>
      <w:r w:rsidR="00EA1649">
        <w:rPr>
          <w:lang w:val="ru-RU"/>
        </w:rPr>
        <w:t xml:space="preserve"> прогресса</w:t>
      </w:r>
      <w:r w:rsidR="00B12A69">
        <w:rPr>
          <w:lang w:val="ru-RU"/>
        </w:rPr>
        <w:t xml:space="preserve"> в </w:t>
      </w:r>
      <w:r w:rsidR="003E17BE">
        <w:rPr>
          <w:lang w:val="ru-RU"/>
        </w:rPr>
        <w:t xml:space="preserve">странах </w:t>
      </w:r>
      <w:r w:rsidR="008725C9">
        <w:rPr>
          <w:lang w:val="ru-RU"/>
        </w:rPr>
        <w:t>"</w:t>
      </w:r>
      <w:r w:rsidR="00D11550">
        <w:rPr>
          <w:lang w:val="ru-RU"/>
        </w:rPr>
        <w:t>значительного</w:t>
      </w:r>
      <w:r w:rsidR="003E17BE">
        <w:rPr>
          <w:lang w:val="ru-RU"/>
        </w:rPr>
        <w:t xml:space="preserve"> воздействия</w:t>
      </w:r>
      <w:r w:rsidR="008725C9">
        <w:rPr>
          <w:lang w:val="ru-RU"/>
        </w:rPr>
        <w:t>"</w:t>
      </w:r>
      <w:r w:rsidR="0050747F" w:rsidRPr="00EA1649">
        <w:rPr>
          <w:lang w:val="ru-RU"/>
        </w:rPr>
        <w:t xml:space="preserve">. </w:t>
      </w:r>
    </w:p>
    <w:p w:rsidR="00B6472F" w:rsidRPr="00EA1649" w:rsidRDefault="00B6472F">
      <w:pPr>
        <w:rPr>
          <w:b/>
          <w:lang w:val="ru-RU"/>
        </w:rPr>
      </w:pPr>
      <w:r w:rsidRPr="00EA1649">
        <w:rPr>
          <w:lang w:val="ru-RU"/>
        </w:rPr>
        <w:br w:type="page"/>
      </w:r>
    </w:p>
    <w:p w:rsidR="00701C18" w:rsidRPr="00D64B9E" w:rsidRDefault="00D11550" w:rsidP="00701C18">
      <w:pPr>
        <w:pStyle w:val="SE4ALLfigurecaption"/>
        <w:rPr>
          <w:lang w:val="ru-RU"/>
        </w:rPr>
      </w:pPr>
      <w:r>
        <w:rPr>
          <w:lang w:val="ru-RU"/>
        </w:rPr>
        <w:lastRenderedPageBreak/>
        <w:t>Рисунок</w:t>
      </w:r>
      <w:r w:rsidR="00701C18" w:rsidRPr="008725C9">
        <w:rPr>
          <w:lang w:val="ru-RU"/>
        </w:rPr>
        <w:t xml:space="preserve"> </w:t>
      </w:r>
      <w:r w:rsidR="00701C18">
        <w:t>ES</w:t>
      </w:r>
      <w:r w:rsidR="00701C18" w:rsidRPr="008725C9">
        <w:rPr>
          <w:lang w:val="ru-RU"/>
        </w:rPr>
        <w:t xml:space="preserve">.1. </w:t>
      </w:r>
      <w:r w:rsidR="00D64B9E">
        <w:rPr>
          <w:lang w:val="ru-RU"/>
        </w:rPr>
        <w:t>Обзор</w:t>
      </w:r>
      <w:r w:rsidR="003E17BE">
        <w:rPr>
          <w:lang w:val="ru-RU"/>
        </w:rPr>
        <w:t xml:space="preserve"> ситуации в странах</w:t>
      </w:r>
      <w:r w:rsidR="00D64B9E" w:rsidRPr="00D64B9E">
        <w:rPr>
          <w:lang w:val="ru-RU"/>
        </w:rPr>
        <w:t xml:space="preserve"> </w:t>
      </w:r>
      <w:r w:rsidR="008725C9">
        <w:rPr>
          <w:lang w:val="ru-RU"/>
        </w:rPr>
        <w:t>"</w:t>
      </w:r>
      <w:r>
        <w:rPr>
          <w:lang w:val="ru-RU"/>
        </w:rPr>
        <w:t>значительного</w:t>
      </w:r>
      <w:r w:rsidR="003E17BE">
        <w:rPr>
          <w:lang w:val="ru-RU"/>
        </w:rPr>
        <w:t xml:space="preserve"> воздействия</w:t>
      </w:r>
      <w:r w:rsidR="008725C9">
        <w:rPr>
          <w:lang w:val="ru-RU"/>
        </w:rPr>
        <w:t>"</w:t>
      </w:r>
      <w:r w:rsidR="003E17BE">
        <w:rPr>
          <w:lang w:val="ru-RU"/>
        </w:rPr>
        <w:t xml:space="preserve"> </w:t>
      </w:r>
      <w:r w:rsidR="00D64B9E">
        <w:rPr>
          <w:lang w:val="ru-RU"/>
        </w:rPr>
        <w:t>в</w:t>
      </w:r>
      <w:r w:rsidR="00FA1E4B" w:rsidRPr="00D64B9E">
        <w:rPr>
          <w:lang w:val="ru-RU"/>
        </w:rPr>
        <w:t xml:space="preserve"> 2010</w:t>
      </w:r>
      <w:r w:rsidR="00D64B9E">
        <w:rPr>
          <w:lang w:val="ru-RU"/>
        </w:rPr>
        <w:t xml:space="preserve"> г</w:t>
      </w:r>
      <w:r>
        <w:rPr>
          <w:lang w:val="ru-RU"/>
        </w:rPr>
        <w:t>оду</w:t>
      </w:r>
    </w:p>
    <w:tbl>
      <w:tblPr>
        <w:tblStyle w:val="TableGrid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296"/>
        <w:gridCol w:w="3274"/>
      </w:tblGrid>
      <w:tr w:rsidR="00701C18" w:rsidRPr="008725C9" w:rsidTr="00232C0E">
        <w:tc>
          <w:tcPr>
            <w:tcW w:w="1627" w:type="pct"/>
            <w:vAlign w:val="bottom"/>
          </w:tcPr>
          <w:p w:rsidR="00701C18" w:rsidRPr="00D11550" w:rsidRDefault="00D64B9E" w:rsidP="00D11550">
            <w:pPr>
              <w:pStyle w:val="SE4ALLfiguresubcaption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lang w:val="ru-RU"/>
              </w:rPr>
            </w:pPr>
            <w:r>
              <w:rPr>
                <w:lang w:val="ru-RU"/>
              </w:rPr>
              <w:t>Дефицит</w:t>
            </w:r>
            <w:r w:rsidRPr="00D11550">
              <w:rPr>
                <w:lang w:val="ru-RU"/>
              </w:rPr>
              <w:t xml:space="preserve"> </w:t>
            </w:r>
            <w:r w:rsidR="00D11550">
              <w:rPr>
                <w:lang w:val="ru-RU"/>
              </w:rPr>
              <w:t>доступа к </w:t>
            </w:r>
            <w:r>
              <w:rPr>
                <w:lang w:val="ru-RU"/>
              </w:rPr>
              <w:t>электроэнергии</w:t>
            </w:r>
            <w:r w:rsidR="00701C18" w:rsidRPr="00D11550">
              <w:rPr>
                <w:lang w:val="ru-RU"/>
              </w:rPr>
              <w:t xml:space="preserve"> (</w:t>
            </w:r>
            <w:r>
              <w:rPr>
                <w:lang w:val="ru-RU"/>
              </w:rPr>
              <w:t>млн.</w:t>
            </w:r>
            <w:r w:rsidR="00701C18" w:rsidRPr="00D11550">
              <w:rPr>
                <w:lang w:val="ru-RU"/>
              </w:rPr>
              <w:t>)</w:t>
            </w:r>
          </w:p>
        </w:tc>
        <w:tc>
          <w:tcPr>
            <w:tcW w:w="1692" w:type="pct"/>
            <w:vAlign w:val="bottom"/>
          </w:tcPr>
          <w:p w:rsidR="00701C18" w:rsidRPr="00D64B9E" w:rsidRDefault="00D64B9E" w:rsidP="00D64B9E">
            <w:pPr>
              <w:pStyle w:val="SE4ALLfiguresubcaption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lang w:val="ru-RU"/>
              </w:rPr>
            </w:pPr>
            <w:r>
              <w:rPr>
                <w:lang w:val="ru-RU"/>
              </w:rPr>
              <w:t>Дефицит</w:t>
            </w:r>
            <w:r w:rsidRPr="00D64B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доступа</w:t>
            </w:r>
            <w:r w:rsidRPr="00D64B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64B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нетвердым</w:t>
            </w:r>
            <w:r w:rsidRPr="00D64B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видам</w:t>
            </w:r>
            <w:r w:rsidRPr="00D64B9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топлива</w:t>
            </w:r>
            <w:r w:rsidR="00701C18" w:rsidRPr="00D64B9E">
              <w:rPr>
                <w:lang w:val="ru-RU"/>
              </w:rPr>
              <w:t xml:space="preserve"> (</w:t>
            </w:r>
            <w:r>
              <w:rPr>
                <w:lang w:val="ru-RU"/>
              </w:rPr>
              <w:t>млн.</w:t>
            </w:r>
            <w:r w:rsidR="00701C18" w:rsidRPr="00D64B9E">
              <w:rPr>
                <w:lang w:val="ru-RU"/>
              </w:rPr>
              <w:t>)</w:t>
            </w:r>
          </w:p>
        </w:tc>
        <w:tc>
          <w:tcPr>
            <w:tcW w:w="1681" w:type="pct"/>
            <w:vAlign w:val="bottom"/>
          </w:tcPr>
          <w:p w:rsidR="00701C18" w:rsidRPr="000978CE" w:rsidRDefault="000978CE" w:rsidP="000978CE">
            <w:pPr>
              <w:pStyle w:val="SE4ALLfiguresubcaption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lang w:val="ru-RU"/>
              </w:rPr>
            </w:pPr>
            <w:r>
              <w:rPr>
                <w:lang w:val="ru-RU"/>
              </w:rPr>
              <w:t>Спрос на первичную энергию</w:t>
            </w:r>
            <w:r w:rsidR="00701C18" w:rsidRPr="000978CE">
              <w:rPr>
                <w:lang w:val="ru-RU"/>
              </w:rPr>
              <w:t xml:space="preserve"> (</w:t>
            </w:r>
            <w:r>
              <w:rPr>
                <w:lang w:val="ru-RU"/>
              </w:rPr>
              <w:t>ЭДж</w:t>
            </w:r>
            <w:r w:rsidR="00701C18" w:rsidRPr="000978CE">
              <w:rPr>
                <w:lang w:val="ru-RU"/>
              </w:rPr>
              <w:t>)</w:t>
            </w:r>
          </w:p>
        </w:tc>
      </w:tr>
      <w:tr w:rsidR="00701C18" w:rsidTr="008A3773">
        <w:tc>
          <w:tcPr>
            <w:tcW w:w="1627" w:type="pct"/>
          </w:tcPr>
          <w:p w:rsidR="00701C18" w:rsidRDefault="00D10FD8" w:rsidP="008A3773">
            <w:pPr>
              <w:spacing w:after="120"/>
              <w:jc w:val="center"/>
              <w:rPr>
                <w:b/>
              </w:rPr>
            </w:pPr>
            <w:r w:rsidRPr="000978CE">
              <w:rPr>
                <w:noProof/>
                <w:lang w:val="ru-RU"/>
              </w:rPr>
              <w:t xml:space="preserve"> </w:t>
            </w:r>
            <w:r w:rsidR="005E4E51">
              <w:rPr>
                <w:noProof/>
              </w:rPr>
              <w:drawing>
                <wp:inline distT="0" distB="0" distL="0" distR="0">
                  <wp:extent cx="1824878" cy="2743200"/>
                  <wp:effectExtent l="0" t="0" r="444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692" w:type="pct"/>
          </w:tcPr>
          <w:p w:rsidR="00701C18" w:rsidRDefault="00701C18" w:rsidP="00CD5A68">
            <w:pPr>
              <w:spacing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38325" cy="2743200"/>
                  <wp:effectExtent l="0" t="0" r="0" b="0"/>
                  <wp:docPr id="5" name="Chart 2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681" w:type="pct"/>
          </w:tcPr>
          <w:p w:rsidR="00701C18" w:rsidRDefault="00701C18" w:rsidP="00CD5A68">
            <w:pPr>
              <w:spacing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38325" cy="2743200"/>
                  <wp:effectExtent l="0" t="0" r="0" b="0"/>
                  <wp:docPr id="6" name="Chart 2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15C2C" w:rsidRPr="003E17BE" w:rsidRDefault="00B12A69" w:rsidP="00E15C2C">
      <w:pPr>
        <w:pStyle w:val="SE4ALLbodycopy"/>
        <w:rPr>
          <w:lang w:val="ru-RU"/>
        </w:rPr>
      </w:pPr>
      <w:r>
        <w:rPr>
          <w:lang w:val="ru-RU"/>
        </w:rPr>
        <w:t>При</w:t>
      </w:r>
      <w:r w:rsidRPr="00B12A69">
        <w:rPr>
          <w:lang w:val="ru-RU"/>
        </w:rPr>
        <w:t xml:space="preserve"> </w:t>
      </w:r>
      <w:r>
        <w:rPr>
          <w:lang w:val="ru-RU"/>
        </w:rPr>
        <w:t>выборе</w:t>
      </w:r>
      <w:r w:rsidRPr="00B12A69">
        <w:rPr>
          <w:lang w:val="ru-RU"/>
        </w:rPr>
        <w:t xml:space="preserve"> </w:t>
      </w:r>
      <w:r>
        <w:rPr>
          <w:lang w:val="ru-RU"/>
        </w:rPr>
        <w:t>курса</w:t>
      </w:r>
      <w:r w:rsidRPr="00B12A69">
        <w:rPr>
          <w:lang w:val="ru-RU"/>
        </w:rPr>
        <w:t xml:space="preserve"> </w:t>
      </w:r>
      <w:r>
        <w:rPr>
          <w:lang w:val="ru-RU"/>
        </w:rPr>
        <w:t>на</w:t>
      </w:r>
      <w:r w:rsidR="00D513C9">
        <w:rPr>
          <w:lang w:val="ru-RU"/>
        </w:rPr>
        <w:t xml:space="preserve"> выполнение задач </w:t>
      </w:r>
      <w:r>
        <w:rPr>
          <w:lang w:val="ru-RU"/>
        </w:rPr>
        <w:t>инициативы</w:t>
      </w:r>
      <w:r w:rsidRPr="00B12A69">
        <w:rPr>
          <w:lang w:val="ru-RU"/>
        </w:rPr>
        <w:t xml:space="preserve"> </w:t>
      </w:r>
      <w:r w:rsidR="00D11550">
        <w:rPr>
          <w:lang w:val="ru-RU"/>
        </w:rPr>
        <w:t>"Устойчивая энергетика для всех"</w:t>
      </w:r>
      <w:r w:rsidR="00E15C2C" w:rsidRPr="00B12A69">
        <w:rPr>
          <w:lang w:val="ru-RU"/>
        </w:rPr>
        <w:t xml:space="preserve"> </w:t>
      </w:r>
      <w:r>
        <w:rPr>
          <w:lang w:val="ru-RU"/>
        </w:rPr>
        <w:t>также</w:t>
      </w:r>
      <w:r w:rsidRPr="00B12A69">
        <w:rPr>
          <w:lang w:val="ru-RU"/>
        </w:rPr>
        <w:t xml:space="preserve"> </w:t>
      </w:r>
      <w:r>
        <w:rPr>
          <w:lang w:val="ru-RU"/>
        </w:rPr>
        <w:t>важно</w:t>
      </w:r>
      <w:r w:rsidRPr="00B12A69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B12A69">
        <w:rPr>
          <w:lang w:val="ru-RU"/>
        </w:rPr>
        <w:t xml:space="preserve"> </w:t>
      </w:r>
      <w:r>
        <w:rPr>
          <w:lang w:val="ru-RU"/>
        </w:rPr>
        <w:t>с</w:t>
      </w:r>
      <w:r w:rsidRPr="00B12A69">
        <w:rPr>
          <w:lang w:val="ru-RU"/>
        </w:rPr>
        <w:t xml:space="preserve"> </w:t>
      </w:r>
      <w:r>
        <w:rPr>
          <w:lang w:val="ru-RU"/>
        </w:rPr>
        <w:t>опытом</w:t>
      </w:r>
      <w:r w:rsidRPr="00B12A69">
        <w:rPr>
          <w:lang w:val="ru-RU"/>
        </w:rPr>
        <w:t xml:space="preserve"> </w:t>
      </w:r>
      <w:r w:rsidRPr="00D11550">
        <w:rPr>
          <w:i/>
          <w:lang w:val="ru-RU"/>
        </w:rPr>
        <w:t xml:space="preserve">быстро </w:t>
      </w:r>
      <w:r w:rsidR="00D11550" w:rsidRPr="00D11550">
        <w:rPr>
          <w:i/>
          <w:lang w:val="ru-RU"/>
        </w:rPr>
        <w:t>продвигающихся</w:t>
      </w:r>
      <w:r w:rsidRPr="00B12A69">
        <w:rPr>
          <w:lang w:val="ru-RU"/>
        </w:rPr>
        <w:t xml:space="preserve"> </w:t>
      </w:r>
      <w:r>
        <w:rPr>
          <w:lang w:val="ru-RU"/>
        </w:rPr>
        <w:t>стран</w:t>
      </w:r>
      <w:r w:rsidRPr="00B12A69">
        <w:rPr>
          <w:lang w:val="ru-RU"/>
        </w:rPr>
        <w:t xml:space="preserve">, </w:t>
      </w:r>
      <w:r>
        <w:rPr>
          <w:lang w:val="ru-RU"/>
        </w:rPr>
        <w:t>которые</w:t>
      </w:r>
      <w:r w:rsidRPr="00B12A69">
        <w:rPr>
          <w:lang w:val="ru-RU"/>
        </w:rPr>
        <w:t xml:space="preserve"> </w:t>
      </w:r>
      <w:r>
        <w:rPr>
          <w:lang w:val="ru-RU"/>
        </w:rPr>
        <w:t>достигли</w:t>
      </w:r>
      <w:r w:rsidRPr="00B12A69">
        <w:rPr>
          <w:lang w:val="ru-RU"/>
        </w:rPr>
        <w:t xml:space="preserve"> </w:t>
      </w:r>
      <w:r>
        <w:rPr>
          <w:lang w:val="ru-RU"/>
        </w:rPr>
        <w:t>наиболее</w:t>
      </w:r>
      <w:r w:rsidRPr="00B12A69">
        <w:rPr>
          <w:lang w:val="ru-RU"/>
        </w:rPr>
        <w:t xml:space="preserve"> </w:t>
      </w:r>
      <w:r>
        <w:rPr>
          <w:lang w:val="ru-RU"/>
        </w:rPr>
        <w:t>значительных</w:t>
      </w:r>
      <w:r w:rsidRPr="00B12A69">
        <w:rPr>
          <w:lang w:val="ru-RU"/>
        </w:rPr>
        <w:t xml:space="preserve"> </w:t>
      </w:r>
      <w:r>
        <w:rPr>
          <w:lang w:val="ru-RU"/>
        </w:rPr>
        <w:t>успехов</w:t>
      </w:r>
      <w:r w:rsidRPr="00B12A69">
        <w:rPr>
          <w:lang w:val="ru-RU"/>
        </w:rPr>
        <w:t xml:space="preserve"> </w:t>
      </w:r>
      <w:r>
        <w:rPr>
          <w:lang w:val="ru-RU"/>
        </w:rPr>
        <w:t>по</w:t>
      </w:r>
      <w:r w:rsidRPr="00B12A69">
        <w:rPr>
          <w:lang w:val="ru-RU"/>
        </w:rPr>
        <w:t xml:space="preserve"> </w:t>
      </w:r>
      <w:r>
        <w:rPr>
          <w:lang w:val="ru-RU"/>
        </w:rPr>
        <w:t>трем</w:t>
      </w:r>
      <w:r w:rsidRPr="00B12A69">
        <w:rPr>
          <w:lang w:val="ru-RU"/>
        </w:rPr>
        <w:t xml:space="preserve"> </w:t>
      </w:r>
      <w:r>
        <w:rPr>
          <w:lang w:val="ru-RU"/>
        </w:rPr>
        <w:t>энергетическим</w:t>
      </w:r>
      <w:r w:rsidRPr="00B12A69">
        <w:rPr>
          <w:lang w:val="ru-RU"/>
        </w:rPr>
        <w:t xml:space="preserve"> </w:t>
      </w:r>
      <w:r>
        <w:rPr>
          <w:lang w:val="ru-RU"/>
        </w:rPr>
        <w:t>показателям</w:t>
      </w:r>
      <w:r w:rsidRPr="00B12A69">
        <w:rPr>
          <w:lang w:val="ru-RU"/>
        </w:rPr>
        <w:t xml:space="preserve"> </w:t>
      </w:r>
      <w:r>
        <w:rPr>
          <w:lang w:val="ru-RU"/>
        </w:rPr>
        <w:t>за</w:t>
      </w:r>
      <w:r w:rsidRPr="00B12A69">
        <w:rPr>
          <w:lang w:val="ru-RU"/>
        </w:rPr>
        <w:t xml:space="preserve"> </w:t>
      </w:r>
      <w:r>
        <w:rPr>
          <w:lang w:val="ru-RU"/>
        </w:rPr>
        <w:t>период</w:t>
      </w:r>
      <w:r w:rsidRPr="00B12A69">
        <w:rPr>
          <w:lang w:val="ru-RU"/>
        </w:rPr>
        <w:t xml:space="preserve"> </w:t>
      </w:r>
      <w:r>
        <w:rPr>
          <w:lang w:val="ru-RU"/>
        </w:rPr>
        <w:t>с</w:t>
      </w:r>
      <w:r w:rsidRPr="00B12A69">
        <w:rPr>
          <w:lang w:val="ru-RU"/>
        </w:rPr>
        <w:t xml:space="preserve"> 1990 </w:t>
      </w:r>
      <w:r>
        <w:rPr>
          <w:lang w:val="ru-RU"/>
        </w:rPr>
        <w:t>по</w:t>
      </w:r>
      <w:r w:rsidRPr="00B12A69">
        <w:rPr>
          <w:lang w:val="ru-RU"/>
        </w:rPr>
        <w:t xml:space="preserve"> 2010</w:t>
      </w:r>
      <w:r w:rsidR="00D11550">
        <w:rPr>
          <w:lang w:val="ru-RU"/>
        </w:rPr>
        <w:t> </w:t>
      </w:r>
      <w:r>
        <w:rPr>
          <w:lang w:val="ru-RU"/>
        </w:rPr>
        <w:t>г</w:t>
      </w:r>
      <w:r w:rsidR="00D11550">
        <w:rPr>
          <w:lang w:val="ru-RU"/>
        </w:rPr>
        <w:t>од</w:t>
      </w:r>
      <w:r w:rsidRPr="00B12A69">
        <w:rPr>
          <w:lang w:val="ru-RU"/>
        </w:rPr>
        <w:t>.</w:t>
      </w:r>
      <w:r w:rsidR="00E15C2C" w:rsidRPr="00B12A69">
        <w:rPr>
          <w:lang w:val="ru-RU"/>
        </w:rPr>
        <w:t xml:space="preserve"> </w:t>
      </w:r>
      <w:r>
        <w:rPr>
          <w:lang w:val="ru-RU"/>
        </w:rPr>
        <w:t>В</w:t>
      </w:r>
      <w:r w:rsidR="00D11550">
        <w:rPr>
          <w:lang w:val="ru-RU"/>
        </w:rPr>
        <w:t> </w:t>
      </w:r>
      <w:r>
        <w:rPr>
          <w:lang w:val="ru-RU"/>
        </w:rPr>
        <w:t xml:space="preserve">области электрификации и применения топлива для приготовления пищи в этих быстро </w:t>
      </w:r>
      <w:r w:rsidR="00D11550">
        <w:rPr>
          <w:lang w:val="ru-RU"/>
        </w:rPr>
        <w:t>продвигающихся</w:t>
      </w:r>
      <w:r>
        <w:rPr>
          <w:lang w:val="ru-RU"/>
        </w:rPr>
        <w:t xml:space="preserve"> странах прирост населения, пользующегося данными услугами, состав</w:t>
      </w:r>
      <w:r w:rsidR="00D513C9">
        <w:rPr>
          <w:lang w:val="ru-RU"/>
        </w:rPr>
        <w:t>ил</w:t>
      </w:r>
      <w:r>
        <w:rPr>
          <w:lang w:val="ru-RU"/>
        </w:rPr>
        <w:t xml:space="preserve"> около 3</w:t>
      </w:r>
      <w:r w:rsidR="00D11550">
        <w:rPr>
          <w:lang w:val="ru-RU"/>
        </w:rPr>
        <w:t>–</w:t>
      </w:r>
      <w:r>
        <w:rPr>
          <w:lang w:val="ru-RU"/>
        </w:rPr>
        <w:t>4</w:t>
      </w:r>
      <w:r w:rsidR="00D11550">
        <w:rPr>
          <w:lang w:val="ru-RU"/>
        </w:rPr>
        <w:t> </w:t>
      </w:r>
      <w:r>
        <w:rPr>
          <w:lang w:val="ru-RU"/>
        </w:rPr>
        <w:t>процент</w:t>
      </w:r>
      <w:r w:rsidR="00D11550">
        <w:rPr>
          <w:lang w:val="ru-RU"/>
        </w:rPr>
        <w:t>ов</w:t>
      </w:r>
      <w:r>
        <w:rPr>
          <w:lang w:val="ru-RU"/>
        </w:rPr>
        <w:t xml:space="preserve"> в год</w:t>
      </w:r>
      <w:r w:rsidR="00E15C2C" w:rsidRPr="00B12A69">
        <w:rPr>
          <w:lang w:val="ru-RU"/>
        </w:rPr>
        <w:t xml:space="preserve">. </w:t>
      </w:r>
      <w:r>
        <w:rPr>
          <w:lang w:val="ru-RU"/>
        </w:rPr>
        <w:t>Наибол</w:t>
      </w:r>
      <w:r w:rsidR="00D513C9">
        <w:rPr>
          <w:lang w:val="ru-RU"/>
        </w:rPr>
        <w:t xml:space="preserve">ьший </w:t>
      </w:r>
      <w:r>
        <w:rPr>
          <w:lang w:val="ru-RU"/>
        </w:rPr>
        <w:t>прогресс</w:t>
      </w:r>
      <w:r w:rsidRPr="00B12A69">
        <w:rPr>
          <w:lang w:val="ru-RU"/>
        </w:rPr>
        <w:t xml:space="preserve"> </w:t>
      </w:r>
      <w:r>
        <w:rPr>
          <w:lang w:val="ru-RU"/>
        </w:rPr>
        <w:t>в</w:t>
      </w:r>
      <w:r w:rsidRPr="00B12A69">
        <w:rPr>
          <w:lang w:val="ru-RU"/>
        </w:rPr>
        <w:t xml:space="preserve"> </w:t>
      </w:r>
      <w:r w:rsidR="00D513C9">
        <w:rPr>
          <w:lang w:val="ru-RU"/>
        </w:rPr>
        <w:t xml:space="preserve">сфере </w:t>
      </w:r>
      <w:r>
        <w:rPr>
          <w:lang w:val="ru-RU"/>
        </w:rPr>
        <w:t>снижения</w:t>
      </w:r>
      <w:r w:rsidRPr="00B12A69">
        <w:rPr>
          <w:lang w:val="ru-RU"/>
        </w:rPr>
        <w:t xml:space="preserve"> </w:t>
      </w:r>
      <w:r>
        <w:rPr>
          <w:lang w:val="ru-RU"/>
        </w:rPr>
        <w:t>энергоемкости</w:t>
      </w:r>
      <w:r w:rsidRPr="00B12A69">
        <w:rPr>
          <w:lang w:val="ru-RU"/>
        </w:rPr>
        <w:t xml:space="preserve">, </w:t>
      </w:r>
      <w:r>
        <w:rPr>
          <w:lang w:val="ru-RU"/>
        </w:rPr>
        <w:t>в</w:t>
      </w:r>
      <w:r w:rsidRPr="00B12A69">
        <w:rPr>
          <w:lang w:val="ru-RU"/>
        </w:rPr>
        <w:t xml:space="preserve"> </w:t>
      </w:r>
      <w:r>
        <w:rPr>
          <w:lang w:val="ru-RU"/>
        </w:rPr>
        <w:t>совокупности</w:t>
      </w:r>
      <w:r w:rsidRPr="00B12A69">
        <w:rPr>
          <w:lang w:val="ru-RU"/>
        </w:rPr>
        <w:t xml:space="preserve"> </w:t>
      </w:r>
      <w:r>
        <w:rPr>
          <w:lang w:val="ru-RU"/>
        </w:rPr>
        <w:t>составляющей</w:t>
      </w:r>
      <w:r w:rsidRPr="00B12A69">
        <w:rPr>
          <w:lang w:val="ru-RU"/>
        </w:rPr>
        <w:t xml:space="preserve"> </w:t>
      </w:r>
      <w:r>
        <w:rPr>
          <w:lang w:val="ru-RU"/>
        </w:rPr>
        <w:t>минус</w:t>
      </w:r>
      <w:r w:rsidRPr="00B12A69">
        <w:rPr>
          <w:lang w:val="ru-RU"/>
        </w:rPr>
        <w:t xml:space="preserve"> </w:t>
      </w:r>
      <w:r w:rsidR="00403B80" w:rsidRPr="00B12A69">
        <w:rPr>
          <w:lang w:val="ru-RU"/>
        </w:rPr>
        <w:t>4</w:t>
      </w:r>
      <w:r w:rsidR="005B1176">
        <w:rPr>
          <w:lang w:val="ru-RU"/>
        </w:rPr>
        <w:t>–</w:t>
      </w:r>
      <w:r w:rsidR="00403B80" w:rsidRPr="00B12A69">
        <w:rPr>
          <w:lang w:val="ru-RU"/>
        </w:rPr>
        <w:t>8</w:t>
      </w:r>
      <w:r w:rsidR="005B1176">
        <w:rPr>
          <w:lang w:val="ru-RU"/>
        </w:rPr>
        <w:t> процентов</w:t>
      </w:r>
      <w:r>
        <w:rPr>
          <w:lang w:val="ru-RU"/>
        </w:rPr>
        <w:t xml:space="preserve"> в год, был достигнут в странах, </w:t>
      </w:r>
      <w:r w:rsidR="00D513C9">
        <w:rPr>
          <w:lang w:val="ru-RU"/>
        </w:rPr>
        <w:t xml:space="preserve">где </w:t>
      </w:r>
      <w:r>
        <w:rPr>
          <w:lang w:val="ru-RU"/>
        </w:rPr>
        <w:t>первоначально</w:t>
      </w:r>
      <w:r w:rsidR="00D11550">
        <w:rPr>
          <w:lang w:val="ru-RU"/>
        </w:rPr>
        <w:t xml:space="preserve"> уровень энергоемкости был высок и </w:t>
      </w:r>
      <w:r w:rsidR="008B6974">
        <w:rPr>
          <w:lang w:val="ru-RU"/>
        </w:rPr>
        <w:t>повысить энергоэффективность было достаточно просто</w:t>
      </w:r>
      <w:r w:rsidR="00403B80" w:rsidRPr="00B12A69">
        <w:rPr>
          <w:lang w:val="ru-RU"/>
        </w:rPr>
        <w:t xml:space="preserve">. </w:t>
      </w:r>
      <w:r>
        <w:rPr>
          <w:lang w:val="ru-RU"/>
        </w:rPr>
        <w:t>Что</w:t>
      </w:r>
      <w:r w:rsidRPr="003E17BE">
        <w:rPr>
          <w:lang w:val="ru-RU"/>
        </w:rPr>
        <w:t xml:space="preserve"> </w:t>
      </w:r>
      <w:r>
        <w:rPr>
          <w:lang w:val="ru-RU"/>
        </w:rPr>
        <w:t>касается</w:t>
      </w:r>
      <w:r w:rsidRPr="003E17BE">
        <w:rPr>
          <w:lang w:val="ru-RU"/>
        </w:rPr>
        <w:t xml:space="preserve"> </w:t>
      </w:r>
      <w:r>
        <w:rPr>
          <w:lang w:val="ru-RU"/>
        </w:rPr>
        <w:t>возобновляемых</w:t>
      </w:r>
      <w:r w:rsidRPr="003E17BE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3E17BE">
        <w:rPr>
          <w:lang w:val="ru-RU"/>
        </w:rPr>
        <w:t xml:space="preserve"> </w:t>
      </w:r>
      <w:r>
        <w:rPr>
          <w:lang w:val="ru-RU"/>
        </w:rPr>
        <w:t>энергии</w:t>
      </w:r>
      <w:r w:rsidRPr="003E17BE">
        <w:rPr>
          <w:lang w:val="ru-RU"/>
        </w:rPr>
        <w:t xml:space="preserve">, </w:t>
      </w:r>
      <w:r w:rsidR="008B6974">
        <w:rPr>
          <w:lang w:val="ru-RU"/>
        </w:rPr>
        <w:t xml:space="preserve">то </w:t>
      </w:r>
      <w:r>
        <w:rPr>
          <w:lang w:val="ru-RU"/>
        </w:rPr>
        <w:t>в</w:t>
      </w:r>
      <w:r w:rsidRPr="003E17BE">
        <w:rPr>
          <w:lang w:val="ru-RU"/>
        </w:rPr>
        <w:t xml:space="preserve"> </w:t>
      </w:r>
      <w:r w:rsidR="008B6974">
        <w:rPr>
          <w:lang w:val="ru-RU"/>
        </w:rPr>
        <w:t xml:space="preserve">наиболее </w:t>
      </w:r>
      <w:r>
        <w:rPr>
          <w:lang w:val="ru-RU"/>
        </w:rPr>
        <w:t>быстро</w:t>
      </w:r>
      <w:r w:rsidRPr="003E17BE">
        <w:rPr>
          <w:lang w:val="ru-RU"/>
        </w:rPr>
        <w:t xml:space="preserve"> </w:t>
      </w:r>
      <w:r w:rsidR="008B6974">
        <w:rPr>
          <w:lang w:val="ru-RU"/>
        </w:rPr>
        <w:t>продвигающихся</w:t>
      </w:r>
      <w:r w:rsidRPr="003E17BE">
        <w:rPr>
          <w:lang w:val="ru-RU"/>
        </w:rPr>
        <w:t xml:space="preserve"> </w:t>
      </w:r>
      <w:r>
        <w:rPr>
          <w:lang w:val="ru-RU"/>
        </w:rPr>
        <w:t>странах</w:t>
      </w:r>
      <w:r w:rsidRPr="003E17BE">
        <w:rPr>
          <w:lang w:val="ru-RU"/>
        </w:rPr>
        <w:t xml:space="preserve"> </w:t>
      </w:r>
      <w:r>
        <w:rPr>
          <w:lang w:val="ru-RU"/>
        </w:rPr>
        <w:t>ежегодный</w:t>
      </w:r>
      <w:r w:rsidRPr="003E17BE">
        <w:rPr>
          <w:lang w:val="ru-RU"/>
        </w:rPr>
        <w:t xml:space="preserve"> </w:t>
      </w:r>
      <w:r>
        <w:rPr>
          <w:lang w:val="ru-RU"/>
        </w:rPr>
        <w:t>прирост</w:t>
      </w:r>
      <w:r w:rsidRPr="003E17BE">
        <w:rPr>
          <w:lang w:val="ru-RU"/>
        </w:rPr>
        <w:t xml:space="preserve"> </w:t>
      </w:r>
      <w:r w:rsidR="00D513C9">
        <w:rPr>
          <w:lang w:val="ru-RU"/>
        </w:rPr>
        <w:t xml:space="preserve">использования </w:t>
      </w:r>
      <w:r>
        <w:rPr>
          <w:lang w:val="ru-RU"/>
        </w:rPr>
        <w:t>энергии</w:t>
      </w:r>
      <w:r w:rsidRPr="003E17BE">
        <w:rPr>
          <w:lang w:val="ru-RU"/>
        </w:rPr>
        <w:t xml:space="preserve"> </w:t>
      </w:r>
      <w:r>
        <w:rPr>
          <w:lang w:val="ru-RU"/>
        </w:rPr>
        <w:t>из</w:t>
      </w:r>
      <w:r w:rsidRPr="003E17BE">
        <w:rPr>
          <w:lang w:val="ru-RU"/>
        </w:rPr>
        <w:t xml:space="preserve"> </w:t>
      </w:r>
      <w:r>
        <w:rPr>
          <w:lang w:val="ru-RU"/>
        </w:rPr>
        <w:t>возобновляемых</w:t>
      </w:r>
      <w:r w:rsidRPr="003E17BE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3E17BE">
        <w:rPr>
          <w:lang w:val="ru-RU"/>
        </w:rPr>
        <w:t xml:space="preserve"> </w:t>
      </w:r>
      <w:r>
        <w:rPr>
          <w:lang w:val="ru-RU"/>
        </w:rPr>
        <w:t>энергии</w:t>
      </w:r>
      <w:r w:rsidR="003E17BE">
        <w:rPr>
          <w:lang w:val="ru-RU"/>
        </w:rPr>
        <w:t xml:space="preserve"> (за исключением традиционной биомассы) составлял 10</w:t>
      </w:r>
      <w:r w:rsidR="001947E9">
        <w:rPr>
          <w:lang w:val="ru-RU"/>
        </w:rPr>
        <w:t>–</w:t>
      </w:r>
      <w:r w:rsidR="003E17BE">
        <w:rPr>
          <w:lang w:val="ru-RU"/>
        </w:rPr>
        <w:t>15</w:t>
      </w:r>
      <w:r w:rsidR="001947E9">
        <w:rPr>
          <w:lang w:val="ru-RU"/>
        </w:rPr>
        <w:t> </w:t>
      </w:r>
      <w:r w:rsidR="003E17BE">
        <w:rPr>
          <w:lang w:val="ru-RU"/>
        </w:rPr>
        <w:t xml:space="preserve">процентов, </w:t>
      </w:r>
      <w:r w:rsidR="001947E9">
        <w:rPr>
          <w:lang w:val="ru-RU"/>
        </w:rPr>
        <w:t>хотя и при очень</w:t>
      </w:r>
      <w:r w:rsidR="003E17BE">
        <w:rPr>
          <w:lang w:val="ru-RU"/>
        </w:rPr>
        <w:t xml:space="preserve"> низки</w:t>
      </w:r>
      <w:r w:rsidR="001947E9">
        <w:rPr>
          <w:lang w:val="ru-RU"/>
        </w:rPr>
        <w:t>х</w:t>
      </w:r>
      <w:r w:rsidR="003E17BE">
        <w:rPr>
          <w:lang w:val="ru-RU"/>
        </w:rPr>
        <w:t xml:space="preserve"> первоначальны</w:t>
      </w:r>
      <w:r w:rsidR="001947E9">
        <w:rPr>
          <w:lang w:val="ru-RU"/>
        </w:rPr>
        <w:t>х</w:t>
      </w:r>
      <w:r w:rsidR="003E17BE">
        <w:rPr>
          <w:lang w:val="ru-RU"/>
        </w:rPr>
        <w:t xml:space="preserve"> значения</w:t>
      </w:r>
      <w:r w:rsidR="001947E9">
        <w:rPr>
          <w:lang w:val="ru-RU"/>
        </w:rPr>
        <w:t>х</w:t>
      </w:r>
      <w:r w:rsidR="00E15C2C" w:rsidRPr="003E17BE">
        <w:rPr>
          <w:lang w:val="ru-RU"/>
        </w:rPr>
        <w:t xml:space="preserve">. </w:t>
      </w:r>
    </w:p>
    <w:p w:rsidR="00E15C2C" w:rsidRPr="003E17BE" w:rsidRDefault="001947E9" w:rsidP="00E15C2C">
      <w:pPr>
        <w:pStyle w:val="SE4ALLbodycopy"/>
        <w:rPr>
          <w:lang w:val="ru-RU"/>
        </w:rPr>
      </w:pPr>
      <w:r>
        <w:rPr>
          <w:lang w:val="ru-RU"/>
        </w:rPr>
        <w:t>По всем трем аспектам развития энергетического сектора Китай и, в меньшей степени, Индия относятся как к странам "значительного воздействия", так и к быстро продвигающимся странам.</w:t>
      </w:r>
    </w:p>
    <w:p w:rsidR="009275E5" w:rsidRPr="00353C09" w:rsidRDefault="002414CC" w:rsidP="00067E45">
      <w:pPr>
        <w:pStyle w:val="Heading2"/>
        <w:rPr>
          <w:lang w:val="ru-RU"/>
        </w:rPr>
      </w:pPr>
      <w:r w:rsidRPr="00353C09">
        <w:rPr>
          <w:lang w:val="ru-RU"/>
        </w:rPr>
        <w:t>Определение масштаба проблемы устойчивой энерг</w:t>
      </w:r>
      <w:r w:rsidR="001947E9">
        <w:rPr>
          <w:lang w:val="ru-RU"/>
        </w:rPr>
        <w:t>етики</w:t>
      </w:r>
      <w:r w:rsidR="00353C09" w:rsidRPr="00353C09">
        <w:rPr>
          <w:lang w:val="ru-RU"/>
        </w:rPr>
        <w:t>…</w:t>
      </w:r>
      <w:r w:rsidRPr="00353C09">
        <w:rPr>
          <w:lang w:val="ru-RU"/>
        </w:rPr>
        <w:t xml:space="preserve"> </w:t>
      </w:r>
    </w:p>
    <w:p w:rsidR="00240AF1" w:rsidRPr="007A3A90" w:rsidRDefault="0058377A" w:rsidP="00A918FC">
      <w:pPr>
        <w:pStyle w:val="SE4ALLbodycopy"/>
        <w:rPr>
          <w:lang w:val="ru-RU"/>
        </w:rPr>
      </w:pPr>
      <w:r>
        <w:rPr>
          <w:lang w:val="ru-RU"/>
        </w:rPr>
        <w:t>Что</w:t>
      </w:r>
      <w:r w:rsidRPr="0058377A">
        <w:rPr>
          <w:lang w:val="ru-RU"/>
        </w:rPr>
        <w:t xml:space="preserve"> </w:t>
      </w:r>
      <w:r>
        <w:rPr>
          <w:lang w:val="ru-RU"/>
        </w:rPr>
        <w:t>необходимо</w:t>
      </w:r>
      <w:r w:rsidR="00D513C9">
        <w:rPr>
          <w:lang w:val="ru-RU"/>
        </w:rPr>
        <w:t xml:space="preserve"> сделать</w:t>
      </w:r>
      <w:r w:rsidRPr="0058377A">
        <w:rPr>
          <w:lang w:val="ru-RU"/>
        </w:rPr>
        <w:t xml:space="preserve">, </w:t>
      </w:r>
      <w:r>
        <w:rPr>
          <w:lang w:val="ru-RU"/>
        </w:rPr>
        <w:t>чтобы</w:t>
      </w:r>
      <w:r w:rsidRPr="0058377A">
        <w:rPr>
          <w:lang w:val="ru-RU"/>
        </w:rPr>
        <w:t xml:space="preserve"> </w:t>
      </w:r>
      <w:r w:rsidR="00D513C9">
        <w:rPr>
          <w:lang w:val="ru-RU"/>
        </w:rPr>
        <w:t xml:space="preserve">выполнить </w:t>
      </w:r>
      <w:r>
        <w:rPr>
          <w:lang w:val="ru-RU"/>
        </w:rPr>
        <w:t>три</w:t>
      </w:r>
      <w:r w:rsidRPr="0058377A">
        <w:rPr>
          <w:lang w:val="ru-RU"/>
        </w:rPr>
        <w:t xml:space="preserve"> </w:t>
      </w:r>
      <w:r>
        <w:rPr>
          <w:lang w:val="ru-RU"/>
        </w:rPr>
        <w:t>энергетические</w:t>
      </w:r>
      <w:r w:rsidRPr="0058377A">
        <w:rPr>
          <w:lang w:val="ru-RU"/>
        </w:rPr>
        <w:t xml:space="preserve"> </w:t>
      </w:r>
      <w:r w:rsidR="00D513C9">
        <w:rPr>
          <w:lang w:val="ru-RU"/>
        </w:rPr>
        <w:t xml:space="preserve">задачи </w:t>
      </w:r>
      <w:r>
        <w:rPr>
          <w:lang w:val="ru-RU"/>
        </w:rPr>
        <w:t>инициативы</w:t>
      </w:r>
      <w:r w:rsidR="00630EAE" w:rsidRPr="0058377A">
        <w:rPr>
          <w:lang w:val="ru-RU"/>
        </w:rPr>
        <w:t xml:space="preserve"> </w:t>
      </w:r>
      <w:r w:rsidR="001947E9">
        <w:rPr>
          <w:lang w:val="ru-RU"/>
        </w:rPr>
        <w:t>"Устойчивая энергетика для всех"</w:t>
      </w:r>
      <w:r w:rsidRPr="0058377A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630EAE" w:rsidRPr="0058377A">
        <w:rPr>
          <w:lang w:val="ru-RU"/>
        </w:rPr>
        <w:t>2030</w:t>
      </w:r>
      <w:r w:rsidR="001947E9">
        <w:rPr>
          <w:lang w:val="ru-RU"/>
        </w:rPr>
        <w:t> </w:t>
      </w:r>
      <w:r>
        <w:rPr>
          <w:lang w:val="ru-RU"/>
        </w:rPr>
        <w:t>г</w:t>
      </w:r>
      <w:r w:rsidR="001947E9">
        <w:rPr>
          <w:lang w:val="ru-RU"/>
        </w:rPr>
        <w:t>оду</w:t>
      </w:r>
      <w:r w:rsidR="00630EAE" w:rsidRPr="0058377A">
        <w:rPr>
          <w:lang w:val="ru-RU"/>
        </w:rPr>
        <w:t xml:space="preserve">? </w:t>
      </w:r>
      <w:r w:rsidR="00D513C9">
        <w:rPr>
          <w:lang w:val="ru-RU"/>
        </w:rPr>
        <w:t>С</w:t>
      </w:r>
      <w:r>
        <w:rPr>
          <w:lang w:val="ru-RU"/>
        </w:rPr>
        <w:t>ценари</w:t>
      </w:r>
      <w:r w:rsidR="00D513C9">
        <w:rPr>
          <w:lang w:val="ru-RU"/>
        </w:rPr>
        <w:t>и</w:t>
      </w:r>
      <w:r>
        <w:rPr>
          <w:lang w:val="ru-RU"/>
        </w:rPr>
        <w:t xml:space="preserve">, </w:t>
      </w:r>
      <w:r w:rsidR="00D513C9">
        <w:rPr>
          <w:lang w:val="ru-RU"/>
        </w:rPr>
        <w:t xml:space="preserve">разработанные на основе </w:t>
      </w:r>
      <w:r>
        <w:rPr>
          <w:lang w:val="ru-RU"/>
        </w:rPr>
        <w:t>глобальных</w:t>
      </w:r>
      <w:r w:rsidRPr="0058377A">
        <w:rPr>
          <w:lang w:val="ru-RU"/>
        </w:rPr>
        <w:t xml:space="preserve"> </w:t>
      </w:r>
      <w:r>
        <w:rPr>
          <w:lang w:val="ru-RU"/>
        </w:rPr>
        <w:t>энергетических</w:t>
      </w:r>
      <w:r w:rsidRPr="0058377A">
        <w:rPr>
          <w:lang w:val="ru-RU"/>
        </w:rPr>
        <w:t xml:space="preserve"> </w:t>
      </w:r>
      <w:r>
        <w:rPr>
          <w:lang w:val="ru-RU"/>
        </w:rPr>
        <w:t>модел</w:t>
      </w:r>
      <w:r w:rsidR="00D513C9">
        <w:rPr>
          <w:lang w:val="ru-RU"/>
        </w:rPr>
        <w:t>ей</w:t>
      </w:r>
      <w:r>
        <w:rPr>
          <w:lang w:val="ru-RU"/>
        </w:rPr>
        <w:t xml:space="preserve">, </w:t>
      </w:r>
      <w:r w:rsidR="00D513C9">
        <w:rPr>
          <w:lang w:val="ru-RU"/>
        </w:rPr>
        <w:t xml:space="preserve">позволяет </w:t>
      </w:r>
      <w:r>
        <w:rPr>
          <w:lang w:val="ru-RU"/>
        </w:rPr>
        <w:t>оценить</w:t>
      </w:r>
      <w:r w:rsidRPr="0058377A">
        <w:rPr>
          <w:lang w:val="ru-RU"/>
        </w:rPr>
        <w:t xml:space="preserve"> </w:t>
      </w:r>
      <w:r>
        <w:rPr>
          <w:lang w:val="ru-RU"/>
        </w:rPr>
        <w:t>масштаб</w:t>
      </w:r>
      <w:r w:rsidRPr="0058377A">
        <w:rPr>
          <w:lang w:val="ru-RU"/>
        </w:rPr>
        <w:t xml:space="preserve"> </w:t>
      </w:r>
      <w:r w:rsidR="00D513C9">
        <w:rPr>
          <w:lang w:val="ru-RU"/>
        </w:rPr>
        <w:t xml:space="preserve">тех глобальных </w:t>
      </w:r>
      <w:r>
        <w:rPr>
          <w:lang w:val="ru-RU"/>
        </w:rPr>
        <w:t>усилий</w:t>
      </w:r>
      <w:r w:rsidR="00D513C9">
        <w:rPr>
          <w:lang w:val="ru-RU"/>
        </w:rPr>
        <w:t xml:space="preserve">, которые </w:t>
      </w:r>
      <w:r>
        <w:rPr>
          <w:lang w:val="ru-RU"/>
        </w:rPr>
        <w:t>необходимы для достижения этих трех целей</w:t>
      </w:r>
      <w:r w:rsidR="00E15C2C" w:rsidRPr="0058377A">
        <w:rPr>
          <w:lang w:val="ru-RU"/>
        </w:rPr>
        <w:t>.</w:t>
      </w:r>
      <w:r w:rsidR="00CA756A" w:rsidRPr="0058377A">
        <w:rPr>
          <w:lang w:val="ru-RU"/>
        </w:rPr>
        <w:t xml:space="preserve"> </w:t>
      </w:r>
      <w:r w:rsidR="00D513C9">
        <w:rPr>
          <w:lang w:val="ru-RU"/>
        </w:rPr>
        <w:t xml:space="preserve">Эти сценарии </w:t>
      </w:r>
      <w:r w:rsidR="003019F5">
        <w:rPr>
          <w:lang w:val="ru-RU"/>
        </w:rPr>
        <w:t>со всей ясностью показывают, что обычного хода деятельности далеко не достаточно.</w:t>
      </w:r>
      <w:r w:rsidR="00CA756A" w:rsidRPr="0058377A">
        <w:rPr>
          <w:lang w:val="ru-RU"/>
        </w:rPr>
        <w:t xml:space="preserve"> </w:t>
      </w:r>
      <w:r>
        <w:rPr>
          <w:lang w:val="ru-RU"/>
        </w:rPr>
        <w:t>Что</w:t>
      </w:r>
      <w:r w:rsidRPr="0058377A">
        <w:rPr>
          <w:lang w:val="ru-RU"/>
        </w:rPr>
        <w:t xml:space="preserve"> </w:t>
      </w:r>
      <w:r>
        <w:rPr>
          <w:lang w:val="ru-RU"/>
        </w:rPr>
        <w:t>касается</w:t>
      </w:r>
      <w:r w:rsidRPr="0058377A">
        <w:rPr>
          <w:lang w:val="ru-RU"/>
        </w:rPr>
        <w:t xml:space="preserve"> </w:t>
      </w:r>
      <w:r>
        <w:rPr>
          <w:lang w:val="ru-RU"/>
        </w:rPr>
        <w:t>всеобщего</w:t>
      </w:r>
      <w:r w:rsidRPr="0058377A">
        <w:rPr>
          <w:lang w:val="ru-RU"/>
        </w:rPr>
        <w:t xml:space="preserve"> </w:t>
      </w:r>
      <w:r>
        <w:rPr>
          <w:lang w:val="ru-RU"/>
        </w:rPr>
        <w:t>доступа</w:t>
      </w:r>
      <w:r w:rsidR="003019F5">
        <w:rPr>
          <w:lang w:val="ru-RU"/>
        </w:rPr>
        <w:t>, то при обычном ходе деятельности к 2030 году</w:t>
      </w:r>
      <w:r w:rsidRPr="0058377A">
        <w:rPr>
          <w:lang w:val="ru-RU"/>
        </w:rPr>
        <w:t xml:space="preserve"> 12</w:t>
      </w:r>
      <w:r w:rsidR="005B1176">
        <w:rPr>
          <w:lang w:val="ru-RU"/>
        </w:rPr>
        <w:t> процентов</w:t>
      </w:r>
      <w:r w:rsidRPr="0058377A">
        <w:rPr>
          <w:lang w:val="ru-RU"/>
        </w:rPr>
        <w:t xml:space="preserve"> </w:t>
      </w:r>
      <w:r>
        <w:rPr>
          <w:lang w:val="ru-RU"/>
        </w:rPr>
        <w:t>населения</w:t>
      </w:r>
      <w:r w:rsidRPr="0058377A">
        <w:rPr>
          <w:lang w:val="ru-RU"/>
        </w:rPr>
        <w:t xml:space="preserve"> </w:t>
      </w:r>
      <w:r>
        <w:rPr>
          <w:lang w:val="ru-RU"/>
        </w:rPr>
        <w:t>останется</w:t>
      </w:r>
      <w:r w:rsidRPr="0058377A">
        <w:rPr>
          <w:lang w:val="ru-RU"/>
        </w:rPr>
        <w:t xml:space="preserve"> </w:t>
      </w:r>
      <w:r>
        <w:rPr>
          <w:lang w:val="ru-RU"/>
        </w:rPr>
        <w:t>без</w:t>
      </w:r>
      <w:r w:rsidRPr="0058377A">
        <w:rPr>
          <w:lang w:val="ru-RU"/>
        </w:rPr>
        <w:t xml:space="preserve"> </w:t>
      </w:r>
      <w:r>
        <w:rPr>
          <w:lang w:val="ru-RU"/>
        </w:rPr>
        <w:t>электроснабжения</w:t>
      </w:r>
      <w:r w:rsidRPr="0058377A">
        <w:rPr>
          <w:lang w:val="ru-RU"/>
        </w:rPr>
        <w:t xml:space="preserve">, </w:t>
      </w:r>
      <w:r>
        <w:rPr>
          <w:lang w:val="ru-RU"/>
        </w:rPr>
        <w:t>а</w:t>
      </w:r>
      <w:r w:rsidRPr="0058377A">
        <w:rPr>
          <w:lang w:val="ru-RU"/>
        </w:rPr>
        <w:t xml:space="preserve"> 31</w:t>
      </w:r>
      <w:r w:rsidR="005B1176">
        <w:rPr>
          <w:lang w:val="ru-RU"/>
        </w:rPr>
        <w:t> процент</w:t>
      </w:r>
      <w:r>
        <w:rPr>
          <w:lang w:val="ru-RU"/>
        </w:rPr>
        <w:t xml:space="preserve"> населения </w:t>
      </w:r>
      <w:r w:rsidR="00D513C9">
        <w:rPr>
          <w:lang w:val="ru-RU"/>
        </w:rPr>
        <w:t xml:space="preserve">в мире </w:t>
      </w:r>
      <w:r>
        <w:rPr>
          <w:lang w:val="ru-RU"/>
        </w:rPr>
        <w:t>не будет иметь доступ к современным техн</w:t>
      </w:r>
      <w:r w:rsidR="00D513C9">
        <w:rPr>
          <w:lang w:val="ru-RU"/>
        </w:rPr>
        <w:t>ологиям</w:t>
      </w:r>
      <w:r w:rsidR="008725C9">
        <w:rPr>
          <w:lang w:val="ru-RU"/>
        </w:rPr>
        <w:t xml:space="preserve"> </w:t>
      </w:r>
      <w:r>
        <w:rPr>
          <w:lang w:val="ru-RU"/>
        </w:rPr>
        <w:t xml:space="preserve">в области приготовления </w:t>
      </w:r>
      <w:r>
        <w:rPr>
          <w:lang w:val="ru-RU"/>
        </w:rPr>
        <w:lastRenderedPageBreak/>
        <w:t>пищи.</w:t>
      </w:r>
      <w:r w:rsidR="00CA756A" w:rsidRPr="0058377A">
        <w:rPr>
          <w:lang w:val="ru-RU"/>
        </w:rPr>
        <w:t xml:space="preserve"> </w:t>
      </w:r>
      <w:r>
        <w:rPr>
          <w:lang w:val="ru-RU"/>
        </w:rPr>
        <w:t xml:space="preserve">Что касается энергоэффективности, </w:t>
      </w:r>
      <w:r w:rsidR="003019F5">
        <w:rPr>
          <w:lang w:val="ru-RU"/>
        </w:rPr>
        <w:t xml:space="preserve">то </w:t>
      </w:r>
      <w:r>
        <w:rPr>
          <w:lang w:val="ru-RU"/>
        </w:rPr>
        <w:t xml:space="preserve">реализация всех </w:t>
      </w:r>
      <w:r w:rsidR="003019F5">
        <w:rPr>
          <w:lang w:val="ru-RU"/>
        </w:rPr>
        <w:t>разработанных</w:t>
      </w:r>
      <w:r>
        <w:rPr>
          <w:lang w:val="ru-RU"/>
        </w:rPr>
        <w:t xml:space="preserve"> </w:t>
      </w:r>
      <w:r w:rsidR="003019F5">
        <w:rPr>
          <w:lang w:val="ru-RU"/>
        </w:rPr>
        <w:t>к</w:t>
      </w:r>
      <w:r>
        <w:rPr>
          <w:lang w:val="ru-RU"/>
        </w:rPr>
        <w:t xml:space="preserve"> настояще</w:t>
      </w:r>
      <w:r w:rsidR="003019F5">
        <w:rPr>
          <w:lang w:val="ru-RU"/>
        </w:rPr>
        <w:t>му</w:t>
      </w:r>
      <w:r>
        <w:rPr>
          <w:lang w:val="ru-RU"/>
        </w:rPr>
        <w:t xml:space="preserve"> врем</w:t>
      </w:r>
      <w:r w:rsidR="003019F5">
        <w:rPr>
          <w:lang w:val="ru-RU"/>
        </w:rPr>
        <w:t>ени</w:t>
      </w:r>
      <w:r>
        <w:rPr>
          <w:lang w:val="ru-RU"/>
        </w:rPr>
        <w:t xml:space="preserve"> мер с разумным сроком окупаемости проектов будет достаточна для того, чтобы выполнить или </w:t>
      </w:r>
      <w:r w:rsidR="003019F5">
        <w:rPr>
          <w:lang w:val="ru-RU"/>
        </w:rPr>
        <w:t xml:space="preserve">даже </w:t>
      </w:r>
      <w:r>
        <w:rPr>
          <w:lang w:val="ru-RU"/>
        </w:rPr>
        <w:t>перевыполнить цели</w:t>
      </w:r>
      <w:r w:rsidR="00D513C9">
        <w:rPr>
          <w:lang w:val="ru-RU"/>
        </w:rPr>
        <w:t xml:space="preserve">, поставленные </w:t>
      </w:r>
      <w:r>
        <w:rPr>
          <w:lang w:val="ru-RU"/>
        </w:rPr>
        <w:t>инициатив</w:t>
      </w:r>
      <w:r w:rsidR="00D513C9">
        <w:rPr>
          <w:lang w:val="ru-RU"/>
        </w:rPr>
        <w:t>ой</w:t>
      </w:r>
      <w:r>
        <w:rPr>
          <w:lang w:val="ru-RU"/>
        </w:rPr>
        <w:t xml:space="preserve"> </w:t>
      </w:r>
      <w:r w:rsidR="003019F5">
        <w:rPr>
          <w:lang w:val="ru-RU"/>
        </w:rPr>
        <w:t>"Устойчивая энергетика для всех"</w:t>
      </w:r>
      <w:r w:rsidR="00E1304B" w:rsidRPr="0058377A">
        <w:rPr>
          <w:lang w:val="ru-RU"/>
        </w:rPr>
        <w:t xml:space="preserve">. </w:t>
      </w:r>
      <w:r>
        <w:rPr>
          <w:lang w:val="ru-RU"/>
        </w:rPr>
        <w:t>Однако</w:t>
      </w:r>
      <w:r w:rsidRPr="0058377A">
        <w:rPr>
          <w:lang w:val="ru-RU"/>
        </w:rPr>
        <w:t xml:space="preserve"> </w:t>
      </w:r>
      <w:r>
        <w:rPr>
          <w:lang w:val="ru-RU"/>
        </w:rPr>
        <w:t>на</w:t>
      </w:r>
      <w:r w:rsidRPr="0058377A">
        <w:rPr>
          <w:lang w:val="ru-RU"/>
        </w:rPr>
        <w:t xml:space="preserve"> </w:t>
      </w:r>
      <w:r>
        <w:rPr>
          <w:lang w:val="ru-RU"/>
        </w:rPr>
        <w:t>пути</w:t>
      </w:r>
      <w:r w:rsidRPr="0058377A">
        <w:rPr>
          <w:lang w:val="ru-RU"/>
        </w:rPr>
        <w:t xml:space="preserve"> </w:t>
      </w:r>
      <w:r w:rsidR="00D513C9">
        <w:rPr>
          <w:lang w:val="ru-RU"/>
        </w:rPr>
        <w:t>реализации</w:t>
      </w:r>
      <w:r w:rsidRPr="0058377A">
        <w:rPr>
          <w:lang w:val="ru-RU"/>
        </w:rPr>
        <w:t xml:space="preserve"> </w:t>
      </w:r>
      <w:r>
        <w:rPr>
          <w:lang w:val="ru-RU"/>
        </w:rPr>
        <w:t>многих</w:t>
      </w:r>
      <w:r w:rsidRPr="0058377A">
        <w:rPr>
          <w:lang w:val="ru-RU"/>
        </w:rPr>
        <w:t xml:space="preserve"> </w:t>
      </w:r>
      <w:r>
        <w:rPr>
          <w:lang w:val="ru-RU"/>
        </w:rPr>
        <w:t>из</w:t>
      </w:r>
      <w:r w:rsidRPr="0058377A">
        <w:rPr>
          <w:lang w:val="ru-RU"/>
        </w:rPr>
        <w:t xml:space="preserve"> </w:t>
      </w:r>
      <w:r>
        <w:rPr>
          <w:lang w:val="ru-RU"/>
        </w:rPr>
        <w:t>этих</w:t>
      </w:r>
      <w:r w:rsidRPr="0058377A">
        <w:rPr>
          <w:lang w:val="ru-RU"/>
        </w:rPr>
        <w:t xml:space="preserve"> </w:t>
      </w:r>
      <w:r>
        <w:rPr>
          <w:lang w:val="ru-RU"/>
        </w:rPr>
        <w:t>мер</w:t>
      </w:r>
      <w:r w:rsidR="003019F5">
        <w:rPr>
          <w:lang w:val="ru-RU"/>
        </w:rPr>
        <w:t xml:space="preserve"> существуют барьеры</w:t>
      </w:r>
      <w:r w:rsidRPr="0058377A">
        <w:rPr>
          <w:lang w:val="ru-RU"/>
        </w:rPr>
        <w:t xml:space="preserve">, </w:t>
      </w:r>
      <w:r>
        <w:rPr>
          <w:lang w:val="ru-RU"/>
        </w:rPr>
        <w:t>что</w:t>
      </w:r>
      <w:r w:rsidRPr="0058377A">
        <w:rPr>
          <w:lang w:val="ru-RU"/>
        </w:rPr>
        <w:t xml:space="preserve"> </w:t>
      </w:r>
      <w:r>
        <w:rPr>
          <w:lang w:val="ru-RU"/>
        </w:rPr>
        <w:t>приводит</w:t>
      </w:r>
      <w:r w:rsidRPr="0058377A">
        <w:rPr>
          <w:lang w:val="ru-RU"/>
        </w:rPr>
        <w:t xml:space="preserve"> </w:t>
      </w:r>
      <w:r>
        <w:rPr>
          <w:lang w:val="ru-RU"/>
        </w:rPr>
        <w:t>к</w:t>
      </w:r>
      <w:r w:rsidRPr="0058377A">
        <w:rPr>
          <w:lang w:val="ru-RU"/>
        </w:rPr>
        <w:t xml:space="preserve"> </w:t>
      </w:r>
      <w:r>
        <w:rPr>
          <w:lang w:val="ru-RU"/>
        </w:rPr>
        <w:t>относительному</w:t>
      </w:r>
      <w:r w:rsidRPr="0058377A">
        <w:rPr>
          <w:lang w:val="ru-RU"/>
        </w:rPr>
        <w:t xml:space="preserve"> </w:t>
      </w:r>
      <w:r>
        <w:rPr>
          <w:lang w:val="ru-RU"/>
        </w:rPr>
        <w:t>низкому</w:t>
      </w:r>
      <w:r w:rsidRPr="0058377A">
        <w:rPr>
          <w:lang w:val="ru-RU"/>
        </w:rPr>
        <w:t xml:space="preserve"> </w:t>
      </w:r>
      <w:r>
        <w:rPr>
          <w:lang w:val="ru-RU"/>
        </w:rPr>
        <w:t>уровню</w:t>
      </w:r>
      <w:r w:rsidRPr="0058377A">
        <w:rPr>
          <w:lang w:val="ru-RU"/>
        </w:rPr>
        <w:t xml:space="preserve"> </w:t>
      </w:r>
      <w:r>
        <w:rPr>
          <w:lang w:val="ru-RU"/>
        </w:rPr>
        <w:t>их</w:t>
      </w:r>
      <w:r w:rsidRPr="0058377A">
        <w:rPr>
          <w:lang w:val="ru-RU"/>
        </w:rPr>
        <w:t xml:space="preserve"> </w:t>
      </w:r>
      <w:r>
        <w:rPr>
          <w:lang w:val="ru-RU"/>
        </w:rPr>
        <w:t>внедрения</w:t>
      </w:r>
      <w:r w:rsidRPr="0058377A">
        <w:rPr>
          <w:lang w:val="ru-RU"/>
        </w:rPr>
        <w:t xml:space="preserve"> </w:t>
      </w:r>
      <w:r>
        <w:rPr>
          <w:lang w:val="ru-RU"/>
        </w:rPr>
        <w:t>в</w:t>
      </w:r>
      <w:r w:rsidRPr="0058377A">
        <w:rPr>
          <w:lang w:val="ru-RU"/>
        </w:rPr>
        <w:t xml:space="preserve"> </w:t>
      </w:r>
      <w:r>
        <w:rPr>
          <w:lang w:val="ru-RU"/>
        </w:rPr>
        <w:t>настоящее</w:t>
      </w:r>
      <w:r w:rsidRPr="0058377A">
        <w:rPr>
          <w:lang w:val="ru-RU"/>
        </w:rPr>
        <w:t xml:space="preserve"> </w:t>
      </w:r>
      <w:r>
        <w:rPr>
          <w:lang w:val="ru-RU"/>
        </w:rPr>
        <w:t>время</w:t>
      </w:r>
      <w:r w:rsidR="003019F5">
        <w:rPr>
          <w:lang w:val="ru-RU"/>
        </w:rPr>
        <w:t>, в пределах</w:t>
      </w:r>
      <w:r>
        <w:rPr>
          <w:lang w:val="ru-RU"/>
        </w:rPr>
        <w:t xml:space="preserve"> </w:t>
      </w:r>
      <w:r w:rsidR="007A3A90">
        <w:rPr>
          <w:lang w:val="ru-RU"/>
        </w:rPr>
        <w:t>от</w:t>
      </w:r>
      <w:r>
        <w:rPr>
          <w:lang w:val="ru-RU"/>
        </w:rPr>
        <w:t xml:space="preserve"> </w:t>
      </w:r>
      <w:r w:rsidR="00D513C9">
        <w:rPr>
          <w:lang w:val="ru-RU"/>
        </w:rPr>
        <w:t xml:space="preserve">порядка </w:t>
      </w:r>
      <w:r w:rsidR="0052439F" w:rsidRPr="0058377A">
        <w:rPr>
          <w:lang w:val="ru-RU"/>
        </w:rPr>
        <w:t>20</w:t>
      </w:r>
      <w:r w:rsidR="005B1176">
        <w:rPr>
          <w:lang w:val="ru-RU"/>
        </w:rPr>
        <w:t> процентов</w:t>
      </w:r>
      <w:r w:rsidR="007A3A90">
        <w:rPr>
          <w:lang w:val="ru-RU"/>
        </w:rPr>
        <w:t xml:space="preserve"> в </w:t>
      </w:r>
      <w:r w:rsidR="00D513C9">
        <w:rPr>
          <w:lang w:val="ru-RU"/>
        </w:rPr>
        <w:t xml:space="preserve">области </w:t>
      </w:r>
      <w:r w:rsidR="007A3A90">
        <w:rPr>
          <w:lang w:val="ru-RU"/>
        </w:rPr>
        <w:t>производства электроэнергии и строительство до 40</w:t>
      </w:r>
      <w:r w:rsidR="005B1176">
        <w:rPr>
          <w:lang w:val="ru-RU"/>
        </w:rPr>
        <w:t> процентов</w:t>
      </w:r>
      <w:r w:rsidR="007A3A90">
        <w:rPr>
          <w:lang w:val="ru-RU"/>
        </w:rPr>
        <w:t xml:space="preserve"> в промышленном производстве и транспортной отрасли</w:t>
      </w:r>
      <w:r w:rsidR="0052439F" w:rsidRPr="0058377A">
        <w:rPr>
          <w:lang w:val="ru-RU"/>
        </w:rPr>
        <w:t xml:space="preserve">. </w:t>
      </w:r>
      <w:r w:rsidR="007A3A90">
        <w:rPr>
          <w:lang w:val="ru-RU"/>
        </w:rPr>
        <w:t xml:space="preserve">Что касается возобновляемых источников энергии, </w:t>
      </w:r>
      <w:r w:rsidR="003019F5">
        <w:rPr>
          <w:lang w:val="ru-RU"/>
        </w:rPr>
        <w:t>то лишь немногие</w:t>
      </w:r>
      <w:r w:rsidR="007A3A90">
        <w:rPr>
          <w:lang w:val="ru-RU"/>
        </w:rPr>
        <w:t xml:space="preserve"> сценари</w:t>
      </w:r>
      <w:r w:rsidR="003019F5">
        <w:rPr>
          <w:lang w:val="ru-RU"/>
        </w:rPr>
        <w:t>и</w:t>
      </w:r>
      <w:r w:rsidR="007A3A90">
        <w:rPr>
          <w:lang w:val="ru-RU"/>
        </w:rPr>
        <w:t xml:space="preserve"> указывают на то, что доля </w:t>
      </w:r>
      <w:r w:rsidR="003019F5">
        <w:rPr>
          <w:lang w:val="ru-RU"/>
        </w:rPr>
        <w:t xml:space="preserve">таких источников </w:t>
      </w:r>
      <w:r w:rsidR="007A3A90">
        <w:rPr>
          <w:lang w:val="ru-RU"/>
        </w:rPr>
        <w:t>будет составлять около 30</w:t>
      </w:r>
      <w:r w:rsidR="005B1176">
        <w:rPr>
          <w:lang w:val="ru-RU"/>
        </w:rPr>
        <w:t> процентов</w:t>
      </w:r>
      <w:r w:rsidR="007A3A90">
        <w:rPr>
          <w:lang w:val="ru-RU"/>
        </w:rPr>
        <w:t xml:space="preserve"> к 2030 г</w:t>
      </w:r>
      <w:r w:rsidR="003019F5">
        <w:rPr>
          <w:lang w:val="ru-RU"/>
        </w:rPr>
        <w:t>оду</w:t>
      </w:r>
      <w:r w:rsidR="007A3A90">
        <w:rPr>
          <w:lang w:val="ru-RU"/>
        </w:rPr>
        <w:t>.</w:t>
      </w:r>
      <w:r w:rsidR="00403B80" w:rsidRPr="007A3A90">
        <w:rPr>
          <w:lang w:val="ru-RU"/>
        </w:rPr>
        <w:t xml:space="preserve"> </w:t>
      </w:r>
    </w:p>
    <w:p w:rsidR="00077CC6" w:rsidRPr="007A3A90" w:rsidRDefault="007A3A90" w:rsidP="00961B15">
      <w:pPr>
        <w:pStyle w:val="SE4ALLbodycopy"/>
        <w:rPr>
          <w:lang w:val="ru-RU"/>
        </w:rPr>
      </w:pPr>
      <w:r>
        <w:rPr>
          <w:lang w:val="ru-RU"/>
        </w:rPr>
        <w:t xml:space="preserve">По оценкам, </w:t>
      </w:r>
      <w:r w:rsidR="003019F5">
        <w:rPr>
          <w:lang w:val="ru-RU"/>
        </w:rPr>
        <w:t>в 2010 году общемировые инвестиции</w:t>
      </w:r>
      <w:r w:rsidR="004E7052">
        <w:rPr>
          <w:lang w:val="ru-RU"/>
        </w:rPr>
        <w:t xml:space="preserve"> в области</w:t>
      </w:r>
      <w:r w:rsidR="003019F5">
        <w:rPr>
          <w:lang w:val="ru-RU"/>
        </w:rPr>
        <w:t xml:space="preserve">, охваченные тремя целями Инициативы, составили </w:t>
      </w:r>
      <w:r>
        <w:rPr>
          <w:lang w:val="ru-RU"/>
        </w:rPr>
        <w:t>400</w:t>
      </w:r>
      <w:r w:rsidR="003019F5">
        <w:rPr>
          <w:lang w:val="ru-RU"/>
        </w:rPr>
        <w:t> </w:t>
      </w:r>
      <w:r>
        <w:rPr>
          <w:lang w:val="ru-RU"/>
        </w:rPr>
        <w:t>млрд.</w:t>
      </w:r>
      <w:r w:rsidR="003019F5">
        <w:rPr>
          <w:lang w:val="ru-RU"/>
        </w:rPr>
        <w:t> </w:t>
      </w:r>
      <w:r>
        <w:rPr>
          <w:lang w:val="ru-RU"/>
        </w:rPr>
        <w:t>долл. США</w:t>
      </w:r>
      <w:r w:rsidR="00A82A8C" w:rsidRPr="007A3A90">
        <w:rPr>
          <w:lang w:val="ru-RU"/>
        </w:rPr>
        <w:t xml:space="preserve">. </w:t>
      </w:r>
      <w:r>
        <w:rPr>
          <w:lang w:val="ru-RU"/>
        </w:rPr>
        <w:t>Согласно</w:t>
      </w:r>
      <w:r w:rsidRPr="007A3A90">
        <w:rPr>
          <w:lang w:val="ru-RU"/>
        </w:rPr>
        <w:t xml:space="preserve"> </w:t>
      </w:r>
      <w:r>
        <w:rPr>
          <w:lang w:val="ru-RU"/>
        </w:rPr>
        <w:t>предварительным</w:t>
      </w:r>
      <w:r w:rsidRPr="007A3A90">
        <w:rPr>
          <w:lang w:val="ru-RU"/>
        </w:rPr>
        <w:t xml:space="preserve"> </w:t>
      </w:r>
      <w:r>
        <w:rPr>
          <w:lang w:val="ru-RU"/>
        </w:rPr>
        <w:t>оценкам</w:t>
      </w:r>
      <w:r w:rsidRPr="007A3A90">
        <w:rPr>
          <w:lang w:val="ru-RU"/>
        </w:rPr>
        <w:t xml:space="preserve">, </w:t>
      </w:r>
      <w:r>
        <w:rPr>
          <w:lang w:val="ru-RU"/>
        </w:rPr>
        <w:t>уровень</w:t>
      </w:r>
      <w:r w:rsidRPr="007A3A90">
        <w:rPr>
          <w:lang w:val="ru-RU"/>
        </w:rPr>
        <w:t xml:space="preserve"> </w:t>
      </w:r>
      <w:r>
        <w:rPr>
          <w:lang w:val="ru-RU"/>
        </w:rPr>
        <w:t>инвестиций</w:t>
      </w:r>
      <w:r w:rsidRPr="007A3A90">
        <w:rPr>
          <w:lang w:val="ru-RU"/>
        </w:rPr>
        <w:t xml:space="preserve">, </w:t>
      </w:r>
      <w:r>
        <w:rPr>
          <w:lang w:val="ru-RU"/>
        </w:rPr>
        <w:t>необходимый</w:t>
      </w:r>
      <w:r w:rsidRPr="007A3A90">
        <w:rPr>
          <w:lang w:val="ru-RU"/>
        </w:rPr>
        <w:t xml:space="preserve"> </w:t>
      </w:r>
      <w:r>
        <w:rPr>
          <w:lang w:val="ru-RU"/>
        </w:rPr>
        <w:t>для</w:t>
      </w:r>
      <w:r w:rsidRPr="007A3A90">
        <w:rPr>
          <w:lang w:val="ru-RU"/>
        </w:rPr>
        <w:t xml:space="preserve"> </w:t>
      </w:r>
      <w:r w:rsidRPr="003019F5">
        <w:rPr>
          <w:i/>
          <w:lang w:val="ru-RU"/>
        </w:rPr>
        <w:t>достижения</w:t>
      </w:r>
      <w:r w:rsidRPr="007A3A90">
        <w:rPr>
          <w:lang w:val="ru-RU"/>
        </w:rPr>
        <w:t xml:space="preserve"> </w:t>
      </w:r>
      <w:r>
        <w:rPr>
          <w:lang w:val="ru-RU"/>
        </w:rPr>
        <w:t>этих</w:t>
      </w:r>
      <w:r w:rsidRPr="007A3A90">
        <w:rPr>
          <w:lang w:val="ru-RU"/>
        </w:rPr>
        <w:t xml:space="preserve"> </w:t>
      </w:r>
      <w:r>
        <w:rPr>
          <w:lang w:val="ru-RU"/>
        </w:rPr>
        <w:t>трех</w:t>
      </w:r>
      <w:r w:rsidRPr="007A3A90">
        <w:rPr>
          <w:lang w:val="ru-RU"/>
        </w:rPr>
        <w:t xml:space="preserve"> </w:t>
      </w:r>
      <w:r>
        <w:rPr>
          <w:lang w:val="ru-RU"/>
        </w:rPr>
        <w:t>целей</w:t>
      </w:r>
      <w:r w:rsidRPr="007A3A90">
        <w:rPr>
          <w:lang w:val="ru-RU"/>
        </w:rPr>
        <w:t xml:space="preserve">, </w:t>
      </w:r>
      <w:r>
        <w:rPr>
          <w:lang w:val="ru-RU"/>
        </w:rPr>
        <w:t>должен</w:t>
      </w:r>
      <w:r w:rsidRPr="007A3A90">
        <w:rPr>
          <w:lang w:val="ru-RU"/>
        </w:rPr>
        <w:t xml:space="preserve"> </w:t>
      </w:r>
      <w:r>
        <w:rPr>
          <w:lang w:val="ru-RU"/>
        </w:rPr>
        <w:t>превышать уровень текущих инвестиций,</w:t>
      </w:r>
      <w:r w:rsidRPr="007A3A90">
        <w:rPr>
          <w:lang w:val="ru-RU"/>
        </w:rPr>
        <w:t xml:space="preserve"> </w:t>
      </w:r>
      <w:r>
        <w:rPr>
          <w:lang w:val="ru-RU"/>
        </w:rPr>
        <w:t>по</w:t>
      </w:r>
      <w:r w:rsidRPr="007A3A90">
        <w:rPr>
          <w:lang w:val="ru-RU"/>
        </w:rPr>
        <w:t xml:space="preserve"> </w:t>
      </w:r>
      <w:r>
        <w:rPr>
          <w:lang w:val="ru-RU"/>
        </w:rPr>
        <w:t>меньшей</w:t>
      </w:r>
      <w:r w:rsidRPr="007A3A90">
        <w:rPr>
          <w:lang w:val="ru-RU"/>
        </w:rPr>
        <w:t xml:space="preserve"> </w:t>
      </w:r>
      <w:r>
        <w:rPr>
          <w:lang w:val="ru-RU"/>
        </w:rPr>
        <w:t>мере,</w:t>
      </w:r>
      <w:r w:rsidRPr="007A3A90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EF041C" w:rsidRPr="007A3A90">
        <w:rPr>
          <w:lang w:val="ru-RU"/>
        </w:rPr>
        <w:t>6</w:t>
      </w:r>
      <w:r w:rsidR="00A82A8C" w:rsidRPr="007A3A90">
        <w:rPr>
          <w:lang w:val="ru-RU"/>
        </w:rPr>
        <w:t>00–</w:t>
      </w:r>
      <w:r w:rsidR="00EF041C" w:rsidRPr="007A3A90">
        <w:rPr>
          <w:lang w:val="ru-RU"/>
        </w:rPr>
        <w:t>8</w:t>
      </w:r>
      <w:r w:rsidR="00073F2B" w:rsidRPr="007A3A90">
        <w:rPr>
          <w:lang w:val="ru-RU"/>
        </w:rPr>
        <w:t xml:space="preserve">00 </w:t>
      </w:r>
      <w:r>
        <w:rPr>
          <w:lang w:val="ru-RU"/>
        </w:rPr>
        <w:t>млрд. долл. США</w:t>
      </w:r>
      <w:r w:rsidRPr="007A3A90">
        <w:rPr>
          <w:lang w:val="ru-RU"/>
        </w:rPr>
        <w:t xml:space="preserve"> </w:t>
      </w:r>
      <w:r>
        <w:rPr>
          <w:lang w:val="ru-RU"/>
        </w:rPr>
        <w:t>в</w:t>
      </w:r>
      <w:r w:rsidRPr="007A3A90">
        <w:rPr>
          <w:lang w:val="ru-RU"/>
        </w:rPr>
        <w:t xml:space="preserve"> </w:t>
      </w:r>
      <w:r>
        <w:rPr>
          <w:lang w:val="ru-RU"/>
        </w:rPr>
        <w:t>год</w:t>
      </w:r>
      <w:r w:rsidRPr="007A3A90">
        <w:rPr>
          <w:lang w:val="ru-RU"/>
        </w:rPr>
        <w:t xml:space="preserve">, </w:t>
      </w:r>
      <w:r>
        <w:rPr>
          <w:lang w:val="ru-RU"/>
        </w:rPr>
        <w:t>что</w:t>
      </w:r>
      <w:r w:rsidRPr="007A3A90">
        <w:rPr>
          <w:lang w:val="ru-RU"/>
        </w:rPr>
        <w:t xml:space="preserve"> </w:t>
      </w:r>
      <w:r>
        <w:rPr>
          <w:lang w:val="ru-RU"/>
        </w:rPr>
        <w:t>приведет</w:t>
      </w:r>
      <w:r w:rsidRPr="007A3A90">
        <w:rPr>
          <w:lang w:val="ru-RU"/>
        </w:rPr>
        <w:t xml:space="preserve"> </w:t>
      </w:r>
      <w:r>
        <w:rPr>
          <w:lang w:val="ru-RU"/>
        </w:rPr>
        <w:t>к</w:t>
      </w:r>
      <w:r w:rsidRPr="007A3A90">
        <w:rPr>
          <w:lang w:val="ru-RU"/>
        </w:rPr>
        <w:t xml:space="preserve"> </w:t>
      </w:r>
      <w:r>
        <w:rPr>
          <w:lang w:val="ru-RU"/>
        </w:rPr>
        <w:t>увеличению</w:t>
      </w:r>
      <w:r w:rsidRPr="007A3A90">
        <w:rPr>
          <w:lang w:val="ru-RU"/>
        </w:rPr>
        <w:t xml:space="preserve"> </w:t>
      </w:r>
      <w:r>
        <w:rPr>
          <w:lang w:val="ru-RU"/>
        </w:rPr>
        <w:t>текущего</w:t>
      </w:r>
      <w:r w:rsidRPr="007A3A90">
        <w:rPr>
          <w:lang w:val="ru-RU"/>
        </w:rPr>
        <w:t xml:space="preserve"> </w:t>
      </w:r>
      <w:r>
        <w:rPr>
          <w:lang w:val="ru-RU"/>
        </w:rPr>
        <w:t>уровня</w:t>
      </w:r>
      <w:r w:rsidRPr="007A3A90">
        <w:rPr>
          <w:lang w:val="ru-RU"/>
        </w:rPr>
        <w:t xml:space="preserve"> </w:t>
      </w:r>
      <w:r>
        <w:rPr>
          <w:lang w:val="ru-RU"/>
        </w:rPr>
        <w:t>денежных</w:t>
      </w:r>
      <w:r w:rsidRPr="007A3A90">
        <w:rPr>
          <w:lang w:val="ru-RU"/>
        </w:rPr>
        <w:t xml:space="preserve"> </w:t>
      </w:r>
      <w:r>
        <w:rPr>
          <w:lang w:val="ru-RU"/>
        </w:rPr>
        <w:t>потоков в два или три раза</w:t>
      </w:r>
      <w:r w:rsidR="00A82A8C" w:rsidRPr="007A3A90">
        <w:rPr>
          <w:lang w:val="ru-RU"/>
        </w:rPr>
        <w:t xml:space="preserve">. </w:t>
      </w:r>
      <w:r>
        <w:rPr>
          <w:lang w:val="ru-RU"/>
        </w:rPr>
        <w:t>В</w:t>
      </w:r>
      <w:r w:rsidRPr="007A3A90">
        <w:rPr>
          <w:lang w:val="ru-RU"/>
        </w:rPr>
        <w:t xml:space="preserve"> </w:t>
      </w:r>
      <w:r>
        <w:rPr>
          <w:lang w:val="ru-RU"/>
        </w:rPr>
        <w:t>основном</w:t>
      </w:r>
      <w:r w:rsidRPr="007A3A90">
        <w:rPr>
          <w:lang w:val="ru-RU"/>
        </w:rPr>
        <w:t xml:space="preserve"> </w:t>
      </w:r>
      <w:r>
        <w:rPr>
          <w:lang w:val="ru-RU"/>
        </w:rPr>
        <w:t>эти</w:t>
      </w:r>
      <w:r w:rsidRPr="007A3A90">
        <w:rPr>
          <w:lang w:val="ru-RU"/>
        </w:rPr>
        <w:t xml:space="preserve"> </w:t>
      </w:r>
      <w:r>
        <w:rPr>
          <w:lang w:val="ru-RU"/>
        </w:rPr>
        <w:t>инвестиции</w:t>
      </w:r>
      <w:r w:rsidRPr="007A3A90">
        <w:rPr>
          <w:lang w:val="ru-RU"/>
        </w:rPr>
        <w:t xml:space="preserve"> </w:t>
      </w:r>
      <w:r w:rsidR="005A0AF9">
        <w:rPr>
          <w:lang w:val="ru-RU"/>
        </w:rPr>
        <w:t>направляются</w:t>
      </w:r>
      <w:r w:rsidRPr="007A3A90">
        <w:rPr>
          <w:lang w:val="ru-RU"/>
        </w:rPr>
        <w:t xml:space="preserve"> </w:t>
      </w:r>
      <w:r>
        <w:rPr>
          <w:lang w:val="ru-RU"/>
        </w:rPr>
        <w:t>на</w:t>
      </w:r>
      <w:r w:rsidRPr="007A3A90">
        <w:rPr>
          <w:lang w:val="ru-RU"/>
        </w:rPr>
        <w:t xml:space="preserve"> </w:t>
      </w:r>
      <w:r>
        <w:rPr>
          <w:lang w:val="ru-RU"/>
        </w:rPr>
        <w:t>решение</w:t>
      </w:r>
      <w:r w:rsidRPr="007A3A90">
        <w:rPr>
          <w:lang w:val="ru-RU"/>
        </w:rPr>
        <w:t xml:space="preserve"> </w:t>
      </w:r>
      <w:r>
        <w:rPr>
          <w:lang w:val="ru-RU"/>
        </w:rPr>
        <w:t>задач</w:t>
      </w:r>
      <w:r w:rsidRPr="007A3A90">
        <w:rPr>
          <w:lang w:val="ru-RU"/>
        </w:rPr>
        <w:t xml:space="preserve"> </w:t>
      </w:r>
      <w:r>
        <w:rPr>
          <w:lang w:val="ru-RU"/>
        </w:rPr>
        <w:t>в</w:t>
      </w:r>
      <w:r w:rsidRPr="007A3A90">
        <w:rPr>
          <w:lang w:val="ru-RU"/>
        </w:rPr>
        <w:t xml:space="preserve"> </w:t>
      </w:r>
      <w:r w:rsidR="00D513C9">
        <w:rPr>
          <w:lang w:val="ru-RU"/>
        </w:rPr>
        <w:t xml:space="preserve">сфере повышения </w:t>
      </w:r>
      <w:r>
        <w:rPr>
          <w:lang w:val="ru-RU"/>
        </w:rPr>
        <w:t>энергоэффективности</w:t>
      </w:r>
      <w:r w:rsidRPr="007A3A90">
        <w:rPr>
          <w:lang w:val="ru-RU"/>
        </w:rPr>
        <w:t xml:space="preserve"> </w:t>
      </w:r>
      <w:r>
        <w:rPr>
          <w:lang w:val="ru-RU"/>
        </w:rPr>
        <w:t>и</w:t>
      </w:r>
      <w:r w:rsidRPr="007A3A90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A3A90">
        <w:rPr>
          <w:lang w:val="ru-RU"/>
        </w:rPr>
        <w:t xml:space="preserve"> </w:t>
      </w:r>
      <w:r>
        <w:rPr>
          <w:lang w:val="ru-RU"/>
        </w:rPr>
        <w:t>возобновляемых</w:t>
      </w:r>
      <w:r w:rsidRPr="007A3A90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7A3A90">
        <w:rPr>
          <w:lang w:val="ru-RU"/>
        </w:rPr>
        <w:t xml:space="preserve"> </w:t>
      </w:r>
      <w:r>
        <w:rPr>
          <w:lang w:val="ru-RU"/>
        </w:rPr>
        <w:t xml:space="preserve">энергии, а затраты на предоставление доступа составляют относительно малый процент </w:t>
      </w:r>
      <w:r w:rsidR="005A0AF9">
        <w:rPr>
          <w:lang w:val="ru-RU"/>
        </w:rPr>
        <w:t>прироста</w:t>
      </w:r>
      <w:r>
        <w:rPr>
          <w:lang w:val="ru-RU"/>
        </w:rPr>
        <w:t xml:space="preserve"> издержек</w:t>
      </w:r>
      <w:r w:rsidR="00A82A8C" w:rsidRPr="007A3A90">
        <w:rPr>
          <w:lang w:val="ru-RU"/>
        </w:rPr>
        <w:t xml:space="preserve"> (10–20 </w:t>
      </w:r>
      <w:r>
        <w:rPr>
          <w:lang w:val="ru-RU"/>
        </w:rPr>
        <w:t>процентов</w:t>
      </w:r>
      <w:r w:rsidR="00A82A8C" w:rsidRPr="007A3A90">
        <w:rPr>
          <w:lang w:val="ru-RU"/>
        </w:rPr>
        <w:t>).</w:t>
      </w:r>
      <w:r w:rsidR="00EF0979" w:rsidRPr="007A3A90">
        <w:rPr>
          <w:lang w:val="ru-RU"/>
        </w:rPr>
        <w:t xml:space="preserve"> </w:t>
      </w:r>
      <w:r>
        <w:rPr>
          <w:lang w:val="ru-RU"/>
        </w:rPr>
        <w:t>Маловероятно достичь</w:t>
      </w:r>
      <w:r w:rsidR="00D513C9">
        <w:rPr>
          <w:lang w:val="ru-RU"/>
        </w:rPr>
        <w:t xml:space="preserve"> </w:t>
      </w:r>
      <w:r w:rsidR="005A0AF9">
        <w:rPr>
          <w:lang w:val="ru-RU"/>
        </w:rPr>
        <w:t xml:space="preserve">такого </w:t>
      </w:r>
      <w:r w:rsidR="00D513C9">
        <w:rPr>
          <w:lang w:val="ru-RU"/>
        </w:rPr>
        <w:t xml:space="preserve">резкого </w:t>
      </w:r>
      <w:r>
        <w:rPr>
          <w:lang w:val="ru-RU"/>
        </w:rPr>
        <w:t>увеличения притока финансов</w:t>
      </w:r>
      <w:r w:rsidR="005A0AF9">
        <w:rPr>
          <w:lang w:val="ru-RU"/>
        </w:rPr>
        <w:t>ых средств</w:t>
      </w:r>
      <w:r>
        <w:rPr>
          <w:lang w:val="ru-RU"/>
        </w:rPr>
        <w:t xml:space="preserve"> в энергетику без значительных инвестиций со сторон</w:t>
      </w:r>
      <w:r w:rsidR="00D513C9">
        <w:rPr>
          <w:lang w:val="ru-RU"/>
        </w:rPr>
        <w:t>ы</w:t>
      </w:r>
      <w:r>
        <w:rPr>
          <w:lang w:val="ru-RU"/>
        </w:rPr>
        <w:t xml:space="preserve"> частного сектора</w:t>
      </w:r>
      <w:r w:rsidR="00EF0979" w:rsidRPr="007A3A90">
        <w:rPr>
          <w:lang w:val="ru-RU"/>
        </w:rPr>
        <w:t>.</w:t>
      </w:r>
    </w:p>
    <w:p w:rsidR="00077CC6" w:rsidRPr="0085661C" w:rsidRDefault="005A0AF9" w:rsidP="00961B15">
      <w:pPr>
        <w:pStyle w:val="SE4ALLbodycopy"/>
        <w:rPr>
          <w:lang w:val="ru-RU"/>
        </w:rPr>
      </w:pPr>
      <w:r>
        <w:rPr>
          <w:lang w:val="ru-RU"/>
        </w:rPr>
        <w:t xml:space="preserve">Вопрос о том, </w:t>
      </w:r>
      <w:r w:rsidR="00F36722">
        <w:rPr>
          <w:lang w:val="ru-RU"/>
        </w:rPr>
        <w:t>какие политические меры необходимо принять для достижения трех задач в</w:t>
      </w:r>
      <w:r w:rsidR="007A40F1">
        <w:rPr>
          <w:lang w:val="ru-RU"/>
        </w:rPr>
        <w:t> </w:t>
      </w:r>
      <w:r w:rsidR="00F36722">
        <w:rPr>
          <w:lang w:val="ru-RU"/>
        </w:rPr>
        <w:t>области устойчиво</w:t>
      </w:r>
      <w:r w:rsidR="004E7052">
        <w:rPr>
          <w:lang w:val="ru-RU"/>
        </w:rPr>
        <w:t>й</w:t>
      </w:r>
      <w:r w:rsidR="00F36722">
        <w:rPr>
          <w:lang w:val="ru-RU"/>
        </w:rPr>
        <w:t xml:space="preserve"> энергетики, также помогают прояснить глобальные энергетические модели.</w:t>
      </w:r>
      <w:r w:rsidR="00A82A8C" w:rsidRPr="00B176DA">
        <w:rPr>
          <w:lang w:val="ru-RU"/>
        </w:rPr>
        <w:t xml:space="preserve"> </w:t>
      </w:r>
      <w:r w:rsidR="00D513C9">
        <w:rPr>
          <w:lang w:val="ru-RU"/>
        </w:rPr>
        <w:t xml:space="preserve">Как в </w:t>
      </w:r>
      <w:r w:rsidR="00F36722">
        <w:rPr>
          <w:lang w:val="ru-RU"/>
        </w:rPr>
        <w:t>"</w:t>
      </w:r>
      <w:r w:rsidR="00353C09">
        <w:rPr>
          <w:lang w:val="ru-RU"/>
        </w:rPr>
        <w:t>Доклад</w:t>
      </w:r>
      <w:r w:rsidR="00D513C9">
        <w:rPr>
          <w:lang w:val="ru-RU"/>
        </w:rPr>
        <w:t>е</w:t>
      </w:r>
      <w:r w:rsidR="00353C09" w:rsidRPr="0085661C">
        <w:rPr>
          <w:lang w:val="ru-RU"/>
        </w:rPr>
        <w:t xml:space="preserve"> </w:t>
      </w:r>
      <w:r w:rsidR="00353C09">
        <w:rPr>
          <w:lang w:val="ru-RU"/>
        </w:rPr>
        <w:t>о</w:t>
      </w:r>
      <w:r w:rsidR="00353C09" w:rsidRPr="0085661C">
        <w:rPr>
          <w:lang w:val="ru-RU"/>
        </w:rPr>
        <w:t xml:space="preserve"> </w:t>
      </w:r>
      <w:r w:rsidR="00353C09">
        <w:rPr>
          <w:lang w:val="ru-RU"/>
        </w:rPr>
        <w:t>состоянии</w:t>
      </w:r>
      <w:r w:rsidR="00353C09" w:rsidRPr="0085661C">
        <w:rPr>
          <w:lang w:val="ru-RU"/>
        </w:rPr>
        <w:t xml:space="preserve"> </w:t>
      </w:r>
      <w:r w:rsidR="00353C09">
        <w:rPr>
          <w:lang w:val="ru-RU"/>
        </w:rPr>
        <w:t>мировой</w:t>
      </w:r>
      <w:r w:rsidR="00353C09" w:rsidRPr="0085661C">
        <w:rPr>
          <w:lang w:val="ru-RU"/>
        </w:rPr>
        <w:t xml:space="preserve"> </w:t>
      </w:r>
      <w:r w:rsidR="00353C09">
        <w:rPr>
          <w:lang w:val="ru-RU"/>
        </w:rPr>
        <w:t>энергетики</w:t>
      </w:r>
      <w:r w:rsidR="00F36722">
        <w:rPr>
          <w:lang w:val="ru-RU"/>
        </w:rPr>
        <w:t>"</w:t>
      </w:r>
      <w:r w:rsidR="00353C09" w:rsidRPr="0085661C">
        <w:rPr>
          <w:lang w:val="ru-RU"/>
        </w:rPr>
        <w:t xml:space="preserve"> </w:t>
      </w:r>
      <w:r w:rsidR="00353C09">
        <w:rPr>
          <w:lang w:val="ru-RU"/>
        </w:rPr>
        <w:t>Международного</w:t>
      </w:r>
      <w:r w:rsidR="00353C09" w:rsidRPr="0085661C">
        <w:rPr>
          <w:lang w:val="ru-RU"/>
        </w:rPr>
        <w:t xml:space="preserve"> </w:t>
      </w:r>
      <w:r w:rsidR="00353C09">
        <w:rPr>
          <w:lang w:val="ru-RU"/>
        </w:rPr>
        <w:t>энергетического</w:t>
      </w:r>
      <w:r w:rsidR="00353C09" w:rsidRPr="0085661C">
        <w:rPr>
          <w:lang w:val="ru-RU"/>
        </w:rPr>
        <w:t xml:space="preserve"> </w:t>
      </w:r>
      <w:r w:rsidR="00353C09">
        <w:rPr>
          <w:lang w:val="ru-RU"/>
        </w:rPr>
        <w:t>агентства</w:t>
      </w:r>
      <w:r w:rsidR="00D513C9">
        <w:rPr>
          <w:lang w:val="ru-RU"/>
        </w:rPr>
        <w:t xml:space="preserve">, так </w:t>
      </w:r>
      <w:r w:rsidR="0085661C">
        <w:rPr>
          <w:lang w:val="ru-RU"/>
        </w:rPr>
        <w:t>и</w:t>
      </w:r>
      <w:r w:rsidR="0085661C" w:rsidRPr="0085661C">
        <w:rPr>
          <w:lang w:val="ru-RU"/>
        </w:rPr>
        <w:t xml:space="preserve"> </w:t>
      </w:r>
      <w:r w:rsidR="00D513C9">
        <w:rPr>
          <w:lang w:val="ru-RU"/>
        </w:rPr>
        <w:t xml:space="preserve">в </w:t>
      </w:r>
      <w:r w:rsidR="00F36722">
        <w:rPr>
          <w:lang w:val="ru-RU"/>
        </w:rPr>
        <w:t>"</w:t>
      </w:r>
      <w:r w:rsidR="0085661C">
        <w:rPr>
          <w:lang w:val="ru-RU"/>
        </w:rPr>
        <w:t>Оценк</w:t>
      </w:r>
      <w:r w:rsidR="00F36722">
        <w:rPr>
          <w:lang w:val="ru-RU"/>
        </w:rPr>
        <w:t>е</w:t>
      </w:r>
      <w:r w:rsidR="0085661C" w:rsidRPr="0085661C">
        <w:rPr>
          <w:lang w:val="ru-RU"/>
        </w:rPr>
        <w:t xml:space="preserve"> </w:t>
      </w:r>
      <w:r w:rsidR="00F36722">
        <w:rPr>
          <w:lang w:val="ru-RU"/>
        </w:rPr>
        <w:t>всемирных энергетических ресурсов", подготовленной</w:t>
      </w:r>
      <w:r w:rsidR="0085661C" w:rsidRPr="0085661C">
        <w:rPr>
          <w:lang w:val="ru-RU"/>
        </w:rPr>
        <w:t xml:space="preserve"> </w:t>
      </w:r>
      <w:r w:rsidR="0085661C">
        <w:rPr>
          <w:lang w:val="ru-RU"/>
        </w:rPr>
        <w:t>Международн</w:t>
      </w:r>
      <w:r w:rsidR="00F36722">
        <w:rPr>
          <w:lang w:val="ru-RU"/>
        </w:rPr>
        <w:t>ым</w:t>
      </w:r>
      <w:r w:rsidR="0085661C" w:rsidRPr="0085661C">
        <w:rPr>
          <w:lang w:val="ru-RU"/>
        </w:rPr>
        <w:t xml:space="preserve"> </w:t>
      </w:r>
      <w:r w:rsidR="0085661C">
        <w:rPr>
          <w:lang w:val="ru-RU"/>
        </w:rPr>
        <w:t>институт</w:t>
      </w:r>
      <w:r w:rsidR="00F36722">
        <w:rPr>
          <w:lang w:val="ru-RU"/>
        </w:rPr>
        <w:t>ом</w:t>
      </w:r>
      <w:r w:rsidR="0085661C" w:rsidRPr="0085661C">
        <w:rPr>
          <w:lang w:val="ru-RU"/>
        </w:rPr>
        <w:t xml:space="preserve"> </w:t>
      </w:r>
      <w:r w:rsidR="0085661C">
        <w:rPr>
          <w:lang w:val="ru-RU"/>
        </w:rPr>
        <w:t>прикладн</w:t>
      </w:r>
      <w:r w:rsidR="00F36722">
        <w:rPr>
          <w:lang w:val="ru-RU"/>
        </w:rPr>
        <w:t xml:space="preserve">ого системного анализа, </w:t>
      </w:r>
      <w:r w:rsidR="00D513C9">
        <w:rPr>
          <w:lang w:val="ru-RU"/>
        </w:rPr>
        <w:t>отмечается</w:t>
      </w:r>
      <w:r w:rsidR="0085661C" w:rsidRPr="0085661C">
        <w:rPr>
          <w:lang w:val="ru-RU"/>
        </w:rPr>
        <w:t xml:space="preserve"> </w:t>
      </w:r>
      <w:r w:rsidR="0085661C">
        <w:rPr>
          <w:lang w:val="ru-RU"/>
        </w:rPr>
        <w:t>важность</w:t>
      </w:r>
      <w:r w:rsidR="0085661C" w:rsidRPr="0085661C">
        <w:rPr>
          <w:lang w:val="ru-RU"/>
        </w:rPr>
        <w:t xml:space="preserve"> </w:t>
      </w:r>
      <w:r w:rsidR="00F36722">
        <w:rPr>
          <w:lang w:val="ru-RU"/>
        </w:rPr>
        <w:t xml:space="preserve">поэтапной </w:t>
      </w:r>
      <w:r w:rsidR="0085661C">
        <w:rPr>
          <w:lang w:val="ru-RU"/>
        </w:rPr>
        <w:t xml:space="preserve">отмены субсидий на применение органического топлива, </w:t>
      </w:r>
      <w:r w:rsidR="00D513C9">
        <w:rPr>
          <w:lang w:val="ru-RU"/>
        </w:rPr>
        <w:t xml:space="preserve">необходимость </w:t>
      </w:r>
      <w:r w:rsidR="0085661C">
        <w:rPr>
          <w:lang w:val="ru-RU"/>
        </w:rPr>
        <w:t>ценообразования энергоносителей на основе полного отражения сопутствующих экологических затрат</w:t>
      </w:r>
      <w:r w:rsidR="00D513C9">
        <w:rPr>
          <w:lang w:val="ru-RU"/>
        </w:rPr>
        <w:t xml:space="preserve"> на местном и международном уровн</w:t>
      </w:r>
      <w:r w:rsidR="00F36722">
        <w:rPr>
          <w:lang w:val="ru-RU"/>
        </w:rPr>
        <w:t>ях</w:t>
      </w:r>
      <w:r w:rsidR="0085661C">
        <w:rPr>
          <w:lang w:val="ru-RU"/>
        </w:rPr>
        <w:t xml:space="preserve">, установления общих единообразных мировых технологических стандартов </w:t>
      </w:r>
      <w:r w:rsidR="00D513C9">
        <w:rPr>
          <w:lang w:val="ru-RU"/>
        </w:rPr>
        <w:t xml:space="preserve">в области </w:t>
      </w:r>
      <w:r w:rsidR="0085661C">
        <w:rPr>
          <w:lang w:val="ru-RU"/>
        </w:rPr>
        <w:t>энергоэффективности</w:t>
      </w:r>
      <w:r w:rsidR="00D513C9">
        <w:rPr>
          <w:lang w:val="ru-RU"/>
        </w:rPr>
        <w:t xml:space="preserve">, а также </w:t>
      </w:r>
      <w:r w:rsidR="0085661C">
        <w:rPr>
          <w:lang w:val="ru-RU"/>
        </w:rPr>
        <w:t xml:space="preserve">аккуратной разработки целевых субсидий </w:t>
      </w:r>
      <w:r w:rsidR="00D513C9">
        <w:rPr>
          <w:lang w:val="ru-RU"/>
        </w:rPr>
        <w:t xml:space="preserve">для </w:t>
      </w:r>
      <w:r w:rsidR="0085661C">
        <w:rPr>
          <w:lang w:val="ru-RU"/>
        </w:rPr>
        <w:t>повышения доступа к электроснабжению и экологически чистым видам топлива, используемых для приготовления пищи.</w:t>
      </w:r>
      <w:r w:rsidR="00F51C6B" w:rsidRPr="0085661C">
        <w:rPr>
          <w:lang w:val="ru-RU"/>
        </w:rPr>
        <w:t xml:space="preserve"> </w:t>
      </w:r>
    </w:p>
    <w:p w:rsidR="009275E5" w:rsidRPr="008725C9" w:rsidRDefault="009275E5" w:rsidP="00067E45">
      <w:pPr>
        <w:pStyle w:val="Heading2"/>
        <w:rPr>
          <w:lang w:val="ru-RU"/>
        </w:rPr>
      </w:pPr>
      <w:r w:rsidRPr="008725C9">
        <w:rPr>
          <w:lang w:val="ru-RU"/>
        </w:rPr>
        <w:t xml:space="preserve">… </w:t>
      </w:r>
      <w:r w:rsidR="00B176DA">
        <w:rPr>
          <w:lang w:val="ru-RU"/>
        </w:rPr>
        <w:t>и</w:t>
      </w:r>
      <w:r w:rsidR="00B176DA" w:rsidRPr="008725C9">
        <w:rPr>
          <w:lang w:val="ru-RU"/>
        </w:rPr>
        <w:t xml:space="preserve"> </w:t>
      </w:r>
      <w:r w:rsidR="00B176DA">
        <w:rPr>
          <w:lang w:val="ru-RU"/>
        </w:rPr>
        <w:t>кратчайши</w:t>
      </w:r>
      <w:r w:rsidR="004E7052">
        <w:rPr>
          <w:lang w:val="ru-RU"/>
        </w:rPr>
        <w:t>х</w:t>
      </w:r>
      <w:r w:rsidR="00B176DA" w:rsidRPr="008725C9">
        <w:rPr>
          <w:lang w:val="ru-RU"/>
        </w:rPr>
        <w:t xml:space="preserve"> </w:t>
      </w:r>
      <w:r w:rsidR="00B176DA">
        <w:rPr>
          <w:lang w:val="ru-RU"/>
        </w:rPr>
        <w:t>пут</w:t>
      </w:r>
      <w:r w:rsidR="00F36722">
        <w:rPr>
          <w:lang w:val="ru-RU"/>
        </w:rPr>
        <w:t>ей</w:t>
      </w:r>
      <w:r w:rsidR="00B176DA" w:rsidRPr="008725C9">
        <w:rPr>
          <w:lang w:val="ru-RU"/>
        </w:rPr>
        <w:t xml:space="preserve"> </w:t>
      </w:r>
      <w:r w:rsidR="00B176DA">
        <w:rPr>
          <w:lang w:val="ru-RU"/>
        </w:rPr>
        <w:t>к</w:t>
      </w:r>
      <w:r w:rsidR="00B176DA" w:rsidRPr="008725C9">
        <w:rPr>
          <w:lang w:val="ru-RU"/>
        </w:rPr>
        <w:t xml:space="preserve"> </w:t>
      </w:r>
      <w:r w:rsidR="00B176DA">
        <w:rPr>
          <w:lang w:val="ru-RU"/>
        </w:rPr>
        <w:t>цели</w:t>
      </w:r>
    </w:p>
    <w:p w:rsidR="00961B15" w:rsidRPr="00B176DA" w:rsidRDefault="00F36722" w:rsidP="00961B15">
      <w:pPr>
        <w:pStyle w:val="SE4ALLbodycopy"/>
        <w:rPr>
          <w:lang w:val="ru-RU"/>
        </w:rPr>
      </w:pPr>
      <w:r>
        <w:rPr>
          <w:lang w:val="ru-RU"/>
        </w:rPr>
        <w:t>В глобальной системе отслеживания прогресса также намечаются возможные области приложения усилий в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различных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регионах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для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достижения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трех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целей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на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основе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анализа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их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отправных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точек</w:t>
      </w:r>
      <w:r w:rsidR="00B176DA" w:rsidRPr="00B176DA">
        <w:rPr>
          <w:lang w:val="ru-RU"/>
        </w:rPr>
        <w:t xml:space="preserve">, </w:t>
      </w:r>
      <w:r>
        <w:rPr>
          <w:lang w:val="ru-RU"/>
        </w:rPr>
        <w:t>их потенциала для</w:t>
      </w:r>
      <w:r w:rsidR="00D513C9">
        <w:rPr>
          <w:lang w:val="ru-RU"/>
        </w:rPr>
        <w:t xml:space="preserve"> совершенствования </w:t>
      </w:r>
      <w:r w:rsidR="00B176DA">
        <w:rPr>
          <w:lang w:val="ru-RU"/>
        </w:rPr>
        <w:t>и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их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относительных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преимуществ</w:t>
      </w:r>
      <w:r w:rsidR="00961B15" w:rsidRPr="00B176DA">
        <w:rPr>
          <w:lang w:val="ru-RU"/>
        </w:rPr>
        <w:t xml:space="preserve">. </w:t>
      </w:r>
      <w:r w:rsidR="00B176DA">
        <w:rPr>
          <w:lang w:val="ru-RU"/>
        </w:rPr>
        <w:t>В</w:t>
      </w:r>
      <w:r>
        <w:rPr>
          <w:lang w:val="ru-RU"/>
        </w:rPr>
        <w:t> </w:t>
      </w:r>
      <w:r w:rsidR="00D513C9">
        <w:rPr>
          <w:lang w:val="ru-RU"/>
        </w:rPr>
        <w:t>области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энергоэффективности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самые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высокие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показатели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снижения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энергопотребления</w:t>
      </w:r>
      <w:r w:rsidR="00B176DA" w:rsidRPr="00B176DA">
        <w:rPr>
          <w:lang w:val="ru-RU"/>
        </w:rPr>
        <w:t xml:space="preserve"> – </w:t>
      </w:r>
      <w:r w:rsidR="00B176DA">
        <w:rPr>
          <w:lang w:val="ru-RU"/>
        </w:rPr>
        <w:t>около 4</w:t>
      </w:r>
      <w:r w:rsidR="005B1176">
        <w:rPr>
          <w:lang w:val="ru-RU"/>
        </w:rPr>
        <w:t> процентов</w:t>
      </w:r>
      <w:r w:rsidR="00B176DA">
        <w:rPr>
          <w:lang w:val="ru-RU"/>
        </w:rPr>
        <w:t xml:space="preserve"> в год – прогнозируются в Азии (в частности, в Китае) и в странах бывшего </w:t>
      </w:r>
      <w:r>
        <w:rPr>
          <w:lang w:val="ru-RU"/>
        </w:rPr>
        <w:t>Советского Союза</w:t>
      </w:r>
      <w:r w:rsidR="00961B15" w:rsidRPr="00B176DA">
        <w:rPr>
          <w:lang w:val="ru-RU"/>
        </w:rPr>
        <w:t xml:space="preserve">. </w:t>
      </w:r>
      <w:r w:rsidR="00B176DA">
        <w:rPr>
          <w:lang w:val="ru-RU"/>
        </w:rPr>
        <w:t>В</w:t>
      </w:r>
      <w:r w:rsidR="00B176DA" w:rsidRPr="00B176DA">
        <w:rPr>
          <w:lang w:val="ru-RU"/>
        </w:rPr>
        <w:t xml:space="preserve"> </w:t>
      </w:r>
      <w:r w:rsidR="00D513C9">
        <w:rPr>
          <w:lang w:val="ru-RU"/>
        </w:rPr>
        <w:t xml:space="preserve">отношении </w:t>
      </w:r>
      <w:r w:rsidR="00B176DA">
        <w:rPr>
          <w:lang w:val="ru-RU"/>
        </w:rPr>
        <w:t>возобновляемых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источников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энергии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прогнозируется</w:t>
      </w:r>
      <w:r w:rsidR="00B176DA" w:rsidRPr="00B176DA">
        <w:rPr>
          <w:lang w:val="ru-RU"/>
        </w:rPr>
        <w:t xml:space="preserve">, </w:t>
      </w:r>
      <w:r w:rsidR="00B176DA">
        <w:rPr>
          <w:lang w:val="ru-RU"/>
        </w:rPr>
        <w:t>что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в 2030</w:t>
      </w:r>
      <w:r>
        <w:rPr>
          <w:lang w:val="ru-RU"/>
        </w:rPr>
        <w:t> </w:t>
      </w:r>
      <w:r w:rsidR="00B176DA">
        <w:rPr>
          <w:lang w:val="ru-RU"/>
        </w:rPr>
        <w:t>г</w:t>
      </w:r>
      <w:r>
        <w:rPr>
          <w:lang w:val="ru-RU"/>
        </w:rPr>
        <w:t>оду</w:t>
      </w:r>
      <w:r w:rsidR="00B176DA">
        <w:rPr>
          <w:lang w:val="ru-RU"/>
        </w:rPr>
        <w:t xml:space="preserve"> Латинская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Америка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и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Африка</w:t>
      </w:r>
      <w:r w:rsidR="00B176DA" w:rsidRPr="00B176DA">
        <w:rPr>
          <w:lang w:val="ru-RU"/>
        </w:rPr>
        <w:t xml:space="preserve"> </w:t>
      </w:r>
      <w:r>
        <w:rPr>
          <w:lang w:val="ru-RU"/>
        </w:rPr>
        <w:t>к югу от</w:t>
      </w:r>
      <w:r w:rsidR="00B176DA" w:rsidRPr="00B176DA">
        <w:rPr>
          <w:lang w:val="ru-RU"/>
        </w:rPr>
        <w:t xml:space="preserve"> </w:t>
      </w:r>
      <w:r w:rsidR="00B176DA">
        <w:rPr>
          <w:lang w:val="ru-RU"/>
        </w:rPr>
        <w:t>Сахары</w:t>
      </w:r>
      <w:r w:rsidR="00403B80" w:rsidRPr="00B176DA">
        <w:rPr>
          <w:lang w:val="ru-RU"/>
        </w:rPr>
        <w:t xml:space="preserve"> (</w:t>
      </w:r>
      <w:r w:rsidR="00B176DA">
        <w:rPr>
          <w:lang w:val="ru-RU"/>
        </w:rPr>
        <w:t xml:space="preserve">последняя благодаря массовому использованию биомассы) станут регионами с самым высоким </w:t>
      </w:r>
      <w:r>
        <w:rPr>
          <w:lang w:val="ru-RU"/>
        </w:rPr>
        <w:t>показателем потребления</w:t>
      </w:r>
      <w:r w:rsidR="00B176DA">
        <w:rPr>
          <w:lang w:val="ru-RU"/>
        </w:rPr>
        <w:t xml:space="preserve"> энергии из </w:t>
      </w:r>
      <w:r w:rsidR="00B176DA">
        <w:rPr>
          <w:lang w:val="ru-RU"/>
        </w:rPr>
        <w:lastRenderedPageBreak/>
        <w:t>возобновляемых источников – более 50</w:t>
      </w:r>
      <w:r w:rsidR="005B1176">
        <w:rPr>
          <w:lang w:val="ru-RU"/>
        </w:rPr>
        <w:t> процентов</w:t>
      </w:r>
      <w:r w:rsidR="00B176DA">
        <w:rPr>
          <w:lang w:val="ru-RU"/>
        </w:rPr>
        <w:t xml:space="preserve">, в то время как в остальных регионах мира этот показатель будет составлять </w:t>
      </w:r>
      <w:r w:rsidR="00403B80" w:rsidRPr="00B176DA">
        <w:rPr>
          <w:lang w:val="ru-RU"/>
        </w:rPr>
        <w:t>20</w:t>
      </w:r>
      <w:r w:rsidR="005B1176">
        <w:rPr>
          <w:lang w:val="ru-RU"/>
        </w:rPr>
        <w:t>–</w:t>
      </w:r>
      <w:r w:rsidR="00403B80" w:rsidRPr="00B176DA">
        <w:rPr>
          <w:lang w:val="ru-RU"/>
        </w:rPr>
        <w:t>40</w:t>
      </w:r>
      <w:r w:rsidR="005B1176">
        <w:rPr>
          <w:lang w:val="ru-RU"/>
        </w:rPr>
        <w:t> процентов</w:t>
      </w:r>
      <w:r w:rsidR="00403B80" w:rsidRPr="00B176DA">
        <w:rPr>
          <w:lang w:val="ru-RU"/>
        </w:rPr>
        <w:t>.</w:t>
      </w:r>
    </w:p>
    <w:p w:rsidR="00A82A8C" w:rsidRPr="005C1C78" w:rsidRDefault="00F36722" w:rsidP="00A82A8C">
      <w:pPr>
        <w:pStyle w:val="SE4ALLbodycopy"/>
        <w:rPr>
          <w:lang w:val="ru-RU"/>
        </w:rPr>
      </w:pPr>
      <w:r>
        <w:rPr>
          <w:lang w:val="ru-RU"/>
        </w:rPr>
        <w:t>Кроме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того</w:t>
      </w:r>
      <w:r w:rsidR="00540D05" w:rsidRPr="00540D05">
        <w:rPr>
          <w:lang w:val="ru-RU"/>
        </w:rPr>
        <w:t xml:space="preserve">, </w:t>
      </w:r>
      <w:r w:rsidR="00540D05">
        <w:rPr>
          <w:lang w:val="ru-RU"/>
        </w:rPr>
        <w:t>глобальные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энергетические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модели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показывают взаимо</w:t>
      </w:r>
      <w:r w:rsidR="00D513C9">
        <w:rPr>
          <w:lang w:val="ru-RU"/>
        </w:rPr>
        <w:t xml:space="preserve">зависимость </w:t>
      </w:r>
      <w:r w:rsidR="00540D05">
        <w:rPr>
          <w:lang w:val="ru-RU"/>
        </w:rPr>
        <w:t>трех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целей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инициативы</w:t>
      </w:r>
      <w:r w:rsidR="009D322F" w:rsidRPr="00540D05">
        <w:rPr>
          <w:lang w:val="ru-RU"/>
        </w:rPr>
        <w:t xml:space="preserve"> </w:t>
      </w:r>
      <w:r>
        <w:rPr>
          <w:lang w:val="ru-RU"/>
        </w:rPr>
        <w:t xml:space="preserve">"Устойчивая энергетика для всех" </w:t>
      </w:r>
      <w:r w:rsidR="00540D05">
        <w:rPr>
          <w:lang w:val="ru-RU"/>
        </w:rPr>
        <w:t>(обычно они дополняют друг друга) и их влияние на глобальное изменение климата и другие глобальные проблемы, вызывающие обеспокоенность</w:t>
      </w:r>
      <w:r w:rsidR="009D322F" w:rsidRPr="00540D05">
        <w:rPr>
          <w:lang w:val="ru-RU"/>
        </w:rPr>
        <w:t xml:space="preserve">. </w:t>
      </w:r>
      <w:r w:rsidR="00540D05">
        <w:rPr>
          <w:lang w:val="ru-RU"/>
        </w:rPr>
        <w:t>Например</w:t>
      </w:r>
      <w:r w:rsidR="00540D05" w:rsidRPr="00540D05">
        <w:rPr>
          <w:lang w:val="ru-RU"/>
        </w:rPr>
        <w:t xml:space="preserve">, </w:t>
      </w:r>
      <w:r w:rsidR="00540D05">
        <w:rPr>
          <w:lang w:val="ru-RU"/>
        </w:rPr>
        <w:t>достижени</w:t>
      </w:r>
      <w:r>
        <w:rPr>
          <w:lang w:val="ru-RU"/>
        </w:rPr>
        <w:t>ю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цели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в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области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использования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возобновляемых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источников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энергии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будет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способствовать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значительн</w:t>
      </w:r>
      <w:r w:rsidR="00D513C9">
        <w:rPr>
          <w:lang w:val="ru-RU"/>
        </w:rPr>
        <w:t>о</w:t>
      </w:r>
      <w:r>
        <w:rPr>
          <w:lang w:val="ru-RU"/>
        </w:rPr>
        <w:t xml:space="preserve">е </w:t>
      </w:r>
      <w:r w:rsidR="00D513C9">
        <w:rPr>
          <w:lang w:val="ru-RU"/>
        </w:rPr>
        <w:t>повышени</w:t>
      </w:r>
      <w:r>
        <w:rPr>
          <w:lang w:val="ru-RU"/>
        </w:rPr>
        <w:t>е</w:t>
      </w:r>
      <w:r w:rsidR="00D513C9">
        <w:rPr>
          <w:lang w:val="ru-RU"/>
        </w:rPr>
        <w:t xml:space="preserve"> </w:t>
      </w:r>
      <w:r w:rsidR="00540D05">
        <w:rPr>
          <w:lang w:val="ru-RU"/>
        </w:rPr>
        <w:t xml:space="preserve">энергоэффективности, </w:t>
      </w:r>
      <w:r w:rsidR="00D513C9">
        <w:rPr>
          <w:lang w:val="ru-RU"/>
        </w:rPr>
        <w:t>снижающе</w:t>
      </w:r>
      <w:r w:rsidR="00D50A46">
        <w:rPr>
          <w:lang w:val="ru-RU"/>
        </w:rPr>
        <w:t>е</w:t>
      </w:r>
      <w:r w:rsidR="00D513C9">
        <w:rPr>
          <w:lang w:val="ru-RU"/>
        </w:rPr>
        <w:t xml:space="preserve"> </w:t>
      </w:r>
      <w:r w:rsidR="00540D05">
        <w:rPr>
          <w:lang w:val="ru-RU"/>
        </w:rPr>
        <w:t xml:space="preserve">рост общего </w:t>
      </w:r>
      <w:r w:rsidR="00D50A46">
        <w:rPr>
          <w:lang w:val="ru-RU"/>
        </w:rPr>
        <w:t xml:space="preserve">спроса </w:t>
      </w:r>
      <w:r>
        <w:rPr>
          <w:lang w:val="ru-RU"/>
        </w:rPr>
        <w:t>на энергию</w:t>
      </w:r>
      <w:r w:rsidR="00A04262" w:rsidRPr="00540D05">
        <w:rPr>
          <w:lang w:val="ru-RU"/>
        </w:rPr>
        <w:t xml:space="preserve">. </w:t>
      </w:r>
      <w:r w:rsidR="00D513C9">
        <w:rPr>
          <w:lang w:val="ru-RU"/>
        </w:rPr>
        <w:t xml:space="preserve">Согласно </w:t>
      </w:r>
      <w:r>
        <w:rPr>
          <w:lang w:val="ru-RU"/>
        </w:rPr>
        <w:t xml:space="preserve">выводу </w:t>
      </w:r>
      <w:r w:rsidR="00D513C9">
        <w:rPr>
          <w:lang w:val="ru-RU"/>
        </w:rPr>
        <w:t>Международно</w:t>
      </w:r>
      <w:r>
        <w:rPr>
          <w:lang w:val="ru-RU"/>
        </w:rPr>
        <w:t>го</w:t>
      </w:r>
      <w:r w:rsidR="00D513C9">
        <w:rPr>
          <w:lang w:val="ru-RU"/>
        </w:rPr>
        <w:t xml:space="preserve"> энергетическо</w:t>
      </w:r>
      <w:r>
        <w:rPr>
          <w:lang w:val="ru-RU"/>
        </w:rPr>
        <w:t>го</w:t>
      </w:r>
      <w:r w:rsidR="00D513C9">
        <w:rPr>
          <w:lang w:val="ru-RU"/>
        </w:rPr>
        <w:t xml:space="preserve"> агентств</w:t>
      </w:r>
      <w:r>
        <w:rPr>
          <w:lang w:val="ru-RU"/>
        </w:rPr>
        <w:t>а</w:t>
      </w:r>
      <w:r w:rsidR="00D513C9">
        <w:rPr>
          <w:lang w:val="ru-RU"/>
        </w:rPr>
        <w:t xml:space="preserve">, </w:t>
      </w:r>
      <w:r w:rsidR="00540D05">
        <w:rPr>
          <w:lang w:val="ru-RU"/>
        </w:rPr>
        <w:t>меры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по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энергосбережению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или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использованию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возобновляемых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источников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энергии</w:t>
      </w:r>
      <w:r w:rsidR="00540D05" w:rsidRPr="00540D05">
        <w:rPr>
          <w:lang w:val="ru-RU"/>
        </w:rPr>
        <w:t xml:space="preserve"> </w:t>
      </w:r>
      <w:r w:rsidRPr="00F36722">
        <w:rPr>
          <w:i/>
          <w:lang w:val="ru-RU"/>
        </w:rPr>
        <w:t>в отдельности</w:t>
      </w:r>
      <w:r>
        <w:rPr>
          <w:lang w:val="ru-RU"/>
        </w:rPr>
        <w:t xml:space="preserve"> </w:t>
      </w:r>
      <w:r w:rsidR="00540D05">
        <w:rPr>
          <w:lang w:val="ru-RU"/>
        </w:rPr>
        <w:t xml:space="preserve">будут недостаточны для сдерживания глобального потепления </w:t>
      </w:r>
      <w:r w:rsidR="00D50A46">
        <w:rPr>
          <w:lang w:val="ru-RU"/>
        </w:rPr>
        <w:t xml:space="preserve">в </w:t>
      </w:r>
      <w:r>
        <w:rPr>
          <w:lang w:val="ru-RU"/>
        </w:rPr>
        <w:t xml:space="preserve">пределах </w:t>
      </w:r>
      <w:r w:rsidR="00540D05">
        <w:rPr>
          <w:lang w:val="ru-RU"/>
        </w:rPr>
        <w:t>2</w:t>
      </w:r>
      <w:r>
        <w:rPr>
          <w:lang w:val="ru-RU"/>
        </w:rPr>
        <w:t> </w:t>
      </w:r>
      <w:r w:rsidR="00540D05">
        <w:rPr>
          <w:lang w:val="ru-RU"/>
        </w:rPr>
        <w:t xml:space="preserve">градусов </w:t>
      </w:r>
      <w:r w:rsidR="005C1C78">
        <w:rPr>
          <w:lang w:val="ru-RU"/>
        </w:rPr>
        <w:t xml:space="preserve">по </w:t>
      </w:r>
      <w:r w:rsidR="00540D05">
        <w:rPr>
          <w:lang w:val="ru-RU"/>
        </w:rPr>
        <w:t>Цельси</w:t>
      </w:r>
      <w:r w:rsidR="005C1C78">
        <w:rPr>
          <w:lang w:val="ru-RU"/>
        </w:rPr>
        <w:t>ю</w:t>
      </w:r>
      <w:r w:rsidR="00540D05">
        <w:rPr>
          <w:lang w:val="ru-RU"/>
        </w:rPr>
        <w:t xml:space="preserve"> к 2030</w:t>
      </w:r>
      <w:r>
        <w:rPr>
          <w:lang w:val="ru-RU"/>
        </w:rPr>
        <w:t> </w:t>
      </w:r>
      <w:r w:rsidR="00540D05">
        <w:rPr>
          <w:lang w:val="ru-RU"/>
        </w:rPr>
        <w:t>г</w:t>
      </w:r>
      <w:r>
        <w:rPr>
          <w:lang w:val="ru-RU"/>
        </w:rPr>
        <w:t>оду</w:t>
      </w:r>
      <w:r w:rsidR="00540D05">
        <w:rPr>
          <w:lang w:val="ru-RU"/>
        </w:rPr>
        <w:t>, но реализация этих мер в совокупности может приблизить решение этой задачи</w:t>
      </w:r>
      <w:r w:rsidR="009D322F" w:rsidRPr="00540D05">
        <w:rPr>
          <w:lang w:val="ru-RU"/>
        </w:rPr>
        <w:t>.</w:t>
      </w:r>
      <w:r w:rsidR="00B3725D" w:rsidRPr="00540D05">
        <w:rPr>
          <w:lang w:val="ru-RU"/>
        </w:rPr>
        <w:t xml:space="preserve"> </w:t>
      </w:r>
      <w:r>
        <w:rPr>
          <w:lang w:val="ru-RU"/>
        </w:rPr>
        <w:t>В то же время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обеспечение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всеобщего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доступа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к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современным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энергетическим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услугам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увеличит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>выбросы</w:t>
      </w:r>
      <w:r w:rsidR="00540D05" w:rsidRPr="00540D05">
        <w:rPr>
          <w:lang w:val="ru-RU"/>
        </w:rPr>
        <w:t xml:space="preserve"> </w:t>
      </w:r>
      <w:r w:rsidR="00540D05">
        <w:rPr>
          <w:lang w:val="ru-RU"/>
        </w:rPr>
        <w:t xml:space="preserve">углекислого газа </w:t>
      </w:r>
      <w:r w:rsidR="00D513C9">
        <w:rPr>
          <w:lang w:val="ru-RU"/>
        </w:rPr>
        <w:t xml:space="preserve">на мировом уровне </w:t>
      </w:r>
      <w:r w:rsidR="00540D05">
        <w:rPr>
          <w:lang w:val="ru-RU"/>
        </w:rPr>
        <w:t xml:space="preserve">на незначительные </w:t>
      </w:r>
      <w:r w:rsidR="000A4C8C" w:rsidRPr="00540D05">
        <w:rPr>
          <w:lang w:val="ru-RU"/>
        </w:rPr>
        <w:t>0</w:t>
      </w:r>
      <w:r w:rsidR="00540D05">
        <w:rPr>
          <w:lang w:val="ru-RU"/>
        </w:rPr>
        <w:t>,</w:t>
      </w:r>
      <w:r w:rsidR="000A4C8C" w:rsidRPr="00540D05">
        <w:rPr>
          <w:lang w:val="ru-RU"/>
        </w:rPr>
        <w:t>6</w:t>
      </w:r>
      <w:r>
        <w:rPr>
          <w:lang w:val="ru-RU"/>
        </w:rPr>
        <w:t> </w:t>
      </w:r>
      <w:r w:rsidR="00540D05">
        <w:rPr>
          <w:lang w:val="ru-RU"/>
        </w:rPr>
        <w:t xml:space="preserve">процента по сравнению с </w:t>
      </w:r>
      <w:r>
        <w:rPr>
          <w:lang w:val="ru-RU"/>
        </w:rPr>
        <w:t>нынешней ситуацией</w:t>
      </w:r>
      <w:r w:rsidR="000A4C8C" w:rsidRPr="00540D05">
        <w:rPr>
          <w:lang w:val="ru-RU"/>
        </w:rPr>
        <w:t>.</w:t>
      </w:r>
      <w:r w:rsidR="00926675" w:rsidRPr="00540D05">
        <w:rPr>
          <w:lang w:val="ru-RU"/>
        </w:rPr>
        <w:t xml:space="preserve"> </w:t>
      </w:r>
      <w:r w:rsidR="005C1C78">
        <w:rPr>
          <w:lang w:val="ru-RU"/>
        </w:rPr>
        <w:t>Согласно</w:t>
      </w:r>
      <w:r w:rsidR="005C1C78" w:rsidRPr="005C1C78">
        <w:rPr>
          <w:lang w:val="ru-RU"/>
        </w:rPr>
        <w:t xml:space="preserve"> </w:t>
      </w:r>
      <w:r>
        <w:rPr>
          <w:lang w:val="ru-RU"/>
        </w:rPr>
        <w:t>"</w:t>
      </w:r>
      <w:r w:rsidR="00D513C9">
        <w:rPr>
          <w:lang w:val="ru-RU"/>
        </w:rPr>
        <w:t>Оценке</w:t>
      </w:r>
      <w:r w:rsidR="00D513C9" w:rsidRPr="0085661C">
        <w:rPr>
          <w:lang w:val="ru-RU"/>
        </w:rPr>
        <w:t xml:space="preserve"> </w:t>
      </w:r>
      <w:r>
        <w:rPr>
          <w:lang w:val="ru-RU"/>
        </w:rPr>
        <w:t>всемирных энергетических ресурсов"</w:t>
      </w:r>
      <w:r w:rsidR="005C1C78" w:rsidRPr="005C1C78">
        <w:rPr>
          <w:lang w:val="ru-RU"/>
        </w:rPr>
        <w:t xml:space="preserve">, </w:t>
      </w:r>
      <w:r w:rsidR="005C1C78">
        <w:rPr>
          <w:lang w:val="ru-RU"/>
        </w:rPr>
        <w:t>вероятность</w:t>
      </w:r>
      <w:r w:rsidR="005C1C78" w:rsidRPr="005C1C78">
        <w:rPr>
          <w:lang w:val="ru-RU"/>
        </w:rPr>
        <w:t xml:space="preserve"> </w:t>
      </w:r>
      <w:r>
        <w:rPr>
          <w:lang w:val="ru-RU"/>
        </w:rPr>
        <w:t>ограничения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глобального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потепления</w:t>
      </w:r>
      <w:r w:rsidR="005C1C78" w:rsidRPr="005C1C78">
        <w:rPr>
          <w:lang w:val="ru-RU"/>
        </w:rPr>
        <w:t xml:space="preserve"> </w:t>
      </w:r>
      <w:r>
        <w:rPr>
          <w:lang w:val="ru-RU"/>
        </w:rPr>
        <w:t>двумя</w:t>
      </w:r>
      <w:r w:rsidR="005C1C78">
        <w:rPr>
          <w:lang w:val="ru-RU"/>
        </w:rPr>
        <w:t xml:space="preserve"> градус</w:t>
      </w:r>
      <w:r>
        <w:rPr>
          <w:lang w:val="ru-RU"/>
        </w:rPr>
        <w:t>ами</w:t>
      </w:r>
      <w:r w:rsidR="005C1C78">
        <w:rPr>
          <w:lang w:val="ru-RU"/>
        </w:rPr>
        <w:t xml:space="preserve"> по Цельсию увеличивается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до</w:t>
      </w:r>
      <w:r w:rsidR="005C1C78" w:rsidRPr="005C1C78">
        <w:rPr>
          <w:lang w:val="ru-RU"/>
        </w:rPr>
        <w:t xml:space="preserve"> </w:t>
      </w:r>
      <w:r w:rsidR="002635A2" w:rsidRPr="005C1C78">
        <w:rPr>
          <w:lang w:val="ru-RU"/>
        </w:rPr>
        <w:t>66</w:t>
      </w:r>
      <w:r w:rsidR="005B1176">
        <w:rPr>
          <w:lang w:val="ru-RU"/>
        </w:rPr>
        <w:t>–</w:t>
      </w:r>
      <w:r w:rsidR="009D322F" w:rsidRPr="005C1C78">
        <w:rPr>
          <w:lang w:val="ru-RU"/>
        </w:rPr>
        <w:t>90</w:t>
      </w:r>
      <w:r w:rsidR="005B1176">
        <w:rPr>
          <w:lang w:val="ru-RU"/>
        </w:rPr>
        <w:t> процентов</w:t>
      </w:r>
      <w:r w:rsidR="009D322F" w:rsidRPr="005C1C78">
        <w:rPr>
          <w:lang w:val="ru-RU"/>
        </w:rPr>
        <w:t xml:space="preserve"> </w:t>
      </w:r>
      <w:r w:rsidR="005C1C78">
        <w:rPr>
          <w:lang w:val="ru-RU"/>
        </w:rPr>
        <w:t>при</w:t>
      </w:r>
      <w:r w:rsidR="005C1C78" w:rsidRPr="005C1C78">
        <w:rPr>
          <w:lang w:val="ru-RU"/>
        </w:rPr>
        <w:t xml:space="preserve"> </w:t>
      </w:r>
      <w:r w:rsidR="005C1C78" w:rsidRPr="00F36722">
        <w:rPr>
          <w:i/>
          <w:lang w:val="ru-RU"/>
        </w:rPr>
        <w:t>одновременном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достижении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целей</w:t>
      </w:r>
      <w:r w:rsidR="005C1C78" w:rsidRPr="005C1C78">
        <w:rPr>
          <w:lang w:val="ru-RU"/>
        </w:rPr>
        <w:t xml:space="preserve"> </w:t>
      </w:r>
      <w:r>
        <w:rPr>
          <w:lang w:val="ru-RU"/>
        </w:rPr>
        <w:t xml:space="preserve">Инициативы </w:t>
      </w:r>
      <w:r w:rsidR="00D513C9">
        <w:rPr>
          <w:lang w:val="ru-RU"/>
        </w:rPr>
        <w:t xml:space="preserve">по применению </w:t>
      </w:r>
      <w:r w:rsidR="005C1C78">
        <w:rPr>
          <w:lang w:val="ru-RU"/>
        </w:rPr>
        <w:t xml:space="preserve">возобновляемых источников энергии и </w:t>
      </w:r>
      <w:r w:rsidR="00D513C9">
        <w:rPr>
          <w:lang w:val="ru-RU"/>
        </w:rPr>
        <w:t xml:space="preserve">повышению </w:t>
      </w:r>
      <w:r w:rsidR="005C1C78">
        <w:rPr>
          <w:lang w:val="ru-RU"/>
        </w:rPr>
        <w:t>энергоэффективности</w:t>
      </w:r>
      <w:r>
        <w:rPr>
          <w:lang w:val="ru-RU"/>
        </w:rPr>
        <w:t>,</w:t>
      </w:r>
      <w:r w:rsidR="005C1C78">
        <w:rPr>
          <w:lang w:val="ru-RU"/>
        </w:rPr>
        <w:t xml:space="preserve"> что превышает эффект, получаемый п</w:t>
      </w:r>
      <w:r w:rsidR="00D513C9">
        <w:rPr>
          <w:lang w:val="ru-RU"/>
        </w:rPr>
        <w:t>ри д</w:t>
      </w:r>
      <w:r w:rsidR="005C1C78">
        <w:rPr>
          <w:lang w:val="ru-RU"/>
        </w:rPr>
        <w:t xml:space="preserve">остижении </w:t>
      </w:r>
      <w:r w:rsidR="00D513C9">
        <w:rPr>
          <w:lang w:val="ru-RU"/>
        </w:rPr>
        <w:t xml:space="preserve">этих </w:t>
      </w:r>
      <w:r w:rsidR="005C1C78">
        <w:rPr>
          <w:lang w:val="ru-RU"/>
        </w:rPr>
        <w:t>целей по отдельности</w:t>
      </w:r>
      <w:r w:rsidR="002635A2" w:rsidRPr="005C1C78">
        <w:rPr>
          <w:lang w:val="ru-RU"/>
        </w:rPr>
        <w:t>.</w:t>
      </w:r>
      <w:r w:rsidR="00B3725D" w:rsidRPr="005C1C78">
        <w:rPr>
          <w:lang w:val="ru-RU"/>
        </w:rPr>
        <w:t xml:space="preserve"> </w:t>
      </w:r>
      <w:r w:rsidR="005C1C78">
        <w:rPr>
          <w:lang w:val="ru-RU"/>
        </w:rPr>
        <w:t>Достижение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цели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по</w:t>
      </w:r>
      <w:r w:rsidR="005C1C78" w:rsidRPr="005C1C78">
        <w:rPr>
          <w:lang w:val="ru-RU"/>
        </w:rPr>
        <w:t xml:space="preserve"> </w:t>
      </w:r>
      <w:r w:rsidR="009B1E1A">
        <w:rPr>
          <w:lang w:val="ru-RU"/>
        </w:rPr>
        <w:t>обеспечению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всеобщего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доступа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к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современным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технологиям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в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области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приготовления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пищи</w:t>
      </w:r>
      <w:r w:rsidR="005C1C78" w:rsidRPr="005C1C78">
        <w:rPr>
          <w:lang w:val="ru-RU"/>
        </w:rPr>
        <w:t xml:space="preserve">, </w:t>
      </w:r>
      <w:r w:rsidR="009B1E1A">
        <w:rPr>
          <w:lang w:val="ru-RU"/>
        </w:rPr>
        <w:t>позволяющее</w:t>
      </w:r>
      <w:r w:rsidR="00D513C9">
        <w:rPr>
          <w:lang w:val="ru-RU"/>
        </w:rPr>
        <w:t xml:space="preserve"> </w:t>
      </w:r>
      <w:r w:rsidR="005C1C78">
        <w:rPr>
          <w:lang w:val="ru-RU"/>
        </w:rPr>
        <w:t>увеличит</w:t>
      </w:r>
      <w:r w:rsidR="00D513C9">
        <w:rPr>
          <w:lang w:val="ru-RU"/>
        </w:rPr>
        <w:t>ь</w:t>
      </w:r>
      <w:r w:rsidR="005C1C78" w:rsidRPr="005C1C78">
        <w:rPr>
          <w:lang w:val="ru-RU"/>
        </w:rPr>
        <w:t xml:space="preserve"> </w:t>
      </w:r>
      <w:r w:rsidR="00D513C9">
        <w:rPr>
          <w:lang w:val="ru-RU"/>
        </w:rPr>
        <w:t xml:space="preserve">применение </w:t>
      </w:r>
      <w:r w:rsidR="005C1C78">
        <w:rPr>
          <w:lang w:val="ru-RU"/>
        </w:rPr>
        <w:t>органических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нетвердых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видов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топлива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для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приготовления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пищи</w:t>
      </w:r>
      <w:r w:rsidR="005C1C78" w:rsidRPr="005C1C78">
        <w:rPr>
          <w:lang w:val="ru-RU"/>
        </w:rPr>
        <w:t xml:space="preserve">, </w:t>
      </w:r>
      <w:r w:rsidR="005C1C78">
        <w:rPr>
          <w:lang w:val="ru-RU"/>
        </w:rPr>
        <w:t>будет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иметь</w:t>
      </w:r>
      <w:r w:rsidR="005C1C78" w:rsidRPr="005C1C78">
        <w:rPr>
          <w:lang w:val="ru-RU"/>
        </w:rPr>
        <w:t xml:space="preserve"> </w:t>
      </w:r>
      <w:r w:rsidR="00746575">
        <w:rPr>
          <w:lang w:val="ru-RU"/>
        </w:rPr>
        <w:t xml:space="preserve">лишь </w:t>
      </w:r>
      <w:r w:rsidR="005C1C78">
        <w:rPr>
          <w:lang w:val="ru-RU"/>
        </w:rPr>
        <w:t>незначительный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побочный эффект, снижая долю возобновляемых источников энергии в мирово</w:t>
      </w:r>
      <w:r w:rsidR="00746575">
        <w:rPr>
          <w:lang w:val="ru-RU"/>
        </w:rPr>
        <w:t xml:space="preserve">й структуре </w:t>
      </w:r>
      <w:r w:rsidR="005C1C78">
        <w:rPr>
          <w:lang w:val="ru-RU"/>
        </w:rPr>
        <w:t xml:space="preserve">энергоносителей на </w:t>
      </w:r>
      <w:r w:rsidR="00746575">
        <w:rPr>
          <w:lang w:val="ru-RU"/>
        </w:rPr>
        <w:t>два</w:t>
      </w:r>
      <w:r w:rsidR="005C1C78">
        <w:rPr>
          <w:lang w:val="ru-RU"/>
        </w:rPr>
        <w:t xml:space="preserve"> процент</w:t>
      </w:r>
      <w:r w:rsidR="00746575">
        <w:rPr>
          <w:lang w:val="ru-RU"/>
        </w:rPr>
        <w:t>а</w:t>
      </w:r>
      <w:r w:rsidR="005C1C78">
        <w:rPr>
          <w:lang w:val="ru-RU"/>
        </w:rPr>
        <w:t xml:space="preserve">, что практически не </w:t>
      </w:r>
      <w:r w:rsidR="00D513C9">
        <w:rPr>
          <w:lang w:val="ru-RU"/>
        </w:rPr>
        <w:t xml:space="preserve">скажется </w:t>
      </w:r>
      <w:r w:rsidR="005C1C78">
        <w:rPr>
          <w:lang w:val="ru-RU"/>
        </w:rPr>
        <w:t xml:space="preserve">на возможности достижения цели </w:t>
      </w:r>
      <w:r w:rsidR="00D513C9">
        <w:rPr>
          <w:lang w:val="ru-RU"/>
        </w:rPr>
        <w:t xml:space="preserve">по </w:t>
      </w:r>
      <w:r w:rsidR="005C1C78">
        <w:rPr>
          <w:lang w:val="ru-RU"/>
        </w:rPr>
        <w:t>сдерживани</w:t>
      </w:r>
      <w:r w:rsidR="00D513C9">
        <w:rPr>
          <w:lang w:val="ru-RU"/>
        </w:rPr>
        <w:t>ю</w:t>
      </w:r>
      <w:r w:rsidR="005C1C78">
        <w:rPr>
          <w:lang w:val="ru-RU"/>
        </w:rPr>
        <w:t xml:space="preserve"> глобального потепления до 2 градусов по Цельсию</w:t>
      </w:r>
      <w:r w:rsidR="00A82A8C" w:rsidRPr="005C1C78">
        <w:rPr>
          <w:lang w:val="ru-RU"/>
        </w:rPr>
        <w:t>.</w:t>
      </w:r>
      <w:r w:rsidR="0058200D" w:rsidRPr="005C1C78">
        <w:rPr>
          <w:lang w:val="ru-RU"/>
        </w:rPr>
        <w:t xml:space="preserve"> </w:t>
      </w:r>
    </w:p>
    <w:p w:rsidR="001954FD" w:rsidRPr="005C1C78" w:rsidRDefault="00217160" w:rsidP="00067E45">
      <w:pPr>
        <w:pStyle w:val="Heading2"/>
        <w:rPr>
          <w:lang w:val="ru-RU"/>
        </w:rPr>
      </w:pPr>
      <w:r>
        <w:rPr>
          <w:lang w:val="ru-RU"/>
        </w:rPr>
        <w:t>Улучшение статистических методов для улучшения отслеживания прогресса</w:t>
      </w:r>
    </w:p>
    <w:p w:rsidR="00AF4E71" w:rsidRPr="00DE159A" w:rsidRDefault="00E04F7A" w:rsidP="005C1C78">
      <w:pPr>
        <w:pStyle w:val="SE4ALLbodycopy"/>
        <w:rPr>
          <w:lang w:val="ru-RU"/>
        </w:rPr>
      </w:pPr>
      <w:r>
        <w:rPr>
          <w:lang w:val="ru-RU"/>
        </w:rPr>
        <w:t>Х</w:t>
      </w:r>
      <w:r w:rsidR="005C1C78">
        <w:rPr>
          <w:lang w:val="ru-RU"/>
        </w:rPr>
        <w:t>отя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методология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Глобальной</w:t>
      </w:r>
      <w:r w:rsidR="005C1C78" w:rsidRPr="005C1C78">
        <w:rPr>
          <w:lang w:val="ru-RU"/>
        </w:rPr>
        <w:t xml:space="preserve"> </w:t>
      </w:r>
      <w:r w:rsidR="00406D15">
        <w:rPr>
          <w:lang w:val="ru-RU"/>
        </w:rPr>
        <w:t xml:space="preserve">системы </w:t>
      </w:r>
      <w:r w:rsidR="005C1C78">
        <w:rPr>
          <w:lang w:val="ru-RU"/>
        </w:rPr>
        <w:t>отслеживани</w:t>
      </w:r>
      <w:r w:rsidR="00406D15">
        <w:rPr>
          <w:lang w:val="ru-RU"/>
        </w:rPr>
        <w:t>я</w:t>
      </w:r>
      <w:r w:rsidR="005C1C78" w:rsidRPr="005C1C78">
        <w:rPr>
          <w:lang w:val="ru-RU"/>
        </w:rPr>
        <w:t xml:space="preserve"> </w:t>
      </w:r>
      <w:r w:rsidR="00D513C9">
        <w:rPr>
          <w:lang w:val="ru-RU"/>
        </w:rPr>
        <w:t xml:space="preserve">выполнения </w:t>
      </w:r>
      <w:r w:rsidR="005C1C78">
        <w:rPr>
          <w:lang w:val="ru-RU"/>
        </w:rPr>
        <w:t>инициатив</w:t>
      </w:r>
      <w:r w:rsidR="00D513C9">
        <w:rPr>
          <w:lang w:val="ru-RU"/>
        </w:rPr>
        <w:t>ы</w:t>
      </w:r>
      <w:r w:rsidR="00092058" w:rsidRPr="005C1C78">
        <w:rPr>
          <w:lang w:val="ru-RU"/>
        </w:rPr>
        <w:t xml:space="preserve"> </w:t>
      </w:r>
      <w:r w:rsidR="00406D15">
        <w:rPr>
          <w:lang w:val="ru-RU"/>
        </w:rPr>
        <w:t xml:space="preserve">"Устойчивая энергетика для всех" </w:t>
      </w:r>
      <w:r w:rsidR="005C1C78">
        <w:rPr>
          <w:lang w:val="ru-RU"/>
        </w:rPr>
        <w:t xml:space="preserve">является </w:t>
      </w:r>
      <w:r w:rsidR="00406D15">
        <w:rPr>
          <w:lang w:val="ru-RU"/>
        </w:rPr>
        <w:t xml:space="preserve">хорошей </w:t>
      </w:r>
      <w:r w:rsidR="005C1C78">
        <w:rPr>
          <w:lang w:val="ru-RU"/>
        </w:rPr>
        <w:t xml:space="preserve">основой для отслеживания </w:t>
      </w:r>
      <w:r w:rsidR="00406D15">
        <w:rPr>
          <w:lang w:val="ru-RU"/>
        </w:rPr>
        <w:t>прогресса на глобальном уровне</w:t>
      </w:r>
      <w:r w:rsidR="005C1C78">
        <w:rPr>
          <w:lang w:val="ru-RU"/>
        </w:rPr>
        <w:t xml:space="preserve">, </w:t>
      </w:r>
      <w:r>
        <w:rPr>
          <w:lang w:val="ru-RU"/>
        </w:rPr>
        <w:t>в</w:t>
      </w:r>
      <w:r w:rsidRPr="005C1C78">
        <w:rPr>
          <w:lang w:val="ru-RU"/>
        </w:rPr>
        <w:t xml:space="preserve"> </w:t>
      </w:r>
      <w:r>
        <w:rPr>
          <w:lang w:val="ru-RU"/>
        </w:rPr>
        <w:t>перспективе</w:t>
      </w:r>
      <w:r w:rsidRPr="005C1C78">
        <w:rPr>
          <w:lang w:val="ru-RU"/>
        </w:rPr>
        <w:t xml:space="preserve"> </w:t>
      </w:r>
      <w:r w:rsidR="005C1C78">
        <w:rPr>
          <w:lang w:val="ru-RU"/>
        </w:rPr>
        <w:t>она может быть значительно улучшена</w:t>
      </w:r>
      <w:r w:rsidR="00254491" w:rsidRPr="005C1C78">
        <w:rPr>
          <w:lang w:val="ru-RU"/>
        </w:rPr>
        <w:t xml:space="preserve">. </w:t>
      </w:r>
      <w:r w:rsidR="005C1C78">
        <w:rPr>
          <w:lang w:val="ru-RU"/>
        </w:rPr>
        <w:t>Для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эффективного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мониторинга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прогресса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в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данной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сфере</w:t>
      </w:r>
      <w:r w:rsidR="005C1C78" w:rsidRPr="005C1C78">
        <w:rPr>
          <w:lang w:val="ru-RU"/>
        </w:rPr>
        <w:t xml:space="preserve"> </w:t>
      </w:r>
      <w:r>
        <w:rPr>
          <w:lang w:val="ru-RU"/>
        </w:rPr>
        <w:t xml:space="preserve">вплоть </w:t>
      </w:r>
      <w:r w:rsidR="005C1C78">
        <w:rPr>
          <w:lang w:val="ru-RU"/>
        </w:rPr>
        <w:t>до</w:t>
      </w:r>
      <w:r w:rsidR="005C1C78" w:rsidRPr="005C1C78">
        <w:rPr>
          <w:lang w:val="ru-RU"/>
        </w:rPr>
        <w:t xml:space="preserve"> 2030</w:t>
      </w:r>
      <w:r w:rsidR="00406D15">
        <w:rPr>
          <w:lang w:val="ru-RU"/>
        </w:rPr>
        <w:t> </w:t>
      </w:r>
      <w:r w:rsidR="005C1C78">
        <w:rPr>
          <w:lang w:val="ru-RU"/>
        </w:rPr>
        <w:t>г</w:t>
      </w:r>
      <w:r w:rsidR="00406D15">
        <w:rPr>
          <w:lang w:val="ru-RU"/>
        </w:rPr>
        <w:t xml:space="preserve">ода </w:t>
      </w:r>
      <w:r w:rsidR="005C1C78">
        <w:rPr>
          <w:lang w:val="ru-RU"/>
        </w:rPr>
        <w:t>необходимы</w:t>
      </w:r>
      <w:r w:rsidR="005C1C78" w:rsidRPr="005C1C78">
        <w:rPr>
          <w:lang w:val="ru-RU"/>
        </w:rPr>
        <w:t xml:space="preserve"> </w:t>
      </w:r>
      <w:r w:rsidR="005C1C78">
        <w:rPr>
          <w:lang w:val="ru-RU"/>
        </w:rPr>
        <w:t>дополнительные инвестиции в системы энергетических данных</w:t>
      </w:r>
      <w:r>
        <w:rPr>
          <w:lang w:val="ru-RU"/>
        </w:rPr>
        <w:t>,</w:t>
      </w:r>
      <w:r w:rsidR="005C1C78">
        <w:rPr>
          <w:lang w:val="ru-RU"/>
        </w:rPr>
        <w:t xml:space="preserve"> как на глобальном, так и национальном уровне</w:t>
      </w:r>
      <w:r w:rsidR="00DE31B8" w:rsidRPr="005C1C78">
        <w:rPr>
          <w:lang w:val="ru-RU"/>
        </w:rPr>
        <w:t xml:space="preserve">. </w:t>
      </w:r>
      <w:r w:rsidR="00C8060B">
        <w:rPr>
          <w:lang w:val="ru-RU"/>
        </w:rPr>
        <w:t>Эти</w:t>
      </w:r>
      <w:r w:rsidR="00C8060B" w:rsidRPr="00C8060B">
        <w:rPr>
          <w:lang w:val="ru-RU"/>
        </w:rPr>
        <w:t xml:space="preserve"> </w:t>
      </w:r>
      <w:r w:rsidR="00406D15">
        <w:rPr>
          <w:lang w:val="ru-RU"/>
        </w:rPr>
        <w:t>экономичные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и</w:t>
      </w:r>
      <w:r w:rsidR="00C8060B" w:rsidRPr="00C8060B">
        <w:rPr>
          <w:lang w:val="ru-RU"/>
        </w:rPr>
        <w:t xml:space="preserve"> </w:t>
      </w:r>
      <w:r w:rsidR="00406D15">
        <w:rPr>
          <w:lang w:val="ru-RU"/>
        </w:rPr>
        <w:t>высоко</w:t>
      </w:r>
      <w:r w:rsidR="00C8060B">
        <w:rPr>
          <w:lang w:val="ru-RU"/>
        </w:rPr>
        <w:t>эффективные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усовершенствования могут быть реализованы в течение последующих пяти лет при условии наличия финансовых ресурсов</w:t>
      </w:r>
      <w:r w:rsidR="00254491" w:rsidRPr="00C8060B">
        <w:rPr>
          <w:lang w:val="ru-RU"/>
        </w:rPr>
        <w:t xml:space="preserve">. </w:t>
      </w:r>
      <w:r w:rsidR="00C8060B">
        <w:rPr>
          <w:lang w:val="ru-RU"/>
        </w:rPr>
        <w:t>В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области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обеспечения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доступа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к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энергоснабжению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основное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внимание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будет</w:t>
      </w:r>
      <w:r w:rsidR="00C8060B" w:rsidRPr="00C8060B">
        <w:rPr>
          <w:lang w:val="ru-RU"/>
        </w:rPr>
        <w:t xml:space="preserve"> </w:t>
      </w:r>
      <w:r w:rsidR="00406D15">
        <w:rPr>
          <w:lang w:val="ru-RU"/>
        </w:rPr>
        <w:t xml:space="preserve">уделено </w:t>
      </w:r>
      <w:r w:rsidR="00C8060B">
        <w:rPr>
          <w:lang w:val="ru-RU"/>
        </w:rPr>
        <w:t>переход</w:t>
      </w:r>
      <w:r w:rsidR="00406D15">
        <w:rPr>
          <w:lang w:val="ru-RU"/>
        </w:rPr>
        <w:t>у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от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одновременной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реализации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мер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в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двух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>направлениях</w:t>
      </w:r>
      <w:r w:rsidR="00C8060B" w:rsidRPr="00C8060B">
        <w:rPr>
          <w:lang w:val="ru-RU"/>
        </w:rPr>
        <w:t xml:space="preserve"> </w:t>
      </w:r>
      <w:r w:rsidR="00C8060B">
        <w:rPr>
          <w:lang w:val="ru-RU"/>
        </w:rPr>
        <w:t xml:space="preserve">к многоуровневой программе, которая лучше учитывает количество и качество поставляемой электроэнергии, а также эффективность, безопасность и удобство кухонных плит, используемых в домашних хозяйствах, включая те, которые </w:t>
      </w:r>
      <w:r w:rsidR="00D513C9">
        <w:rPr>
          <w:lang w:val="ru-RU"/>
        </w:rPr>
        <w:t xml:space="preserve">в основном работают на </w:t>
      </w:r>
      <w:r w:rsidR="00C8060B">
        <w:rPr>
          <w:lang w:val="ru-RU"/>
        </w:rPr>
        <w:t>биомасс</w:t>
      </w:r>
      <w:r w:rsidR="00D513C9">
        <w:rPr>
          <w:lang w:val="ru-RU"/>
        </w:rPr>
        <w:t>е</w:t>
      </w:r>
      <w:r w:rsidR="00FD78FD" w:rsidRPr="00C8060B">
        <w:rPr>
          <w:lang w:val="ru-RU"/>
        </w:rPr>
        <w:t>.</w:t>
      </w:r>
      <w:r w:rsidR="00502393" w:rsidRPr="00C8060B">
        <w:rPr>
          <w:lang w:val="ru-RU"/>
        </w:rPr>
        <w:t xml:space="preserve"> </w:t>
      </w:r>
      <w:r w:rsidR="00C8060B">
        <w:rPr>
          <w:lang w:val="ru-RU"/>
        </w:rPr>
        <w:t>В</w:t>
      </w:r>
      <w:r w:rsidR="00C8060B" w:rsidRPr="00DE159A">
        <w:rPr>
          <w:lang w:val="ru-RU"/>
        </w:rPr>
        <w:t xml:space="preserve"> </w:t>
      </w:r>
      <w:r w:rsidR="00D513C9">
        <w:rPr>
          <w:lang w:val="ru-RU"/>
        </w:rPr>
        <w:t xml:space="preserve">сфере повышения </w:t>
      </w:r>
      <w:r w:rsidR="00C8060B">
        <w:rPr>
          <w:lang w:val="ru-RU"/>
        </w:rPr>
        <w:t>энергоэффективности</w:t>
      </w:r>
      <w:r w:rsidR="00C8060B" w:rsidRPr="00DE159A">
        <w:rPr>
          <w:lang w:val="ru-RU"/>
        </w:rPr>
        <w:t xml:space="preserve"> </w:t>
      </w:r>
      <w:r w:rsidR="00406D15">
        <w:rPr>
          <w:lang w:val="ru-RU"/>
        </w:rPr>
        <w:t>основная</w:t>
      </w:r>
      <w:r w:rsidR="00C8060B" w:rsidRPr="00DE159A">
        <w:rPr>
          <w:lang w:val="ru-RU"/>
        </w:rPr>
        <w:t xml:space="preserve"> </w:t>
      </w:r>
      <w:r w:rsidR="00C8060B">
        <w:rPr>
          <w:lang w:val="ru-RU"/>
        </w:rPr>
        <w:t>задача</w:t>
      </w:r>
      <w:r w:rsidR="00C8060B" w:rsidRPr="00DE159A">
        <w:rPr>
          <w:lang w:val="ru-RU"/>
        </w:rPr>
        <w:t xml:space="preserve"> </w:t>
      </w:r>
      <w:r w:rsidR="00C8060B">
        <w:rPr>
          <w:lang w:val="ru-RU"/>
        </w:rPr>
        <w:t>заключается</w:t>
      </w:r>
      <w:r w:rsidR="00C8060B" w:rsidRPr="00DE159A">
        <w:rPr>
          <w:lang w:val="ru-RU"/>
        </w:rPr>
        <w:t xml:space="preserve"> </w:t>
      </w:r>
      <w:r w:rsidR="00C8060B">
        <w:rPr>
          <w:lang w:val="ru-RU"/>
        </w:rPr>
        <w:t>в</w:t>
      </w:r>
      <w:r w:rsidR="00C8060B" w:rsidRPr="00DE159A">
        <w:rPr>
          <w:lang w:val="ru-RU"/>
        </w:rPr>
        <w:t xml:space="preserve"> </w:t>
      </w:r>
      <w:r w:rsidR="00406D15">
        <w:rPr>
          <w:lang w:val="ru-RU"/>
        </w:rPr>
        <w:t>расширении возможностей</w:t>
      </w:r>
      <w:r w:rsidR="00C8060B" w:rsidRPr="00DE159A">
        <w:rPr>
          <w:lang w:val="ru-RU"/>
        </w:rPr>
        <w:t xml:space="preserve"> </w:t>
      </w:r>
      <w:r w:rsidR="00C8060B">
        <w:rPr>
          <w:lang w:val="ru-RU"/>
        </w:rPr>
        <w:t>стран</w:t>
      </w:r>
      <w:r w:rsidR="00C8060B" w:rsidRPr="00DE159A">
        <w:rPr>
          <w:lang w:val="ru-RU"/>
        </w:rPr>
        <w:t xml:space="preserve"> </w:t>
      </w:r>
      <w:r w:rsidR="00C8060B">
        <w:rPr>
          <w:lang w:val="ru-RU"/>
        </w:rPr>
        <w:t>представлять</w:t>
      </w:r>
      <w:r w:rsidR="00C8060B" w:rsidRPr="00DE159A">
        <w:rPr>
          <w:lang w:val="ru-RU"/>
        </w:rPr>
        <w:t xml:space="preserve"> </w:t>
      </w:r>
      <w:r w:rsidR="00C8060B">
        <w:rPr>
          <w:lang w:val="ru-RU"/>
        </w:rPr>
        <w:t>данные</w:t>
      </w:r>
      <w:r w:rsidR="00C8060B" w:rsidRPr="00DE159A">
        <w:rPr>
          <w:lang w:val="ru-RU"/>
        </w:rPr>
        <w:t xml:space="preserve"> </w:t>
      </w:r>
      <w:r w:rsidR="00C8060B">
        <w:rPr>
          <w:lang w:val="ru-RU"/>
        </w:rPr>
        <w:t>с</w:t>
      </w:r>
      <w:r w:rsidR="00C8060B" w:rsidRPr="00DE159A">
        <w:rPr>
          <w:lang w:val="ru-RU"/>
        </w:rPr>
        <w:t xml:space="preserve"> </w:t>
      </w:r>
      <w:r w:rsidR="00C8060B">
        <w:rPr>
          <w:lang w:val="ru-RU"/>
        </w:rPr>
        <w:t>разбивкой</w:t>
      </w:r>
      <w:r w:rsidR="00C8060B" w:rsidRPr="00DE159A">
        <w:rPr>
          <w:lang w:val="ru-RU"/>
        </w:rPr>
        <w:t xml:space="preserve"> </w:t>
      </w:r>
      <w:r w:rsidR="00C8060B">
        <w:rPr>
          <w:lang w:val="ru-RU"/>
        </w:rPr>
        <w:t>по</w:t>
      </w:r>
      <w:r w:rsidR="00C8060B" w:rsidRPr="00DE159A">
        <w:rPr>
          <w:lang w:val="ru-RU"/>
        </w:rPr>
        <w:t xml:space="preserve"> </w:t>
      </w:r>
      <w:r w:rsidR="00DE159A">
        <w:rPr>
          <w:lang w:val="ru-RU"/>
        </w:rPr>
        <w:t>потреблению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 xml:space="preserve">энергии по секторам и подсекторам экономики с </w:t>
      </w:r>
      <w:r w:rsidR="00406D15">
        <w:rPr>
          <w:lang w:val="ru-RU"/>
        </w:rPr>
        <w:t xml:space="preserve">увязкой с единицами намерения выпущенной продукции </w:t>
      </w:r>
      <w:r w:rsidR="00DE159A">
        <w:rPr>
          <w:lang w:val="ru-RU"/>
        </w:rPr>
        <w:t xml:space="preserve">в </w:t>
      </w:r>
      <w:r w:rsidR="00DE159A">
        <w:rPr>
          <w:lang w:val="ru-RU"/>
        </w:rPr>
        <w:lastRenderedPageBreak/>
        <w:t>данных отраслях</w:t>
      </w:r>
      <w:r w:rsidR="00254491" w:rsidRPr="00DE159A">
        <w:rPr>
          <w:lang w:val="ru-RU"/>
        </w:rPr>
        <w:t>.</w:t>
      </w:r>
      <w:r w:rsidR="00DE31B8" w:rsidRPr="00DE159A">
        <w:rPr>
          <w:lang w:val="ru-RU"/>
        </w:rPr>
        <w:t xml:space="preserve"> </w:t>
      </w:r>
      <w:r w:rsidR="00DE159A">
        <w:rPr>
          <w:lang w:val="ru-RU"/>
        </w:rPr>
        <w:t>В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сфере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использования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возобновляемых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источников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энергии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приоритетной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задачей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является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улучшение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возможности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измерения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устойчивости различных форм возобновляемой энергии, в особенности традиционного использования биомассы</w:t>
      </w:r>
      <w:r w:rsidR="00403B80" w:rsidRPr="00DE159A">
        <w:rPr>
          <w:lang w:val="ru-RU"/>
        </w:rPr>
        <w:t xml:space="preserve">. </w:t>
      </w:r>
      <w:r w:rsidR="00DE159A">
        <w:rPr>
          <w:lang w:val="ru-RU"/>
        </w:rPr>
        <w:t>Все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эти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статистические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усовершенствования</w:t>
      </w:r>
      <w:r w:rsidR="00DE159A" w:rsidRPr="00DE159A">
        <w:rPr>
          <w:lang w:val="ru-RU"/>
        </w:rPr>
        <w:t xml:space="preserve"> </w:t>
      </w:r>
      <w:r w:rsidR="00406D15">
        <w:rPr>
          <w:lang w:val="ru-RU"/>
        </w:rPr>
        <w:t xml:space="preserve">необходимы для содействия разработке и реализации политики, дающей ощутимые результаты. Наращивание </w:t>
      </w:r>
      <w:r w:rsidR="00DE159A">
        <w:rPr>
          <w:lang w:val="ru-RU"/>
        </w:rPr>
        <w:t>потенциала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стран</w:t>
      </w:r>
      <w:r w:rsidR="00DE159A" w:rsidRPr="00DE159A">
        <w:rPr>
          <w:lang w:val="ru-RU"/>
        </w:rPr>
        <w:t xml:space="preserve"> </w:t>
      </w:r>
      <w:r w:rsidR="00D513C9">
        <w:rPr>
          <w:lang w:val="ru-RU"/>
        </w:rPr>
        <w:t xml:space="preserve">в области разработки и выполнения </w:t>
      </w:r>
      <w:r w:rsidR="00DE159A">
        <w:rPr>
          <w:lang w:val="ru-RU"/>
        </w:rPr>
        <w:t>усовершенствованны</w:t>
      </w:r>
      <w:r w:rsidR="00D513C9">
        <w:rPr>
          <w:lang w:val="ru-RU"/>
        </w:rPr>
        <w:t>х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показател</w:t>
      </w:r>
      <w:r w:rsidR="00D513C9">
        <w:rPr>
          <w:lang w:val="ru-RU"/>
        </w:rPr>
        <w:t>ей</w:t>
      </w:r>
      <w:r w:rsidR="00DE159A" w:rsidRPr="00DE159A">
        <w:rPr>
          <w:lang w:val="ru-RU"/>
        </w:rPr>
        <w:t xml:space="preserve"> </w:t>
      </w:r>
      <w:r w:rsidR="00DE159A">
        <w:rPr>
          <w:lang w:val="ru-RU"/>
        </w:rPr>
        <w:t>является само по себе важной задачей</w:t>
      </w:r>
      <w:r w:rsidR="00DE31B8" w:rsidRPr="00DE159A">
        <w:rPr>
          <w:lang w:val="ru-RU"/>
        </w:rPr>
        <w:t>.</w:t>
      </w:r>
    </w:p>
    <w:p w:rsidR="001954FD" w:rsidRPr="00DE159A" w:rsidRDefault="00DE159A" w:rsidP="00067E45">
      <w:pPr>
        <w:pStyle w:val="Heading2"/>
        <w:rPr>
          <w:lang w:val="ru-RU"/>
        </w:rPr>
      </w:pPr>
      <w:r>
        <w:rPr>
          <w:lang w:val="ru-RU"/>
        </w:rPr>
        <w:t>Смелая</w:t>
      </w:r>
      <w:r w:rsidRPr="00DE159A">
        <w:rPr>
          <w:lang w:val="ru-RU"/>
        </w:rPr>
        <w:t xml:space="preserve"> </w:t>
      </w:r>
      <w:r>
        <w:rPr>
          <w:lang w:val="ru-RU"/>
        </w:rPr>
        <w:t>политика</w:t>
      </w:r>
      <w:r w:rsidRPr="00DE159A">
        <w:rPr>
          <w:lang w:val="ru-RU"/>
        </w:rPr>
        <w:t xml:space="preserve"> </w:t>
      </w:r>
      <w:r w:rsidR="001954FD" w:rsidRPr="00DE159A">
        <w:rPr>
          <w:lang w:val="ru-RU"/>
        </w:rPr>
        <w:t xml:space="preserve">… </w:t>
      </w:r>
      <w:r>
        <w:rPr>
          <w:lang w:val="ru-RU"/>
        </w:rPr>
        <w:t>и</w:t>
      </w:r>
      <w:r w:rsidR="001954FD" w:rsidRPr="00DE159A">
        <w:rPr>
          <w:lang w:val="ru-RU"/>
        </w:rPr>
        <w:t xml:space="preserve"> </w:t>
      </w:r>
      <w:r>
        <w:rPr>
          <w:lang w:val="ru-RU"/>
        </w:rPr>
        <w:t>среда, поощряющая привлечение инвестиций и инновации</w:t>
      </w:r>
    </w:p>
    <w:p w:rsidR="007613C9" w:rsidRPr="00353C09" w:rsidRDefault="00DE159A" w:rsidP="00067E45">
      <w:pPr>
        <w:pStyle w:val="SE4ALLbodycopy"/>
        <w:rPr>
          <w:lang w:val="ru-RU"/>
        </w:rPr>
      </w:pPr>
      <w:r>
        <w:rPr>
          <w:lang w:val="ru-RU"/>
        </w:rPr>
        <w:t>И</w:t>
      </w:r>
      <w:r w:rsidR="00D513C9">
        <w:rPr>
          <w:lang w:val="ru-RU"/>
        </w:rPr>
        <w:t>,</w:t>
      </w:r>
      <w:r w:rsidRPr="00F83E4A">
        <w:rPr>
          <w:lang w:val="ru-RU"/>
        </w:rPr>
        <w:t xml:space="preserve"> </w:t>
      </w:r>
      <w:r>
        <w:rPr>
          <w:lang w:val="ru-RU"/>
        </w:rPr>
        <w:t>наконец</w:t>
      </w:r>
      <w:r w:rsidRPr="00F83E4A">
        <w:rPr>
          <w:lang w:val="ru-RU"/>
        </w:rPr>
        <w:t xml:space="preserve">, </w:t>
      </w:r>
      <w:r>
        <w:rPr>
          <w:lang w:val="ru-RU"/>
        </w:rPr>
        <w:t>учитывая</w:t>
      </w:r>
      <w:r w:rsidRPr="00F83E4A">
        <w:rPr>
          <w:lang w:val="ru-RU"/>
        </w:rPr>
        <w:t xml:space="preserve"> </w:t>
      </w:r>
      <w:r w:rsidR="00D513C9">
        <w:rPr>
          <w:lang w:val="ru-RU"/>
        </w:rPr>
        <w:t xml:space="preserve">сложность </w:t>
      </w:r>
      <w:r w:rsidR="00F83E4A">
        <w:rPr>
          <w:lang w:val="ru-RU"/>
        </w:rPr>
        <w:t>достижени</w:t>
      </w:r>
      <w:r w:rsidR="00D513C9">
        <w:rPr>
          <w:lang w:val="ru-RU"/>
        </w:rPr>
        <w:t>я</w:t>
      </w:r>
      <w:r w:rsidR="00F83E4A">
        <w:rPr>
          <w:lang w:val="ru-RU"/>
        </w:rPr>
        <w:t xml:space="preserve"> </w:t>
      </w:r>
      <w:r>
        <w:rPr>
          <w:lang w:val="ru-RU"/>
        </w:rPr>
        <w:t>целей</w:t>
      </w:r>
      <w:r w:rsidRPr="00F83E4A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F83E4A">
        <w:rPr>
          <w:lang w:val="ru-RU"/>
        </w:rPr>
        <w:t xml:space="preserve"> </w:t>
      </w:r>
      <w:r w:rsidR="00406D15">
        <w:rPr>
          <w:lang w:val="ru-RU"/>
        </w:rPr>
        <w:t xml:space="preserve">"Устойчивая энергетика для всех", </w:t>
      </w:r>
      <w:r w:rsidR="00F83E4A">
        <w:rPr>
          <w:lang w:val="ru-RU"/>
        </w:rPr>
        <w:t>становится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очевидным</w:t>
      </w:r>
      <w:r w:rsidR="00F83E4A" w:rsidRPr="00F83E4A">
        <w:rPr>
          <w:lang w:val="ru-RU"/>
        </w:rPr>
        <w:t xml:space="preserve">, </w:t>
      </w:r>
      <w:r w:rsidR="00F83E4A">
        <w:rPr>
          <w:lang w:val="ru-RU"/>
        </w:rPr>
        <w:t>что</w:t>
      </w:r>
      <w:r w:rsidR="00F83E4A" w:rsidRPr="00F83E4A">
        <w:rPr>
          <w:lang w:val="ru-RU"/>
        </w:rPr>
        <w:t xml:space="preserve"> </w:t>
      </w:r>
      <w:r w:rsidR="00406D15">
        <w:rPr>
          <w:lang w:val="ru-RU"/>
        </w:rPr>
        <w:t xml:space="preserve">потребуется </w:t>
      </w:r>
      <w:r w:rsidR="00F83E4A">
        <w:rPr>
          <w:lang w:val="ru-RU"/>
        </w:rPr>
        <w:t>смелая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политика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наряду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с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регуляторной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и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институциональной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средой</w:t>
      </w:r>
      <w:r w:rsidR="00F83E4A" w:rsidRPr="00F83E4A">
        <w:rPr>
          <w:lang w:val="ru-RU"/>
        </w:rPr>
        <w:t xml:space="preserve">, </w:t>
      </w:r>
      <w:r w:rsidR="00406D15">
        <w:rPr>
          <w:lang w:val="ru-RU"/>
        </w:rPr>
        <w:t xml:space="preserve">поддерживающей </w:t>
      </w:r>
      <w:r w:rsidR="00F83E4A">
        <w:rPr>
          <w:lang w:val="ru-RU"/>
        </w:rPr>
        <w:t>инновации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и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привлечени</w:t>
      </w:r>
      <w:r w:rsidR="00406D15">
        <w:rPr>
          <w:lang w:val="ru-RU"/>
        </w:rPr>
        <w:t>е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инвестиций</w:t>
      </w:r>
      <w:r w:rsidR="00F83E4A" w:rsidRPr="00F83E4A">
        <w:rPr>
          <w:lang w:val="ru-RU"/>
        </w:rPr>
        <w:t xml:space="preserve">, </w:t>
      </w:r>
      <w:r w:rsidR="00406D15">
        <w:rPr>
          <w:lang w:val="ru-RU"/>
        </w:rPr>
        <w:t>которые обеспечат необходимое повышение</w:t>
      </w:r>
      <w:r w:rsidR="00F83E4A">
        <w:rPr>
          <w:lang w:val="ru-RU"/>
        </w:rPr>
        <w:t xml:space="preserve"> потенциала энергетического сектора </w:t>
      </w:r>
      <w:r w:rsidR="00406D15">
        <w:rPr>
          <w:lang w:val="ru-RU"/>
        </w:rPr>
        <w:t>для</w:t>
      </w:r>
      <w:r w:rsidR="00F83E4A">
        <w:rPr>
          <w:lang w:val="ru-RU"/>
        </w:rPr>
        <w:t xml:space="preserve"> расширени</w:t>
      </w:r>
      <w:r w:rsidR="00406D15">
        <w:rPr>
          <w:lang w:val="ru-RU"/>
        </w:rPr>
        <w:t>я</w:t>
      </w:r>
      <w:r w:rsidR="00F83E4A">
        <w:rPr>
          <w:lang w:val="ru-RU"/>
        </w:rPr>
        <w:t xml:space="preserve"> доступа к энергетическим услугам, повышения </w:t>
      </w:r>
      <w:r w:rsidR="00406D15">
        <w:rPr>
          <w:lang w:val="ru-RU"/>
        </w:rPr>
        <w:t>выхода продукции</w:t>
      </w:r>
      <w:r w:rsidR="00F83E4A">
        <w:rPr>
          <w:lang w:val="ru-RU"/>
        </w:rPr>
        <w:t xml:space="preserve"> на единицу энергии и увеличения доли возобновляемых источников энергии в общей структуре энергоносителей.</w:t>
      </w:r>
      <w:r w:rsidR="007613C9" w:rsidRPr="00F83E4A">
        <w:rPr>
          <w:lang w:val="ru-RU"/>
        </w:rPr>
        <w:t xml:space="preserve"> </w:t>
      </w:r>
      <w:r w:rsidR="00F83E4A">
        <w:rPr>
          <w:lang w:val="ru-RU"/>
        </w:rPr>
        <w:t>Подробной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анализ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полити</w:t>
      </w:r>
      <w:r w:rsidR="00406D15">
        <w:rPr>
          <w:lang w:val="ru-RU"/>
        </w:rPr>
        <w:t>ческих условий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на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уровне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стран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выходит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за</w:t>
      </w:r>
      <w:r w:rsidR="00F83E4A" w:rsidRPr="00F83E4A">
        <w:rPr>
          <w:lang w:val="ru-RU"/>
        </w:rPr>
        <w:t xml:space="preserve"> </w:t>
      </w:r>
      <w:r w:rsidR="00F83E4A">
        <w:rPr>
          <w:lang w:val="ru-RU"/>
        </w:rPr>
        <w:t>рамки</w:t>
      </w:r>
      <w:r w:rsidR="00F83E4A" w:rsidRPr="00F83E4A">
        <w:rPr>
          <w:lang w:val="ru-RU"/>
        </w:rPr>
        <w:t xml:space="preserve"> </w:t>
      </w:r>
      <w:r w:rsidR="00406D15">
        <w:rPr>
          <w:lang w:val="ru-RU"/>
        </w:rPr>
        <w:t xml:space="preserve">настоящей </w:t>
      </w:r>
      <w:r w:rsidR="00F83E4A">
        <w:rPr>
          <w:lang w:val="ru-RU"/>
        </w:rPr>
        <w:t>Глобальной</w:t>
      </w:r>
      <w:r w:rsidR="00F83E4A" w:rsidRPr="00F83E4A">
        <w:rPr>
          <w:lang w:val="ru-RU"/>
        </w:rPr>
        <w:t xml:space="preserve"> </w:t>
      </w:r>
      <w:r w:rsidR="00406D15">
        <w:rPr>
          <w:lang w:val="ru-RU"/>
        </w:rPr>
        <w:t>системы</w:t>
      </w:r>
      <w:r w:rsidR="00F83E4A">
        <w:rPr>
          <w:lang w:val="ru-RU"/>
        </w:rPr>
        <w:t xml:space="preserve"> отслеживани</w:t>
      </w:r>
      <w:r w:rsidR="00406D15">
        <w:rPr>
          <w:lang w:val="ru-RU"/>
        </w:rPr>
        <w:t>я</w:t>
      </w:r>
      <w:r w:rsidR="00F83E4A">
        <w:rPr>
          <w:lang w:val="ru-RU"/>
        </w:rPr>
        <w:t xml:space="preserve"> </w:t>
      </w:r>
      <w:r w:rsidR="00406D15">
        <w:rPr>
          <w:lang w:val="ru-RU"/>
        </w:rPr>
        <w:t>прогресса</w:t>
      </w:r>
      <w:r w:rsidR="00F83E4A">
        <w:rPr>
          <w:lang w:val="ru-RU"/>
        </w:rPr>
        <w:t>, основной задачей которой является мониторинг выполнения на мировом уровне задач, определенных инициативой</w:t>
      </w:r>
      <w:r w:rsidR="004B18E6" w:rsidRPr="00F83E4A">
        <w:rPr>
          <w:lang w:val="ru-RU"/>
        </w:rPr>
        <w:t xml:space="preserve"> </w:t>
      </w:r>
      <w:r w:rsidR="00406D15">
        <w:rPr>
          <w:lang w:val="ru-RU"/>
        </w:rPr>
        <w:t>"Устойчивая энергетика для всех"</w:t>
      </w:r>
      <w:r w:rsidR="007613C9" w:rsidRPr="00F83E4A">
        <w:rPr>
          <w:lang w:val="ru-RU"/>
        </w:rPr>
        <w:t xml:space="preserve">. </w:t>
      </w:r>
      <w:r w:rsidR="00353C09">
        <w:rPr>
          <w:lang w:val="ru-RU"/>
        </w:rPr>
        <w:t>Однако</w:t>
      </w:r>
      <w:r w:rsidR="00353C09" w:rsidRPr="00353C09">
        <w:rPr>
          <w:lang w:val="ru-RU"/>
        </w:rPr>
        <w:t xml:space="preserve"> </w:t>
      </w:r>
      <w:r w:rsidR="00353C09">
        <w:rPr>
          <w:lang w:val="ru-RU"/>
        </w:rPr>
        <w:t>это</w:t>
      </w:r>
      <w:r w:rsidR="00353C09" w:rsidRPr="00353C09">
        <w:rPr>
          <w:lang w:val="ru-RU"/>
        </w:rPr>
        <w:t xml:space="preserve"> </w:t>
      </w:r>
      <w:r w:rsidR="00353C09">
        <w:rPr>
          <w:lang w:val="ru-RU"/>
        </w:rPr>
        <w:t>станет</w:t>
      </w:r>
      <w:r w:rsidR="00353C09" w:rsidRPr="00353C09">
        <w:rPr>
          <w:lang w:val="ru-RU"/>
        </w:rPr>
        <w:t xml:space="preserve"> </w:t>
      </w:r>
      <w:r w:rsidR="00353C09">
        <w:rPr>
          <w:lang w:val="ru-RU"/>
        </w:rPr>
        <w:t>важным</w:t>
      </w:r>
      <w:r w:rsidR="00353C09" w:rsidRPr="00353C09">
        <w:rPr>
          <w:lang w:val="ru-RU"/>
        </w:rPr>
        <w:t xml:space="preserve"> </w:t>
      </w:r>
      <w:r w:rsidR="00353C09">
        <w:rPr>
          <w:lang w:val="ru-RU"/>
        </w:rPr>
        <w:t>направлением</w:t>
      </w:r>
      <w:r w:rsidR="00353C09" w:rsidRPr="00353C09">
        <w:rPr>
          <w:lang w:val="ru-RU"/>
        </w:rPr>
        <w:t xml:space="preserve"> </w:t>
      </w:r>
      <w:r w:rsidR="00406D15">
        <w:rPr>
          <w:lang w:val="ru-RU"/>
        </w:rPr>
        <w:t xml:space="preserve">будущей </w:t>
      </w:r>
      <w:r w:rsidR="00353C09">
        <w:rPr>
          <w:lang w:val="ru-RU"/>
        </w:rPr>
        <w:t>работы</w:t>
      </w:r>
      <w:r w:rsidR="00406D15">
        <w:rPr>
          <w:lang w:val="ru-RU"/>
        </w:rPr>
        <w:t xml:space="preserve"> по содействию решению критически важных социальных, экономических и экологических задач инициативы "Устойчивая энергетика для всех".</w:t>
      </w:r>
    </w:p>
    <w:p w:rsidR="00D55F3A" w:rsidRPr="00353C09" w:rsidRDefault="00D55F3A">
      <w:pPr>
        <w:pStyle w:val="SE4ALLbodycopy"/>
        <w:rPr>
          <w:lang w:val="ru-RU"/>
        </w:rPr>
      </w:pPr>
    </w:p>
    <w:sectPr w:rsidR="00D55F3A" w:rsidRPr="00353C09" w:rsidSect="009532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06" w:rsidRDefault="00A20A06" w:rsidP="00095C62">
      <w:pPr>
        <w:spacing w:after="0" w:line="240" w:lineRule="auto"/>
      </w:pPr>
      <w:r>
        <w:separator/>
      </w:r>
    </w:p>
  </w:endnote>
  <w:endnote w:type="continuationSeparator" w:id="0">
    <w:p w:rsidR="00A20A06" w:rsidRDefault="00A20A06" w:rsidP="0009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89" w:rsidRDefault="00E71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F9" w:rsidRPr="006C3BD7" w:rsidRDefault="00374DC6" w:rsidP="00095C62">
    <w:pPr>
      <w:pStyle w:val="Footer"/>
      <w:framePr w:wrap="around" w:vAnchor="text" w:hAnchor="page" w:x="6121" w:y="1"/>
      <w:rPr>
        <w:rStyle w:val="PageNumber"/>
      </w:rPr>
    </w:pPr>
    <w:r w:rsidRPr="006C3BD7">
      <w:rPr>
        <w:rStyle w:val="PageNumber"/>
        <w:sz w:val="18"/>
        <w:szCs w:val="18"/>
      </w:rPr>
      <w:fldChar w:fldCharType="begin"/>
    </w:r>
    <w:r w:rsidR="005A0AF9" w:rsidRPr="006C3BD7">
      <w:rPr>
        <w:rStyle w:val="PageNumber"/>
        <w:sz w:val="18"/>
        <w:szCs w:val="18"/>
      </w:rPr>
      <w:instrText xml:space="preserve">PAGE  </w:instrText>
    </w:r>
    <w:r w:rsidRPr="006C3BD7">
      <w:rPr>
        <w:rStyle w:val="PageNumber"/>
        <w:sz w:val="18"/>
        <w:szCs w:val="18"/>
      </w:rPr>
      <w:fldChar w:fldCharType="separate"/>
    </w:r>
    <w:r w:rsidR="006568E9">
      <w:rPr>
        <w:rStyle w:val="PageNumber"/>
        <w:noProof/>
        <w:sz w:val="18"/>
        <w:szCs w:val="18"/>
      </w:rPr>
      <w:t>2</w:t>
    </w:r>
    <w:r w:rsidRPr="006C3BD7">
      <w:rPr>
        <w:rStyle w:val="PageNumber"/>
        <w:sz w:val="18"/>
        <w:szCs w:val="18"/>
      </w:rPr>
      <w:fldChar w:fldCharType="end"/>
    </w:r>
  </w:p>
  <w:p w:rsidR="005A0AF9" w:rsidRDefault="005A0A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89" w:rsidRDefault="00E71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06" w:rsidRDefault="00A20A06" w:rsidP="00095C62">
      <w:pPr>
        <w:spacing w:after="0" w:line="240" w:lineRule="auto"/>
      </w:pPr>
      <w:r>
        <w:separator/>
      </w:r>
    </w:p>
  </w:footnote>
  <w:footnote w:type="continuationSeparator" w:id="0">
    <w:p w:rsidR="00A20A06" w:rsidRDefault="00A20A06" w:rsidP="00095C62">
      <w:pPr>
        <w:spacing w:after="0" w:line="240" w:lineRule="auto"/>
      </w:pPr>
      <w:r>
        <w:continuationSeparator/>
      </w:r>
    </w:p>
  </w:footnote>
  <w:footnote w:id="1">
    <w:p w:rsidR="005A0AF9" w:rsidRPr="00D15CF3" w:rsidRDefault="005A0AF9" w:rsidP="004342AA">
      <w:pPr>
        <w:pStyle w:val="FootnoteText"/>
        <w:rPr>
          <w:lang w:val="ru-RU"/>
        </w:rPr>
      </w:pPr>
      <w:r w:rsidRPr="00AD527B">
        <w:rPr>
          <w:rStyle w:val="FootnoteReference"/>
          <w:sz w:val="20"/>
        </w:rPr>
        <w:footnoteRef/>
      </w:r>
      <w:r>
        <w:rPr>
          <w:sz w:val="20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Хотя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технической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точки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зрения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энергию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невозможно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потреблять</w:t>
      </w:r>
      <w:r w:rsidRPr="00D15CF3">
        <w:rPr>
          <w:rFonts w:ascii="Calibri" w:hAnsi="Calibri"/>
          <w:sz w:val="18"/>
          <w:szCs w:val="18"/>
          <w:lang w:val="ru-RU"/>
        </w:rPr>
        <w:t xml:space="preserve">, </w:t>
      </w:r>
      <w:r>
        <w:rPr>
          <w:rFonts w:ascii="Calibri" w:hAnsi="Calibri"/>
          <w:sz w:val="18"/>
          <w:szCs w:val="18"/>
          <w:lang w:val="ru-RU"/>
        </w:rPr>
        <w:t>в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настоящем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отчете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термин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"энергопотребление"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означает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"количество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использованной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энергии"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в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соответствии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определение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стандарта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</w:rPr>
        <w:t>ISO</w:t>
      </w:r>
      <w:r w:rsidRPr="00D15CF3">
        <w:rPr>
          <w:rFonts w:ascii="Calibri" w:hAnsi="Calibri"/>
          <w:sz w:val="18"/>
          <w:szCs w:val="18"/>
          <w:lang w:val="ru-RU"/>
        </w:rPr>
        <w:t xml:space="preserve"> 50001:2011 </w:t>
      </w:r>
      <w:r>
        <w:rPr>
          <w:rFonts w:ascii="Calibri" w:hAnsi="Calibri"/>
          <w:sz w:val="18"/>
          <w:szCs w:val="18"/>
          <w:lang w:val="ru-RU"/>
        </w:rPr>
        <w:t xml:space="preserve">и будущего стандарта </w:t>
      </w:r>
      <w:r>
        <w:rPr>
          <w:rFonts w:ascii="Calibri" w:hAnsi="Calibri"/>
          <w:sz w:val="18"/>
          <w:szCs w:val="18"/>
        </w:rPr>
        <w:t>ISO</w:t>
      </w:r>
      <w:r w:rsidRPr="00D15CF3">
        <w:rPr>
          <w:rFonts w:ascii="Calibri" w:hAnsi="Calibri"/>
          <w:sz w:val="18"/>
          <w:szCs w:val="18"/>
          <w:lang w:val="ru-RU"/>
        </w:rPr>
        <w:t xml:space="preserve"> 13273-1 </w:t>
      </w:r>
      <w:r>
        <w:rPr>
          <w:rFonts w:ascii="Calibri" w:hAnsi="Calibri"/>
          <w:sz w:val="18"/>
          <w:szCs w:val="18"/>
          <w:lang w:val="ru-RU"/>
        </w:rPr>
        <w:t>"</w:t>
      </w:r>
      <w:r w:rsidR="003D623F">
        <w:rPr>
          <w:rFonts w:ascii="Calibri" w:hAnsi="Calibri"/>
          <w:sz w:val="18"/>
          <w:szCs w:val="18"/>
          <w:lang w:val="ru-RU"/>
        </w:rPr>
        <w:t>Э</w:t>
      </w:r>
      <w:r>
        <w:rPr>
          <w:rFonts w:ascii="Calibri" w:hAnsi="Calibri"/>
          <w:sz w:val="18"/>
          <w:szCs w:val="18"/>
          <w:lang w:val="ru-RU"/>
        </w:rPr>
        <w:t xml:space="preserve">нергоэффективность и возобновляемые источники энергии" – </w:t>
      </w:r>
      <w:r>
        <w:rPr>
          <w:rFonts w:ascii="Calibri" w:hAnsi="Calibri"/>
          <w:sz w:val="18"/>
          <w:szCs w:val="18"/>
        </w:rPr>
        <w:t>Common</w:t>
      </w:r>
      <w:r w:rsidRPr="008725C9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</w:rPr>
        <w:t>international</w:t>
      </w:r>
      <w:r w:rsidRPr="008725C9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</w:rPr>
        <w:t>terminology</w:t>
      </w:r>
      <w:r>
        <w:rPr>
          <w:rFonts w:ascii="Calibri" w:hAnsi="Calibri"/>
          <w:sz w:val="18"/>
          <w:szCs w:val="18"/>
          <w:lang w:val="ru-RU"/>
        </w:rPr>
        <w:t xml:space="preserve">. </w:t>
      </w:r>
      <w:proofErr w:type="gramStart"/>
      <w:r>
        <w:rPr>
          <w:rFonts w:ascii="Calibri" w:hAnsi="Calibri"/>
          <w:sz w:val="18"/>
          <w:szCs w:val="18"/>
        </w:rPr>
        <w:t>p</w:t>
      </w:r>
      <w:r w:rsidRPr="00EE65FA">
        <w:rPr>
          <w:rFonts w:ascii="Calibri" w:hAnsi="Calibri"/>
          <w:sz w:val="18"/>
          <w:szCs w:val="18"/>
        </w:rPr>
        <w:t>art</w:t>
      </w:r>
      <w:proofErr w:type="gramEnd"/>
      <w:r w:rsidRPr="00D15CF3">
        <w:rPr>
          <w:rFonts w:ascii="Calibri" w:hAnsi="Calibri"/>
          <w:sz w:val="18"/>
          <w:szCs w:val="18"/>
          <w:lang w:val="ru-RU"/>
        </w:rPr>
        <w:t xml:space="preserve"> 1: </w:t>
      </w:r>
      <w:r w:rsidRPr="00EE65FA">
        <w:rPr>
          <w:rFonts w:ascii="Calibri" w:hAnsi="Calibri"/>
          <w:sz w:val="18"/>
          <w:szCs w:val="18"/>
        </w:rPr>
        <w:t>Energy</w:t>
      </w:r>
      <w:r w:rsidRPr="00D15CF3">
        <w:rPr>
          <w:rFonts w:ascii="Calibri" w:hAnsi="Calibri"/>
          <w:sz w:val="18"/>
          <w:szCs w:val="18"/>
          <w:lang w:val="ru-RU"/>
        </w:rPr>
        <w:t xml:space="preserve"> </w:t>
      </w:r>
      <w:r w:rsidRPr="00EE65FA">
        <w:rPr>
          <w:rFonts w:ascii="Calibri" w:hAnsi="Calibri"/>
          <w:sz w:val="18"/>
          <w:szCs w:val="18"/>
        </w:rPr>
        <w:t>Efficiency</w:t>
      </w:r>
      <w:r w:rsidRPr="00D15CF3">
        <w:rPr>
          <w:rFonts w:ascii="Calibri" w:hAnsi="Calibri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89" w:rsidRDefault="00E71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F9" w:rsidRPr="008725C9" w:rsidRDefault="005A0AF9" w:rsidP="00095C62">
    <w:pPr>
      <w:pStyle w:val="Header"/>
      <w:jc w:val="center"/>
      <w:rPr>
        <w:smallCaps/>
        <w:sz w:val="18"/>
        <w:szCs w:val="18"/>
        <w:lang w:val="ru-RU"/>
      </w:rPr>
    </w:pPr>
    <w:r>
      <w:rPr>
        <w:smallCaps/>
        <w:sz w:val="18"/>
        <w:szCs w:val="18"/>
        <w:lang w:val="ru-RU"/>
      </w:rPr>
      <w:t xml:space="preserve">СИСТЕМА ОТСЛЕЖИВАНИЯ ПРОГРЕССА В ВЫПОЛНЕНИИ ИНИЦИАТИВЫ </w:t>
    </w:r>
    <w:r>
      <w:rPr>
        <w:smallCaps/>
        <w:sz w:val="18"/>
        <w:szCs w:val="18"/>
      </w:rPr>
      <w:t>SE</w:t>
    </w:r>
    <w:r w:rsidRPr="008725C9">
      <w:rPr>
        <w:smallCaps/>
        <w:sz w:val="18"/>
        <w:szCs w:val="18"/>
        <w:lang w:val="ru-RU"/>
      </w:rPr>
      <w:t>4</w:t>
    </w:r>
    <w:r>
      <w:rPr>
        <w:smallCaps/>
        <w:sz w:val="18"/>
        <w:szCs w:val="18"/>
      </w:rPr>
      <w:t>ALL</w:t>
    </w:r>
    <w:r w:rsidRPr="008725C9">
      <w:rPr>
        <w:smallCaps/>
        <w:sz w:val="18"/>
        <w:szCs w:val="18"/>
        <w:lang w:val="ru-RU"/>
      </w:rPr>
      <w:t xml:space="preserve"> | </w:t>
    </w:r>
    <w:r>
      <w:rPr>
        <w:smallCaps/>
        <w:sz w:val="18"/>
        <w:szCs w:val="18"/>
        <w:lang w:val="ru-RU"/>
      </w:rPr>
      <w:t>РЕЗЮМЕ</w:t>
    </w:r>
  </w:p>
  <w:p w:rsidR="005A0AF9" w:rsidRPr="008725C9" w:rsidRDefault="005A0AF9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F9" w:rsidRDefault="005A0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F42"/>
    <w:multiLevelType w:val="hybridMultilevel"/>
    <w:tmpl w:val="15C47B66"/>
    <w:lvl w:ilvl="0" w:tplc="60A61F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750BB"/>
    <w:multiLevelType w:val="hybridMultilevel"/>
    <w:tmpl w:val="10F88152"/>
    <w:lvl w:ilvl="0" w:tplc="5C662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C2C0F"/>
    <w:multiLevelType w:val="hybridMultilevel"/>
    <w:tmpl w:val="CC18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068B1"/>
    <w:multiLevelType w:val="hybridMultilevel"/>
    <w:tmpl w:val="75387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AE4F5E">
      <w:start w:val="1"/>
      <w:numFmt w:val="bullet"/>
      <w:pStyle w:val="SE4ALLbox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818"/>
    <w:multiLevelType w:val="multilevel"/>
    <w:tmpl w:val="B950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52B"/>
    <w:rsid w:val="00000295"/>
    <w:rsid w:val="00000A46"/>
    <w:rsid w:val="00001531"/>
    <w:rsid w:val="00001C3B"/>
    <w:rsid w:val="00001DC5"/>
    <w:rsid w:val="00001F80"/>
    <w:rsid w:val="000022B8"/>
    <w:rsid w:val="00002A3A"/>
    <w:rsid w:val="00002B4F"/>
    <w:rsid w:val="000045CC"/>
    <w:rsid w:val="00005049"/>
    <w:rsid w:val="000056DE"/>
    <w:rsid w:val="0000574B"/>
    <w:rsid w:val="00005F08"/>
    <w:rsid w:val="000062C8"/>
    <w:rsid w:val="000065F4"/>
    <w:rsid w:val="00006C10"/>
    <w:rsid w:val="00006E8E"/>
    <w:rsid w:val="00006F01"/>
    <w:rsid w:val="0000757E"/>
    <w:rsid w:val="00007D86"/>
    <w:rsid w:val="0001070F"/>
    <w:rsid w:val="0001102E"/>
    <w:rsid w:val="0001106D"/>
    <w:rsid w:val="000117CD"/>
    <w:rsid w:val="00011D3E"/>
    <w:rsid w:val="000120D7"/>
    <w:rsid w:val="00012180"/>
    <w:rsid w:val="00012C6D"/>
    <w:rsid w:val="000135BA"/>
    <w:rsid w:val="00013F93"/>
    <w:rsid w:val="0001431D"/>
    <w:rsid w:val="000149D9"/>
    <w:rsid w:val="00014B35"/>
    <w:rsid w:val="000153D4"/>
    <w:rsid w:val="00016645"/>
    <w:rsid w:val="0001664B"/>
    <w:rsid w:val="0001720B"/>
    <w:rsid w:val="00017C4C"/>
    <w:rsid w:val="00017C59"/>
    <w:rsid w:val="00020055"/>
    <w:rsid w:val="00020ECF"/>
    <w:rsid w:val="0002103D"/>
    <w:rsid w:val="00021826"/>
    <w:rsid w:val="00021A45"/>
    <w:rsid w:val="00021E2D"/>
    <w:rsid w:val="0002200A"/>
    <w:rsid w:val="0002273C"/>
    <w:rsid w:val="00022BC9"/>
    <w:rsid w:val="000230AB"/>
    <w:rsid w:val="00023516"/>
    <w:rsid w:val="000257E9"/>
    <w:rsid w:val="000263F1"/>
    <w:rsid w:val="0002700E"/>
    <w:rsid w:val="0002708F"/>
    <w:rsid w:val="000278DB"/>
    <w:rsid w:val="00027C4E"/>
    <w:rsid w:val="00027C54"/>
    <w:rsid w:val="00027CA0"/>
    <w:rsid w:val="00027F03"/>
    <w:rsid w:val="0003006B"/>
    <w:rsid w:val="00030EB0"/>
    <w:rsid w:val="000315A1"/>
    <w:rsid w:val="00031901"/>
    <w:rsid w:val="000327CC"/>
    <w:rsid w:val="00032D58"/>
    <w:rsid w:val="00032E7F"/>
    <w:rsid w:val="00033353"/>
    <w:rsid w:val="000336F7"/>
    <w:rsid w:val="00033BB4"/>
    <w:rsid w:val="00033C03"/>
    <w:rsid w:val="000352F0"/>
    <w:rsid w:val="0003612E"/>
    <w:rsid w:val="0003791F"/>
    <w:rsid w:val="00037EBA"/>
    <w:rsid w:val="0004009B"/>
    <w:rsid w:val="000401AC"/>
    <w:rsid w:val="000401EC"/>
    <w:rsid w:val="00041A89"/>
    <w:rsid w:val="00041BB1"/>
    <w:rsid w:val="000420B1"/>
    <w:rsid w:val="00042406"/>
    <w:rsid w:val="000428EC"/>
    <w:rsid w:val="00042EA7"/>
    <w:rsid w:val="00042EF0"/>
    <w:rsid w:val="000432D2"/>
    <w:rsid w:val="000436AC"/>
    <w:rsid w:val="00043AE7"/>
    <w:rsid w:val="00043DBB"/>
    <w:rsid w:val="00044494"/>
    <w:rsid w:val="00044876"/>
    <w:rsid w:val="00044E96"/>
    <w:rsid w:val="00045658"/>
    <w:rsid w:val="000457B9"/>
    <w:rsid w:val="000477DE"/>
    <w:rsid w:val="000500BF"/>
    <w:rsid w:val="00050289"/>
    <w:rsid w:val="0005074E"/>
    <w:rsid w:val="000509EA"/>
    <w:rsid w:val="00050BA0"/>
    <w:rsid w:val="00050EBF"/>
    <w:rsid w:val="000529A8"/>
    <w:rsid w:val="000535A3"/>
    <w:rsid w:val="00053BB6"/>
    <w:rsid w:val="0005406C"/>
    <w:rsid w:val="000541B8"/>
    <w:rsid w:val="00054DD2"/>
    <w:rsid w:val="00054E31"/>
    <w:rsid w:val="000566C5"/>
    <w:rsid w:val="000572FB"/>
    <w:rsid w:val="00057321"/>
    <w:rsid w:val="000600AF"/>
    <w:rsid w:val="00060B90"/>
    <w:rsid w:val="00060BA2"/>
    <w:rsid w:val="00060F48"/>
    <w:rsid w:val="00060F87"/>
    <w:rsid w:val="000618B7"/>
    <w:rsid w:val="00061AB0"/>
    <w:rsid w:val="00061C1E"/>
    <w:rsid w:val="00061F0A"/>
    <w:rsid w:val="0006221F"/>
    <w:rsid w:val="00063417"/>
    <w:rsid w:val="00063B20"/>
    <w:rsid w:val="00063F4B"/>
    <w:rsid w:val="000644DA"/>
    <w:rsid w:val="000644F2"/>
    <w:rsid w:val="000646E7"/>
    <w:rsid w:val="00065693"/>
    <w:rsid w:val="00066979"/>
    <w:rsid w:val="00066CC2"/>
    <w:rsid w:val="0006775E"/>
    <w:rsid w:val="00067E45"/>
    <w:rsid w:val="00070103"/>
    <w:rsid w:val="00070C71"/>
    <w:rsid w:val="00070E17"/>
    <w:rsid w:val="00071206"/>
    <w:rsid w:val="00071453"/>
    <w:rsid w:val="0007169A"/>
    <w:rsid w:val="00071A6C"/>
    <w:rsid w:val="00071FC6"/>
    <w:rsid w:val="000727E6"/>
    <w:rsid w:val="000728D1"/>
    <w:rsid w:val="000729AA"/>
    <w:rsid w:val="00073F2B"/>
    <w:rsid w:val="00073FA9"/>
    <w:rsid w:val="00074402"/>
    <w:rsid w:val="00074845"/>
    <w:rsid w:val="00075B4F"/>
    <w:rsid w:val="00075F59"/>
    <w:rsid w:val="00075FEB"/>
    <w:rsid w:val="000763FB"/>
    <w:rsid w:val="00077CC6"/>
    <w:rsid w:val="00080F4A"/>
    <w:rsid w:val="0008103E"/>
    <w:rsid w:val="000815AE"/>
    <w:rsid w:val="0008192C"/>
    <w:rsid w:val="00081CE8"/>
    <w:rsid w:val="000822F1"/>
    <w:rsid w:val="00082347"/>
    <w:rsid w:val="00082359"/>
    <w:rsid w:val="000824CC"/>
    <w:rsid w:val="00082655"/>
    <w:rsid w:val="000829E3"/>
    <w:rsid w:val="000832F7"/>
    <w:rsid w:val="00083734"/>
    <w:rsid w:val="00083A7F"/>
    <w:rsid w:val="00084BD5"/>
    <w:rsid w:val="000850CA"/>
    <w:rsid w:val="00086366"/>
    <w:rsid w:val="000865C9"/>
    <w:rsid w:val="00086CE1"/>
    <w:rsid w:val="000872F2"/>
    <w:rsid w:val="00087A6E"/>
    <w:rsid w:val="00087C4B"/>
    <w:rsid w:val="00087CDE"/>
    <w:rsid w:val="000913D8"/>
    <w:rsid w:val="000913F6"/>
    <w:rsid w:val="00091AF6"/>
    <w:rsid w:val="00091FC8"/>
    <w:rsid w:val="00092058"/>
    <w:rsid w:val="000929A8"/>
    <w:rsid w:val="00092AAE"/>
    <w:rsid w:val="000934FC"/>
    <w:rsid w:val="00093CAD"/>
    <w:rsid w:val="00093DED"/>
    <w:rsid w:val="00094A6C"/>
    <w:rsid w:val="0009501C"/>
    <w:rsid w:val="00095C62"/>
    <w:rsid w:val="00095F93"/>
    <w:rsid w:val="000962EF"/>
    <w:rsid w:val="00096349"/>
    <w:rsid w:val="00096571"/>
    <w:rsid w:val="000971BC"/>
    <w:rsid w:val="000977B7"/>
    <w:rsid w:val="000978CE"/>
    <w:rsid w:val="0009790C"/>
    <w:rsid w:val="000A0042"/>
    <w:rsid w:val="000A125C"/>
    <w:rsid w:val="000A2A25"/>
    <w:rsid w:val="000A2B64"/>
    <w:rsid w:val="000A2C88"/>
    <w:rsid w:val="000A30B4"/>
    <w:rsid w:val="000A345C"/>
    <w:rsid w:val="000A38E8"/>
    <w:rsid w:val="000A4976"/>
    <w:rsid w:val="000A4B00"/>
    <w:rsid w:val="000A4C8C"/>
    <w:rsid w:val="000A5104"/>
    <w:rsid w:val="000A63A3"/>
    <w:rsid w:val="000A73B7"/>
    <w:rsid w:val="000A76E6"/>
    <w:rsid w:val="000A78FB"/>
    <w:rsid w:val="000B0593"/>
    <w:rsid w:val="000B079F"/>
    <w:rsid w:val="000B16D1"/>
    <w:rsid w:val="000B1CA0"/>
    <w:rsid w:val="000B26B2"/>
    <w:rsid w:val="000B3617"/>
    <w:rsid w:val="000B56F9"/>
    <w:rsid w:val="000B5A98"/>
    <w:rsid w:val="000B5E5F"/>
    <w:rsid w:val="000B5EB6"/>
    <w:rsid w:val="000B607F"/>
    <w:rsid w:val="000B61B8"/>
    <w:rsid w:val="000B6AA2"/>
    <w:rsid w:val="000B71F5"/>
    <w:rsid w:val="000B7D88"/>
    <w:rsid w:val="000B7FB7"/>
    <w:rsid w:val="000C01BA"/>
    <w:rsid w:val="000C132C"/>
    <w:rsid w:val="000C13D1"/>
    <w:rsid w:val="000C1BE2"/>
    <w:rsid w:val="000C287E"/>
    <w:rsid w:val="000C325A"/>
    <w:rsid w:val="000C32A6"/>
    <w:rsid w:val="000C3EFC"/>
    <w:rsid w:val="000C7F44"/>
    <w:rsid w:val="000D072C"/>
    <w:rsid w:val="000D097A"/>
    <w:rsid w:val="000D19AE"/>
    <w:rsid w:val="000D1FC5"/>
    <w:rsid w:val="000D25C6"/>
    <w:rsid w:val="000D31C3"/>
    <w:rsid w:val="000D329E"/>
    <w:rsid w:val="000D34B6"/>
    <w:rsid w:val="000D43A0"/>
    <w:rsid w:val="000D46E6"/>
    <w:rsid w:val="000D61F9"/>
    <w:rsid w:val="000D62C1"/>
    <w:rsid w:val="000D6342"/>
    <w:rsid w:val="000D63C9"/>
    <w:rsid w:val="000D64F9"/>
    <w:rsid w:val="000D663D"/>
    <w:rsid w:val="000D6C20"/>
    <w:rsid w:val="000D6C9B"/>
    <w:rsid w:val="000D762E"/>
    <w:rsid w:val="000E0285"/>
    <w:rsid w:val="000E033B"/>
    <w:rsid w:val="000E078C"/>
    <w:rsid w:val="000E15A4"/>
    <w:rsid w:val="000E1EAD"/>
    <w:rsid w:val="000E212E"/>
    <w:rsid w:val="000E2727"/>
    <w:rsid w:val="000E292D"/>
    <w:rsid w:val="000E30E0"/>
    <w:rsid w:val="000E313D"/>
    <w:rsid w:val="000E34DC"/>
    <w:rsid w:val="000E353F"/>
    <w:rsid w:val="000E3DA2"/>
    <w:rsid w:val="000E4E42"/>
    <w:rsid w:val="000E50EF"/>
    <w:rsid w:val="000E5580"/>
    <w:rsid w:val="000E6422"/>
    <w:rsid w:val="000E7669"/>
    <w:rsid w:val="000E7AA2"/>
    <w:rsid w:val="000E7B8A"/>
    <w:rsid w:val="000E7B94"/>
    <w:rsid w:val="000E7B9C"/>
    <w:rsid w:val="000F093B"/>
    <w:rsid w:val="000F19F9"/>
    <w:rsid w:val="000F2DEA"/>
    <w:rsid w:val="000F3F01"/>
    <w:rsid w:val="000F3F73"/>
    <w:rsid w:val="000F3FF0"/>
    <w:rsid w:val="000F466B"/>
    <w:rsid w:val="000F4A78"/>
    <w:rsid w:val="000F4DF7"/>
    <w:rsid w:val="000F54BE"/>
    <w:rsid w:val="000F5D2E"/>
    <w:rsid w:val="000F7FCB"/>
    <w:rsid w:val="001008C3"/>
    <w:rsid w:val="001008F2"/>
    <w:rsid w:val="001009F6"/>
    <w:rsid w:val="001010BE"/>
    <w:rsid w:val="0010249B"/>
    <w:rsid w:val="001028BC"/>
    <w:rsid w:val="00103361"/>
    <w:rsid w:val="00103DBC"/>
    <w:rsid w:val="001042A8"/>
    <w:rsid w:val="001044AD"/>
    <w:rsid w:val="00104C2E"/>
    <w:rsid w:val="001050D4"/>
    <w:rsid w:val="00105138"/>
    <w:rsid w:val="001051C4"/>
    <w:rsid w:val="0010592F"/>
    <w:rsid w:val="00105A40"/>
    <w:rsid w:val="00105B4D"/>
    <w:rsid w:val="001061D7"/>
    <w:rsid w:val="00106AB0"/>
    <w:rsid w:val="00106EB2"/>
    <w:rsid w:val="001073DB"/>
    <w:rsid w:val="001073F5"/>
    <w:rsid w:val="00110097"/>
    <w:rsid w:val="00110346"/>
    <w:rsid w:val="00110EFB"/>
    <w:rsid w:val="00111649"/>
    <w:rsid w:val="00111B4E"/>
    <w:rsid w:val="00111C3F"/>
    <w:rsid w:val="001128E3"/>
    <w:rsid w:val="00112FA1"/>
    <w:rsid w:val="0011352A"/>
    <w:rsid w:val="00113C5D"/>
    <w:rsid w:val="00113C72"/>
    <w:rsid w:val="0011424A"/>
    <w:rsid w:val="00114710"/>
    <w:rsid w:val="00114E22"/>
    <w:rsid w:val="0011501D"/>
    <w:rsid w:val="001159D5"/>
    <w:rsid w:val="00115CA5"/>
    <w:rsid w:val="001173C0"/>
    <w:rsid w:val="00117400"/>
    <w:rsid w:val="001174E8"/>
    <w:rsid w:val="001177F4"/>
    <w:rsid w:val="00117DBE"/>
    <w:rsid w:val="00120104"/>
    <w:rsid w:val="00120330"/>
    <w:rsid w:val="001204C4"/>
    <w:rsid w:val="001204D9"/>
    <w:rsid w:val="00120830"/>
    <w:rsid w:val="001208D4"/>
    <w:rsid w:val="00120942"/>
    <w:rsid w:val="00121286"/>
    <w:rsid w:val="001212F3"/>
    <w:rsid w:val="001216B5"/>
    <w:rsid w:val="0012185B"/>
    <w:rsid w:val="00121A0A"/>
    <w:rsid w:val="00121DE0"/>
    <w:rsid w:val="00122233"/>
    <w:rsid w:val="001235A9"/>
    <w:rsid w:val="001236CB"/>
    <w:rsid w:val="00123984"/>
    <w:rsid w:val="00123A55"/>
    <w:rsid w:val="001242F9"/>
    <w:rsid w:val="001248E1"/>
    <w:rsid w:val="00125388"/>
    <w:rsid w:val="001255F1"/>
    <w:rsid w:val="00125689"/>
    <w:rsid w:val="00125876"/>
    <w:rsid w:val="00125A26"/>
    <w:rsid w:val="00125D28"/>
    <w:rsid w:val="00125F83"/>
    <w:rsid w:val="00125FEA"/>
    <w:rsid w:val="00125FF7"/>
    <w:rsid w:val="00126140"/>
    <w:rsid w:val="0012666E"/>
    <w:rsid w:val="00126AE5"/>
    <w:rsid w:val="00126E58"/>
    <w:rsid w:val="001278F1"/>
    <w:rsid w:val="00127CCF"/>
    <w:rsid w:val="00127FC5"/>
    <w:rsid w:val="001315DC"/>
    <w:rsid w:val="001317A2"/>
    <w:rsid w:val="00131C47"/>
    <w:rsid w:val="00131F58"/>
    <w:rsid w:val="00132A44"/>
    <w:rsid w:val="00132E04"/>
    <w:rsid w:val="001330DE"/>
    <w:rsid w:val="00133457"/>
    <w:rsid w:val="00133933"/>
    <w:rsid w:val="00133B2C"/>
    <w:rsid w:val="00133D60"/>
    <w:rsid w:val="00134708"/>
    <w:rsid w:val="00134DB5"/>
    <w:rsid w:val="00134DE6"/>
    <w:rsid w:val="00135026"/>
    <w:rsid w:val="001356D1"/>
    <w:rsid w:val="0013592B"/>
    <w:rsid w:val="0013640A"/>
    <w:rsid w:val="00136617"/>
    <w:rsid w:val="00136D6A"/>
    <w:rsid w:val="00137121"/>
    <w:rsid w:val="001371F4"/>
    <w:rsid w:val="00137BF5"/>
    <w:rsid w:val="001403D0"/>
    <w:rsid w:val="001406A1"/>
    <w:rsid w:val="00140FE3"/>
    <w:rsid w:val="00141307"/>
    <w:rsid w:val="00141D7E"/>
    <w:rsid w:val="0014221C"/>
    <w:rsid w:val="00142250"/>
    <w:rsid w:val="00142573"/>
    <w:rsid w:val="00142DDE"/>
    <w:rsid w:val="001434FC"/>
    <w:rsid w:val="00143E8F"/>
    <w:rsid w:val="0014440C"/>
    <w:rsid w:val="00144828"/>
    <w:rsid w:val="00144C29"/>
    <w:rsid w:val="001451B5"/>
    <w:rsid w:val="00145A7E"/>
    <w:rsid w:val="00145E2B"/>
    <w:rsid w:val="00146353"/>
    <w:rsid w:val="00146E25"/>
    <w:rsid w:val="00146E8D"/>
    <w:rsid w:val="00150ABD"/>
    <w:rsid w:val="00150EFE"/>
    <w:rsid w:val="00150FC3"/>
    <w:rsid w:val="00151205"/>
    <w:rsid w:val="001526D4"/>
    <w:rsid w:val="0015295F"/>
    <w:rsid w:val="00152F1A"/>
    <w:rsid w:val="001530B9"/>
    <w:rsid w:val="0015378A"/>
    <w:rsid w:val="001537C2"/>
    <w:rsid w:val="00153A23"/>
    <w:rsid w:val="00153D8A"/>
    <w:rsid w:val="00154793"/>
    <w:rsid w:val="00154988"/>
    <w:rsid w:val="00154FFC"/>
    <w:rsid w:val="001561ED"/>
    <w:rsid w:val="001565B3"/>
    <w:rsid w:val="00156658"/>
    <w:rsid w:val="00156662"/>
    <w:rsid w:val="00157528"/>
    <w:rsid w:val="001578A1"/>
    <w:rsid w:val="0016151F"/>
    <w:rsid w:val="00161F8C"/>
    <w:rsid w:val="001623CB"/>
    <w:rsid w:val="00162537"/>
    <w:rsid w:val="0016299D"/>
    <w:rsid w:val="00162E6A"/>
    <w:rsid w:val="001638E1"/>
    <w:rsid w:val="001644B3"/>
    <w:rsid w:val="0016487C"/>
    <w:rsid w:val="00164B62"/>
    <w:rsid w:val="00164C4A"/>
    <w:rsid w:val="00165E26"/>
    <w:rsid w:val="00165FFE"/>
    <w:rsid w:val="0016764D"/>
    <w:rsid w:val="0016770A"/>
    <w:rsid w:val="00167C2C"/>
    <w:rsid w:val="00170510"/>
    <w:rsid w:val="00170936"/>
    <w:rsid w:val="00171133"/>
    <w:rsid w:val="00171471"/>
    <w:rsid w:val="00171A43"/>
    <w:rsid w:val="00171C8A"/>
    <w:rsid w:val="00172C36"/>
    <w:rsid w:val="00172C69"/>
    <w:rsid w:val="00172D86"/>
    <w:rsid w:val="0017363B"/>
    <w:rsid w:val="00173E1C"/>
    <w:rsid w:val="00173EA3"/>
    <w:rsid w:val="00174056"/>
    <w:rsid w:val="0017441F"/>
    <w:rsid w:val="00175313"/>
    <w:rsid w:val="001757D4"/>
    <w:rsid w:val="0017693E"/>
    <w:rsid w:val="00177076"/>
    <w:rsid w:val="001816CC"/>
    <w:rsid w:val="001816F9"/>
    <w:rsid w:val="00181CAA"/>
    <w:rsid w:val="001829BD"/>
    <w:rsid w:val="0018362F"/>
    <w:rsid w:val="00184F31"/>
    <w:rsid w:val="0018507F"/>
    <w:rsid w:val="00185267"/>
    <w:rsid w:val="0018531B"/>
    <w:rsid w:val="0018542C"/>
    <w:rsid w:val="00185AAF"/>
    <w:rsid w:val="00186200"/>
    <w:rsid w:val="0018658F"/>
    <w:rsid w:val="0018701B"/>
    <w:rsid w:val="0018772C"/>
    <w:rsid w:val="00187FE0"/>
    <w:rsid w:val="0019116F"/>
    <w:rsid w:val="0019128E"/>
    <w:rsid w:val="0019185C"/>
    <w:rsid w:val="00191934"/>
    <w:rsid w:val="00191D7D"/>
    <w:rsid w:val="00192225"/>
    <w:rsid w:val="00192DE0"/>
    <w:rsid w:val="00193278"/>
    <w:rsid w:val="00193771"/>
    <w:rsid w:val="00193D8C"/>
    <w:rsid w:val="00193DBA"/>
    <w:rsid w:val="00193FA4"/>
    <w:rsid w:val="00194163"/>
    <w:rsid w:val="001947E9"/>
    <w:rsid w:val="001954FD"/>
    <w:rsid w:val="00195ACC"/>
    <w:rsid w:val="00195D8E"/>
    <w:rsid w:val="001964AB"/>
    <w:rsid w:val="001964D3"/>
    <w:rsid w:val="00196A23"/>
    <w:rsid w:val="00196AA6"/>
    <w:rsid w:val="0019711C"/>
    <w:rsid w:val="001971EC"/>
    <w:rsid w:val="0019722F"/>
    <w:rsid w:val="00197B6C"/>
    <w:rsid w:val="00197CFF"/>
    <w:rsid w:val="00197D7F"/>
    <w:rsid w:val="00197EB9"/>
    <w:rsid w:val="001A0B0C"/>
    <w:rsid w:val="001A0F36"/>
    <w:rsid w:val="001A1B96"/>
    <w:rsid w:val="001A1F07"/>
    <w:rsid w:val="001A2819"/>
    <w:rsid w:val="001A3FB7"/>
    <w:rsid w:val="001A4418"/>
    <w:rsid w:val="001A44D0"/>
    <w:rsid w:val="001A4795"/>
    <w:rsid w:val="001A4836"/>
    <w:rsid w:val="001A568A"/>
    <w:rsid w:val="001A56D3"/>
    <w:rsid w:val="001A5976"/>
    <w:rsid w:val="001A5F6A"/>
    <w:rsid w:val="001A6219"/>
    <w:rsid w:val="001A665F"/>
    <w:rsid w:val="001A7600"/>
    <w:rsid w:val="001A7A4D"/>
    <w:rsid w:val="001B01F6"/>
    <w:rsid w:val="001B07FA"/>
    <w:rsid w:val="001B0B1C"/>
    <w:rsid w:val="001B102D"/>
    <w:rsid w:val="001B1D98"/>
    <w:rsid w:val="001B1E1F"/>
    <w:rsid w:val="001B1F09"/>
    <w:rsid w:val="001B2869"/>
    <w:rsid w:val="001B2998"/>
    <w:rsid w:val="001B29AA"/>
    <w:rsid w:val="001B3069"/>
    <w:rsid w:val="001B3191"/>
    <w:rsid w:val="001B3E47"/>
    <w:rsid w:val="001B3ED8"/>
    <w:rsid w:val="001B4071"/>
    <w:rsid w:val="001B47EC"/>
    <w:rsid w:val="001B524D"/>
    <w:rsid w:val="001B5556"/>
    <w:rsid w:val="001B5684"/>
    <w:rsid w:val="001B59BC"/>
    <w:rsid w:val="001B5ABA"/>
    <w:rsid w:val="001B5EAB"/>
    <w:rsid w:val="001B62E3"/>
    <w:rsid w:val="001B658C"/>
    <w:rsid w:val="001B6848"/>
    <w:rsid w:val="001B6E19"/>
    <w:rsid w:val="001B759E"/>
    <w:rsid w:val="001B7B66"/>
    <w:rsid w:val="001B7D4F"/>
    <w:rsid w:val="001B7E40"/>
    <w:rsid w:val="001C0785"/>
    <w:rsid w:val="001C1395"/>
    <w:rsid w:val="001C1956"/>
    <w:rsid w:val="001C2A25"/>
    <w:rsid w:val="001C2A57"/>
    <w:rsid w:val="001C3702"/>
    <w:rsid w:val="001C40A2"/>
    <w:rsid w:val="001C494D"/>
    <w:rsid w:val="001C508C"/>
    <w:rsid w:val="001C55DC"/>
    <w:rsid w:val="001C5DFB"/>
    <w:rsid w:val="001C71E2"/>
    <w:rsid w:val="001C7274"/>
    <w:rsid w:val="001C727E"/>
    <w:rsid w:val="001C734D"/>
    <w:rsid w:val="001C7BF0"/>
    <w:rsid w:val="001C7CD3"/>
    <w:rsid w:val="001D0017"/>
    <w:rsid w:val="001D018B"/>
    <w:rsid w:val="001D1A8A"/>
    <w:rsid w:val="001D2737"/>
    <w:rsid w:val="001D2BE4"/>
    <w:rsid w:val="001D356B"/>
    <w:rsid w:val="001D3577"/>
    <w:rsid w:val="001D3A01"/>
    <w:rsid w:val="001D3B97"/>
    <w:rsid w:val="001D3BEC"/>
    <w:rsid w:val="001D3E60"/>
    <w:rsid w:val="001D4CAD"/>
    <w:rsid w:val="001D5241"/>
    <w:rsid w:val="001D57D4"/>
    <w:rsid w:val="001D58EC"/>
    <w:rsid w:val="001D5D20"/>
    <w:rsid w:val="001D6038"/>
    <w:rsid w:val="001D66CD"/>
    <w:rsid w:val="001D6A1D"/>
    <w:rsid w:val="001D7A15"/>
    <w:rsid w:val="001D7C61"/>
    <w:rsid w:val="001E0603"/>
    <w:rsid w:val="001E0CC3"/>
    <w:rsid w:val="001E1DDA"/>
    <w:rsid w:val="001E1DDB"/>
    <w:rsid w:val="001E1DF2"/>
    <w:rsid w:val="001E25A1"/>
    <w:rsid w:val="001E35C4"/>
    <w:rsid w:val="001E3857"/>
    <w:rsid w:val="001E3B01"/>
    <w:rsid w:val="001E3BEB"/>
    <w:rsid w:val="001E3C0F"/>
    <w:rsid w:val="001E4531"/>
    <w:rsid w:val="001E4758"/>
    <w:rsid w:val="001E4816"/>
    <w:rsid w:val="001E48FF"/>
    <w:rsid w:val="001E4A35"/>
    <w:rsid w:val="001E582E"/>
    <w:rsid w:val="001E63A9"/>
    <w:rsid w:val="001E6F08"/>
    <w:rsid w:val="001E75B5"/>
    <w:rsid w:val="001E75E4"/>
    <w:rsid w:val="001E7B9E"/>
    <w:rsid w:val="001F0413"/>
    <w:rsid w:val="001F07AC"/>
    <w:rsid w:val="001F0850"/>
    <w:rsid w:val="001F0E2B"/>
    <w:rsid w:val="001F0EB8"/>
    <w:rsid w:val="001F1BAD"/>
    <w:rsid w:val="001F24A9"/>
    <w:rsid w:val="001F27CA"/>
    <w:rsid w:val="001F2CA7"/>
    <w:rsid w:val="001F3007"/>
    <w:rsid w:val="001F301D"/>
    <w:rsid w:val="001F3670"/>
    <w:rsid w:val="001F3730"/>
    <w:rsid w:val="001F3D92"/>
    <w:rsid w:val="001F3E9C"/>
    <w:rsid w:val="001F482A"/>
    <w:rsid w:val="001F49A2"/>
    <w:rsid w:val="001F556F"/>
    <w:rsid w:val="001F636B"/>
    <w:rsid w:val="001F6BDF"/>
    <w:rsid w:val="001F6E19"/>
    <w:rsid w:val="001F6F46"/>
    <w:rsid w:val="001F7E30"/>
    <w:rsid w:val="001F7FF3"/>
    <w:rsid w:val="0020047E"/>
    <w:rsid w:val="002006F3"/>
    <w:rsid w:val="0020102A"/>
    <w:rsid w:val="00202341"/>
    <w:rsid w:val="0020302A"/>
    <w:rsid w:val="002030AA"/>
    <w:rsid w:val="00203232"/>
    <w:rsid w:val="00205033"/>
    <w:rsid w:val="0020528A"/>
    <w:rsid w:val="002057AD"/>
    <w:rsid w:val="00205D0D"/>
    <w:rsid w:val="002061A6"/>
    <w:rsid w:val="0020672C"/>
    <w:rsid w:val="002076D2"/>
    <w:rsid w:val="002077DB"/>
    <w:rsid w:val="00210ADD"/>
    <w:rsid w:val="00210E80"/>
    <w:rsid w:val="002111F3"/>
    <w:rsid w:val="00211494"/>
    <w:rsid w:val="0021150E"/>
    <w:rsid w:val="00211D93"/>
    <w:rsid w:val="00212B6D"/>
    <w:rsid w:val="002157E6"/>
    <w:rsid w:val="00215E50"/>
    <w:rsid w:val="00215F1B"/>
    <w:rsid w:val="00216930"/>
    <w:rsid w:val="002169EB"/>
    <w:rsid w:val="00216C93"/>
    <w:rsid w:val="00217160"/>
    <w:rsid w:val="00217275"/>
    <w:rsid w:val="002174E8"/>
    <w:rsid w:val="00217C58"/>
    <w:rsid w:val="0022016B"/>
    <w:rsid w:val="002201DC"/>
    <w:rsid w:val="0022077C"/>
    <w:rsid w:val="00220F9B"/>
    <w:rsid w:val="002216A8"/>
    <w:rsid w:val="00221A69"/>
    <w:rsid w:val="00221EE0"/>
    <w:rsid w:val="00222591"/>
    <w:rsid w:val="00222949"/>
    <w:rsid w:val="00222B0F"/>
    <w:rsid w:val="00224C42"/>
    <w:rsid w:val="00224EE5"/>
    <w:rsid w:val="00224F1E"/>
    <w:rsid w:val="00225140"/>
    <w:rsid w:val="00225E2F"/>
    <w:rsid w:val="00226836"/>
    <w:rsid w:val="002268C9"/>
    <w:rsid w:val="00226B2B"/>
    <w:rsid w:val="00227214"/>
    <w:rsid w:val="00227D03"/>
    <w:rsid w:val="00230005"/>
    <w:rsid w:val="0023087D"/>
    <w:rsid w:val="00230F94"/>
    <w:rsid w:val="00230F9A"/>
    <w:rsid w:val="00230FD1"/>
    <w:rsid w:val="00231112"/>
    <w:rsid w:val="00231581"/>
    <w:rsid w:val="00232C0E"/>
    <w:rsid w:val="00232EA9"/>
    <w:rsid w:val="0023377A"/>
    <w:rsid w:val="00233F31"/>
    <w:rsid w:val="002341F1"/>
    <w:rsid w:val="002342D0"/>
    <w:rsid w:val="00234B43"/>
    <w:rsid w:val="002353AE"/>
    <w:rsid w:val="002357AD"/>
    <w:rsid w:val="00235B67"/>
    <w:rsid w:val="00235BC2"/>
    <w:rsid w:val="00236066"/>
    <w:rsid w:val="0023702B"/>
    <w:rsid w:val="002371B3"/>
    <w:rsid w:val="00240640"/>
    <w:rsid w:val="002406FC"/>
    <w:rsid w:val="00240AF1"/>
    <w:rsid w:val="00240C74"/>
    <w:rsid w:val="00240F3D"/>
    <w:rsid w:val="00240F70"/>
    <w:rsid w:val="00241165"/>
    <w:rsid w:val="002414CC"/>
    <w:rsid w:val="00241690"/>
    <w:rsid w:val="00241A7F"/>
    <w:rsid w:val="0024220A"/>
    <w:rsid w:val="0024277F"/>
    <w:rsid w:val="00242B2E"/>
    <w:rsid w:val="00244E61"/>
    <w:rsid w:val="0024524C"/>
    <w:rsid w:val="00245602"/>
    <w:rsid w:val="00245B08"/>
    <w:rsid w:val="00247118"/>
    <w:rsid w:val="0024715F"/>
    <w:rsid w:val="00247E08"/>
    <w:rsid w:val="00251A7E"/>
    <w:rsid w:val="002522DD"/>
    <w:rsid w:val="002522E3"/>
    <w:rsid w:val="002524BC"/>
    <w:rsid w:val="00252686"/>
    <w:rsid w:val="002527B9"/>
    <w:rsid w:val="00252881"/>
    <w:rsid w:val="00252DA3"/>
    <w:rsid w:val="0025319C"/>
    <w:rsid w:val="00253319"/>
    <w:rsid w:val="00253E61"/>
    <w:rsid w:val="00254332"/>
    <w:rsid w:val="002543EC"/>
    <w:rsid w:val="00254491"/>
    <w:rsid w:val="002548F4"/>
    <w:rsid w:val="00254ABA"/>
    <w:rsid w:val="002561F8"/>
    <w:rsid w:val="00260A5D"/>
    <w:rsid w:val="002616BE"/>
    <w:rsid w:val="00261D68"/>
    <w:rsid w:val="0026205F"/>
    <w:rsid w:val="002622F0"/>
    <w:rsid w:val="00262569"/>
    <w:rsid w:val="0026274F"/>
    <w:rsid w:val="002632D0"/>
    <w:rsid w:val="002633A3"/>
    <w:rsid w:val="002635A2"/>
    <w:rsid w:val="00263A7F"/>
    <w:rsid w:val="0026426E"/>
    <w:rsid w:val="00264337"/>
    <w:rsid w:val="00264753"/>
    <w:rsid w:val="0026510C"/>
    <w:rsid w:val="00265575"/>
    <w:rsid w:val="00266FDA"/>
    <w:rsid w:val="002675E7"/>
    <w:rsid w:val="00267EAE"/>
    <w:rsid w:val="00267F83"/>
    <w:rsid w:val="002707F4"/>
    <w:rsid w:val="00270CD2"/>
    <w:rsid w:val="00270F12"/>
    <w:rsid w:val="00271503"/>
    <w:rsid w:val="00271538"/>
    <w:rsid w:val="00272890"/>
    <w:rsid w:val="00273F85"/>
    <w:rsid w:val="00274351"/>
    <w:rsid w:val="002749CA"/>
    <w:rsid w:val="00275BED"/>
    <w:rsid w:val="00275F76"/>
    <w:rsid w:val="002761DE"/>
    <w:rsid w:val="00276426"/>
    <w:rsid w:val="002770F6"/>
    <w:rsid w:val="0027744D"/>
    <w:rsid w:val="00277535"/>
    <w:rsid w:val="0027798B"/>
    <w:rsid w:val="00277D22"/>
    <w:rsid w:val="00277DA1"/>
    <w:rsid w:val="002801E1"/>
    <w:rsid w:val="002804D0"/>
    <w:rsid w:val="00281EB9"/>
    <w:rsid w:val="00282288"/>
    <w:rsid w:val="00283093"/>
    <w:rsid w:val="00283396"/>
    <w:rsid w:val="002837C1"/>
    <w:rsid w:val="002841AE"/>
    <w:rsid w:val="0028624A"/>
    <w:rsid w:val="002869AF"/>
    <w:rsid w:val="00286CAF"/>
    <w:rsid w:val="002877E3"/>
    <w:rsid w:val="00287DEC"/>
    <w:rsid w:val="00290382"/>
    <w:rsid w:val="0029046D"/>
    <w:rsid w:val="00290493"/>
    <w:rsid w:val="00290689"/>
    <w:rsid w:val="00290AD1"/>
    <w:rsid w:val="00290AFD"/>
    <w:rsid w:val="00290BBC"/>
    <w:rsid w:val="0029134B"/>
    <w:rsid w:val="0029198C"/>
    <w:rsid w:val="00292301"/>
    <w:rsid w:val="00292558"/>
    <w:rsid w:val="00292DC0"/>
    <w:rsid w:val="00292ED1"/>
    <w:rsid w:val="00293A94"/>
    <w:rsid w:val="0029424F"/>
    <w:rsid w:val="00294262"/>
    <w:rsid w:val="00294511"/>
    <w:rsid w:val="002946E6"/>
    <w:rsid w:val="00294E9C"/>
    <w:rsid w:val="00295108"/>
    <w:rsid w:val="00295DCF"/>
    <w:rsid w:val="00296202"/>
    <w:rsid w:val="002A081C"/>
    <w:rsid w:val="002A0C21"/>
    <w:rsid w:val="002A0C81"/>
    <w:rsid w:val="002A1EF1"/>
    <w:rsid w:val="002A2A01"/>
    <w:rsid w:val="002A2F39"/>
    <w:rsid w:val="002A34EA"/>
    <w:rsid w:val="002A372E"/>
    <w:rsid w:val="002A3802"/>
    <w:rsid w:val="002A3E02"/>
    <w:rsid w:val="002A3E99"/>
    <w:rsid w:val="002A401B"/>
    <w:rsid w:val="002A48BB"/>
    <w:rsid w:val="002A6021"/>
    <w:rsid w:val="002A6062"/>
    <w:rsid w:val="002A653A"/>
    <w:rsid w:val="002A664D"/>
    <w:rsid w:val="002A6685"/>
    <w:rsid w:val="002A6DCB"/>
    <w:rsid w:val="002A772F"/>
    <w:rsid w:val="002B2184"/>
    <w:rsid w:val="002B23A8"/>
    <w:rsid w:val="002B2597"/>
    <w:rsid w:val="002B30FC"/>
    <w:rsid w:val="002B45A5"/>
    <w:rsid w:val="002B5DFE"/>
    <w:rsid w:val="002B5E16"/>
    <w:rsid w:val="002B5F25"/>
    <w:rsid w:val="002B61F0"/>
    <w:rsid w:val="002B680C"/>
    <w:rsid w:val="002B68DF"/>
    <w:rsid w:val="002B6E70"/>
    <w:rsid w:val="002B6F8B"/>
    <w:rsid w:val="002B7504"/>
    <w:rsid w:val="002B7567"/>
    <w:rsid w:val="002B7B19"/>
    <w:rsid w:val="002C0297"/>
    <w:rsid w:val="002C072D"/>
    <w:rsid w:val="002C1682"/>
    <w:rsid w:val="002C1A60"/>
    <w:rsid w:val="002C28B8"/>
    <w:rsid w:val="002C47BC"/>
    <w:rsid w:val="002C4D1F"/>
    <w:rsid w:val="002C4F77"/>
    <w:rsid w:val="002C57E9"/>
    <w:rsid w:val="002C58FF"/>
    <w:rsid w:val="002C5BDD"/>
    <w:rsid w:val="002C5EBB"/>
    <w:rsid w:val="002C5EC5"/>
    <w:rsid w:val="002C6704"/>
    <w:rsid w:val="002C6A6C"/>
    <w:rsid w:val="002D0173"/>
    <w:rsid w:val="002D01D2"/>
    <w:rsid w:val="002D04D5"/>
    <w:rsid w:val="002D08DB"/>
    <w:rsid w:val="002D1019"/>
    <w:rsid w:val="002D103E"/>
    <w:rsid w:val="002D13D6"/>
    <w:rsid w:val="002D18F2"/>
    <w:rsid w:val="002D3649"/>
    <w:rsid w:val="002D3B2A"/>
    <w:rsid w:val="002D405B"/>
    <w:rsid w:val="002D4363"/>
    <w:rsid w:val="002D4818"/>
    <w:rsid w:val="002D4938"/>
    <w:rsid w:val="002D5B11"/>
    <w:rsid w:val="002D7394"/>
    <w:rsid w:val="002E0E38"/>
    <w:rsid w:val="002E100A"/>
    <w:rsid w:val="002E2671"/>
    <w:rsid w:val="002E29E2"/>
    <w:rsid w:val="002E3A4A"/>
    <w:rsid w:val="002E3F1B"/>
    <w:rsid w:val="002E446A"/>
    <w:rsid w:val="002E55EB"/>
    <w:rsid w:val="002E57A7"/>
    <w:rsid w:val="002E69F7"/>
    <w:rsid w:val="002E75F5"/>
    <w:rsid w:val="002E7AB8"/>
    <w:rsid w:val="002E7DC5"/>
    <w:rsid w:val="002E7DFF"/>
    <w:rsid w:val="002F0B90"/>
    <w:rsid w:val="002F0BC6"/>
    <w:rsid w:val="002F0E5D"/>
    <w:rsid w:val="002F0FF8"/>
    <w:rsid w:val="002F172A"/>
    <w:rsid w:val="002F18EF"/>
    <w:rsid w:val="002F2559"/>
    <w:rsid w:val="002F283F"/>
    <w:rsid w:val="002F2D5F"/>
    <w:rsid w:val="002F3354"/>
    <w:rsid w:val="002F3583"/>
    <w:rsid w:val="002F4DD7"/>
    <w:rsid w:val="002F4E47"/>
    <w:rsid w:val="002F58E2"/>
    <w:rsid w:val="002F5D93"/>
    <w:rsid w:val="002F5F05"/>
    <w:rsid w:val="002F623B"/>
    <w:rsid w:val="002F67C7"/>
    <w:rsid w:val="002F6E73"/>
    <w:rsid w:val="002F74D6"/>
    <w:rsid w:val="002F76ED"/>
    <w:rsid w:val="002F7FA7"/>
    <w:rsid w:val="0030008E"/>
    <w:rsid w:val="003002DB"/>
    <w:rsid w:val="00300984"/>
    <w:rsid w:val="00301634"/>
    <w:rsid w:val="0030197A"/>
    <w:rsid w:val="003019F5"/>
    <w:rsid w:val="00302175"/>
    <w:rsid w:val="003021AE"/>
    <w:rsid w:val="003024B4"/>
    <w:rsid w:val="00302A42"/>
    <w:rsid w:val="00302F61"/>
    <w:rsid w:val="00302FC3"/>
    <w:rsid w:val="0030427B"/>
    <w:rsid w:val="00304741"/>
    <w:rsid w:val="00304940"/>
    <w:rsid w:val="00304C17"/>
    <w:rsid w:val="0030556D"/>
    <w:rsid w:val="003056F1"/>
    <w:rsid w:val="003058C1"/>
    <w:rsid w:val="00306098"/>
    <w:rsid w:val="003064CD"/>
    <w:rsid w:val="00306C50"/>
    <w:rsid w:val="003073F1"/>
    <w:rsid w:val="003078DF"/>
    <w:rsid w:val="00307988"/>
    <w:rsid w:val="00307E3C"/>
    <w:rsid w:val="00310464"/>
    <w:rsid w:val="003104B5"/>
    <w:rsid w:val="00310A18"/>
    <w:rsid w:val="00310D9B"/>
    <w:rsid w:val="00310E95"/>
    <w:rsid w:val="00311316"/>
    <w:rsid w:val="00311E27"/>
    <w:rsid w:val="00311F76"/>
    <w:rsid w:val="003125F0"/>
    <w:rsid w:val="00312935"/>
    <w:rsid w:val="00312ABA"/>
    <w:rsid w:val="00312C8F"/>
    <w:rsid w:val="00313892"/>
    <w:rsid w:val="00314760"/>
    <w:rsid w:val="0031557B"/>
    <w:rsid w:val="0031558B"/>
    <w:rsid w:val="00315B39"/>
    <w:rsid w:val="00315EEC"/>
    <w:rsid w:val="003164AA"/>
    <w:rsid w:val="00316989"/>
    <w:rsid w:val="00316CC0"/>
    <w:rsid w:val="00316FDA"/>
    <w:rsid w:val="00317741"/>
    <w:rsid w:val="00317A80"/>
    <w:rsid w:val="00317B9D"/>
    <w:rsid w:val="00320118"/>
    <w:rsid w:val="00320466"/>
    <w:rsid w:val="00321C2A"/>
    <w:rsid w:val="003220CD"/>
    <w:rsid w:val="00323913"/>
    <w:rsid w:val="00324E57"/>
    <w:rsid w:val="0032514F"/>
    <w:rsid w:val="00325F6A"/>
    <w:rsid w:val="0032734A"/>
    <w:rsid w:val="003274F9"/>
    <w:rsid w:val="00327A32"/>
    <w:rsid w:val="003301DE"/>
    <w:rsid w:val="0033043B"/>
    <w:rsid w:val="003310F4"/>
    <w:rsid w:val="003314B3"/>
    <w:rsid w:val="003314F8"/>
    <w:rsid w:val="00331FB4"/>
    <w:rsid w:val="0033247A"/>
    <w:rsid w:val="003329AB"/>
    <w:rsid w:val="00333192"/>
    <w:rsid w:val="003335B9"/>
    <w:rsid w:val="00333C32"/>
    <w:rsid w:val="00334464"/>
    <w:rsid w:val="00334DF4"/>
    <w:rsid w:val="003358BA"/>
    <w:rsid w:val="00336298"/>
    <w:rsid w:val="003368D7"/>
    <w:rsid w:val="00336957"/>
    <w:rsid w:val="00336DD1"/>
    <w:rsid w:val="00336F24"/>
    <w:rsid w:val="00336FA1"/>
    <w:rsid w:val="00337325"/>
    <w:rsid w:val="00337866"/>
    <w:rsid w:val="00337945"/>
    <w:rsid w:val="0034038E"/>
    <w:rsid w:val="00340973"/>
    <w:rsid w:val="00340AD7"/>
    <w:rsid w:val="00340F62"/>
    <w:rsid w:val="0034116C"/>
    <w:rsid w:val="003417C2"/>
    <w:rsid w:val="00341F01"/>
    <w:rsid w:val="00342535"/>
    <w:rsid w:val="00343105"/>
    <w:rsid w:val="00343230"/>
    <w:rsid w:val="003437E2"/>
    <w:rsid w:val="0034579D"/>
    <w:rsid w:val="00345828"/>
    <w:rsid w:val="00345E90"/>
    <w:rsid w:val="003461B0"/>
    <w:rsid w:val="003462C2"/>
    <w:rsid w:val="003464C5"/>
    <w:rsid w:val="00346EC6"/>
    <w:rsid w:val="003473A8"/>
    <w:rsid w:val="00347E60"/>
    <w:rsid w:val="00347E7F"/>
    <w:rsid w:val="00350297"/>
    <w:rsid w:val="00350D4B"/>
    <w:rsid w:val="003514F7"/>
    <w:rsid w:val="00351990"/>
    <w:rsid w:val="00351BBC"/>
    <w:rsid w:val="00351F27"/>
    <w:rsid w:val="003524BC"/>
    <w:rsid w:val="00352695"/>
    <w:rsid w:val="00353C09"/>
    <w:rsid w:val="003557FF"/>
    <w:rsid w:val="00355922"/>
    <w:rsid w:val="00356008"/>
    <w:rsid w:val="00356035"/>
    <w:rsid w:val="003563C0"/>
    <w:rsid w:val="003565B9"/>
    <w:rsid w:val="00356678"/>
    <w:rsid w:val="003566C0"/>
    <w:rsid w:val="00360972"/>
    <w:rsid w:val="003609BD"/>
    <w:rsid w:val="00360FD6"/>
    <w:rsid w:val="0036113E"/>
    <w:rsid w:val="003615D9"/>
    <w:rsid w:val="00362DE3"/>
    <w:rsid w:val="0036454F"/>
    <w:rsid w:val="0036492D"/>
    <w:rsid w:val="00365292"/>
    <w:rsid w:val="0036579D"/>
    <w:rsid w:val="00365BBC"/>
    <w:rsid w:val="00365EF8"/>
    <w:rsid w:val="00366199"/>
    <w:rsid w:val="00367383"/>
    <w:rsid w:val="003676F8"/>
    <w:rsid w:val="00367F30"/>
    <w:rsid w:val="0037044F"/>
    <w:rsid w:val="003706B4"/>
    <w:rsid w:val="00370932"/>
    <w:rsid w:val="00370F49"/>
    <w:rsid w:val="0037110A"/>
    <w:rsid w:val="003713EA"/>
    <w:rsid w:val="00371817"/>
    <w:rsid w:val="003719BB"/>
    <w:rsid w:val="00371C92"/>
    <w:rsid w:val="003722BC"/>
    <w:rsid w:val="00372C52"/>
    <w:rsid w:val="003732BA"/>
    <w:rsid w:val="00373343"/>
    <w:rsid w:val="003733C5"/>
    <w:rsid w:val="00373CCD"/>
    <w:rsid w:val="00373D87"/>
    <w:rsid w:val="00373DDA"/>
    <w:rsid w:val="00373E60"/>
    <w:rsid w:val="00374772"/>
    <w:rsid w:val="00374C5D"/>
    <w:rsid w:val="00374DC6"/>
    <w:rsid w:val="0037657B"/>
    <w:rsid w:val="00376B90"/>
    <w:rsid w:val="0038110B"/>
    <w:rsid w:val="00381D30"/>
    <w:rsid w:val="003821CE"/>
    <w:rsid w:val="00382543"/>
    <w:rsid w:val="003833C0"/>
    <w:rsid w:val="003837AA"/>
    <w:rsid w:val="00383CEA"/>
    <w:rsid w:val="00385B32"/>
    <w:rsid w:val="003861C3"/>
    <w:rsid w:val="003863C5"/>
    <w:rsid w:val="00386B23"/>
    <w:rsid w:val="003871A3"/>
    <w:rsid w:val="0038799B"/>
    <w:rsid w:val="00390D47"/>
    <w:rsid w:val="00391416"/>
    <w:rsid w:val="00391BA8"/>
    <w:rsid w:val="00391C2A"/>
    <w:rsid w:val="00391C31"/>
    <w:rsid w:val="00392105"/>
    <w:rsid w:val="0039236A"/>
    <w:rsid w:val="003930C6"/>
    <w:rsid w:val="00393371"/>
    <w:rsid w:val="00393EA4"/>
    <w:rsid w:val="00393FBE"/>
    <w:rsid w:val="00394528"/>
    <w:rsid w:val="00394D2B"/>
    <w:rsid w:val="00394DFE"/>
    <w:rsid w:val="0039528B"/>
    <w:rsid w:val="00395E96"/>
    <w:rsid w:val="00396142"/>
    <w:rsid w:val="00396B16"/>
    <w:rsid w:val="00396D20"/>
    <w:rsid w:val="00397413"/>
    <w:rsid w:val="00397FAE"/>
    <w:rsid w:val="003A0234"/>
    <w:rsid w:val="003A03AE"/>
    <w:rsid w:val="003A08E8"/>
    <w:rsid w:val="003A0BE3"/>
    <w:rsid w:val="003A0FF4"/>
    <w:rsid w:val="003A1480"/>
    <w:rsid w:val="003A16B7"/>
    <w:rsid w:val="003A1D53"/>
    <w:rsid w:val="003A1DBA"/>
    <w:rsid w:val="003A22F8"/>
    <w:rsid w:val="003A28D7"/>
    <w:rsid w:val="003A2AE9"/>
    <w:rsid w:val="003A3340"/>
    <w:rsid w:val="003A34CB"/>
    <w:rsid w:val="003A385A"/>
    <w:rsid w:val="003A3BA0"/>
    <w:rsid w:val="003A3E16"/>
    <w:rsid w:val="003A585D"/>
    <w:rsid w:val="003A5A5B"/>
    <w:rsid w:val="003A63A2"/>
    <w:rsid w:val="003A63D4"/>
    <w:rsid w:val="003A70B1"/>
    <w:rsid w:val="003A7A43"/>
    <w:rsid w:val="003A7AA2"/>
    <w:rsid w:val="003A7CA3"/>
    <w:rsid w:val="003B09A4"/>
    <w:rsid w:val="003B12B7"/>
    <w:rsid w:val="003B1799"/>
    <w:rsid w:val="003B1948"/>
    <w:rsid w:val="003B1BC7"/>
    <w:rsid w:val="003B242C"/>
    <w:rsid w:val="003B39EA"/>
    <w:rsid w:val="003B3D54"/>
    <w:rsid w:val="003B3FD7"/>
    <w:rsid w:val="003B4048"/>
    <w:rsid w:val="003B46A3"/>
    <w:rsid w:val="003B498B"/>
    <w:rsid w:val="003B4D45"/>
    <w:rsid w:val="003B5321"/>
    <w:rsid w:val="003B65BA"/>
    <w:rsid w:val="003B6845"/>
    <w:rsid w:val="003B70CA"/>
    <w:rsid w:val="003B72E4"/>
    <w:rsid w:val="003B75DA"/>
    <w:rsid w:val="003C0111"/>
    <w:rsid w:val="003C1071"/>
    <w:rsid w:val="003C1AB6"/>
    <w:rsid w:val="003C223B"/>
    <w:rsid w:val="003C2304"/>
    <w:rsid w:val="003C3526"/>
    <w:rsid w:val="003C3A41"/>
    <w:rsid w:val="003C3CDA"/>
    <w:rsid w:val="003C4280"/>
    <w:rsid w:val="003C46B2"/>
    <w:rsid w:val="003C4A1D"/>
    <w:rsid w:val="003C4EEA"/>
    <w:rsid w:val="003C4F8A"/>
    <w:rsid w:val="003C5821"/>
    <w:rsid w:val="003C6680"/>
    <w:rsid w:val="003C6736"/>
    <w:rsid w:val="003C68BF"/>
    <w:rsid w:val="003C6915"/>
    <w:rsid w:val="003C6FEA"/>
    <w:rsid w:val="003C7A16"/>
    <w:rsid w:val="003D0816"/>
    <w:rsid w:val="003D0B12"/>
    <w:rsid w:val="003D11BB"/>
    <w:rsid w:val="003D1359"/>
    <w:rsid w:val="003D1B6F"/>
    <w:rsid w:val="003D1F60"/>
    <w:rsid w:val="003D2589"/>
    <w:rsid w:val="003D25F4"/>
    <w:rsid w:val="003D2836"/>
    <w:rsid w:val="003D3926"/>
    <w:rsid w:val="003D3ED7"/>
    <w:rsid w:val="003D533A"/>
    <w:rsid w:val="003D58DC"/>
    <w:rsid w:val="003D5DA6"/>
    <w:rsid w:val="003D623F"/>
    <w:rsid w:val="003D65B4"/>
    <w:rsid w:val="003D696A"/>
    <w:rsid w:val="003D731D"/>
    <w:rsid w:val="003D773B"/>
    <w:rsid w:val="003D78DA"/>
    <w:rsid w:val="003E03E7"/>
    <w:rsid w:val="003E0501"/>
    <w:rsid w:val="003E08B7"/>
    <w:rsid w:val="003E0A98"/>
    <w:rsid w:val="003E11D9"/>
    <w:rsid w:val="003E141A"/>
    <w:rsid w:val="003E1578"/>
    <w:rsid w:val="003E17BE"/>
    <w:rsid w:val="003E19B0"/>
    <w:rsid w:val="003E26BB"/>
    <w:rsid w:val="003E38FF"/>
    <w:rsid w:val="003E3B4F"/>
    <w:rsid w:val="003E41D5"/>
    <w:rsid w:val="003E4350"/>
    <w:rsid w:val="003E4384"/>
    <w:rsid w:val="003E4D7D"/>
    <w:rsid w:val="003E5217"/>
    <w:rsid w:val="003E52A2"/>
    <w:rsid w:val="003E57D0"/>
    <w:rsid w:val="003E6A77"/>
    <w:rsid w:val="003E794B"/>
    <w:rsid w:val="003F09E7"/>
    <w:rsid w:val="003F12B2"/>
    <w:rsid w:val="003F1649"/>
    <w:rsid w:val="003F191F"/>
    <w:rsid w:val="003F19B2"/>
    <w:rsid w:val="003F1D2E"/>
    <w:rsid w:val="003F2A75"/>
    <w:rsid w:val="003F2DD4"/>
    <w:rsid w:val="003F3308"/>
    <w:rsid w:val="003F3407"/>
    <w:rsid w:val="003F3537"/>
    <w:rsid w:val="003F3F87"/>
    <w:rsid w:val="003F422A"/>
    <w:rsid w:val="003F47A6"/>
    <w:rsid w:val="003F4AFF"/>
    <w:rsid w:val="003F4EC4"/>
    <w:rsid w:val="003F5102"/>
    <w:rsid w:val="003F590A"/>
    <w:rsid w:val="003F5FD8"/>
    <w:rsid w:val="003F672F"/>
    <w:rsid w:val="003F6ABF"/>
    <w:rsid w:val="003F6D44"/>
    <w:rsid w:val="003F73AF"/>
    <w:rsid w:val="004002C4"/>
    <w:rsid w:val="00400D94"/>
    <w:rsid w:val="004011F9"/>
    <w:rsid w:val="004013FB"/>
    <w:rsid w:val="00401B40"/>
    <w:rsid w:val="00402BCD"/>
    <w:rsid w:val="004032F0"/>
    <w:rsid w:val="00403B80"/>
    <w:rsid w:val="00403E9D"/>
    <w:rsid w:val="00404073"/>
    <w:rsid w:val="004042E7"/>
    <w:rsid w:val="00404406"/>
    <w:rsid w:val="00404587"/>
    <w:rsid w:val="00404935"/>
    <w:rsid w:val="00405917"/>
    <w:rsid w:val="00405947"/>
    <w:rsid w:val="00405B33"/>
    <w:rsid w:val="00405FEA"/>
    <w:rsid w:val="004067BB"/>
    <w:rsid w:val="00406D15"/>
    <w:rsid w:val="00407AD0"/>
    <w:rsid w:val="0041044F"/>
    <w:rsid w:val="00410EC2"/>
    <w:rsid w:val="0041104E"/>
    <w:rsid w:val="0041161B"/>
    <w:rsid w:val="00412102"/>
    <w:rsid w:val="00412FBD"/>
    <w:rsid w:val="0041366A"/>
    <w:rsid w:val="00413B26"/>
    <w:rsid w:val="0041438D"/>
    <w:rsid w:val="004147B7"/>
    <w:rsid w:val="0041577C"/>
    <w:rsid w:val="004164C6"/>
    <w:rsid w:val="00416E33"/>
    <w:rsid w:val="00417159"/>
    <w:rsid w:val="0041746F"/>
    <w:rsid w:val="00417531"/>
    <w:rsid w:val="00417680"/>
    <w:rsid w:val="00417A2B"/>
    <w:rsid w:val="00417DB5"/>
    <w:rsid w:val="00417E88"/>
    <w:rsid w:val="00417E98"/>
    <w:rsid w:val="00420175"/>
    <w:rsid w:val="00420751"/>
    <w:rsid w:val="00420AB9"/>
    <w:rsid w:val="0042140A"/>
    <w:rsid w:val="0042303F"/>
    <w:rsid w:val="004230AD"/>
    <w:rsid w:val="00423433"/>
    <w:rsid w:val="00424088"/>
    <w:rsid w:val="00424558"/>
    <w:rsid w:val="00424B4E"/>
    <w:rsid w:val="00425569"/>
    <w:rsid w:val="00425BE7"/>
    <w:rsid w:val="00425C5F"/>
    <w:rsid w:val="00426AAF"/>
    <w:rsid w:val="00426EE7"/>
    <w:rsid w:val="00426FFB"/>
    <w:rsid w:val="004274E5"/>
    <w:rsid w:val="00427ECF"/>
    <w:rsid w:val="00427F2E"/>
    <w:rsid w:val="00430BB7"/>
    <w:rsid w:val="00430C03"/>
    <w:rsid w:val="00431230"/>
    <w:rsid w:val="004312E2"/>
    <w:rsid w:val="00431E11"/>
    <w:rsid w:val="00431E6D"/>
    <w:rsid w:val="00432493"/>
    <w:rsid w:val="004326AF"/>
    <w:rsid w:val="004327FB"/>
    <w:rsid w:val="00432857"/>
    <w:rsid w:val="004340F5"/>
    <w:rsid w:val="004342AA"/>
    <w:rsid w:val="004347F2"/>
    <w:rsid w:val="00434B15"/>
    <w:rsid w:val="0043510D"/>
    <w:rsid w:val="00435333"/>
    <w:rsid w:val="00435406"/>
    <w:rsid w:val="00436F9D"/>
    <w:rsid w:val="0043727E"/>
    <w:rsid w:val="00437A71"/>
    <w:rsid w:val="00440001"/>
    <w:rsid w:val="00440813"/>
    <w:rsid w:val="0044087B"/>
    <w:rsid w:val="00440AC9"/>
    <w:rsid w:val="0044101A"/>
    <w:rsid w:val="0044139A"/>
    <w:rsid w:val="004414A2"/>
    <w:rsid w:val="004415D1"/>
    <w:rsid w:val="004430C4"/>
    <w:rsid w:val="00443BD3"/>
    <w:rsid w:val="00443D53"/>
    <w:rsid w:val="004444FD"/>
    <w:rsid w:val="00444BB6"/>
    <w:rsid w:val="00444CA4"/>
    <w:rsid w:val="00446040"/>
    <w:rsid w:val="00446424"/>
    <w:rsid w:val="004475F6"/>
    <w:rsid w:val="0044768D"/>
    <w:rsid w:val="00447A58"/>
    <w:rsid w:val="00447B6A"/>
    <w:rsid w:val="00450A40"/>
    <w:rsid w:val="00451858"/>
    <w:rsid w:val="0045191E"/>
    <w:rsid w:val="00452ACE"/>
    <w:rsid w:val="00454F42"/>
    <w:rsid w:val="00455799"/>
    <w:rsid w:val="00455F97"/>
    <w:rsid w:val="00456068"/>
    <w:rsid w:val="0045617F"/>
    <w:rsid w:val="004562D6"/>
    <w:rsid w:val="00457499"/>
    <w:rsid w:val="0045762F"/>
    <w:rsid w:val="004579A3"/>
    <w:rsid w:val="00457A68"/>
    <w:rsid w:val="00460AF9"/>
    <w:rsid w:val="004613FB"/>
    <w:rsid w:val="00461781"/>
    <w:rsid w:val="00461DEB"/>
    <w:rsid w:val="004620F5"/>
    <w:rsid w:val="004622BF"/>
    <w:rsid w:val="00462EB3"/>
    <w:rsid w:val="0046305D"/>
    <w:rsid w:val="0046383C"/>
    <w:rsid w:val="00463E0D"/>
    <w:rsid w:val="00464567"/>
    <w:rsid w:val="00465C70"/>
    <w:rsid w:val="00465DB1"/>
    <w:rsid w:val="00465E0B"/>
    <w:rsid w:val="00466572"/>
    <w:rsid w:val="004666D5"/>
    <w:rsid w:val="00466ACC"/>
    <w:rsid w:val="0046729F"/>
    <w:rsid w:val="0046750D"/>
    <w:rsid w:val="00467669"/>
    <w:rsid w:val="00470073"/>
    <w:rsid w:val="00470701"/>
    <w:rsid w:val="004709F0"/>
    <w:rsid w:val="0047109F"/>
    <w:rsid w:val="00471363"/>
    <w:rsid w:val="00471369"/>
    <w:rsid w:val="00471681"/>
    <w:rsid w:val="00471DB9"/>
    <w:rsid w:val="0047391A"/>
    <w:rsid w:val="00473D19"/>
    <w:rsid w:val="00474089"/>
    <w:rsid w:val="0047471B"/>
    <w:rsid w:val="0047581C"/>
    <w:rsid w:val="004771BC"/>
    <w:rsid w:val="00477790"/>
    <w:rsid w:val="00477ACD"/>
    <w:rsid w:val="00477CFD"/>
    <w:rsid w:val="00477E0D"/>
    <w:rsid w:val="004814B4"/>
    <w:rsid w:val="004817F8"/>
    <w:rsid w:val="004820AB"/>
    <w:rsid w:val="0048250A"/>
    <w:rsid w:val="00483432"/>
    <w:rsid w:val="004836F1"/>
    <w:rsid w:val="00483812"/>
    <w:rsid w:val="00483A90"/>
    <w:rsid w:val="00483B51"/>
    <w:rsid w:val="00483D60"/>
    <w:rsid w:val="00483E18"/>
    <w:rsid w:val="0048434C"/>
    <w:rsid w:val="0048447F"/>
    <w:rsid w:val="00484757"/>
    <w:rsid w:val="0048523C"/>
    <w:rsid w:val="00485AB9"/>
    <w:rsid w:val="00485B56"/>
    <w:rsid w:val="00486840"/>
    <w:rsid w:val="00486DB1"/>
    <w:rsid w:val="004870DC"/>
    <w:rsid w:val="00487557"/>
    <w:rsid w:val="0048773D"/>
    <w:rsid w:val="00487935"/>
    <w:rsid w:val="00490C1A"/>
    <w:rsid w:val="00492540"/>
    <w:rsid w:val="004927F3"/>
    <w:rsid w:val="00492971"/>
    <w:rsid w:val="004929CA"/>
    <w:rsid w:val="00492EDD"/>
    <w:rsid w:val="00492F9C"/>
    <w:rsid w:val="00493424"/>
    <w:rsid w:val="00493B09"/>
    <w:rsid w:val="00493DE0"/>
    <w:rsid w:val="004945E1"/>
    <w:rsid w:val="00494795"/>
    <w:rsid w:val="00495106"/>
    <w:rsid w:val="00495C3E"/>
    <w:rsid w:val="00495F43"/>
    <w:rsid w:val="004964A7"/>
    <w:rsid w:val="00496541"/>
    <w:rsid w:val="00496CEF"/>
    <w:rsid w:val="00496DBA"/>
    <w:rsid w:val="00496DBF"/>
    <w:rsid w:val="00496ECE"/>
    <w:rsid w:val="004A0D37"/>
    <w:rsid w:val="004A0FA0"/>
    <w:rsid w:val="004A19D0"/>
    <w:rsid w:val="004A1EF7"/>
    <w:rsid w:val="004A2A21"/>
    <w:rsid w:val="004A2D41"/>
    <w:rsid w:val="004A33C8"/>
    <w:rsid w:val="004A3FA8"/>
    <w:rsid w:val="004A4E25"/>
    <w:rsid w:val="004A50F9"/>
    <w:rsid w:val="004A6031"/>
    <w:rsid w:val="004A626A"/>
    <w:rsid w:val="004A76D4"/>
    <w:rsid w:val="004A7882"/>
    <w:rsid w:val="004A7D84"/>
    <w:rsid w:val="004B036F"/>
    <w:rsid w:val="004B171C"/>
    <w:rsid w:val="004B17FC"/>
    <w:rsid w:val="004B18E6"/>
    <w:rsid w:val="004B1995"/>
    <w:rsid w:val="004B1FCB"/>
    <w:rsid w:val="004B2E59"/>
    <w:rsid w:val="004B37FB"/>
    <w:rsid w:val="004B4026"/>
    <w:rsid w:val="004B4693"/>
    <w:rsid w:val="004B4763"/>
    <w:rsid w:val="004B50A8"/>
    <w:rsid w:val="004B5489"/>
    <w:rsid w:val="004B5EEE"/>
    <w:rsid w:val="004B5F27"/>
    <w:rsid w:val="004B636B"/>
    <w:rsid w:val="004B66CB"/>
    <w:rsid w:val="004B7776"/>
    <w:rsid w:val="004B7EF4"/>
    <w:rsid w:val="004C005F"/>
    <w:rsid w:val="004C12F0"/>
    <w:rsid w:val="004C1325"/>
    <w:rsid w:val="004C15F0"/>
    <w:rsid w:val="004C1A01"/>
    <w:rsid w:val="004C1A0F"/>
    <w:rsid w:val="004C1F97"/>
    <w:rsid w:val="004C242D"/>
    <w:rsid w:val="004C2710"/>
    <w:rsid w:val="004C33CF"/>
    <w:rsid w:val="004C4411"/>
    <w:rsid w:val="004C4892"/>
    <w:rsid w:val="004C4C8D"/>
    <w:rsid w:val="004C4E69"/>
    <w:rsid w:val="004C5440"/>
    <w:rsid w:val="004C5D03"/>
    <w:rsid w:val="004C6684"/>
    <w:rsid w:val="004C6BC0"/>
    <w:rsid w:val="004C6E09"/>
    <w:rsid w:val="004C7B3D"/>
    <w:rsid w:val="004C7FB1"/>
    <w:rsid w:val="004D105A"/>
    <w:rsid w:val="004D1EB6"/>
    <w:rsid w:val="004D299A"/>
    <w:rsid w:val="004D2D28"/>
    <w:rsid w:val="004D3AAD"/>
    <w:rsid w:val="004D3E9E"/>
    <w:rsid w:val="004D4717"/>
    <w:rsid w:val="004D542B"/>
    <w:rsid w:val="004D5A6F"/>
    <w:rsid w:val="004D5DB1"/>
    <w:rsid w:val="004D6055"/>
    <w:rsid w:val="004D6599"/>
    <w:rsid w:val="004D68D0"/>
    <w:rsid w:val="004D728B"/>
    <w:rsid w:val="004D743C"/>
    <w:rsid w:val="004D7490"/>
    <w:rsid w:val="004E03CF"/>
    <w:rsid w:val="004E07B4"/>
    <w:rsid w:val="004E0AAE"/>
    <w:rsid w:val="004E0E14"/>
    <w:rsid w:val="004E2415"/>
    <w:rsid w:val="004E335F"/>
    <w:rsid w:val="004E3A35"/>
    <w:rsid w:val="004E3AD6"/>
    <w:rsid w:val="004E3DF5"/>
    <w:rsid w:val="004E4429"/>
    <w:rsid w:val="004E4D7D"/>
    <w:rsid w:val="004E57F9"/>
    <w:rsid w:val="004E58AE"/>
    <w:rsid w:val="004E5CB2"/>
    <w:rsid w:val="004E66F2"/>
    <w:rsid w:val="004E698A"/>
    <w:rsid w:val="004E6D3B"/>
    <w:rsid w:val="004E7052"/>
    <w:rsid w:val="004E717F"/>
    <w:rsid w:val="004E79E3"/>
    <w:rsid w:val="004E7CC9"/>
    <w:rsid w:val="004F009A"/>
    <w:rsid w:val="004F0658"/>
    <w:rsid w:val="004F084F"/>
    <w:rsid w:val="004F0FD8"/>
    <w:rsid w:val="004F1012"/>
    <w:rsid w:val="004F140D"/>
    <w:rsid w:val="004F2798"/>
    <w:rsid w:val="004F385D"/>
    <w:rsid w:val="004F48D4"/>
    <w:rsid w:val="004F4D3A"/>
    <w:rsid w:val="004F4F6B"/>
    <w:rsid w:val="004F5FE0"/>
    <w:rsid w:val="004F6EA4"/>
    <w:rsid w:val="004F75B8"/>
    <w:rsid w:val="00500229"/>
    <w:rsid w:val="00500419"/>
    <w:rsid w:val="0050064F"/>
    <w:rsid w:val="00501B8E"/>
    <w:rsid w:val="00502063"/>
    <w:rsid w:val="00502258"/>
    <w:rsid w:val="00502393"/>
    <w:rsid w:val="005029A6"/>
    <w:rsid w:val="00502A03"/>
    <w:rsid w:val="00502EC2"/>
    <w:rsid w:val="00502F92"/>
    <w:rsid w:val="00503037"/>
    <w:rsid w:val="00503263"/>
    <w:rsid w:val="00503486"/>
    <w:rsid w:val="00503805"/>
    <w:rsid w:val="00505E10"/>
    <w:rsid w:val="0050630F"/>
    <w:rsid w:val="005071F0"/>
    <w:rsid w:val="0050747F"/>
    <w:rsid w:val="00507540"/>
    <w:rsid w:val="005077C7"/>
    <w:rsid w:val="00510FA3"/>
    <w:rsid w:val="00511053"/>
    <w:rsid w:val="00511E9D"/>
    <w:rsid w:val="0051207A"/>
    <w:rsid w:val="00512632"/>
    <w:rsid w:val="00512D85"/>
    <w:rsid w:val="00513332"/>
    <w:rsid w:val="005140D6"/>
    <w:rsid w:val="005142C7"/>
    <w:rsid w:val="00514834"/>
    <w:rsid w:val="00514F91"/>
    <w:rsid w:val="00515129"/>
    <w:rsid w:val="00515269"/>
    <w:rsid w:val="005161A0"/>
    <w:rsid w:val="0051728A"/>
    <w:rsid w:val="005175A6"/>
    <w:rsid w:val="005178DF"/>
    <w:rsid w:val="005179EE"/>
    <w:rsid w:val="00517A48"/>
    <w:rsid w:val="00520936"/>
    <w:rsid w:val="0052116A"/>
    <w:rsid w:val="00521254"/>
    <w:rsid w:val="00522037"/>
    <w:rsid w:val="00522574"/>
    <w:rsid w:val="00522E69"/>
    <w:rsid w:val="00523046"/>
    <w:rsid w:val="005232C2"/>
    <w:rsid w:val="0052349B"/>
    <w:rsid w:val="0052439F"/>
    <w:rsid w:val="00524456"/>
    <w:rsid w:val="0052471F"/>
    <w:rsid w:val="005249BF"/>
    <w:rsid w:val="00524E59"/>
    <w:rsid w:val="00525646"/>
    <w:rsid w:val="00525696"/>
    <w:rsid w:val="00525E29"/>
    <w:rsid w:val="00526090"/>
    <w:rsid w:val="00526C78"/>
    <w:rsid w:val="00526E16"/>
    <w:rsid w:val="00526EC8"/>
    <w:rsid w:val="0052730B"/>
    <w:rsid w:val="00527E7E"/>
    <w:rsid w:val="00530FD8"/>
    <w:rsid w:val="005317E4"/>
    <w:rsid w:val="00531856"/>
    <w:rsid w:val="00531966"/>
    <w:rsid w:val="00531A57"/>
    <w:rsid w:val="00532306"/>
    <w:rsid w:val="00532B85"/>
    <w:rsid w:val="0053349E"/>
    <w:rsid w:val="005342A8"/>
    <w:rsid w:val="00534384"/>
    <w:rsid w:val="00535FEB"/>
    <w:rsid w:val="00536092"/>
    <w:rsid w:val="00536865"/>
    <w:rsid w:val="00536F50"/>
    <w:rsid w:val="00537E1D"/>
    <w:rsid w:val="00540CDD"/>
    <w:rsid w:val="00540D05"/>
    <w:rsid w:val="00541110"/>
    <w:rsid w:val="005416BC"/>
    <w:rsid w:val="0054170E"/>
    <w:rsid w:val="00541717"/>
    <w:rsid w:val="00541BED"/>
    <w:rsid w:val="00541FFF"/>
    <w:rsid w:val="005426B9"/>
    <w:rsid w:val="00542E15"/>
    <w:rsid w:val="00542EC5"/>
    <w:rsid w:val="00543443"/>
    <w:rsid w:val="0054363F"/>
    <w:rsid w:val="005440ED"/>
    <w:rsid w:val="005441FC"/>
    <w:rsid w:val="0054431C"/>
    <w:rsid w:val="00544753"/>
    <w:rsid w:val="0054547E"/>
    <w:rsid w:val="00545835"/>
    <w:rsid w:val="00545E5E"/>
    <w:rsid w:val="00546A50"/>
    <w:rsid w:val="00547852"/>
    <w:rsid w:val="00547F32"/>
    <w:rsid w:val="00547F95"/>
    <w:rsid w:val="0055010F"/>
    <w:rsid w:val="0055029C"/>
    <w:rsid w:val="005508F1"/>
    <w:rsid w:val="00550B20"/>
    <w:rsid w:val="00550F4D"/>
    <w:rsid w:val="00551DE4"/>
    <w:rsid w:val="00552A4C"/>
    <w:rsid w:val="00552BAB"/>
    <w:rsid w:val="00552C23"/>
    <w:rsid w:val="005533BE"/>
    <w:rsid w:val="00553795"/>
    <w:rsid w:val="00553F80"/>
    <w:rsid w:val="00553FC0"/>
    <w:rsid w:val="0055523F"/>
    <w:rsid w:val="005552C5"/>
    <w:rsid w:val="00556783"/>
    <w:rsid w:val="00556A67"/>
    <w:rsid w:val="00556B03"/>
    <w:rsid w:val="00556F38"/>
    <w:rsid w:val="0055700C"/>
    <w:rsid w:val="0055773A"/>
    <w:rsid w:val="005578CE"/>
    <w:rsid w:val="00557DEF"/>
    <w:rsid w:val="0056071D"/>
    <w:rsid w:val="00561514"/>
    <w:rsid w:val="00561900"/>
    <w:rsid w:val="00561CFD"/>
    <w:rsid w:val="0056427F"/>
    <w:rsid w:val="0056440C"/>
    <w:rsid w:val="00564471"/>
    <w:rsid w:val="0056596C"/>
    <w:rsid w:val="00565D26"/>
    <w:rsid w:val="00565FB5"/>
    <w:rsid w:val="005660D0"/>
    <w:rsid w:val="0056632B"/>
    <w:rsid w:val="0056674F"/>
    <w:rsid w:val="00567369"/>
    <w:rsid w:val="00567650"/>
    <w:rsid w:val="00567F31"/>
    <w:rsid w:val="005703F2"/>
    <w:rsid w:val="00570500"/>
    <w:rsid w:val="00570880"/>
    <w:rsid w:val="005708FE"/>
    <w:rsid w:val="00571088"/>
    <w:rsid w:val="00571C2A"/>
    <w:rsid w:val="00571F9E"/>
    <w:rsid w:val="00573D68"/>
    <w:rsid w:val="005741B9"/>
    <w:rsid w:val="005742B5"/>
    <w:rsid w:val="00574A7D"/>
    <w:rsid w:val="00575226"/>
    <w:rsid w:val="0057600A"/>
    <w:rsid w:val="00576A70"/>
    <w:rsid w:val="00576B3C"/>
    <w:rsid w:val="00577531"/>
    <w:rsid w:val="005778CC"/>
    <w:rsid w:val="005778E5"/>
    <w:rsid w:val="0057791A"/>
    <w:rsid w:val="00577E3F"/>
    <w:rsid w:val="00581132"/>
    <w:rsid w:val="00581149"/>
    <w:rsid w:val="00581320"/>
    <w:rsid w:val="00581887"/>
    <w:rsid w:val="00581A0C"/>
    <w:rsid w:val="00581B4F"/>
    <w:rsid w:val="00581DCD"/>
    <w:rsid w:val="0058200D"/>
    <w:rsid w:val="00582794"/>
    <w:rsid w:val="0058377A"/>
    <w:rsid w:val="005847ED"/>
    <w:rsid w:val="005849AF"/>
    <w:rsid w:val="00585574"/>
    <w:rsid w:val="00585866"/>
    <w:rsid w:val="0058595E"/>
    <w:rsid w:val="00585E12"/>
    <w:rsid w:val="005861D8"/>
    <w:rsid w:val="005861EF"/>
    <w:rsid w:val="005867F3"/>
    <w:rsid w:val="00586D9E"/>
    <w:rsid w:val="0059022B"/>
    <w:rsid w:val="00590ACC"/>
    <w:rsid w:val="00590CDD"/>
    <w:rsid w:val="00591251"/>
    <w:rsid w:val="005914FD"/>
    <w:rsid w:val="0059178D"/>
    <w:rsid w:val="00592560"/>
    <w:rsid w:val="00593255"/>
    <w:rsid w:val="00593E99"/>
    <w:rsid w:val="00593EB7"/>
    <w:rsid w:val="005944B5"/>
    <w:rsid w:val="00594E78"/>
    <w:rsid w:val="00596591"/>
    <w:rsid w:val="0059664E"/>
    <w:rsid w:val="00596D8D"/>
    <w:rsid w:val="0059761B"/>
    <w:rsid w:val="005A0AF9"/>
    <w:rsid w:val="005A0B27"/>
    <w:rsid w:val="005A1109"/>
    <w:rsid w:val="005A167C"/>
    <w:rsid w:val="005A1B82"/>
    <w:rsid w:val="005A23FB"/>
    <w:rsid w:val="005A2B33"/>
    <w:rsid w:val="005A2CC1"/>
    <w:rsid w:val="005A2EF0"/>
    <w:rsid w:val="005A37BA"/>
    <w:rsid w:val="005A3C16"/>
    <w:rsid w:val="005A44E6"/>
    <w:rsid w:val="005A509B"/>
    <w:rsid w:val="005A5175"/>
    <w:rsid w:val="005A53E6"/>
    <w:rsid w:val="005A5B06"/>
    <w:rsid w:val="005A63B4"/>
    <w:rsid w:val="005A6ADF"/>
    <w:rsid w:val="005A7348"/>
    <w:rsid w:val="005A79D5"/>
    <w:rsid w:val="005A7F2E"/>
    <w:rsid w:val="005B062E"/>
    <w:rsid w:val="005B0B03"/>
    <w:rsid w:val="005B1176"/>
    <w:rsid w:val="005B1771"/>
    <w:rsid w:val="005B18C9"/>
    <w:rsid w:val="005B29B2"/>
    <w:rsid w:val="005B2C82"/>
    <w:rsid w:val="005B305A"/>
    <w:rsid w:val="005B39DC"/>
    <w:rsid w:val="005B4005"/>
    <w:rsid w:val="005B4A30"/>
    <w:rsid w:val="005B4CEC"/>
    <w:rsid w:val="005B4D25"/>
    <w:rsid w:val="005B5DD8"/>
    <w:rsid w:val="005B6E86"/>
    <w:rsid w:val="005B6F17"/>
    <w:rsid w:val="005C0149"/>
    <w:rsid w:val="005C06BD"/>
    <w:rsid w:val="005C070D"/>
    <w:rsid w:val="005C0722"/>
    <w:rsid w:val="005C07F3"/>
    <w:rsid w:val="005C0BBA"/>
    <w:rsid w:val="005C0FD1"/>
    <w:rsid w:val="005C1053"/>
    <w:rsid w:val="005C126F"/>
    <w:rsid w:val="005C13E5"/>
    <w:rsid w:val="005C18AD"/>
    <w:rsid w:val="005C1C78"/>
    <w:rsid w:val="005C250D"/>
    <w:rsid w:val="005C2CDB"/>
    <w:rsid w:val="005C3401"/>
    <w:rsid w:val="005C3737"/>
    <w:rsid w:val="005C3F83"/>
    <w:rsid w:val="005C4508"/>
    <w:rsid w:val="005C4536"/>
    <w:rsid w:val="005C4BB4"/>
    <w:rsid w:val="005C4DD1"/>
    <w:rsid w:val="005C547A"/>
    <w:rsid w:val="005C667D"/>
    <w:rsid w:val="005C6825"/>
    <w:rsid w:val="005C7242"/>
    <w:rsid w:val="005D0512"/>
    <w:rsid w:val="005D060D"/>
    <w:rsid w:val="005D0A22"/>
    <w:rsid w:val="005D0DC9"/>
    <w:rsid w:val="005D2A7D"/>
    <w:rsid w:val="005D2E42"/>
    <w:rsid w:val="005D369B"/>
    <w:rsid w:val="005D3CAD"/>
    <w:rsid w:val="005D4318"/>
    <w:rsid w:val="005D4A5E"/>
    <w:rsid w:val="005D5529"/>
    <w:rsid w:val="005D564B"/>
    <w:rsid w:val="005D5FA3"/>
    <w:rsid w:val="005D6C43"/>
    <w:rsid w:val="005D7D4A"/>
    <w:rsid w:val="005E0A29"/>
    <w:rsid w:val="005E0F9A"/>
    <w:rsid w:val="005E240C"/>
    <w:rsid w:val="005E2AA9"/>
    <w:rsid w:val="005E338A"/>
    <w:rsid w:val="005E3699"/>
    <w:rsid w:val="005E3E5D"/>
    <w:rsid w:val="005E3F9F"/>
    <w:rsid w:val="005E473C"/>
    <w:rsid w:val="005E4E51"/>
    <w:rsid w:val="005E566E"/>
    <w:rsid w:val="005E5EB6"/>
    <w:rsid w:val="005E66E5"/>
    <w:rsid w:val="005E6801"/>
    <w:rsid w:val="005E68C8"/>
    <w:rsid w:val="005E6AA0"/>
    <w:rsid w:val="005E739E"/>
    <w:rsid w:val="005E7889"/>
    <w:rsid w:val="005E7B13"/>
    <w:rsid w:val="005F00A2"/>
    <w:rsid w:val="005F02C7"/>
    <w:rsid w:val="005F0AF4"/>
    <w:rsid w:val="005F0B78"/>
    <w:rsid w:val="005F114B"/>
    <w:rsid w:val="005F1764"/>
    <w:rsid w:val="005F20C1"/>
    <w:rsid w:val="005F3CF6"/>
    <w:rsid w:val="005F444F"/>
    <w:rsid w:val="005F48C9"/>
    <w:rsid w:val="005F4A44"/>
    <w:rsid w:val="005F5B36"/>
    <w:rsid w:val="005F5B66"/>
    <w:rsid w:val="005F5BEE"/>
    <w:rsid w:val="005F6419"/>
    <w:rsid w:val="005F66C6"/>
    <w:rsid w:val="005F67AF"/>
    <w:rsid w:val="005F67E7"/>
    <w:rsid w:val="005F6BE6"/>
    <w:rsid w:val="005F728D"/>
    <w:rsid w:val="00600EA0"/>
    <w:rsid w:val="0060157D"/>
    <w:rsid w:val="006017BD"/>
    <w:rsid w:val="00601977"/>
    <w:rsid w:val="00601A43"/>
    <w:rsid w:val="00601BCA"/>
    <w:rsid w:val="00602331"/>
    <w:rsid w:val="006030F6"/>
    <w:rsid w:val="00603DCB"/>
    <w:rsid w:val="00604492"/>
    <w:rsid w:val="006045CA"/>
    <w:rsid w:val="00604773"/>
    <w:rsid w:val="00604DD9"/>
    <w:rsid w:val="0060764A"/>
    <w:rsid w:val="00610755"/>
    <w:rsid w:val="0061079F"/>
    <w:rsid w:val="00610802"/>
    <w:rsid w:val="00610828"/>
    <w:rsid w:val="00610E41"/>
    <w:rsid w:val="006113E1"/>
    <w:rsid w:val="006114A3"/>
    <w:rsid w:val="00612099"/>
    <w:rsid w:val="00612422"/>
    <w:rsid w:val="0061282C"/>
    <w:rsid w:val="00612E43"/>
    <w:rsid w:val="0061305B"/>
    <w:rsid w:val="00613159"/>
    <w:rsid w:val="0061453C"/>
    <w:rsid w:val="00614625"/>
    <w:rsid w:val="006146C2"/>
    <w:rsid w:val="006155A5"/>
    <w:rsid w:val="00616863"/>
    <w:rsid w:val="00616A1D"/>
    <w:rsid w:val="00616BA4"/>
    <w:rsid w:val="00617657"/>
    <w:rsid w:val="00620BE4"/>
    <w:rsid w:val="00621534"/>
    <w:rsid w:val="006222ED"/>
    <w:rsid w:val="00622859"/>
    <w:rsid w:val="00622D0C"/>
    <w:rsid w:val="00622D9A"/>
    <w:rsid w:val="00622DD0"/>
    <w:rsid w:val="0062301E"/>
    <w:rsid w:val="006239FA"/>
    <w:rsid w:val="006246D3"/>
    <w:rsid w:val="00624783"/>
    <w:rsid w:val="00624D9E"/>
    <w:rsid w:val="00625CAF"/>
    <w:rsid w:val="006260CC"/>
    <w:rsid w:val="00626145"/>
    <w:rsid w:val="006261A7"/>
    <w:rsid w:val="006263CC"/>
    <w:rsid w:val="00626843"/>
    <w:rsid w:val="00627A37"/>
    <w:rsid w:val="00627BB5"/>
    <w:rsid w:val="00627E74"/>
    <w:rsid w:val="00630C88"/>
    <w:rsid w:val="00630D38"/>
    <w:rsid w:val="00630EAE"/>
    <w:rsid w:val="0063251F"/>
    <w:rsid w:val="00633434"/>
    <w:rsid w:val="00633522"/>
    <w:rsid w:val="006335BA"/>
    <w:rsid w:val="0063395E"/>
    <w:rsid w:val="00633BF5"/>
    <w:rsid w:val="00633DEA"/>
    <w:rsid w:val="00633E0C"/>
    <w:rsid w:val="00633F0C"/>
    <w:rsid w:val="00634116"/>
    <w:rsid w:val="0063426E"/>
    <w:rsid w:val="00634D8B"/>
    <w:rsid w:val="00635B95"/>
    <w:rsid w:val="00637AC1"/>
    <w:rsid w:val="006400C0"/>
    <w:rsid w:val="0064018E"/>
    <w:rsid w:val="00640345"/>
    <w:rsid w:val="00640F1E"/>
    <w:rsid w:val="006413C5"/>
    <w:rsid w:val="006416A5"/>
    <w:rsid w:val="00641A1A"/>
    <w:rsid w:val="00641A80"/>
    <w:rsid w:val="00642657"/>
    <w:rsid w:val="00642F75"/>
    <w:rsid w:val="00643A18"/>
    <w:rsid w:val="00643B59"/>
    <w:rsid w:val="00643E59"/>
    <w:rsid w:val="006442FD"/>
    <w:rsid w:val="0064478F"/>
    <w:rsid w:val="00644C34"/>
    <w:rsid w:val="00644F61"/>
    <w:rsid w:val="0064514C"/>
    <w:rsid w:val="00645FDD"/>
    <w:rsid w:val="00646C79"/>
    <w:rsid w:val="00646EC1"/>
    <w:rsid w:val="00646F87"/>
    <w:rsid w:val="00646FE8"/>
    <w:rsid w:val="0064744D"/>
    <w:rsid w:val="0065046B"/>
    <w:rsid w:val="0065060B"/>
    <w:rsid w:val="00650765"/>
    <w:rsid w:val="006509D7"/>
    <w:rsid w:val="00650AC2"/>
    <w:rsid w:val="00652726"/>
    <w:rsid w:val="00652AE9"/>
    <w:rsid w:val="006531A6"/>
    <w:rsid w:val="006533AC"/>
    <w:rsid w:val="00653CDA"/>
    <w:rsid w:val="006558E8"/>
    <w:rsid w:val="006568E9"/>
    <w:rsid w:val="00656948"/>
    <w:rsid w:val="006572E1"/>
    <w:rsid w:val="0065776B"/>
    <w:rsid w:val="00657888"/>
    <w:rsid w:val="00657BAD"/>
    <w:rsid w:val="00657BDC"/>
    <w:rsid w:val="006602C4"/>
    <w:rsid w:val="006604DF"/>
    <w:rsid w:val="006606D7"/>
    <w:rsid w:val="006607C3"/>
    <w:rsid w:val="00660819"/>
    <w:rsid w:val="0066153A"/>
    <w:rsid w:val="00661D66"/>
    <w:rsid w:val="0066259D"/>
    <w:rsid w:val="006632AA"/>
    <w:rsid w:val="00663853"/>
    <w:rsid w:val="006646E2"/>
    <w:rsid w:val="00665167"/>
    <w:rsid w:val="006665DC"/>
    <w:rsid w:val="0066680C"/>
    <w:rsid w:val="00666BCA"/>
    <w:rsid w:val="00666F01"/>
    <w:rsid w:val="00667BBB"/>
    <w:rsid w:val="006703F0"/>
    <w:rsid w:val="00670A4F"/>
    <w:rsid w:val="00671177"/>
    <w:rsid w:val="0067180B"/>
    <w:rsid w:val="0067186A"/>
    <w:rsid w:val="00671AD2"/>
    <w:rsid w:val="006724E6"/>
    <w:rsid w:val="00672DD0"/>
    <w:rsid w:val="00672F6D"/>
    <w:rsid w:val="00673376"/>
    <w:rsid w:val="00673864"/>
    <w:rsid w:val="00674426"/>
    <w:rsid w:val="00674CFB"/>
    <w:rsid w:val="00674FC7"/>
    <w:rsid w:val="00675027"/>
    <w:rsid w:val="00675682"/>
    <w:rsid w:val="006769AA"/>
    <w:rsid w:val="006769D4"/>
    <w:rsid w:val="00677381"/>
    <w:rsid w:val="00677457"/>
    <w:rsid w:val="00677A73"/>
    <w:rsid w:val="00680318"/>
    <w:rsid w:val="00680D89"/>
    <w:rsid w:val="00680EB7"/>
    <w:rsid w:val="00681AF2"/>
    <w:rsid w:val="006822ED"/>
    <w:rsid w:val="006823E5"/>
    <w:rsid w:val="006845D5"/>
    <w:rsid w:val="006848B4"/>
    <w:rsid w:val="00685A34"/>
    <w:rsid w:val="00686970"/>
    <w:rsid w:val="00687314"/>
    <w:rsid w:val="00687486"/>
    <w:rsid w:val="00687BCA"/>
    <w:rsid w:val="00687E3A"/>
    <w:rsid w:val="00690817"/>
    <w:rsid w:val="00690ACA"/>
    <w:rsid w:val="00691407"/>
    <w:rsid w:val="00691518"/>
    <w:rsid w:val="00691586"/>
    <w:rsid w:val="00691B7F"/>
    <w:rsid w:val="00692763"/>
    <w:rsid w:val="00692BA6"/>
    <w:rsid w:val="00692CD5"/>
    <w:rsid w:val="00693DE7"/>
    <w:rsid w:val="0069428A"/>
    <w:rsid w:val="00694A11"/>
    <w:rsid w:val="00694D9E"/>
    <w:rsid w:val="006958D4"/>
    <w:rsid w:val="00695CD2"/>
    <w:rsid w:val="006967E4"/>
    <w:rsid w:val="00696C0D"/>
    <w:rsid w:val="006972F7"/>
    <w:rsid w:val="006976E7"/>
    <w:rsid w:val="006A0D9B"/>
    <w:rsid w:val="006A0F6E"/>
    <w:rsid w:val="006A12AE"/>
    <w:rsid w:val="006A1CCD"/>
    <w:rsid w:val="006A2700"/>
    <w:rsid w:val="006A274C"/>
    <w:rsid w:val="006A2757"/>
    <w:rsid w:val="006A2AE7"/>
    <w:rsid w:val="006A31A2"/>
    <w:rsid w:val="006A346B"/>
    <w:rsid w:val="006A363A"/>
    <w:rsid w:val="006A38F2"/>
    <w:rsid w:val="006A4613"/>
    <w:rsid w:val="006A499D"/>
    <w:rsid w:val="006A4B05"/>
    <w:rsid w:val="006A4E2C"/>
    <w:rsid w:val="006A5849"/>
    <w:rsid w:val="006A60B8"/>
    <w:rsid w:val="006A6C02"/>
    <w:rsid w:val="006A6CC3"/>
    <w:rsid w:val="006A6E41"/>
    <w:rsid w:val="006A75E4"/>
    <w:rsid w:val="006A77F2"/>
    <w:rsid w:val="006A798C"/>
    <w:rsid w:val="006A7C2B"/>
    <w:rsid w:val="006A7FAA"/>
    <w:rsid w:val="006B031F"/>
    <w:rsid w:val="006B0F82"/>
    <w:rsid w:val="006B13B1"/>
    <w:rsid w:val="006B17AB"/>
    <w:rsid w:val="006B20FD"/>
    <w:rsid w:val="006B2C61"/>
    <w:rsid w:val="006B3725"/>
    <w:rsid w:val="006B3A1E"/>
    <w:rsid w:val="006B4280"/>
    <w:rsid w:val="006B5157"/>
    <w:rsid w:val="006B55AF"/>
    <w:rsid w:val="006B594E"/>
    <w:rsid w:val="006B62C4"/>
    <w:rsid w:val="006B6EC4"/>
    <w:rsid w:val="006B6ED7"/>
    <w:rsid w:val="006B7527"/>
    <w:rsid w:val="006B7F84"/>
    <w:rsid w:val="006B7FB4"/>
    <w:rsid w:val="006C0BFB"/>
    <w:rsid w:val="006C10B3"/>
    <w:rsid w:val="006C113C"/>
    <w:rsid w:val="006C156A"/>
    <w:rsid w:val="006C1C4E"/>
    <w:rsid w:val="006C1D32"/>
    <w:rsid w:val="006C2A78"/>
    <w:rsid w:val="006C45EB"/>
    <w:rsid w:val="006C4D6A"/>
    <w:rsid w:val="006C4E28"/>
    <w:rsid w:val="006C50D8"/>
    <w:rsid w:val="006C684E"/>
    <w:rsid w:val="006C6BF4"/>
    <w:rsid w:val="006C6F85"/>
    <w:rsid w:val="006C77A0"/>
    <w:rsid w:val="006C784D"/>
    <w:rsid w:val="006C7B00"/>
    <w:rsid w:val="006D0086"/>
    <w:rsid w:val="006D00A1"/>
    <w:rsid w:val="006D19B3"/>
    <w:rsid w:val="006D1BDC"/>
    <w:rsid w:val="006D265B"/>
    <w:rsid w:val="006D2E08"/>
    <w:rsid w:val="006D2E5C"/>
    <w:rsid w:val="006D3AB1"/>
    <w:rsid w:val="006D461C"/>
    <w:rsid w:val="006D4BF5"/>
    <w:rsid w:val="006D7125"/>
    <w:rsid w:val="006D7477"/>
    <w:rsid w:val="006D769A"/>
    <w:rsid w:val="006D7844"/>
    <w:rsid w:val="006E12F6"/>
    <w:rsid w:val="006E1BA7"/>
    <w:rsid w:val="006E20B2"/>
    <w:rsid w:val="006E225C"/>
    <w:rsid w:val="006E3174"/>
    <w:rsid w:val="006E3E62"/>
    <w:rsid w:val="006E4705"/>
    <w:rsid w:val="006E5622"/>
    <w:rsid w:val="006E5711"/>
    <w:rsid w:val="006E63B6"/>
    <w:rsid w:val="006E6F83"/>
    <w:rsid w:val="006E729C"/>
    <w:rsid w:val="006E7439"/>
    <w:rsid w:val="006E7DAC"/>
    <w:rsid w:val="006E7F4B"/>
    <w:rsid w:val="006F0065"/>
    <w:rsid w:val="006F0E7B"/>
    <w:rsid w:val="006F1350"/>
    <w:rsid w:val="006F1884"/>
    <w:rsid w:val="006F1D47"/>
    <w:rsid w:val="006F2A37"/>
    <w:rsid w:val="006F2AFF"/>
    <w:rsid w:val="006F3ACE"/>
    <w:rsid w:val="006F4FC1"/>
    <w:rsid w:val="006F50E8"/>
    <w:rsid w:val="006F56DB"/>
    <w:rsid w:val="006F5716"/>
    <w:rsid w:val="006F579C"/>
    <w:rsid w:val="006F5987"/>
    <w:rsid w:val="006F5B34"/>
    <w:rsid w:val="006F5D60"/>
    <w:rsid w:val="006F5D7E"/>
    <w:rsid w:val="006F6099"/>
    <w:rsid w:val="006F6B17"/>
    <w:rsid w:val="006F6DAD"/>
    <w:rsid w:val="006F70DF"/>
    <w:rsid w:val="006F7E14"/>
    <w:rsid w:val="007012BD"/>
    <w:rsid w:val="0070142A"/>
    <w:rsid w:val="00701C18"/>
    <w:rsid w:val="00701D78"/>
    <w:rsid w:val="00702924"/>
    <w:rsid w:val="00702B2F"/>
    <w:rsid w:val="00702FFA"/>
    <w:rsid w:val="0070338E"/>
    <w:rsid w:val="007036E7"/>
    <w:rsid w:val="007045F0"/>
    <w:rsid w:val="00704B13"/>
    <w:rsid w:val="0070553F"/>
    <w:rsid w:val="00705A5A"/>
    <w:rsid w:val="007060AD"/>
    <w:rsid w:val="007065D1"/>
    <w:rsid w:val="007079F8"/>
    <w:rsid w:val="00707AC7"/>
    <w:rsid w:val="00707F59"/>
    <w:rsid w:val="007105ED"/>
    <w:rsid w:val="00710614"/>
    <w:rsid w:val="00712222"/>
    <w:rsid w:val="0071228B"/>
    <w:rsid w:val="00712FBE"/>
    <w:rsid w:val="00713334"/>
    <w:rsid w:val="0071338A"/>
    <w:rsid w:val="0071339D"/>
    <w:rsid w:val="00713893"/>
    <w:rsid w:val="00713DDE"/>
    <w:rsid w:val="00714F23"/>
    <w:rsid w:val="00715346"/>
    <w:rsid w:val="00715779"/>
    <w:rsid w:val="007164EF"/>
    <w:rsid w:val="007167D2"/>
    <w:rsid w:val="00717102"/>
    <w:rsid w:val="007208FD"/>
    <w:rsid w:val="007215B6"/>
    <w:rsid w:val="00721805"/>
    <w:rsid w:val="00721996"/>
    <w:rsid w:val="007224D2"/>
    <w:rsid w:val="00722B2C"/>
    <w:rsid w:val="00722DD1"/>
    <w:rsid w:val="00723213"/>
    <w:rsid w:val="007252DC"/>
    <w:rsid w:val="007255C0"/>
    <w:rsid w:val="0072580B"/>
    <w:rsid w:val="00725EFF"/>
    <w:rsid w:val="00726951"/>
    <w:rsid w:val="00726A9C"/>
    <w:rsid w:val="00727207"/>
    <w:rsid w:val="00727564"/>
    <w:rsid w:val="0073023F"/>
    <w:rsid w:val="007303A3"/>
    <w:rsid w:val="0073069D"/>
    <w:rsid w:val="00730AB9"/>
    <w:rsid w:val="007316BE"/>
    <w:rsid w:val="00731D14"/>
    <w:rsid w:val="00732769"/>
    <w:rsid w:val="00732A95"/>
    <w:rsid w:val="0073304B"/>
    <w:rsid w:val="007333C5"/>
    <w:rsid w:val="007335BA"/>
    <w:rsid w:val="007340EE"/>
    <w:rsid w:val="00734155"/>
    <w:rsid w:val="007349A5"/>
    <w:rsid w:val="00734B1D"/>
    <w:rsid w:val="007353CF"/>
    <w:rsid w:val="00735A02"/>
    <w:rsid w:val="00736080"/>
    <w:rsid w:val="00736A4B"/>
    <w:rsid w:val="00736EF0"/>
    <w:rsid w:val="007370C8"/>
    <w:rsid w:val="007371C2"/>
    <w:rsid w:val="00737699"/>
    <w:rsid w:val="00737BDE"/>
    <w:rsid w:val="0074065E"/>
    <w:rsid w:val="00740C88"/>
    <w:rsid w:val="00740E11"/>
    <w:rsid w:val="00741470"/>
    <w:rsid w:val="007415F5"/>
    <w:rsid w:val="00741B4F"/>
    <w:rsid w:val="0074238F"/>
    <w:rsid w:val="0074241C"/>
    <w:rsid w:val="00742790"/>
    <w:rsid w:val="00743145"/>
    <w:rsid w:val="007436DD"/>
    <w:rsid w:val="00744793"/>
    <w:rsid w:val="0074547A"/>
    <w:rsid w:val="00745592"/>
    <w:rsid w:val="00745957"/>
    <w:rsid w:val="00746575"/>
    <w:rsid w:val="00746EC6"/>
    <w:rsid w:val="00747716"/>
    <w:rsid w:val="00750685"/>
    <w:rsid w:val="00750C5D"/>
    <w:rsid w:val="00750DD4"/>
    <w:rsid w:val="00751672"/>
    <w:rsid w:val="00752003"/>
    <w:rsid w:val="007522EB"/>
    <w:rsid w:val="007526A3"/>
    <w:rsid w:val="00752CCD"/>
    <w:rsid w:val="00753B0A"/>
    <w:rsid w:val="007542C7"/>
    <w:rsid w:val="00754845"/>
    <w:rsid w:val="00754F3B"/>
    <w:rsid w:val="007551B2"/>
    <w:rsid w:val="007551B5"/>
    <w:rsid w:val="007552DF"/>
    <w:rsid w:val="00755B0B"/>
    <w:rsid w:val="00756C38"/>
    <w:rsid w:val="007570C9"/>
    <w:rsid w:val="0075752B"/>
    <w:rsid w:val="00757BEA"/>
    <w:rsid w:val="00760DCD"/>
    <w:rsid w:val="00760E72"/>
    <w:rsid w:val="007610DE"/>
    <w:rsid w:val="007613C9"/>
    <w:rsid w:val="0076290A"/>
    <w:rsid w:val="00762B21"/>
    <w:rsid w:val="00762CE1"/>
    <w:rsid w:val="00763033"/>
    <w:rsid w:val="00763510"/>
    <w:rsid w:val="00763750"/>
    <w:rsid w:val="00763AEE"/>
    <w:rsid w:val="0076455D"/>
    <w:rsid w:val="0076463E"/>
    <w:rsid w:val="007651C8"/>
    <w:rsid w:val="00765767"/>
    <w:rsid w:val="00765F23"/>
    <w:rsid w:val="00765FAB"/>
    <w:rsid w:val="00766091"/>
    <w:rsid w:val="007664AB"/>
    <w:rsid w:val="007667EC"/>
    <w:rsid w:val="00766A23"/>
    <w:rsid w:val="00766D1C"/>
    <w:rsid w:val="00766D5F"/>
    <w:rsid w:val="00767202"/>
    <w:rsid w:val="00767677"/>
    <w:rsid w:val="00767B29"/>
    <w:rsid w:val="00767F6F"/>
    <w:rsid w:val="007706B7"/>
    <w:rsid w:val="007710ED"/>
    <w:rsid w:val="0077117C"/>
    <w:rsid w:val="00771310"/>
    <w:rsid w:val="00771A13"/>
    <w:rsid w:val="00772C1B"/>
    <w:rsid w:val="00772C50"/>
    <w:rsid w:val="00772EDB"/>
    <w:rsid w:val="00773024"/>
    <w:rsid w:val="00773213"/>
    <w:rsid w:val="007735C7"/>
    <w:rsid w:val="00774186"/>
    <w:rsid w:val="00774F42"/>
    <w:rsid w:val="00775067"/>
    <w:rsid w:val="007751B6"/>
    <w:rsid w:val="007758C0"/>
    <w:rsid w:val="007758FD"/>
    <w:rsid w:val="00775C73"/>
    <w:rsid w:val="00776092"/>
    <w:rsid w:val="00776AD4"/>
    <w:rsid w:val="0077705F"/>
    <w:rsid w:val="00777716"/>
    <w:rsid w:val="00777C12"/>
    <w:rsid w:val="00780FD2"/>
    <w:rsid w:val="00781115"/>
    <w:rsid w:val="00781351"/>
    <w:rsid w:val="007817FC"/>
    <w:rsid w:val="00781FF8"/>
    <w:rsid w:val="00782276"/>
    <w:rsid w:val="0078243A"/>
    <w:rsid w:val="007825E3"/>
    <w:rsid w:val="00782B22"/>
    <w:rsid w:val="00783044"/>
    <w:rsid w:val="00783A5B"/>
    <w:rsid w:val="00783F89"/>
    <w:rsid w:val="0078419C"/>
    <w:rsid w:val="00784362"/>
    <w:rsid w:val="0078458B"/>
    <w:rsid w:val="00784B09"/>
    <w:rsid w:val="00784EB2"/>
    <w:rsid w:val="0078526C"/>
    <w:rsid w:val="00785382"/>
    <w:rsid w:val="00785554"/>
    <w:rsid w:val="0078572B"/>
    <w:rsid w:val="00785F23"/>
    <w:rsid w:val="00786412"/>
    <w:rsid w:val="00786C77"/>
    <w:rsid w:val="007873B4"/>
    <w:rsid w:val="0078747D"/>
    <w:rsid w:val="00787604"/>
    <w:rsid w:val="00787719"/>
    <w:rsid w:val="00787723"/>
    <w:rsid w:val="00787E5E"/>
    <w:rsid w:val="00787F20"/>
    <w:rsid w:val="00790FC9"/>
    <w:rsid w:val="007913F9"/>
    <w:rsid w:val="007916C3"/>
    <w:rsid w:val="00791A98"/>
    <w:rsid w:val="0079219D"/>
    <w:rsid w:val="00792CD9"/>
    <w:rsid w:val="007937F8"/>
    <w:rsid w:val="00793C97"/>
    <w:rsid w:val="007947F1"/>
    <w:rsid w:val="00794D2A"/>
    <w:rsid w:val="00795110"/>
    <w:rsid w:val="007951B5"/>
    <w:rsid w:val="00795582"/>
    <w:rsid w:val="007960FD"/>
    <w:rsid w:val="00796390"/>
    <w:rsid w:val="00796D92"/>
    <w:rsid w:val="007977EC"/>
    <w:rsid w:val="007A00C2"/>
    <w:rsid w:val="007A0BAB"/>
    <w:rsid w:val="007A119B"/>
    <w:rsid w:val="007A1A51"/>
    <w:rsid w:val="007A1F88"/>
    <w:rsid w:val="007A2D90"/>
    <w:rsid w:val="007A30F4"/>
    <w:rsid w:val="007A32D0"/>
    <w:rsid w:val="007A3A90"/>
    <w:rsid w:val="007A3AE0"/>
    <w:rsid w:val="007A3FFE"/>
    <w:rsid w:val="007A40F1"/>
    <w:rsid w:val="007A4632"/>
    <w:rsid w:val="007A46D6"/>
    <w:rsid w:val="007A53D1"/>
    <w:rsid w:val="007A5943"/>
    <w:rsid w:val="007A7EC0"/>
    <w:rsid w:val="007B02B9"/>
    <w:rsid w:val="007B080A"/>
    <w:rsid w:val="007B0B63"/>
    <w:rsid w:val="007B153E"/>
    <w:rsid w:val="007B2536"/>
    <w:rsid w:val="007B3A9C"/>
    <w:rsid w:val="007B3BFD"/>
    <w:rsid w:val="007B4603"/>
    <w:rsid w:val="007B48F5"/>
    <w:rsid w:val="007B5818"/>
    <w:rsid w:val="007B5E62"/>
    <w:rsid w:val="007B5F1F"/>
    <w:rsid w:val="007B5F82"/>
    <w:rsid w:val="007B6D97"/>
    <w:rsid w:val="007B6E49"/>
    <w:rsid w:val="007B7ADD"/>
    <w:rsid w:val="007C0971"/>
    <w:rsid w:val="007C09FE"/>
    <w:rsid w:val="007C15E5"/>
    <w:rsid w:val="007C167C"/>
    <w:rsid w:val="007C1733"/>
    <w:rsid w:val="007C1C84"/>
    <w:rsid w:val="007C2829"/>
    <w:rsid w:val="007C28E7"/>
    <w:rsid w:val="007C32C6"/>
    <w:rsid w:val="007C3ADE"/>
    <w:rsid w:val="007C3CFF"/>
    <w:rsid w:val="007C49CE"/>
    <w:rsid w:val="007C553C"/>
    <w:rsid w:val="007C564D"/>
    <w:rsid w:val="007C5C06"/>
    <w:rsid w:val="007C65D0"/>
    <w:rsid w:val="007C66F1"/>
    <w:rsid w:val="007C71F0"/>
    <w:rsid w:val="007C7FAF"/>
    <w:rsid w:val="007D015D"/>
    <w:rsid w:val="007D04D1"/>
    <w:rsid w:val="007D075F"/>
    <w:rsid w:val="007D09AD"/>
    <w:rsid w:val="007D0D3C"/>
    <w:rsid w:val="007D1989"/>
    <w:rsid w:val="007D2044"/>
    <w:rsid w:val="007D2E72"/>
    <w:rsid w:val="007D3098"/>
    <w:rsid w:val="007D4406"/>
    <w:rsid w:val="007D47BE"/>
    <w:rsid w:val="007D49A3"/>
    <w:rsid w:val="007D4A36"/>
    <w:rsid w:val="007D4FA6"/>
    <w:rsid w:val="007D528F"/>
    <w:rsid w:val="007D54B2"/>
    <w:rsid w:val="007D61B3"/>
    <w:rsid w:val="007D6228"/>
    <w:rsid w:val="007D62DA"/>
    <w:rsid w:val="007D6DD9"/>
    <w:rsid w:val="007D76F8"/>
    <w:rsid w:val="007D7AB3"/>
    <w:rsid w:val="007E027E"/>
    <w:rsid w:val="007E096C"/>
    <w:rsid w:val="007E0F73"/>
    <w:rsid w:val="007E0F80"/>
    <w:rsid w:val="007E2225"/>
    <w:rsid w:val="007E2778"/>
    <w:rsid w:val="007E31C9"/>
    <w:rsid w:val="007E47DD"/>
    <w:rsid w:val="007E4A42"/>
    <w:rsid w:val="007E4C4F"/>
    <w:rsid w:val="007E4EA3"/>
    <w:rsid w:val="007E5660"/>
    <w:rsid w:val="007E5721"/>
    <w:rsid w:val="007E5A4E"/>
    <w:rsid w:val="007E5F19"/>
    <w:rsid w:val="007E5F68"/>
    <w:rsid w:val="007E6A25"/>
    <w:rsid w:val="007E70D5"/>
    <w:rsid w:val="007E7385"/>
    <w:rsid w:val="007F0AD2"/>
    <w:rsid w:val="007F13F7"/>
    <w:rsid w:val="007F17AD"/>
    <w:rsid w:val="007F1F6E"/>
    <w:rsid w:val="007F2CB8"/>
    <w:rsid w:val="007F3156"/>
    <w:rsid w:val="007F3F17"/>
    <w:rsid w:val="007F476B"/>
    <w:rsid w:val="007F48CE"/>
    <w:rsid w:val="007F4965"/>
    <w:rsid w:val="007F49E9"/>
    <w:rsid w:val="007F508F"/>
    <w:rsid w:val="007F5406"/>
    <w:rsid w:val="007F61F0"/>
    <w:rsid w:val="007F663A"/>
    <w:rsid w:val="007F6C96"/>
    <w:rsid w:val="007F7DD4"/>
    <w:rsid w:val="008000F6"/>
    <w:rsid w:val="0080086B"/>
    <w:rsid w:val="00800ABB"/>
    <w:rsid w:val="00801540"/>
    <w:rsid w:val="008015B6"/>
    <w:rsid w:val="0080165C"/>
    <w:rsid w:val="0080240F"/>
    <w:rsid w:val="008024BC"/>
    <w:rsid w:val="008024E3"/>
    <w:rsid w:val="0080254A"/>
    <w:rsid w:val="00802B49"/>
    <w:rsid w:val="008041B4"/>
    <w:rsid w:val="00804458"/>
    <w:rsid w:val="00805E86"/>
    <w:rsid w:val="0080693E"/>
    <w:rsid w:val="00806EA4"/>
    <w:rsid w:val="00807D20"/>
    <w:rsid w:val="008106D0"/>
    <w:rsid w:val="00810F89"/>
    <w:rsid w:val="00811922"/>
    <w:rsid w:val="00811DD5"/>
    <w:rsid w:val="008128D0"/>
    <w:rsid w:val="00812F80"/>
    <w:rsid w:val="008132A8"/>
    <w:rsid w:val="0081343D"/>
    <w:rsid w:val="00813979"/>
    <w:rsid w:val="00813BD1"/>
    <w:rsid w:val="00814262"/>
    <w:rsid w:val="008145A0"/>
    <w:rsid w:val="00815652"/>
    <w:rsid w:val="0081571E"/>
    <w:rsid w:val="008157ED"/>
    <w:rsid w:val="00816F7B"/>
    <w:rsid w:val="008174F5"/>
    <w:rsid w:val="00817A96"/>
    <w:rsid w:val="00817CD7"/>
    <w:rsid w:val="00817E49"/>
    <w:rsid w:val="008202C5"/>
    <w:rsid w:val="00821E34"/>
    <w:rsid w:val="0082223F"/>
    <w:rsid w:val="00822345"/>
    <w:rsid w:val="0082289E"/>
    <w:rsid w:val="00822A41"/>
    <w:rsid w:val="00823259"/>
    <w:rsid w:val="0082341D"/>
    <w:rsid w:val="008240D9"/>
    <w:rsid w:val="0082479F"/>
    <w:rsid w:val="00824C22"/>
    <w:rsid w:val="00824C98"/>
    <w:rsid w:val="008251F6"/>
    <w:rsid w:val="00825B26"/>
    <w:rsid w:val="00825E78"/>
    <w:rsid w:val="00825F44"/>
    <w:rsid w:val="008263CA"/>
    <w:rsid w:val="008270F3"/>
    <w:rsid w:val="00830C48"/>
    <w:rsid w:val="0083143B"/>
    <w:rsid w:val="00831ADC"/>
    <w:rsid w:val="00832846"/>
    <w:rsid w:val="008339C9"/>
    <w:rsid w:val="00833E03"/>
    <w:rsid w:val="0083432D"/>
    <w:rsid w:val="008344B1"/>
    <w:rsid w:val="008348E1"/>
    <w:rsid w:val="00834FEC"/>
    <w:rsid w:val="0083522D"/>
    <w:rsid w:val="00835D30"/>
    <w:rsid w:val="00836F99"/>
    <w:rsid w:val="00837258"/>
    <w:rsid w:val="00837553"/>
    <w:rsid w:val="00837698"/>
    <w:rsid w:val="00837723"/>
    <w:rsid w:val="00837754"/>
    <w:rsid w:val="008378A8"/>
    <w:rsid w:val="00837D97"/>
    <w:rsid w:val="0084037D"/>
    <w:rsid w:val="0084052A"/>
    <w:rsid w:val="00840885"/>
    <w:rsid w:val="00840927"/>
    <w:rsid w:val="00840D6E"/>
    <w:rsid w:val="00841339"/>
    <w:rsid w:val="00841615"/>
    <w:rsid w:val="00841746"/>
    <w:rsid w:val="00841E3B"/>
    <w:rsid w:val="008422F3"/>
    <w:rsid w:val="008423A2"/>
    <w:rsid w:val="0084247C"/>
    <w:rsid w:val="008428C7"/>
    <w:rsid w:val="0084424E"/>
    <w:rsid w:val="00845A05"/>
    <w:rsid w:val="00845F0A"/>
    <w:rsid w:val="00846086"/>
    <w:rsid w:val="008470FC"/>
    <w:rsid w:val="0085080C"/>
    <w:rsid w:val="00850873"/>
    <w:rsid w:val="008510E2"/>
    <w:rsid w:val="00851464"/>
    <w:rsid w:val="00851621"/>
    <w:rsid w:val="008519A4"/>
    <w:rsid w:val="00851B34"/>
    <w:rsid w:val="00852028"/>
    <w:rsid w:val="0085206B"/>
    <w:rsid w:val="00852C3B"/>
    <w:rsid w:val="008536AF"/>
    <w:rsid w:val="00853FFD"/>
    <w:rsid w:val="00854177"/>
    <w:rsid w:val="00854592"/>
    <w:rsid w:val="00854BA5"/>
    <w:rsid w:val="0085514D"/>
    <w:rsid w:val="00855436"/>
    <w:rsid w:val="0085544B"/>
    <w:rsid w:val="0085565E"/>
    <w:rsid w:val="0085661C"/>
    <w:rsid w:val="00856B15"/>
    <w:rsid w:val="00856F82"/>
    <w:rsid w:val="008573CA"/>
    <w:rsid w:val="00857477"/>
    <w:rsid w:val="00857F48"/>
    <w:rsid w:val="0086007A"/>
    <w:rsid w:val="0086246F"/>
    <w:rsid w:val="008628BB"/>
    <w:rsid w:val="00862AFD"/>
    <w:rsid w:val="00862E02"/>
    <w:rsid w:val="00862EA3"/>
    <w:rsid w:val="00862F1E"/>
    <w:rsid w:val="008634C1"/>
    <w:rsid w:val="00863A0F"/>
    <w:rsid w:val="0086442E"/>
    <w:rsid w:val="008655D5"/>
    <w:rsid w:val="00865858"/>
    <w:rsid w:val="00865B5D"/>
    <w:rsid w:val="00865D02"/>
    <w:rsid w:val="00865E4E"/>
    <w:rsid w:val="008678F4"/>
    <w:rsid w:val="00867D3E"/>
    <w:rsid w:val="00870188"/>
    <w:rsid w:val="008708FC"/>
    <w:rsid w:val="00870C3F"/>
    <w:rsid w:val="008712A9"/>
    <w:rsid w:val="00871593"/>
    <w:rsid w:val="00871D91"/>
    <w:rsid w:val="008724A8"/>
    <w:rsid w:val="008725C9"/>
    <w:rsid w:val="00872680"/>
    <w:rsid w:val="0087272B"/>
    <w:rsid w:val="00872FC7"/>
    <w:rsid w:val="0087385F"/>
    <w:rsid w:val="00873AB5"/>
    <w:rsid w:val="00873BE8"/>
    <w:rsid w:val="00873C3E"/>
    <w:rsid w:val="008743C0"/>
    <w:rsid w:val="00875B1B"/>
    <w:rsid w:val="00875D1A"/>
    <w:rsid w:val="00875DB5"/>
    <w:rsid w:val="00876362"/>
    <w:rsid w:val="0087658D"/>
    <w:rsid w:val="0087679B"/>
    <w:rsid w:val="00876B1D"/>
    <w:rsid w:val="00876B65"/>
    <w:rsid w:val="00876D47"/>
    <w:rsid w:val="00876FFB"/>
    <w:rsid w:val="008773C1"/>
    <w:rsid w:val="008806C6"/>
    <w:rsid w:val="00880F1A"/>
    <w:rsid w:val="00883267"/>
    <w:rsid w:val="008835F9"/>
    <w:rsid w:val="00883CF6"/>
    <w:rsid w:val="00884F2A"/>
    <w:rsid w:val="00885193"/>
    <w:rsid w:val="00885473"/>
    <w:rsid w:val="008858E8"/>
    <w:rsid w:val="00885A60"/>
    <w:rsid w:val="00885AF5"/>
    <w:rsid w:val="00885C58"/>
    <w:rsid w:val="00885F63"/>
    <w:rsid w:val="00886597"/>
    <w:rsid w:val="008867F8"/>
    <w:rsid w:val="00886DF0"/>
    <w:rsid w:val="00887424"/>
    <w:rsid w:val="00887AA7"/>
    <w:rsid w:val="00887DAA"/>
    <w:rsid w:val="0089196F"/>
    <w:rsid w:val="0089199F"/>
    <w:rsid w:val="00892750"/>
    <w:rsid w:val="00892A47"/>
    <w:rsid w:val="00892FA1"/>
    <w:rsid w:val="00893016"/>
    <w:rsid w:val="008934EC"/>
    <w:rsid w:val="00893C20"/>
    <w:rsid w:val="008942D2"/>
    <w:rsid w:val="008950BC"/>
    <w:rsid w:val="0089550B"/>
    <w:rsid w:val="00895B47"/>
    <w:rsid w:val="00895C87"/>
    <w:rsid w:val="00895CF0"/>
    <w:rsid w:val="0089639C"/>
    <w:rsid w:val="008963C9"/>
    <w:rsid w:val="008963F2"/>
    <w:rsid w:val="00896741"/>
    <w:rsid w:val="00896B26"/>
    <w:rsid w:val="00896BC8"/>
    <w:rsid w:val="00896C99"/>
    <w:rsid w:val="00896F86"/>
    <w:rsid w:val="00897443"/>
    <w:rsid w:val="00897949"/>
    <w:rsid w:val="00897A20"/>
    <w:rsid w:val="008A0102"/>
    <w:rsid w:val="008A040E"/>
    <w:rsid w:val="008A0B4E"/>
    <w:rsid w:val="008A1053"/>
    <w:rsid w:val="008A105B"/>
    <w:rsid w:val="008A1281"/>
    <w:rsid w:val="008A1468"/>
    <w:rsid w:val="008A2516"/>
    <w:rsid w:val="008A2602"/>
    <w:rsid w:val="008A280D"/>
    <w:rsid w:val="008A2F40"/>
    <w:rsid w:val="008A2F74"/>
    <w:rsid w:val="008A3773"/>
    <w:rsid w:val="008A3E98"/>
    <w:rsid w:val="008A40C3"/>
    <w:rsid w:val="008A4438"/>
    <w:rsid w:val="008A4854"/>
    <w:rsid w:val="008A4E7A"/>
    <w:rsid w:val="008A4EEC"/>
    <w:rsid w:val="008A51FC"/>
    <w:rsid w:val="008A5735"/>
    <w:rsid w:val="008A5BFC"/>
    <w:rsid w:val="008A5F1F"/>
    <w:rsid w:val="008A620B"/>
    <w:rsid w:val="008A64F8"/>
    <w:rsid w:val="008A676E"/>
    <w:rsid w:val="008A6EBD"/>
    <w:rsid w:val="008A7D23"/>
    <w:rsid w:val="008B00DF"/>
    <w:rsid w:val="008B027D"/>
    <w:rsid w:val="008B0C93"/>
    <w:rsid w:val="008B1391"/>
    <w:rsid w:val="008B1D2C"/>
    <w:rsid w:val="008B2093"/>
    <w:rsid w:val="008B22EF"/>
    <w:rsid w:val="008B2B19"/>
    <w:rsid w:val="008B2D33"/>
    <w:rsid w:val="008B2DB6"/>
    <w:rsid w:val="008B2DD9"/>
    <w:rsid w:val="008B314F"/>
    <w:rsid w:val="008B3376"/>
    <w:rsid w:val="008B3592"/>
    <w:rsid w:val="008B4187"/>
    <w:rsid w:val="008B4713"/>
    <w:rsid w:val="008B476B"/>
    <w:rsid w:val="008B4FF6"/>
    <w:rsid w:val="008B5995"/>
    <w:rsid w:val="008B59FB"/>
    <w:rsid w:val="008B6141"/>
    <w:rsid w:val="008B658F"/>
    <w:rsid w:val="008B6974"/>
    <w:rsid w:val="008B6D22"/>
    <w:rsid w:val="008B7561"/>
    <w:rsid w:val="008B7AE6"/>
    <w:rsid w:val="008C0973"/>
    <w:rsid w:val="008C099A"/>
    <w:rsid w:val="008C0CAD"/>
    <w:rsid w:val="008C0E28"/>
    <w:rsid w:val="008C0EBE"/>
    <w:rsid w:val="008C0F90"/>
    <w:rsid w:val="008C176D"/>
    <w:rsid w:val="008C1ED1"/>
    <w:rsid w:val="008C2211"/>
    <w:rsid w:val="008C24B9"/>
    <w:rsid w:val="008C3FA8"/>
    <w:rsid w:val="008C4001"/>
    <w:rsid w:val="008C52AA"/>
    <w:rsid w:val="008C54D6"/>
    <w:rsid w:val="008C6324"/>
    <w:rsid w:val="008C64BD"/>
    <w:rsid w:val="008C7295"/>
    <w:rsid w:val="008C7536"/>
    <w:rsid w:val="008C7B55"/>
    <w:rsid w:val="008C7E79"/>
    <w:rsid w:val="008C7F1C"/>
    <w:rsid w:val="008D0456"/>
    <w:rsid w:val="008D1BFD"/>
    <w:rsid w:val="008D1DC7"/>
    <w:rsid w:val="008D25FB"/>
    <w:rsid w:val="008D358C"/>
    <w:rsid w:val="008D35B4"/>
    <w:rsid w:val="008D375B"/>
    <w:rsid w:val="008D3EC3"/>
    <w:rsid w:val="008D42B6"/>
    <w:rsid w:val="008D475A"/>
    <w:rsid w:val="008D4DDE"/>
    <w:rsid w:val="008D5DC3"/>
    <w:rsid w:val="008D6C0F"/>
    <w:rsid w:val="008D7E9F"/>
    <w:rsid w:val="008E0E18"/>
    <w:rsid w:val="008E0E2B"/>
    <w:rsid w:val="008E14B7"/>
    <w:rsid w:val="008E2D2E"/>
    <w:rsid w:val="008E3E7A"/>
    <w:rsid w:val="008E40A6"/>
    <w:rsid w:val="008E41E9"/>
    <w:rsid w:val="008E61F9"/>
    <w:rsid w:val="008E6CE5"/>
    <w:rsid w:val="008F1240"/>
    <w:rsid w:val="008F1513"/>
    <w:rsid w:val="008F1D1C"/>
    <w:rsid w:val="008F23D2"/>
    <w:rsid w:val="008F2856"/>
    <w:rsid w:val="008F2A13"/>
    <w:rsid w:val="008F2AA3"/>
    <w:rsid w:val="008F3A75"/>
    <w:rsid w:val="008F4261"/>
    <w:rsid w:val="008F4CE3"/>
    <w:rsid w:val="008F525F"/>
    <w:rsid w:val="008F53FF"/>
    <w:rsid w:val="008F5610"/>
    <w:rsid w:val="008F58CC"/>
    <w:rsid w:val="008F5B2C"/>
    <w:rsid w:val="008F5BFC"/>
    <w:rsid w:val="008F5C4D"/>
    <w:rsid w:val="008F6040"/>
    <w:rsid w:val="008F6570"/>
    <w:rsid w:val="008F66F6"/>
    <w:rsid w:val="008F6731"/>
    <w:rsid w:val="008F71D6"/>
    <w:rsid w:val="008F71F7"/>
    <w:rsid w:val="008F7CFB"/>
    <w:rsid w:val="008F7DDC"/>
    <w:rsid w:val="00900394"/>
    <w:rsid w:val="00901010"/>
    <w:rsid w:val="009012C0"/>
    <w:rsid w:val="0090142B"/>
    <w:rsid w:val="00901CEF"/>
    <w:rsid w:val="00901DC6"/>
    <w:rsid w:val="0090214E"/>
    <w:rsid w:val="009023BC"/>
    <w:rsid w:val="00902557"/>
    <w:rsid w:val="00902723"/>
    <w:rsid w:val="00902A2D"/>
    <w:rsid w:val="00902B39"/>
    <w:rsid w:val="00903127"/>
    <w:rsid w:val="00903338"/>
    <w:rsid w:val="00903C3D"/>
    <w:rsid w:val="00903DE9"/>
    <w:rsid w:val="00904B33"/>
    <w:rsid w:val="00905355"/>
    <w:rsid w:val="00906499"/>
    <w:rsid w:val="00907241"/>
    <w:rsid w:val="00907BC9"/>
    <w:rsid w:val="00907C42"/>
    <w:rsid w:val="00907E3D"/>
    <w:rsid w:val="0091051F"/>
    <w:rsid w:val="00911092"/>
    <w:rsid w:val="009114DD"/>
    <w:rsid w:val="009115D6"/>
    <w:rsid w:val="009119B0"/>
    <w:rsid w:val="00911A73"/>
    <w:rsid w:val="00911E69"/>
    <w:rsid w:val="009127C5"/>
    <w:rsid w:val="009134C0"/>
    <w:rsid w:val="0091362B"/>
    <w:rsid w:val="00914C06"/>
    <w:rsid w:val="00914CB4"/>
    <w:rsid w:val="009150FA"/>
    <w:rsid w:val="00915130"/>
    <w:rsid w:val="009156EE"/>
    <w:rsid w:val="009159B3"/>
    <w:rsid w:val="00916753"/>
    <w:rsid w:val="009169E9"/>
    <w:rsid w:val="00916B6F"/>
    <w:rsid w:val="009172B6"/>
    <w:rsid w:val="0091743B"/>
    <w:rsid w:val="009179E0"/>
    <w:rsid w:val="00920192"/>
    <w:rsid w:val="00922333"/>
    <w:rsid w:val="009228A8"/>
    <w:rsid w:val="009232F7"/>
    <w:rsid w:val="00923337"/>
    <w:rsid w:val="00923C83"/>
    <w:rsid w:val="00923FDA"/>
    <w:rsid w:val="00924762"/>
    <w:rsid w:val="00924EC0"/>
    <w:rsid w:val="00925472"/>
    <w:rsid w:val="00925665"/>
    <w:rsid w:val="00925876"/>
    <w:rsid w:val="00925905"/>
    <w:rsid w:val="00925E4A"/>
    <w:rsid w:val="009260AF"/>
    <w:rsid w:val="009262E3"/>
    <w:rsid w:val="009263E5"/>
    <w:rsid w:val="00926675"/>
    <w:rsid w:val="00926B7A"/>
    <w:rsid w:val="00927339"/>
    <w:rsid w:val="009275E5"/>
    <w:rsid w:val="009275F8"/>
    <w:rsid w:val="00927B11"/>
    <w:rsid w:val="0093022C"/>
    <w:rsid w:val="00930A87"/>
    <w:rsid w:val="00930F91"/>
    <w:rsid w:val="009311F7"/>
    <w:rsid w:val="0093129E"/>
    <w:rsid w:val="0093175B"/>
    <w:rsid w:val="009327C3"/>
    <w:rsid w:val="00932A28"/>
    <w:rsid w:val="00933125"/>
    <w:rsid w:val="00933485"/>
    <w:rsid w:val="00933860"/>
    <w:rsid w:val="00933BFD"/>
    <w:rsid w:val="00934589"/>
    <w:rsid w:val="009354A6"/>
    <w:rsid w:val="00935D23"/>
    <w:rsid w:val="00936158"/>
    <w:rsid w:val="00936258"/>
    <w:rsid w:val="00936337"/>
    <w:rsid w:val="009376D2"/>
    <w:rsid w:val="009376E2"/>
    <w:rsid w:val="009378A7"/>
    <w:rsid w:val="00937ED1"/>
    <w:rsid w:val="00940339"/>
    <w:rsid w:val="00940784"/>
    <w:rsid w:val="00940A18"/>
    <w:rsid w:val="009415D8"/>
    <w:rsid w:val="00941DA2"/>
    <w:rsid w:val="00942500"/>
    <w:rsid w:val="009426EF"/>
    <w:rsid w:val="00942D71"/>
    <w:rsid w:val="0094339B"/>
    <w:rsid w:val="009436CE"/>
    <w:rsid w:val="00943868"/>
    <w:rsid w:val="00944BBE"/>
    <w:rsid w:val="009458B4"/>
    <w:rsid w:val="009464F4"/>
    <w:rsid w:val="00946F1C"/>
    <w:rsid w:val="009472A0"/>
    <w:rsid w:val="009472EB"/>
    <w:rsid w:val="00947521"/>
    <w:rsid w:val="00947859"/>
    <w:rsid w:val="00947E5D"/>
    <w:rsid w:val="00947F55"/>
    <w:rsid w:val="009501BF"/>
    <w:rsid w:val="00950CE4"/>
    <w:rsid w:val="00951590"/>
    <w:rsid w:val="00951B27"/>
    <w:rsid w:val="009521CD"/>
    <w:rsid w:val="0095226A"/>
    <w:rsid w:val="00952D94"/>
    <w:rsid w:val="0095325D"/>
    <w:rsid w:val="009537BA"/>
    <w:rsid w:val="00954344"/>
    <w:rsid w:val="0095483C"/>
    <w:rsid w:val="00954B5F"/>
    <w:rsid w:val="00955306"/>
    <w:rsid w:val="00955C5B"/>
    <w:rsid w:val="00955E40"/>
    <w:rsid w:val="00956788"/>
    <w:rsid w:val="0095698F"/>
    <w:rsid w:val="00956A90"/>
    <w:rsid w:val="00956C3B"/>
    <w:rsid w:val="00960F36"/>
    <w:rsid w:val="009611D3"/>
    <w:rsid w:val="00961B15"/>
    <w:rsid w:val="00961EB7"/>
    <w:rsid w:val="00962015"/>
    <w:rsid w:val="00962B8E"/>
    <w:rsid w:val="00962BEB"/>
    <w:rsid w:val="00963129"/>
    <w:rsid w:val="00963302"/>
    <w:rsid w:val="00963BC0"/>
    <w:rsid w:val="00963CDE"/>
    <w:rsid w:val="00963FF3"/>
    <w:rsid w:val="00964577"/>
    <w:rsid w:val="00964C50"/>
    <w:rsid w:val="00964F72"/>
    <w:rsid w:val="00965934"/>
    <w:rsid w:val="009660EE"/>
    <w:rsid w:val="009667D7"/>
    <w:rsid w:val="00966C98"/>
    <w:rsid w:val="00967F09"/>
    <w:rsid w:val="009711C0"/>
    <w:rsid w:val="00971486"/>
    <w:rsid w:val="00971F4E"/>
    <w:rsid w:val="00972324"/>
    <w:rsid w:val="009723E8"/>
    <w:rsid w:val="009726E7"/>
    <w:rsid w:val="00972C0E"/>
    <w:rsid w:val="009731AA"/>
    <w:rsid w:val="0097377D"/>
    <w:rsid w:val="00973924"/>
    <w:rsid w:val="0097396C"/>
    <w:rsid w:val="00973B24"/>
    <w:rsid w:val="00974260"/>
    <w:rsid w:val="0097433A"/>
    <w:rsid w:val="00974EE4"/>
    <w:rsid w:val="009757B2"/>
    <w:rsid w:val="009759BF"/>
    <w:rsid w:val="0098054B"/>
    <w:rsid w:val="009806C6"/>
    <w:rsid w:val="009807AC"/>
    <w:rsid w:val="009807F0"/>
    <w:rsid w:val="00980CB3"/>
    <w:rsid w:val="00981137"/>
    <w:rsid w:val="00981A6C"/>
    <w:rsid w:val="0098217E"/>
    <w:rsid w:val="00982CDF"/>
    <w:rsid w:val="009832F9"/>
    <w:rsid w:val="009834D5"/>
    <w:rsid w:val="009835F9"/>
    <w:rsid w:val="00983712"/>
    <w:rsid w:val="00984819"/>
    <w:rsid w:val="0098520F"/>
    <w:rsid w:val="00987091"/>
    <w:rsid w:val="009879F8"/>
    <w:rsid w:val="00987A4A"/>
    <w:rsid w:val="00987A9F"/>
    <w:rsid w:val="009900B0"/>
    <w:rsid w:val="0099034B"/>
    <w:rsid w:val="0099086E"/>
    <w:rsid w:val="00990BD9"/>
    <w:rsid w:val="00991939"/>
    <w:rsid w:val="00991A1D"/>
    <w:rsid w:val="00992355"/>
    <w:rsid w:val="009927D8"/>
    <w:rsid w:val="009932F7"/>
    <w:rsid w:val="0099379B"/>
    <w:rsid w:val="009938AC"/>
    <w:rsid w:val="00993BC7"/>
    <w:rsid w:val="00993E82"/>
    <w:rsid w:val="00993ED9"/>
    <w:rsid w:val="009944F8"/>
    <w:rsid w:val="009949A1"/>
    <w:rsid w:val="00994D5D"/>
    <w:rsid w:val="00994D94"/>
    <w:rsid w:val="009964DC"/>
    <w:rsid w:val="009974DE"/>
    <w:rsid w:val="009A053D"/>
    <w:rsid w:val="009A07C4"/>
    <w:rsid w:val="009A08EA"/>
    <w:rsid w:val="009A0A58"/>
    <w:rsid w:val="009A0DF5"/>
    <w:rsid w:val="009A0FC4"/>
    <w:rsid w:val="009A15B4"/>
    <w:rsid w:val="009A1E82"/>
    <w:rsid w:val="009A2178"/>
    <w:rsid w:val="009A3904"/>
    <w:rsid w:val="009A440D"/>
    <w:rsid w:val="009A4737"/>
    <w:rsid w:val="009A5168"/>
    <w:rsid w:val="009A5CDB"/>
    <w:rsid w:val="009A7794"/>
    <w:rsid w:val="009A7914"/>
    <w:rsid w:val="009A7949"/>
    <w:rsid w:val="009B0174"/>
    <w:rsid w:val="009B04E2"/>
    <w:rsid w:val="009B0F9A"/>
    <w:rsid w:val="009B19D7"/>
    <w:rsid w:val="009B1E1A"/>
    <w:rsid w:val="009B2686"/>
    <w:rsid w:val="009B2802"/>
    <w:rsid w:val="009B2B8E"/>
    <w:rsid w:val="009B2D60"/>
    <w:rsid w:val="009B3DE0"/>
    <w:rsid w:val="009B3F8B"/>
    <w:rsid w:val="009B409A"/>
    <w:rsid w:val="009B43F6"/>
    <w:rsid w:val="009B5397"/>
    <w:rsid w:val="009B552D"/>
    <w:rsid w:val="009B5AA3"/>
    <w:rsid w:val="009B5D02"/>
    <w:rsid w:val="009B5EB0"/>
    <w:rsid w:val="009B6417"/>
    <w:rsid w:val="009B658C"/>
    <w:rsid w:val="009B6C81"/>
    <w:rsid w:val="009B6FA9"/>
    <w:rsid w:val="009C111F"/>
    <w:rsid w:val="009C1711"/>
    <w:rsid w:val="009C1A7E"/>
    <w:rsid w:val="009C1E0D"/>
    <w:rsid w:val="009C289A"/>
    <w:rsid w:val="009C2B0A"/>
    <w:rsid w:val="009C2C75"/>
    <w:rsid w:val="009C2CDB"/>
    <w:rsid w:val="009C3011"/>
    <w:rsid w:val="009C40AC"/>
    <w:rsid w:val="009C40B7"/>
    <w:rsid w:val="009C44B2"/>
    <w:rsid w:val="009C45DB"/>
    <w:rsid w:val="009C497F"/>
    <w:rsid w:val="009C4D89"/>
    <w:rsid w:val="009C4F4C"/>
    <w:rsid w:val="009C62D4"/>
    <w:rsid w:val="009C657C"/>
    <w:rsid w:val="009C6BBA"/>
    <w:rsid w:val="009C6BCF"/>
    <w:rsid w:val="009C7086"/>
    <w:rsid w:val="009C75C4"/>
    <w:rsid w:val="009C7730"/>
    <w:rsid w:val="009C7DB5"/>
    <w:rsid w:val="009C7F4E"/>
    <w:rsid w:val="009D05FE"/>
    <w:rsid w:val="009D06D9"/>
    <w:rsid w:val="009D0716"/>
    <w:rsid w:val="009D0F84"/>
    <w:rsid w:val="009D11C6"/>
    <w:rsid w:val="009D12B4"/>
    <w:rsid w:val="009D1ED3"/>
    <w:rsid w:val="009D2E40"/>
    <w:rsid w:val="009D300C"/>
    <w:rsid w:val="009D322F"/>
    <w:rsid w:val="009D3929"/>
    <w:rsid w:val="009D397E"/>
    <w:rsid w:val="009D3BCB"/>
    <w:rsid w:val="009D3C7A"/>
    <w:rsid w:val="009D471E"/>
    <w:rsid w:val="009D4DD6"/>
    <w:rsid w:val="009D5044"/>
    <w:rsid w:val="009D57AC"/>
    <w:rsid w:val="009D5B70"/>
    <w:rsid w:val="009D7B02"/>
    <w:rsid w:val="009D7E5E"/>
    <w:rsid w:val="009D7F26"/>
    <w:rsid w:val="009E2092"/>
    <w:rsid w:val="009E2149"/>
    <w:rsid w:val="009E23B8"/>
    <w:rsid w:val="009E3B05"/>
    <w:rsid w:val="009E4746"/>
    <w:rsid w:val="009E48D8"/>
    <w:rsid w:val="009E5475"/>
    <w:rsid w:val="009E5B2C"/>
    <w:rsid w:val="009E5CE9"/>
    <w:rsid w:val="009E640D"/>
    <w:rsid w:val="009E661D"/>
    <w:rsid w:val="009E6955"/>
    <w:rsid w:val="009E7CE0"/>
    <w:rsid w:val="009F0AEB"/>
    <w:rsid w:val="009F0BF8"/>
    <w:rsid w:val="009F10FE"/>
    <w:rsid w:val="009F210A"/>
    <w:rsid w:val="009F215E"/>
    <w:rsid w:val="009F2ECD"/>
    <w:rsid w:val="009F3820"/>
    <w:rsid w:val="009F3ABB"/>
    <w:rsid w:val="009F3AED"/>
    <w:rsid w:val="009F3BDA"/>
    <w:rsid w:val="009F3C0F"/>
    <w:rsid w:val="009F4179"/>
    <w:rsid w:val="009F422A"/>
    <w:rsid w:val="009F4C26"/>
    <w:rsid w:val="009F6803"/>
    <w:rsid w:val="009F6BE8"/>
    <w:rsid w:val="009F6E4D"/>
    <w:rsid w:val="00A0003A"/>
    <w:rsid w:val="00A00237"/>
    <w:rsid w:val="00A003BC"/>
    <w:rsid w:val="00A01D1A"/>
    <w:rsid w:val="00A02D54"/>
    <w:rsid w:val="00A03C22"/>
    <w:rsid w:val="00A04262"/>
    <w:rsid w:val="00A052C7"/>
    <w:rsid w:val="00A056F1"/>
    <w:rsid w:val="00A05D3E"/>
    <w:rsid w:val="00A05D7D"/>
    <w:rsid w:val="00A05F9F"/>
    <w:rsid w:val="00A067D4"/>
    <w:rsid w:val="00A07C3A"/>
    <w:rsid w:val="00A07C8E"/>
    <w:rsid w:val="00A105DC"/>
    <w:rsid w:val="00A11183"/>
    <w:rsid w:val="00A128DC"/>
    <w:rsid w:val="00A12F2D"/>
    <w:rsid w:val="00A138B0"/>
    <w:rsid w:val="00A13BDC"/>
    <w:rsid w:val="00A13C13"/>
    <w:rsid w:val="00A1499B"/>
    <w:rsid w:val="00A14A55"/>
    <w:rsid w:val="00A15B75"/>
    <w:rsid w:val="00A15B86"/>
    <w:rsid w:val="00A15D05"/>
    <w:rsid w:val="00A163C5"/>
    <w:rsid w:val="00A16D77"/>
    <w:rsid w:val="00A17EBB"/>
    <w:rsid w:val="00A207B2"/>
    <w:rsid w:val="00A20A06"/>
    <w:rsid w:val="00A20FAC"/>
    <w:rsid w:val="00A213E8"/>
    <w:rsid w:val="00A21405"/>
    <w:rsid w:val="00A21B11"/>
    <w:rsid w:val="00A226EE"/>
    <w:rsid w:val="00A227EC"/>
    <w:rsid w:val="00A22D90"/>
    <w:rsid w:val="00A22E71"/>
    <w:rsid w:val="00A234BE"/>
    <w:rsid w:val="00A235AD"/>
    <w:rsid w:val="00A23B00"/>
    <w:rsid w:val="00A253E3"/>
    <w:rsid w:val="00A25459"/>
    <w:rsid w:val="00A258CC"/>
    <w:rsid w:val="00A25CB5"/>
    <w:rsid w:val="00A27073"/>
    <w:rsid w:val="00A27282"/>
    <w:rsid w:val="00A272F9"/>
    <w:rsid w:val="00A2744C"/>
    <w:rsid w:val="00A278FA"/>
    <w:rsid w:val="00A27D3D"/>
    <w:rsid w:val="00A27EB2"/>
    <w:rsid w:val="00A300EB"/>
    <w:rsid w:val="00A3011E"/>
    <w:rsid w:val="00A3096F"/>
    <w:rsid w:val="00A30CF2"/>
    <w:rsid w:val="00A3188F"/>
    <w:rsid w:val="00A320BF"/>
    <w:rsid w:val="00A32F3F"/>
    <w:rsid w:val="00A330EF"/>
    <w:rsid w:val="00A34255"/>
    <w:rsid w:val="00A3499F"/>
    <w:rsid w:val="00A34C85"/>
    <w:rsid w:val="00A34E0A"/>
    <w:rsid w:val="00A34F0D"/>
    <w:rsid w:val="00A35A91"/>
    <w:rsid w:val="00A35EAD"/>
    <w:rsid w:val="00A35FA5"/>
    <w:rsid w:val="00A367B9"/>
    <w:rsid w:val="00A36B6F"/>
    <w:rsid w:val="00A36D87"/>
    <w:rsid w:val="00A36D95"/>
    <w:rsid w:val="00A36DD6"/>
    <w:rsid w:val="00A36E59"/>
    <w:rsid w:val="00A372C7"/>
    <w:rsid w:val="00A401A7"/>
    <w:rsid w:val="00A40B76"/>
    <w:rsid w:val="00A4102C"/>
    <w:rsid w:val="00A410BB"/>
    <w:rsid w:val="00A419A5"/>
    <w:rsid w:val="00A41CDF"/>
    <w:rsid w:val="00A41E9C"/>
    <w:rsid w:val="00A42103"/>
    <w:rsid w:val="00A433B5"/>
    <w:rsid w:val="00A43D97"/>
    <w:rsid w:val="00A43F72"/>
    <w:rsid w:val="00A4510E"/>
    <w:rsid w:val="00A456CA"/>
    <w:rsid w:val="00A45FF6"/>
    <w:rsid w:val="00A463F7"/>
    <w:rsid w:val="00A46984"/>
    <w:rsid w:val="00A50872"/>
    <w:rsid w:val="00A51517"/>
    <w:rsid w:val="00A51B13"/>
    <w:rsid w:val="00A51F4C"/>
    <w:rsid w:val="00A530FE"/>
    <w:rsid w:val="00A53174"/>
    <w:rsid w:val="00A531F5"/>
    <w:rsid w:val="00A53470"/>
    <w:rsid w:val="00A53F9B"/>
    <w:rsid w:val="00A5472F"/>
    <w:rsid w:val="00A56008"/>
    <w:rsid w:val="00A560E9"/>
    <w:rsid w:val="00A5655C"/>
    <w:rsid w:val="00A565FC"/>
    <w:rsid w:val="00A56DE8"/>
    <w:rsid w:val="00A5712E"/>
    <w:rsid w:val="00A60536"/>
    <w:rsid w:val="00A605C8"/>
    <w:rsid w:val="00A60640"/>
    <w:rsid w:val="00A60706"/>
    <w:rsid w:val="00A60874"/>
    <w:rsid w:val="00A617C4"/>
    <w:rsid w:val="00A61EE0"/>
    <w:rsid w:val="00A61EF6"/>
    <w:rsid w:val="00A61F7A"/>
    <w:rsid w:val="00A6201A"/>
    <w:rsid w:val="00A6211D"/>
    <w:rsid w:val="00A62332"/>
    <w:rsid w:val="00A62482"/>
    <w:rsid w:val="00A624D6"/>
    <w:rsid w:val="00A6289A"/>
    <w:rsid w:val="00A62C37"/>
    <w:rsid w:val="00A63507"/>
    <w:rsid w:val="00A636B4"/>
    <w:rsid w:val="00A6398A"/>
    <w:rsid w:val="00A63C64"/>
    <w:rsid w:val="00A64A09"/>
    <w:rsid w:val="00A64EEE"/>
    <w:rsid w:val="00A65760"/>
    <w:rsid w:val="00A664E2"/>
    <w:rsid w:val="00A667C9"/>
    <w:rsid w:val="00A678B3"/>
    <w:rsid w:val="00A705D0"/>
    <w:rsid w:val="00A706EA"/>
    <w:rsid w:val="00A70DC2"/>
    <w:rsid w:val="00A71092"/>
    <w:rsid w:val="00A71158"/>
    <w:rsid w:val="00A71455"/>
    <w:rsid w:val="00A71568"/>
    <w:rsid w:val="00A71DD3"/>
    <w:rsid w:val="00A72287"/>
    <w:rsid w:val="00A7281A"/>
    <w:rsid w:val="00A72A07"/>
    <w:rsid w:val="00A73109"/>
    <w:rsid w:val="00A733A7"/>
    <w:rsid w:val="00A73501"/>
    <w:rsid w:val="00A7370C"/>
    <w:rsid w:val="00A73A74"/>
    <w:rsid w:val="00A73CEB"/>
    <w:rsid w:val="00A73E4E"/>
    <w:rsid w:val="00A74ABD"/>
    <w:rsid w:val="00A74BD1"/>
    <w:rsid w:val="00A74C74"/>
    <w:rsid w:val="00A754C4"/>
    <w:rsid w:val="00A77106"/>
    <w:rsid w:val="00A778AB"/>
    <w:rsid w:val="00A77D4B"/>
    <w:rsid w:val="00A809CA"/>
    <w:rsid w:val="00A80FD4"/>
    <w:rsid w:val="00A81CDC"/>
    <w:rsid w:val="00A81D10"/>
    <w:rsid w:val="00A825A8"/>
    <w:rsid w:val="00A82A8C"/>
    <w:rsid w:val="00A832F1"/>
    <w:rsid w:val="00A836CB"/>
    <w:rsid w:val="00A83D99"/>
    <w:rsid w:val="00A8470C"/>
    <w:rsid w:val="00A847B5"/>
    <w:rsid w:val="00A84941"/>
    <w:rsid w:val="00A84D22"/>
    <w:rsid w:val="00A857AC"/>
    <w:rsid w:val="00A85E17"/>
    <w:rsid w:val="00A85EBE"/>
    <w:rsid w:val="00A86237"/>
    <w:rsid w:val="00A862A0"/>
    <w:rsid w:val="00A86FA0"/>
    <w:rsid w:val="00A87677"/>
    <w:rsid w:val="00A918FC"/>
    <w:rsid w:val="00A926DD"/>
    <w:rsid w:val="00A92BF8"/>
    <w:rsid w:val="00A935C2"/>
    <w:rsid w:val="00A94466"/>
    <w:rsid w:val="00A94B78"/>
    <w:rsid w:val="00A94C9F"/>
    <w:rsid w:val="00A953BC"/>
    <w:rsid w:val="00A956F7"/>
    <w:rsid w:val="00A95794"/>
    <w:rsid w:val="00A9623E"/>
    <w:rsid w:val="00A9624B"/>
    <w:rsid w:val="00A962DC"/>
    <w:rsid w:val="00A96C94"/>
    <w:rsid w:val="00A96DB3"/>
    <w:rsid w:val="00A96F1A"/>
    <w:rsid w:val="00A971AC"/>
    <w:rsid w:val="00A9733A"/>
    <w:rsid w:val="00AA00FC"/>
    <w:rsid w:val="00AA01B6"/>
    <w:rsid w:val="00AA037F"/>
    <w:rsid w:val="00AA0D4D"/>
    <w:rsid w:val="00AA155C"/>
    <w:rsid w:val="00AA1D40"/>
    <w:rsid w:val="00AA2077"/>
    <w:rsid w:val="00AA25F8"/>
    <w:rsid w:val="00AA312D"/>
    <w:rsid w:val="00AA417A"/>
    <w:rsid w:val="00AA420C"/>
    <w:rsid w:val="00AA439C"/>
    <w:rsid w:val="00AA51A3"/>
    <w:rsid w:val="00AA5F1B"/>
    <w:rsid w:val="00AA5F29"/>
    <w:rsid w:val="00AA6939"/>
    <w:rsid w:val="00AA6C72"/>
    <w:rsid w:val="00AA7145"/>
    <w:rsid w:val="00AB08CF"/>
    <w:rsid w:val="00AB092C"/>
    <w:rsid w:val="00AB0FAA"/>
    <w:rsid w:val="00AB1D78"/>
    <w:rsid w:val="00AB2448"/>
    <w:rsid w:val="00AB2978"/>
    <w:rsid w:val="00AB3DFF"/>
    <w:rsid w:val="00AB462E"/>
    <w:rsid w:val="00AB4805"/>
    <w:rsid w:val="00AB4B90"/>
    <w:rsid w:val="00AB5171"/>
    <w:rsid w:val="00AB5B9C"/>
    <w:rsid w:val="00AB5D50"/>
    <w:rsid w:val="00AB65F9"/>
    <w:rsid w:val="00AB6D47"/>
    <w:rsid w:val="00AB778F"/>
    <w:rsid w:val="00AB7CC3"/>
    <w:rsid w:val="00AB7FC1"/>
    <w:rsid w:val="00AC023B"/>
    <w:rsid w:val="00AC0724"/>
    <w:rsid w:val="00AC0C17"/>
    <w:rsid w:val="00AC0E93"/>
    <w:rsid w:val="00AC106D"/>
    <w:rsid w:val="00AC10D7"/>
    <w:rsid w:val="00AC19F6"/>
    <w:rsid w:val="00AC1A97"/>
    <w:rsid w:val="00AC2ED7"/>
    <w:rsid w:val="00AC2FF9"/>
    <w:rsid w:val="00AC33AB"/>
    <w:rsid w:val="00AC376B"/>
    <w:rsid w:val="00AC381A"/>
    <w:rsid w:val="00AC38D8"/>
    <w:rsid w:val="00AC3964"/>
    <w:rsid w:val="00AC39C2"/>
    <w:rsid w:val="00AC3A53"/>
    <w:rsid w:val="00AC3C1E"/>
    <w:rsid w:val="00AC4E52"/>
    <w:rsid w:val="00AC5C38"/>
    <w:rsid w:val="00AC626D"/>
    <w:rsid w:val="00AC6DD0"/>
    <w:rsid w:val="00AC7052"/>
    <w:rsid w:val="00AC7387"/>
    <w:rsid w:val="00AD0BD5"/>
    <w:rsid w:val="00AD1F03"/>
    <w:rsid w:val="00AD20A0"/>
    <w:rsid w:val="00AD247F"/>
    <w:rsid w:val="00AD2806"/>
    <w:rsid w:val="00AD335C"/>
    <w:rsid w:val="00AD38BF"/>
    <w:rsid w:val="00AD3E83"/>
    <w:rsid w:val="00AD50AC"/>
    <w:rsid w:val="00AD527B"/>
    <w:rsid w:val="00AD5347"/>
    <w:rsid w:val="00AD5C7E"/>
    <w:rsid w:val="00AD5D8C"/>
    <w:rsid w:val="00AD6042"/>
    <w:rsid w:val="00AD625B"/>
    <w:rsid w:val="00AD6691"/>
    <w:rsid w:val="00AD6A26"/>
    <w:rsid w:val="00AD6EE5"/>
    <w:rsid w:val="00AD7892"/>
    <w:rsid w:val="00AD7AE9"/>
    <w:rsid w:val="00AD7E7D"/>
    <w:rsid w:val="00AE0147"/>
    <w:rsid w:val="00AE03AE"/>
    <w:rsid w:val="00AE04B1"/>
    <w:rsid w:val="00AE04B7"/>
    <w:rsid w:val="00AE06DC"/>
    <w:rsid w:val="00AE1B8C"/>
    <w:rsid w:val="00AE1F2A"/>
    <w:rsid w:val="00AE251C"/>
    <w:rsid w:val="00AE2B9D"/>
    <w:rsid w:val="00AE3810"/>
    <w:rsid w:val="00AE3FB5"/>
    <w:rsid w:val="00AE453D"/>
    <w:rsid w:val="00AE4A4B"/>
    <w:rsid w:val="00AE4A93"/>
    <w:rsid w:val="00AE4DE0"/>
    <w:rsid w:val="00AE4E64"/>
    <w:rsid w:val="00AE52A3"/>
    <w:rsid w:val="00AE5523"/>
    <w:rsid w:val="00AE66AC"/>
    <w:rsid w:val="00AE7109"/>
    <w:rsid w:val="00AF039C"/>
    <w:rsid w:val="00AF091C"/>
    <w:rsid w:val="00AF0DAF"/>
    <w:rsid w:val="00AF1694"/>
    <w:rsid w:val="00AF19D4"/>
    <w:rsid w:val="00AF2042"/>
    <w:rsid w:val="00AF2476"/>
    <w:rsid w:val="00AF2485"/>
    <w:rsid w:val="00AF32A1"/>
    <w:rsid w:val="00AF447D"/>
    <w:rsid w:val="00AF4E71"/>
    <w:rsid w:val="00AF56EB"/>
    <w:rsid w:val="00AF5F8A"/>
    <w:rsid w:val="00AF63E1"/>
    <w:rsid w:val="00AF7D3B"/>
    <w:rsid w:val="00B007B0"/>
    <w:rsid w:val="00B01023"/>
    <w:rsid w:val="00B02DDE"/>
    <w:rsid w:val="00B02E8B"/>
    <w:rsid w:val="00B032B4"/>
    <w:rsid w:val="00B03C3A"/>
    <w:rsid w:val="00B03D94"/>
    <w:rsid w:val="00B04CA8"/>
    <w:rsid w:val="00B057F2"/>
    <w:rsid w:val="00B067A8"/>
    <w:rsid w:val="00B06A5F"/>
    <w:rsid w:val="00B07E5F"/>
    <w:rsid w:val="00B10B90"/>
    <w:rsid w:val="00B11BC8"/>
    <w:rsid w:val="00B12687"/>
    <w:rsid w:val="00B12A69"/>
    <w:rsid w:val="00B12CA0"/>
    <w:rsid w:val="00B1325E"/>
    <w:rsid w:val="00B133D0"/>
    <w:rsid w:val="00B138B4"/>
    <w:rsid w:val="00B143C0"/>
    <w:rsid w:val="00B14E28"/>
    <w:rsid w:val="00B153D5"/>
    <w:rsid w:val="00B15A00"/>
    <w:rsid w:val="00B15D01"/>
    <w:rsid w:val="00B16257"/>
    <w:rsid w:val="00B16347"/>
    <w:rsid w:val="00B16372"/>
    <w:rsid w:val="00B16577"/>
    <w:rsid w:val="00B1694E"/>
    <w:rsid w:val="00B176DA"/>
    <w:rsid w:val="00B177A2"/>
    <w:rsid w:val="00B17802"/>
    <w:rsid w:val="00B17A0B"/>
    <w:rsid w:val="00B20625"/>
    <w:rsid w:val="00B20D9A"/>
    <w:rsid w:val="00B2209B"/>
    <w:rsid w:val="00B22C8B"/>
    <w:rsid w:val="00B2335B"/>
    <w:rsid w:val="00B235DC"/>
    <w:rsid w:val="00B249A4"/>
    <w:rsid w:val="00B24D45"/>
    <w:rsid w:val="00B24F00"/>
    <w:rsid w:val="00B2533B"/>
    <w:rsid w:val="00B25BCD"/>
    <w:rsid w:val="00B26245"/>
    <w:rsid w:val="00B26910"/>
    <w:rsid w:val="00B274B1"/>
    <w:rsid w:val="00B2774E"/>
    <w:rsid w:val="00B31552"/>
    <w:rsid w:val="00B3176C"/>
    <w:rsid w:val="00B31803"/>
    <w:rsid w:val="00B319C1"/>
    <w:rsid w:val="00B322B2"/>
    <w:rsid w:val="00B328EF"/>
    <w:rsid w:val="00B32EA2"/>
    <w:rsid w:val="00B33019"/>
    <w:rsid w:val="00B33B0E"/>
    <w:rsid w:val="00B33B78"/>
    <w:rsid w:val="00B342E6"/>
    <w:rsid w:val="00B35B2A"/>
    <w:rsid w:val="00B35C7E"/>
    <w:rsid w:val="00B35D6F"/>
    <w:rsid w:val="00B35F1B"/>
    <w:rsid w:val="00B3725D"/>
    <w:rsid w:val="00B378C4"/>
    <w:rsid w:val="00B40613"/>
    <w:rsid w:val="00B40712"/>
    <w:rsid w:val="00B40756"/>
    <w:rsid w:val="00B40B19"/>
    <w:rsid w:val="00B40F61"/>
    <w:rsid w:val="00B4185C"/>
    <w:rsid w:val="00B41DD3"/>
    <w:rsid w:val="00B423D1"/>
    <w:rsid w:val="00B42E53"/>
    <w:rsid w:val="00B42EBA"/>
    <w:rsid w:val="00B4355F"/>
    <w:rsid w:val="00B4395C"/>
    <w:rsid w:val="00B43A99"/>
    <w:rsid w:val="00B43C39"/>
    <w:rsid w:val="00B44DF8"/>
    <w:rsid w:val="00B44F29"/>
    <w:rsid w:val="00B45DF9"/>
    <w:rsid w:val="00B46183"/>
    <w:rsid w:val="00B467B0"/>
    <w:rsid w:val="00B46A68"/>
    <w:rsid w:val="00B46F67"/>
    <w:rsid w:val="00B470C3"/>
    <w:rsid w:val="00B47521"/>
    <w:rsid w:val="00B47BD3"/>
    <w:rsid w:val="00B5047E"/>
    <w:rsid w:val="00B50526"/>
    <w:rsid w:val="00B5079E"/>
    <w:rsid w:val="00B52185"/>
    <w:rsid w:val="00B52833"/>
    <w:rsid w:val="00B52C2E"/>
    <w:rsid w:val="00B538DD"/>
    <w:rsid w:val="00B5432F"/>
    <w:rsid w:val="00B5451F"/>
    <w:rsid w:val="00B55C0E"/>
    <w:rsid w:val="00B561A9"/>
    <w:rsid w:val="00B56A18"/>
    <w:rsid w:val="00B57679"/>
    <w:rsid w:val="00B579A4"/>
    <w:rsid w:val="00B61FD0"/>
    <w:rsid w:val="00B62266"/>
    <w:rsid w:val="00B6242D"/>
    <w:rsid w:val="00B62602"/>
    <w:rsid w:val="00B62D9B"/>
    <w:rsid w:val="00B6359C"/>
    <w:rsid w:val="00B63F43"/>
    <w:rsid w:val="00B6472F"/>
    <w:rsid w:val="00B64A21"/>
    <w:rsid w:val="00B65001"/>
    <w:rsid w:val="00B6538E"/>
    <w:rsid w:val="00B65C00"/>
    <w:rsid w:val="00B663B1"/>
    <w:rsid w:val="00B6790D"/>
    <w:rsid w:val="00B70027"/>
    <w:rsid w:val="00B70032"/>
    <w:rsid w:val="00B700C8"/>
    <w:rsid w:val="00B71253"/>
    <w:rsid w:val="00B71639"/>
    <w:rsid w:val="00B72554"/>
    <w:rsid w:val="00B72DD0"/>
    <w:rsid w:val="00B732C1"/>
    <w:rsid w:val="00B735A1"/>
    <w:rsid w:val="00B73A75"/>
    <w:rsid w:val="00B73C59"/>
    <w:rsid w:val="00B7405D"/>
    <w:rsid w:val="00B7407C"/>
    <w:rsid w:val="00B745D6"/>
    <w:rsid w:val="00B752C9"/>
    <w:rsid w:val="00B7579F"/>
    <w:rsid w:val="00B764FD"/>
    <w:rsid w:val="00B767BC"/>
    <w:rsid w:val="00B76CAF"/>
    <w:rsid w:val="00B803C0"/>
    <w:rsid w:val="00B807C0"/>
    <w:rsid w:val="00B81043"/>
    <w:rsid w:val="00B81402"/>
    <w:rsid w:val="00B81924"/>
    <w:rsid w:val="00B81E17"/>
    <w:rsid w:val="00B81FC0"/>
    <w:rsid w:val="00B82474"/>
    <w:rsid w:val="00B82916"/>
    <w:rsid w:val="00B833B2"/>
    <w:rsid w:val="00B83981"/>
    <w:rsid w:val="00B84046"/>
    <w:rsid w:val="00B844EB"/>
    <w:rsid w:val="00B858E3"/>
    <w:rsid w:val="00B86129"/>
    <w:rsid w:val="00B86745"/>
    <w:rsid w:val="00B86864"/>
    <w:rsid w:val="00B8693E"/>
    <w:rsid w:val="00B86CF3"/>
    <w:rsid w:val="00B87A28"/>
    <w:rsid w:val="00B87AE8"/>
    <w:rsid w:val="00B90022"/>
    <w:rsid w:val="00B9044B"/>
    <w:rsid w:val="00B905CF"/>
    <w:rsid w:val="00B90AB8"/>
    <w:rsid w:val="00B90DCD"/>
    <w:rsid w:val="00B910C9"/>
    <w:rsid w:val="00B917A8"/>
    <w:rsid w:val="00B91D7B"/>
    <w:rsid w:val="00B93855"/>
    <w:rsid w:val="00B93D08"/>
    <w:rsid w:val="00B94D10"/>
    <w:rsid w:val="00B9546E"/>
    <w:rsid w:val="00B95DBE"/>
    <w:rsid w:val="00B964C6"/>
    <w:rsid w:val="00B973CD"/>
    <w:rsid w:val="00B9771E"/>
    <w:rsid w:val="00B97886"/>
    <w:rsid w:val="00BA02FB"/>
    <w:rsid w:val="00BA05FD"/>
    <w:rsid w:val="00BA07D8"/>
    <w:rsid w:val="00BA0CB6"/>
    <w:rsid w:val="00BA0F21"/>
    <w:rsid w:val="00BA1106"/>
    <w:rsid w:val="00BA12B3"/>
    <w:rsid w:val="00BA1B8C"/>
    <w:rsid w:val="00BA1D01"/>
    <w:rsid w:val="00BA1E57"/>
    <w:rsid w:val="00BA2621"/>
    <w:rsid w:val="00BA2ED0"/>
    <w:rsid w:val="00BA2FFA"/>
    <w:rsid w:val="00BA319D"/>
    <w:rsid w:val="00BA369F"/>
    <w:rsid w:val="00BA412E"/>
    <w:rsid w:val="00BA570F"/>
    <w:rsid w:val="00BA5860"/>
    <w:rsid w:val="00BA6932"/>
    <w:rsid w:val="00BA6F04"/>
    <w:rsid w:val="00BA74C5"/>
    <w:rsid w:val="00BA75C6"/>
    <w:rsid w:val="00BB04E8"/>
    <w:rsid w:val="00BB05E9"/>
    <w:rsid w:val="00BB18CD"/>
    <w:rsid w:val="00BB259E"/>
    <w:rsid w:val="00BB2BB5"/>
    <w:rsid w:val="00BB365D"/>
    <w:rsid w:val="00BB41FE"/>
    <w:rsid w:val="00BB4B2A"/>
    <w:rsid w:val="00BB4E9F"/>
    <w:rsid w:val="00BB6948"/>
    <w:rsid w:val="00BB73B1"/>
    <w:rsid w:val="00BB7E68"/>
    <w:rsid w:val="00BC05F8"/>
    <w:rsid w:val="00BC0636"/>
    <w:rsid w:val="00BC0EBE"/>
    <w:rsid w:val="00BC1D60"/>
    <w:rsid w:val="00BC1E2C"/>
    <w:rsid w:val="00BC20DD"/>
    <w:rsid w:val="00BC228E"/>
    <w:rsid w:val="00BC243C"/>
    <w:rsid w:val="00BC24F5"/>
    <w:rsid w:val="00BC2CBF"/>
    <w:rsid w:val="00BC3449"/>
    <w:rsid w:val="00BC42CD"/>
    <w:rsid w:val="00BC45CA"/>
    <w:rsid w:val="00BC4753"/>
    <w:rsid w:val="00BC50EF"/>
    <w:rsid w:val="00BC5CFC"/>
    <w:rsid w:val="00BC5EEA"/>
    <w:rsid w:val="00BC61E1"/>
    <w:rsid w:val="00BC6F40"/>
    <w:rsid w:val="00BC7B28"/>
    <w:rsid w:val="00BD331D"/>
    <w:rsid w:val="00BD3565"/>
    <w:rsid w:val="00BD358E"/>
    <w:rsid w:val="00BD37C8"/>
    <w:rsid w:val="00BD3BAA"/>
    <w:rsid w:val="00BD411A"/>
    <w:rsid w:val="00BD5887"/>
    <w:rsid w:val="00BD65D8"/>
    <w:rsid w:val="00BD7B93"/>
    <w:rsid w:val="00BD7EF8"/>
    <w:rsid w:val="00BE08F1"/>
    <w:rsid w:val="00BE0949"/>
    <w:rsid w:val="00BE11BB"/>
    <w:rsid w:val="00BE1ACE"/>
    <w:rsid w:val="00BE1CC6"/>
    <w:rsid w:val="00BE251B"/>
    <w:rsid w:val="00BE25F1"/>
    <w:rsid w:val="00BE28CC"/>
    <w:rsid w:val="00BE36A0"/>
    <w:rsid w:val="00BE3D59"/>
    <w:rsid w:val="00BE5916"/>
    <w:rsid w:val="00BE5A2B"/>
    <w:rsid w:val="00BE61BC"/>
    <w:rsid w:val="00BE6A8B"/>
    <w:rsid w:val="00BE6DF6"/>
    <w:rsid w:val="00BE70C0"/>
    <w:rsid w:val="00BE73CF"/>
    <w:rsid w:val="00BE7612"/>
    <w:rsid w:val="00BF05AA"/>
    <w:rsid w:val="00BF060D"/>
    <w:rsid w:val="00BF078B"/>
    <w:rsid w:val="00BF0C91"/>
    <w:rsid w:val="00BF0D8B"/>
    <w:rsid w:val="00BF146C"/>
    <w:rsid w:val="00BF3E84"/>
    <w:rsid w:val="00BF3F77"/>
    <w:rsid w:val="00BF469A"/>
    <w:rsid w:val="00BF4A25"/>
    <w:rsid w:val="00BF4A5A"/>
    <w:rsid w:val="00BF56C4"/>
    <w:rsid w:val="00BF59FF"/>
    <w:rsid w:val="00BF5B83"/>
    <w:rsid w:val="00BF5EE6"/>
    <w:rsid w:val="00BF5F7E"/>
    <w:rsid w:val="00BF62E6"/>
    <w:rsid w:val="00BF69BE"/>
    <w:rsid w:val="00BF6EA2"/>
    <w:rsid w:val="00C00477"/>
    <w:rsid w:val="00C00C85"/>
    <w:rsid w:val="00C01D43"/>
    <w:rsid w:val="00C01F39"/>
    <w:rsid w:val="00C02062"/>
    <w:rsid w:val="00C0275A"/>
    <w:rsid w:val="00C02E14"/>
    <w:rsid w:val="00C034AC"/>
    <w:rsid w:val="00C0425B"/>
    <w:rsid w:val="00C05739"/>
    <w:rsid w:val="00C05749"/>
    <w:rsid w:val="00C05957"/>
    <w:rsid w:val="00C05D08"/>
    <w:rsid w:val="00C06602"/>
    <w:rsid w:val="00C066FE"/>
    <w:rsid w:val="00C06EE1"/>
    <w:rsid w:val="00C06F49"/>
    <w:rsid w:val="00C074E6"/>
    <w:rsid w:val="00C101C6"/>
    <w:rsid w:val="00C113DA"/>
    <w:rsid w:val="00C11625"/>
    <w:rsid w:val="00C11790"/>
    <w:rsid w:val="00C1217A"/>
    <w:rsid w:val="00C1354F"/>
    <w:rsid w:val="00C14215"/>
    <w:rsid w:val="00C14235"/>
    <w:rsid w:val="00C142EA"/>
    <w:rsid w:val="00C14692"/>
    <w:rsid w:val="00C14963"/>
    <w:rsid w:val="00C14F84"/>
    <w:rsid w:val="00C152DD"/>
    <w:rsid w:val="00C16068"/>
    <w:rsid w:val="00C16071"/>
    <w:rsid w:val="00C162B0"/>
    <w:rsid w:val="00C16850"/>
    <w:rsid w:val="00C169C5"/>
    <w:rsid w:val="00C17CA9"/>
    <w:rsid w:val="00C17F93"/>
    <w:rsid w:val="00C17FAA"/>
    <w:rsid w:val="00C21F94"/>
    <w:rsid w:val="00C22449"/>
    <w:rsid w:val="00C22C6A"/>
    <w:rsid w:val="00C23425"/>
    <w:rsid w:val="00C23707"/>
    <w:rsid w:val="00C2429B"/>
    <w:rsid w:val="00C248EF"/>
    <w:rsid w:val="00C25B5C"/>
    <w:rsid w:val="00C26499"/>
    <w:rsid w:val="00C26712"/>
    <w:rsid w:val="00C26C93"/>
    <w:rsid w:val="00C26F10"/>
    <w:rsid w:val="00C27935"/>
    <w:rsid w:val="00C27940"/>
    <w:rsid w:val="00C307F8"/>
    <w:rsid w:val="00C31133"/>
    <w:rsid w:val="00C317D2"/>
    <w:rsid w:val="00C31B6B"/>
    <w:rsid w:val="00C31F3C"/>
    <w:rsid w:val="00C32266"/>
    <w:rsid w:val="00C32FD8"/>
    <w:rsid w:val="00C33347"/>
    <w:rsid w:val="00C33A88"/>
    <w:rsid w:val="00C3405C"/>
    <w:rsid w:val="00C34532"/>
    <w:rsid w:val="00C346A5"/>
    <w:rsid w:val="00C34D1B"/>
    <w:rsid w:val="00C34F88"/>
    <w:rsid w:val="00C354E8"/>
    <w:rsid w:val="00C36FC3"/>
    <w:rsid w:val="00C3750B"/>
    <w:rsid w:val="00C37617"/>
    <w:rsid w:val="00C37863"/>
    <w:rsid w:val="00C37BF1"/>
    <w:rsid w:val="00C40549"/>
    <w:rsid w:val="00C4061B"/>
    <w:rsid w:val="00C406B5"/>
    <w:rsid w:val="00C40779"/>
    <w:rsid w:val="00C418B6"/>
    <w:rsid w:val="00C428C1"/>
    <w:rsid w:val="00C4322E"/>
    <w:rsid w:val="00C436A1"/>
    <w:rsid w:val="00C44761"/>
    <w:rsid w:val="00C44BFD"/>
    <w:rsid w:val="00C4514D"/>
    <w:rsid w:val="00C46861"/>
    <w:rsid w:val="00C46D80"/>
    <w:rsid w:val="00C470D7"/>
    <w:rsid w:val="00C50BF7"/>
    <w:rsid w:val="00C5117E"/>
    <w:rsid w:val="00C511FD"/>
    <w:rsid w:val="00C512BD"/>
    <w:rsid w:val="00C5138E"/>
    <w:rsid w:val="00C51DE3"/>
    <w:rsid w:val="00C52526"/>
    <w:rsid w:val="00C52D37"/>
    <w:rsid w:val="00C52FB5"/>
    <w:rsid w:val="00C5360F"/>
    <w:rsid w:val="00C53D03"/>
    <w:rsid w:val="00C541A1"/>
    <w:rsid w:val="00C54330"/>
    <w:rsid w:val="00C54420"/>
    <w:rsid w:val="00C54512"/>
    <w:rsid w:val="00C54D44"/>
    <w:rsid w:val="00C5517B"/>
    <w:rsid w:val="00C5531A"/>
    <w:rsid w:val="00C55474"/>
    <w:rsid w:val="00C55CAE"/>
    <w:rsid w:val="00C5641A"/>
    <w:rsid w:val="00C5679D"/>
    <w:rsid w:val="00C575DD"/>
    <w:rsid w:val="00C575F9"/>
    <w:rsid w:val="00C6079F"/>
    <w:rsid w:val="00C60FC7"/>
    <w:rsid w:val="00C61040"/>
    <w:rsid w:val="00C61405"/>
    <w:rsid w:val="00C6146F"/>
    <w:rsid w:val="00C61AD9"/>
    <w:rsid w:val="00C62107"/>
    <w:rsid w:val="00C6248F"/>
    <w:rsid w:val="00C636CD"/>
    <w:rsid w:val="00C63BBC"/>
    <w:rsid w:val="00C63D96"/>
    <w:rsid w:val="00C64271"/>
    <w:rsid w:val="00C64387"/>
    <w:rsid w:val="00C64686"/>
    <w:rsid w:val="00C64AC5"/>
    <w:rsid w:val="00C6507D"/>
    <w:rsid w:val="00C65197"/>
    <w:rsid w:val="00C6690E"/>
    <w:rsid w:val="00C6705C"/>
    <w:rsid w:val="00C67372"/>
    <w:rsid w:val="00C6740C"/>
    <w:rsid w:val="00C67665"/>
    <w:rsid w:val="00C678EB"/>
    <w:rsid w:val="00C67ABA"/>
    <w:rsid w:val="00C67B65"/>
    <w:rsid w:val="00C67D68"/>
    <w:rsid w:val="00C67F03"/>
    <w:rsid w:val="00C70154"/>
    <w:rsid w:val="00C70B9E"/>
    <w:rsid w:val="00C70C17"/>
    <w:rsid w:val="00C7105A"/>
    <w:rsid w:val="00C71135"/>
    <w:rsid w:val="00C72499"/>
    <w:rsid w:val="00C7278D"/>
    <w:rsid w:val="00C740B8"/>
    <w:rsid w:val="00C7555E"/>
    <w:rsid w:val="00C7558F"/>
    <w:rsid w:val="00C75A6A"/>
    <w:rsid w:val="00C75D69"/>
    <w:rsid w:val="00C75DD0"/>
    <w:rsid w:val="00C75E08"/>
    <w:rsid w:val="00C76297"/>
    <w:rsid w:val="00C763E7"/>
    <w:rsid w:val="00C76E15"/>
    <w:rsid w:val="00C773EB"/>
    <w:rsid w:val="00C8014B"/>
    <w:rsid w:val="00C8060B"/>
    <w:rsid w:val="00C81235"/>
    <w:rsid w:val="00C8188D"/>
    <w:rsid w:val="00C8205A"/>
    <w:rsid w:val="00C8268F"/>
    <w:rsid w:val="00C82BC6"/>
    <w:rsid w:val="00C82EAC"/>
    <w:rsid w:val="00C8389A"/>
    <w:rsid w:val="00C83CA1"/>
    <w:rsid w:val="00C846BD"/>
    <w:rsid w:val="00C84A63"/>
    <w:rsid w:val="00C84E62"/>
    <w:rsid w:val="00C8627E"/>
    <w:rsid w:val="00C86810"/>
    <w:rsid w:val="00C87CFA"/>
    <w:rsid w:val="00C87EFA"/>
    <w:rsid w:val="00C9099C"/>
    <w:rsid w:val="00C909EA"/>
    <w:rsid w:val="00C912FB"/>
    <w:rsid w:val="00C913C6"/>
    <w:rsid w:val="00C913E6"/>
    <w:rsid w:val="00C9184D"/>
    <w:rsid w:val="00C91885"/>
    <w:rsid w:val="00C91E12"/>
    <w:rsid w:val="00C921E7"/>
    <w:rsid w:val="00C93BDC"/>
    <w:rsid w:val="00C95594"/>
    <w:rsid w:val="00C95BF8"/>
    <w:rsid w:val="00C96D33"/>
    <w:rsid w:val="00C96E1B"/>
    <w:rsid w:val="00C97395"/>
    <w:rsid w:val="00C974EB"/>
    <w:rsid w:val="00C976EA"/>
    <w:rsid w:val="00C97D14"/>
    <w:rsid w:val="00CA0327"/>
    <w:rsid w:val="00CA0F21"/>
    <w:rsid w:val="00CA1934"/>
    <w:rsid w:val="00CA1C77"/>
    <w:rsid w:val="00CA2B40"/>
    <w:rsid w:val="00CA3028"/>
    <w:rsid w:val="00CA3950"/>
    <w:rsid w:val="00CA3F7E"/>
    <w:rsid w:val="00CA48E2"/>
    <w:rsid w:val="00CA4B78"/>
    <w:rsid w:val="00CA6538"/>
    <w:rsid w:val="00CA7042"/>
    <w:rsid w:val="00CA742B"/>
    <w:rsid w:val="00CA756A"/>
    <w:rsid w:val="00CA7AC1"/>
    <w:rsid w:val="00CA7B95"/>
    <w:rsid w:val="00CB1F0E"/>
    <w:rsid w:val="00CB221D"/>
    <w:rsid w:val="00CB2366"/>
    <w:rsid w:val="00CB2702"/>
    <w:rsid w:val="00CB2FCD"/>
    <w:rsid w:val="00CB309D"/>
    <w:rsid w:val="00CB3435"/>
    <w:rsid w:val="00CB39FE"/>
    <w:rsid w:val="00CB3DC2"/>
    <w:rsid w:val="00CB4B2E"/>
    <w:rsid w:val="00CB61F3"/>
    <w:rsid w:val="00CB6606"/>
    <w:rsid w:val="00CB68BF"/>
    <w:rsid w:val="00CB6BDB"/>
    <w:rsid w:val="00CB7311"/>
    <w:rsid w:val="00CB7C54"/>
    <w:rsid w:val="00CB7C76"/>
    <w:rsid w:val="00CC0919"/>
    <w:rsid w:val="00CC1749"/>
    <w:rsid w:val="00CC1D10"/>
    <w:rsid w:val="00CC1D7D"/>
    <w:rsid w:val="00CC26D0"/>
    <w:rsid w:val="00CC2CE8"/>
    <w:rsid w:val="00CC34F2"/>
    <w:rsid w:val="00CC3D72"/>
    <w:rsid w:val="00CC4CC9"/>
    <w:rsid w:val="00CC4DFB"/>
    <w:rsid w:val="00CC65AF"/>
    <w:rsid w:val="00CC67AF"/>
    <w:rsid w:val="00CC6A44"/>
    <w:rsid w:val="00CC6D07"/>
    <w:rsid w:val="00CC71B2"/>
    <w:rsid w:val="00CC799F"/>
    <w:rsid w:val="00CC7A65"/>
    <w:rsid w:val="00CD092D"/>
    <w:rsid w:val="00CD0DFF"/>
    <w:rsid w:val="00CD1573"/>
    <w:rsid w:val="00CD27EE"/>
    <w:rsid w:val="00CD2FDC"/>
    <w:rsid w:val="00CD39D9"/>
    <w:rsid w:val="00CD3A40"/>
    <w:rsid w:val="00CD3F7B"/>
    <w:rsid w:val="00CD4222"/>
    <w:rsid w:val="00CD50B0"/>
    <w:rsid w:val="00CD5A68"/>
    <w:rsid w:val="00CD5BEF"/>
    <w:rsid w:val="00CD6972"/>
    <w:rsid w:val="00CD7241"/>
    <w:rsid w:val="00CD7946"/>
    <w:rsid w:val="00CD7954"/>
    <w:rsid w:val="00CD7A49"/>
    <w:rsid w:val="00CE05A1"/>
    <w:rsid w:val="00CE0FA9"/>
    <w:rsid w:val="00CE192B"/>
    <w:rsid w:val="00CE1FA0"/>
    <w:rsid w:val="00CE23B8"/>
    <w:rsid w:val="00CE2951"/>
    <w:rsid w:val="00CE3859"/>
    <w:rsid w:val="00CE39E3"/>
    <w:rsid w:val="00CE3FD3"/>
    <w:rsid w:val="00CE4950"/>
    <w:rsid w:val="00CE5399"/>
    <w:rsid w:val="00CE5847"/>
    <w:rsid w:val="00CF01BF"/>
    <w:rsid w:val="00CF249E"/>
    <w:rsid w:val="00CF297B"/>
    <w:rsid w:val="00CF2B8F"/>
    <w:rsid w:val="00CF2E7E"/>
    <w:rsid w:val="00CF4219"/>
    <w:rsid w:val="00CF4796"/>
    <w:rsid w:val="00CF5C58"/>
    <w:rsid w:val="00CF632F"/>
    <w:rsid w:val="00CF7D59"/>
    <w:rsid w:val="00CF7F24"/>
    <w:rsid w:val="00D00C0C"/>
    <w:rsid w:val="00D01BED"/>
    <w:rsid w:val="00D01CFF"/>
    <w:rsid w:val="00D03A83"/>
    <w:rsid w:val="00D04E33"/>
    <w:rsid w:val="00D04EF5"/>
    <w:rsid w:val="00D052C5"/>
    <w:rsid w:val="00D07E66"/>
    <w:rsid w:val="00D106D3"/>
    <w:rsid w:val="00D10761"/>
    <w:rsid w:val="00D10C36"/>
    <w:rsid w:val="00D10FD8"/>
    <w:rsid w:val="00D11550"/>
    <w:rsid w:val="00D11EBB"/>
    <w:rsid w:val="00D12045"/>
    <w:rsid w:val="00D121DE"/>
    <w:rsid w:val="00D12A79"/>
    <w:rsid w:val="00D1316A"/>
    <w:rsid w:val="00D13498"/>
    <w:rsid w:val="00D13B8B"/>
    <w:rsid w:val="00D13C30"/>
    <w:rsid w:val="00D14304"/>
    <w:rsid w:val="00D14996"/>
    <w:rsid w:val="00D14C8C"/>
    <w:rsid w:val="00D15293"/>
    <w:rsid w:val="00D15CF3"/>
    <w:rsid w:val="00D162E3"/>
    <w:rsid w:val="00D1631E"/>
    <w:rsid w:val="00D16675"/>
    <w:rsid w:val="00D168BC"/>
    <w:rsid w:val="00D16C85"/>
    <w:rsid w:val="00D178D8"/>
    <w:rsid w:val="00D203B5"/>
    <w:rsid w:val="00D207DB"/>
    <w:rsid w:val="00D209FC"/>
    <w:rsid w:val="00D21A35"/>
    <w:rsid w:val="00D227E2"/>
    <w:rsid w:val="00D229AC"/>
    <w:rsid w:val="00D22C68"/>
    <w:rsid w:val="00D23C5E"/>
    <w:rsid w:val="00D25153"/>
    <w:rsid w:val="00D2587A"/>
    <w:rsid w:val="00D26193"/>
    <w:rsid w:val="00D26226"/>
    <w:rsid w:val="00D26665"/>
    <w:rsid w:val="00D267C8"/>
    <w:rsid w:val="00D30A15"/>
    <w:rsid w:val="00D30DEF"/>
    <w:rsid w:val="00D30F2A"/>
    <w:rsid w:val="00D3114A"/>
    <w:rsid w:val="00D3155B"/>
    <w:rsid w:val="00D31DA6"/>
    <w:rsid w:val="00D32664"/>
    <w:rsid w:val="00D32C1D"/>
    <w:rsid w:val="00D33148"/>
    <w:rsid w:val="00D33152"/>
    <w:rsid w:val="00D33248"/>
    <w:rsid w:val="00D332E1"/>
    <w:rsid w:val="00D33BAC"/>
    <w:rsid w:val="00D34E1C"/>
    <w:rsid w:val="00D360B5"/>
    <w:rsid w:val="00D366CC"/>
    <w:rsid w:val="00D368E3"/>
    <w:rsid w:val="00D36FF8"/>
    <w:rsid w:val="00D37309"/>
    <w:rsid w:val="00D376B0"/>
    <w:rsid w:val="00D37712"/>
    <w:rsid w:val="00D3799A"/>
    <w:rsid w:val="00D400D2"/>
    <w:rsid w:val="00D4029E"/>
    <w:rsid w:val="00D4039D"/>
    <w:rsid w:val="00D40778"/>
    <w:rsid w:val="00D409C1"/>
    <w:rsid w:val="00D41115"/>
    <w:rsid w:val="00D41B10"/>
    <w:rsid w:val="00D41CD7"/>
    <w:rsid w:val="00D427B3"/>
    <w:rsid w:val="00D43568"/>
    <w:rsid w:val="00D43C3A"/>
    <w:rsid w:val="00D44010"/>
    <w:rsid w:val="00D44A26"/>
    <w:rsid w:val="00D44FA8"/>
    <w:rsid w:val="00D451FF"/>
    <w:rsid w:val="00D45602"/>
    <w:rsid w:val="00D45858"/>
    <w:rsid w:val="00D45E4F"/>
    <w:rsid w:val="00D45EFE"/>
    <w:rsid w:val="00D46041"/>
    <w:rsid w:val="00D465FD"/>
    <w:rsid w:val="00D4771F"/>
    <w:rsid w:val="00D47997"/>
    <w:rsid w:val="00D50A46"/>
    <w:rsid w:val="00D50B78"/>
    <w:rsid w:val="00D50E21"/>
    <w:rsid w:val="00D513C9"/>
    <w:rsid w:val="00D5173E"/>
    <w:rsid w:val="00D518DD"/>
    <w:rsid w:val="00D51A9E"/>
    <w:rsid w:val="00D5223B"/>
    <w:rsid w:val="00D526B6"/>
    <w:rsid w:val="00D52A92"/>
    <w:rsid w:val="00D52F2B"/>
    <w:rsid w:val="00D532A7"/>
    <w:rsid w:val="00D533F7"/>
    <w:rsid w:val="00D54A7B"/>
    <w:rsid w:val="00D5512D"/>
    <w:rsid w:val="00D55F3A"/>
    <w:rsid w:val="00D565F4"/>
    <w:rsid w:val="00D56A18"/>
    <w:rsid w:val="00D56AEA"/>
    <w:rsid w:val="00D57239"/>
    <w:rsid w:val="00D573F3"/>
    <w:rsid w:val="00D576CA"/>
    <w:rsid w:val="00D5793A"/>
    <w:rsid w:val="00D57DE2"/>
    <w:rsid w:val="00D601F2"/>
    <w:rsid w:val="00D607FB"/>
    <w:rsid w:val="00D60F26"/>
    <w:rsid w:val="00D6170D"/>
    <w:rsid w:val="00D617BA"/>
    <w:rsid w:val="00D628E2"/>
    <w:rsid w:val="00D632D5"/>
    <w:rsid w:val="00D6371B"/>
    <w:rsid w:val="00D64112"/>
    <w:rsid w:val="00D645DF"/>
    <w:rsid w:val="00D64929"/>
    <w:rsid w:val="00D64B9E"/>
    <w:rsid w:val="00D65FD4"/>
    <w:rsid w:val="00D66047"/>
    <w:rsid w:val="00D66241"/>
    <w:rsid w:val="00D6679A"/>
    <w:rsid w:val="00D66CAF"/>
    <w:rsid w:val="00D67264"/>
    <w:rsid w:val="00D672B1"/>
    <w:rsid w:val="00D67413"/>
    <w:rsid w:val="00D67A66"/>
    <w:rsid w:val="00D703D3"/>
    <w:rsid w:val="00D7085C"/>
    <w:rsid w:val="00D70B69"/>
    <w:rsid w:val="00D70DA7"/>
    <w:rsid w:val="00D70E89"/>
    <w:rsid w:val="00D71DA9"/>
    <w:rsid w:val="00D724A8"/>
    <w:rsid w:val="00D72754"/>
    <w:rsid w:val="00D7318A"/>
    <w:rsid w:val="00D733AD"/>
    <w:rsid w:val="00D73710"/>
    <w:rsid w:val="00D74878"/>
    <w:rsid w:val="00D75044"/>
    <w:rsid w:val="00D75159"/>
    <w:rsid w:val="00D75860"/>
    <w:rsid w:val="00D7602D"/>
    <w:rsid w:val="00D7625C"/>
    <w:rsid w:val="00D77038"/>
    <w:rsid w:val="00D77946"/>
    <w:rsid w:val="00D779A2"/>
    <w:rsid w:val="00D77BA7"/>
    <w:rsid w:val="00D77EB4"/>
    <w:rsid w:val="00D80524"/>
    <w:rsid w:val="00D807D2"/>
    <w:rsid w:val="00D80DD4"/>
    <w:rsid w:val="00D813BF"/>
    <w:rsid w:val="00D81F69"/>
    <w:rsid w:val="00D821AE"/>
    <w:rsid w:val="00D822CF"/>
    <w:rsid w:val="00D82D0B"/>
    <w:rsid w:val="00D82E18"/>
    <w:rsid w:val="00D83162"/>
    <w:rsid w:val="00D8478C"/>
    <w:rsid w:val="00D8495B"/>
    <w:rsid w:val="00D84CD3"/>
    <w:rsid w:val="00D859B1"/>
    <w:rsid w:val="00D85DCA"/>
    <w:rsid w:val="00D875CA"/>
    <w:rsid w:val="00D876D8"/>
    <w:rsid w:val="00D90456"/>
    <w:rsid w:val="00D90554"/>
    <w:rsid w:val="00D91611"/>
    <w:rsid w:val="00D91F19"/>
    <w:rsid w:val="00D920D8"/>
    <w:rsid w:val="00D922F2"/>
    <w:rsid w:val="00D9236D"/>
    <w:rsid w:val="00D92416"/>
    <w:rsid w:val="00D9248F"/>
    <w:rsid w:val="00D9258D"/>
    <w:rsid w:val="00D93340"/>
    <w:rsid w:val="00D93489"/>
    <w:rsid w:val="00D936D2"/>
    <w:rsid w:val="00D9391D"/>
    <w:rsid w:val="00D939FD"/>
    <w:rsid w:val="00D93EB2"/>
    <w:rsid w:val="00D93EEE"/>
    <w:rsid w:val="00D946D4"/>
    <w:rsid w:val="00D9477B"/>
    <w:rsid w:val="00D961D6"/>
    <w:rsid w:val="00D9664D"/>
    <w:rsid w:val="00D96B4C"/>
    <w:rsid w:val="00D97717"/>
    <w:rsid w:val="00DA0C0D"/>
    <w:rsid w:val="00DA109A"/>
    <w:rsid w:val="00DA2585"/>
    <w:rsid w:val="00DA3846"/>
    <w:rsid w:val="00DA3D25"/>
    <w:rsid w:val="00DA4486"/>
    <w:rsid w:val="00DA45AC"/>
    <w:rsid w:val="00DA4827"/>
    <w:rsid w:val="00DA59EA"/>
    <w:rsid w:val="00DA692D"/>
    <w:rsid w:val="00DA6A30"/>
    <w:rsid w:val="00DA73FA"/>
    <w:rsid w:val="00DA740F"/>
    <w:rsid w:val="00DA746F"/>
    <w:rsid w:val="00DA796C"/>
    <w:rsid w:val="00DA7C7F"/>
    <w:rsid w:val="00DA7DC1"/>
    <w:rsid w:val="00DA7FC2"/>
    <w:rsid w:val="00DB00C6"/>
    <w:rsid w:val="00DB090C"/>
    <w:rsid w:val="00DB0A06"/>
    <w:rsid w:val="00DB0AEC"/>
    <w:rsid w:val="00DB1C82"/>
    <w:rsid w:val="00DB21A5"/>
    <w:rsid w:val="00DB2DFD"/>
    <w:rsid w:val="00DB3000"/>
    <w:rsid w:val="00DB4A26"/>
    <w:rsid w:val="00DB5142"/>
    <w:rsid w:val="00DB6538"/>
    <w:rsid w:val="00DB6B53"/>
    <w:rsid w:val="00DB6CA3"/>
    <w:rsid w:val="00DB71E2"/>
    <w:rsid w:val="00DB7230"/>
    <w:rsid w:val="00DB73AC"/>
    <w:rsid w:val="00DB78E8"/>
    <w:rsid w:val="00DC099B"/>
    <w:rsid w:val="00DC0D9B"/>
    <w:rsid w:val="00DC126F"/>
    <w:rsid w:val="00DC14F3"/>
    <w:rsid w:val="00DC16B6"/>
    <w:rsid w:val="00DC1B0C"/>
    <w:rsid w:val="00DC260C"/>
    <w:rsid w:val="00DC2827"/>
    <w:rsid w:val="00DC3341"/>
    <w:rsid w:val="00DC415B"/>
    <w:rsid w:val="00DC41DE"/>
    <w:rsid w:val="00DC4367"/>
    <w:rsid w:val="00DC4374"/>
    <w:rsid w:val="00DC4DAA"/>
    <w:rsid w:val="00DC4DF0"/>
    <w:rsid w:val="00DC4F4C"/>
    <w:rsid w:val="00DC4F95"/>
    <w:rsid w:val="00DC5158"/>
    <w:rsid w:val="00DC63B9"/>
    <w:rsid w:val="00DC673F"/>
    <w:rsid w:val="00DC72DD"/>
    <w:rsid w:val="00DC75F7"/>
    <w:rsid w:val="00DC7AB9"/>
    <w:rsid w:val="00DC7D10"/>
    <w:rsid w:val="00DD0BD7"/>
    <w:rsid w:val="00DD0D89"/>
    <w:rsid w:val="00DD1889"/>
    <w:rsid w:val="00DD1E6C"/>
    <w:rsid w:val="00DD2A75"/>
    <w:rsid w:val="00DD3119"/>
    <w:rsid w:val="00DD3E62"/>
    <w:rsid w:val="00DD4011"/>
    <w:rsid w:val="00DD4393"/>
    <w:rsid w:val="00DD4515"/>
    <w:rsid w:val="00DD48CC"/>
    <w:rsid w:val="00DD51E9"/>
    <w:rsid w:val="00DD5871"/>
    <w:rsid w:val="00DD59E2"/>
    <w:rsid w:val="00DD5D4F"/>
    <w:rsid w:val="00DD60BE"/>
    <w:rsid w:val="00DD65AC"/>
    <w:rsid w:val="00DD6BB4"/>
    <w:rsid w:val="00DD6CE8"/>
    <w:rsid w:val="00DD7009"/>
    <w:rsid w:val="00DD7AD8"/>
    <w:rsid w:val="00DD7BC8"/>
    <w:rsid w:val="00DD7C5F"/>
    <w:rsid w:val="00DE0302"/>
    <w:rsid w:val="00DE0496"/>
    <w:rsid w:val="00DE057A"/>
    <w:rsid w:val="00DE0778"/>
    <w:rsid w:val="00DE1463"/>
    <w:rsid w:val="00DE159A"/>
    <w:rsid w:val="00DE1E7D"/>
    <w:rsid w:val="00DE1FFA"/>
    <w:rsid w:val="00DE204F"/>
    <w:rsid w:val="00DE24BE"/>
    <w:rsid w:val="00DE31AA"/>
    <w:rsid w:val="00DE31B8"/>
    <w:rsid w:val="00DE3D5F"/>
    <w:rsid w:val="00DE4451"/>
    <w:rsid w:val="00DE4A59"/>
    <w:rsid w:val="00DE4B3B"/>
    <w:rsid w:val="00DE4E58"/>
    <w:rsid w:val="00DE52D9"/>
    <w:rsid w:val="00DE55D6"/>
    <w:rsid w:val="00DE5965"/>
    <w:rsid w:val="00DE62E9"/>
    <w:rsid w:val="00DE74A3"/>
    <w:rsid w:val="00DE79F6"/>
    <w:rsid w:val="00DE7D04"/>
    <w:rsid w:val="00DE7EEB"/>
    <w:rsid w:val="00DE7FA7"/>
    <w:rsid w:val="00DF03C7"/>
    <w:rsid w:val="00DF0CD8"/>
    <w:rsid w:val="00DF1CB3"/>
    <w:rsid w:val="00DF1D0B"/>
    <w:rsid w:val="00DF2044"/>
    <w:rsid w:val="00DF2BCB"/>
    <w:rsid w:val="00DF3E32"/>
    <w:rsid w:val="00DF3FE8"/>
    <w:rsid w:val="00DF496A"/>
    <w:rsid w:val="00DF508A"/>
    <w:rsid w:val="00DF55AD"/>
    <w:rsid w:val="00DF6AC1"/>
    <w:rsid w:val="00DF79FB"/>
    <w:rsid w:val="00DF7D45"/>
    <w:rsid w:val="00E0006C"/>
    <w:rsid w:val="00E0058D"/>
    <w:rsid w:val="00E00646"/>
    <w:rsid w:val="00E0076A"/>
    <w:rsid w:val="00E0125C"/>
    <w:rsid w:val="00E027A9"/>
    <w:rsid w:val="00E0288C"/>
    <w:rsid w:val="00E02909"/>
    <w:rsid w:val="00E02E0D"/>
    <w:rsid w:val="00E03386"/>
    <w:rsid w:val="00E047E7"/>
    <w:rsid w:val="00E04A86"/>
    <w:rsid w:val="00E04F7A"/>
    <w:rsid w:val="00E04FDE"/>
    <w:rsid w:val="00E0513A"/>
    <w:rsid w:val="00E05AF9"/>
    <w:rsid w:val="00E06117"/>
    <w:rsid w:val="00E065EA"/>
    <w:rsid w:val="00E12075"/>
    <w:rsid w:val="00E1261D"/>
    <w:rsid w:val="00E12F8D"/>
    <w:rsid w:val="00E1304B"/>
    <w:rsid w:val="00E13A93"/>
    <w:rsid w:val="00E1514F"/>
    <w:rsid w:val="00E153AF"/>
    <w:rsid w:val="00E15C2C"/>
    <w:rsid w:val="00E161E7"/>
    <w:rsid w:val="00E16BE9"/>
    <w:rsid w:val="00E172A5"/>
    <w:rsid w:val="00E17ECE"/>
    <w:rsid w:val="00E21396"/>
    <w:rsid w:val="00E21647"/>
    <w:rsid w:val="00E21B46"/>
    <w:rsid w:val="00E22B38"/>
    <w:rsid w:val="00E22E33"/>
    <w:rsid w:val="00E2310E"/>
    <w:rsid w:val="00E2325A"/>
    <w:rsid w:val="00E23A4F"/>
    <w:rsid w:val="00E253E1"/>
    <w:rsid w:val="00E25AAD"/>
    <w:rsid w:val="00E25AEF"/>
    <w:rsid w:val="00E25C73"/>
    <w:rsid w:val="00E26137"/>
    <w:rsid w:val="00E2776B"/>
    <w:rsid w:val="00E27B9D"/>
    <w:rsid w:val="00E27F68"/>
    <w:rsid w:val="00E30453"/>
    <w:rsid w:val="00E30553"/>
    <w:rsid w:val="00E308F3"/>
    <w:rsid w:val="00E30DD9"/>
    <w:rsid w:val="00E31A8A"/>
    <w:rsid w:val="00E31C59"/>
    <w:rsid w:val="00E3222F"/>
    <w:rsid w:val="00E32274"/>
    <w:rsid w:val="00E328D9"/>
    <w:rsid w:val="00E32BD7"/>
    <w:rsid w:val="00E33A84"/>
    <w:rsid w:val="00E33B8D"/>
    <w:rsid w:val="00E33BBB"/>
    <w:rsid w:val="00E33D9C"/>
    <w:rsid w:val="00E33DD5"/>
    <w:rsid w:val="00E34E6A"/>
    <w:rsid w:val="00E35775"/>
    <w:rsid w:val="00E360C6"/>
    <w:rsid w:val="00E36C68"/>
    <w:rsid w:val="00E37185"/>
    <w:rsid w:val="00E37C51"/>
    <w:rsid w:val="00E4044A"/>
    <w:rsid w:val="00E40BB4"/>
    <w:rsid w:val="00E4276F"/>
    <w:rsid w:val="00E43759"/>
    <w:rsid w:val="00E43F8E"/>
    <w:rsid w:val="00E4407D"/>
    <w:rsid w:val="00E44D8D"/>
    <w:rsid w:val="00E45BE3"/>
    <w:rsid w:val="00E45DF8"/>
    <w:rsid w:val="00E4649C"/>
    <w:rsid w:val="00E46F61"/>
    <w:rsid w:val="00E47444"/>
    <w:rsid w:val="00E474B2"/>
    <w:rsid w:val="00E47664"/>
    <w:rsid w:val="00E47E35"/>
    <w:rsid w:val="00E47ED0"/>
    <w:rsid w:val="00E50388"/>
    <w:rsid w:val="00E510BE"/>
    <w:rsid w:val="00E513CD"/>
    <w:rsid w:val="00E52023"/>
    <w:rsid w:val="00E528D7"/>
    <w:rsid w:val="00E52990"/>
    <w:rsid w:val="00E52C19"/>
    <w:rsid w:val="00E52EAC"/>
    <w:rsid w:val="00E5311C"/>
    <w:rsid w:val="00E534FE"/>
    <w:rsid w:val="00E53611"/>
    <w:rsid w:val="00E53653"/>
    <w:rsid w:val="00E54EFA"/>
    <w:rsid w:val="00E55952"/>
    <w:rsid w:val="00E5630E"/>
    <w:rsid w:val="00E60CD4"/>
    <w:rsid w:val="00E60D4B"/>
    <w:rsid w:val="00E61059"/>
    <w:rsid w:val="00E6181E"/>
    <w:rsid w:val="00E625EA"/>
    <w:rsid w:val="00E63741"/>
    <w:rsid w:val="00E6377B"/>
    <w:rsid w:val="00E655DA"/>
    <w:rsid w:val="00E66286"/>
    <w:rsid w:val="00E67158"/>
    <w:rsid w:val="00E67A72"/>
    <w:rsid w:val="00E703C2"/>
    <w:rsid w:val="00E70768"/>
    <w:rsid w:val="00E71189"/>
    <w:rsid w:val="00E71479"/>
    <w:rsid w:val="00E719C9"/>
    <w:rsid w:val="00E72454"/>
    <w:rsid w:val="00E726A8"/>
    <w:rsid w:val="00E72D48"/>
    <w:rsid w:val="00E72F89"/>
    <w:rsid w:val="00E73096"/>
    <w:rsid w:val="00E7355B"/>
    <w:rsid w:val="00E73E3E"/>
    <w:rsid w:val="00E740A5"/>
    <w:rsid w:val="00E744E1"/>
    <w:rsid w:val="00E755EF"/>
    <w:rsid w:val="00E75F0B"/>
    <w:rsid w:val="00E761BF"/>
    <w:rsid w:val="00E76570"/>
    <w:rsid w:val="00E76EA0"/>
    <w:rsid w:val="00E76F21"/>
    <w:rsid w:val="00E76F51"/>
    <w:rsid w:val="00E77471"/>
    <w:rsid w:val="00E80899"/>
    <w:rsid w:val="00E812C9"/>
    <w:rsid w:val="00E81DFD"/>
    <w:rsid w:val="00E821B5"/>
    <w:rsid w:val="00E821B8"/>
    <w:rsid w:val="00E82A0A"/>
    <w:rsid w:val="00E82C68"/>
    <w:rsid w:val="00E82EBD"/>
    <w:rsid w:val="00E8331D"/>
    <w:rsid w:val="00E836BE"/>
    <w:rsid w:val="00E8447E"/>
    <w:rsid w:val="00E84DBE"/>
    <w:rsid w:val="00E8566F"/>
    <w:rsid w:val="00E86027"/>
    <w:rsid w:val="00E86108"/>
    <w:rsid w:val="00E864FE"/>
    <w:rsid w:val="00E873A3"/>
    <w:rsid w:val="00E87981"/>
    <w:rsid w:val="00E87A2A"/>
    <w:rsid w:val="00E90951"/>
    <w:rsid w:val="00E91127"/>
    <w:rsid w:val="00E91A6D"/>
    <w:rsid w:val="00E92490"/>
    <w:rsid w:val="00E928F7"/>
    <w:rsid w:val="00E9331A"/>
    <w:rsid w:val="00E93B88"/>
    <w:rsid w:val="00E94473"/>
    <w:rsid w:val="00E94E3F"/>
    <w:rsid w:val="00E94F86"/>
    <w:rsid w:val="00E9505D"/>
    <w:rsid w:val="00E95BDB"/>
    <w:rsid w:val="00E9603B"/>
    <w:rsid w:val="00E96072"/>
    <w:rsid w:val="00E963ED"/>
    <w:rsid w:val="00E965B7"/>
    <w:rsid w:val="00E97C33"/>
    <w:rsid w:val="00EA03CA"/>
    <w:rsid w:val="00EA0658"/>
    <w:rsid w:val="00EA086A"/>
    <w:rsid w:val="00EA1181"/>
    <w:rsid w:val="00EA12A2"/>
    <w:rsid w:val="00EA1312"/>
    <w:rsid w:val="00EA1649"/>
    <w:rsid w:val="00EA24CD"/>
    <w:rsid w:val="00EA400E"/>
    <w:rsid w:val="00EA4103"/>
    <w:rsid w:val="00EA4DEC"/>
    <w:rsid w:val="00EA5DEC"/>
    <w:rsid w:val="00EA664F"/>
    <w:rsid w:val="00EA7093"/>
    <w:rsid w:val="00EA7DE2"/>
    <w:rsid w:val="00EB0901"/>
    <w:rsid w:val="00EB12DA"/>
    <w:rsid w:val="00EB1854"/>
    <w:rsid w:val="00EB262D"/>
    <w:rsid w:val="00EB327A"/>
    <w:rsid w:val="00EB448E"/>
    <w:rsid w:val="00EB5526"/>
    <w:rsid w:val="00EB57E0"/>
    <w:rsid w:val="00EB7034"/>
    <w:rsid w:val="00EB7AE1"/>
    <w:rsid w:val="00EB7CC3"/>
    <w:rsid w:val="00EB7DDC"/>
    <w:rsid w:val="00EC0B1A"/>
    <w:rsid w:val="00EC0E11"/>
    <w:rsid w:val="00EC153F"/>
    <w:rsid w:val="00EC1765"/>
    <w:rsid w:val="00EC29C5"/>
    <w:rsid w:val="00EC4C92"/>
    <w:rsid w:val="00EC5194"/>
    <w:rsid w:val="00EC588D"/>
    <w:rsid w:val="00EC5BE8"/>
    <w:rsid w:val="00EC6877"/>
    <w:rsid w:val="00EC6982"/>
    <w:rsid w:val="00EC6B4E"/>
    <w:rsid w:val="00EC6D60"/>
    <w:rsid w:val="00EC709D"/>
    <w:rsid w:val="00EC7B2D"/>
    <w:rsid w:val="00ED02CB"/>
    <w:rsid w:val="00ED0DCB"/>
    <w:rsid w:val="00ED2CAF"/>
    <w:rsid w:val="00ED3395"/>
    <w:rsid w:val="00ED3C36"/>
    <w:rsid w:val="00ED3FDC"/>
    <w:rsid w:val="00ED540C"/>
    <w:rsid w:val="00ED554D"/>
    <w:rsid w:val="00ED6C68"/>
    <w:rsid w:val="00ED6F01"/>
    <w:rsid w:val="00ED71BC"/>
    <w:rsid w:val="00ED761B"/>
    <w:rsid w:val="00EE0680"/>
    <w:rsid w:val="00EE06E4"/>
    <w:rsid w:val="00EE0F09"/>
    <w:rsid w:val="00EE16A8"/>
    <w:rsid w:val="00EE1992"/>
    <w:rsid w:val="00EE2074"/>
    <w:rsid w:val="00EE223E"/>
    <w:rsid w:val="00EE2C5D"/>
    <w:rsid w:val="00EE2FAB"/>
    <w:rsid w:val="00EE3DA2"/>
    <w:rsid w:val="00EE3F4F"/>
    <w:rsid w:val="00EE420F"/>
    <w:rsid w:val="00EE433B"/>
    <w:rsid w:val="00EE51B1"/>
    <w:rsid w:val="00EE54E9"/>
    <w:rsid w:val="00EE59CA"/>
    <w:rsid w:val="00EE5FD9"/>
    <w:rsid w:val="00EE636E"/>
    <w:rsid w:val="00EE6A8F"/>
    <w:rsid w:val="00EE6CDE"/>
    <w:rsid w:val="00EE71F3"/>
    <w:rsid w:val="00EE71F7"/>
    <w:rsid w:val="00EE737D"/>
    <w:rsid w:val="00EE77A7"/>
    <w:rsid w:val="00EE79C1"/>
    <w:rsid w:val="00EF041C"/>
    <w:rsid w:val="00EF082C"/>
    <w:rsid w:val="00EF0979"/>
    <w:rsid w:val="00EF0FA0"/>
    <w:rsid w:val="00EF13D8"/>
    <w:rsid w:val="00EF2121"/>
    <w:rsid w:val="00EF2803"/>
    <w:rsid w:val="00EF3A64"/>
    <w:rsid w:val="00EF3A70"/>
    <w:rsid w:val="00EF3D1C"/>
    <w:rsid w:val="00EF41AE"/>
    <w:rsid w:val="00EF41B3"/>
    <w:rsid w:val="00EF484D"/>
    <w:rsid w:val="00EF4969"/>
    <w:rsid w:val="00EF4DA9"/>
    <w:rsid w:val="00EF52D8"/>
    <w:rsid w:val="00EF5BF0"/>
    <w:rsid w:val="00EF6E30"/>
    <w:rsid w:val="00EF7094"/>
    <w:rsid w:val="00EF7BCB"/>
    <w:rsid w:val="00EF7DD1"/>
    <w:rsid w:val="00F009F9"/>
    <w:rsid w:val="00F00DF2"/>
    <w:rsid w:val="00F00EED"/>
    <w:rsid w:val="00F00FEB"/>
    <w:rsid w:val="00F01B4D"/>
    <w:rsid w:val="00F01C56"/>
    <w:rsid w:val="00F027C7"/>
    <w:rsid w:val="00F02CED"/>
    <w:rsid w:val="00F030A8"/>
    <w:rsid w:val="00F037B9"/>
    <w:rsid w:val="00F0387F"/>
    <w:rsid w:val="00F03E70"/>
    <w:rsid w:val="00F05596"/>
    <w:rsid w:val="00F05A1C"/>
    <w:rsid w:val="00F07223"/>
    <w:rsid w:val="00F0789A"/>
    <w:rsid w:val="00F07A52"/>
    <w:rsid w:val="00F07D98"/>
    <w:rsid w:val="00F100A7"/>
    <w:rsid w:val="00F1019A"/>
    <w:rsid w:val="00F10420"/>
    <w:rsid w:val="00F106E9"/>
    <w:rsid w:val="00F108A3"/>
    <w:rsid w:val="00F11233"/>
    <w:rsid w:val="00F1138A"/>
    <w:rsid w:val="00F12123"/>
    <w:rsid w:val="00F12704"/>
    <w:rsid w:val="00F129CA"/>
    <w:rsid w:val="00F13D81"/>
    <w:rsid w:val="00F14C9E"/>
    <w:rsid w:val="00F15AE7"/>
    <w:rsid w:val="00F16000"/>
    <w:rsid w:val="00F1731E"/>
    <w:rsid w:val="00F20883"/>
    <w:rsid w:val="00F20D35"/>
    <w:rsid w:val="00F213ED"/>
    <w:rsid w:val="00F214BA"/>
    <w:rsid w:val="00F218F4"/>
    <w:rsid w:val="00F21DB6"/>
    <w:rsid w:val="00F22F41"/>
    <w:rsid w:val="00F233F6"/>
    <w:rsid w:val="00F234F9"/>
    <w:rsid w:val="00F23B78"/>
    <w:rsid w:val="00F23F62"/>
    <w:rsid w:val="00F24426"/>
    <w:rsid w:val="00F24AC5"/>
    <w:rsid w:val="00F24C33"/>
    <w:rsid w:val="00F25371"/>
    <w:rsid w:val="00F2593C"/>
    <w:rsid w:val="00F259DA"/>
    <w:rsid w:val="00F25D12"/>
    <w:rsid w:val="00F261C3"/>
    <w:rsid w:val="00F261C4"/>
    <w:rsid w:val="00F2795F"/>
    <w:rsid w:val="00F27B79"/>
    <w:rsid w:val="00F27C64"/>
    <w:rsid w:val="00F300D5"/>
    <w:rsid w:val="00F3012D"/>
    <w:rsid w:val="00F30A4C"/>
    <w:rsid w:val="00F30F9D"/>
    <w:rsid w:val="00F32001"/>
    <w:rsid w:val="00F3214F"/>
    <w:rsid w:val="00F327B9"/>
    <w:rsid w:val="00F32A54"/>
    <w:rsid w:val="00F34100"/>
    <w:rsid w:val="00F345DE"/>
    <w:rsid w:val="00F350FB"/>
    <w:rsid w:val="00F35553"/>
    <w:rsid w:val="00F359DC"/>
    <w:rsid w:val="00F35BB5"/>
    <w:rsid w:val="00F35FEC"/>
    <w:rsid w:val="00F36722"/>
    <w:rsid w:val="00F367D1"/>
    <w:rsid w:val="00F368C9"/>
    <w:rsid w:val="00F3719B"/>
    <w:rsid w:val="00F37273"/>
    <w:rsid w:val="00F3732A"/>
    <w:rsid w:val="00F37857"/>
    <w:rsid w:val="00F379ED"/>
    <w:rsid w:val="00F40B96"/>
    <w:rsid w:val="00F41329"/>
    <w:rsid w:val="00F41368"/>
    <w:rsid w:val="00F416B1"/>
    <w:rsid w:val="00F42466"/>
    <w:rsid w:val="00F44433"/>
    <w:rsid w:val="00F444F7"/>
    <w:rsid w:val="00F44A29"/>
    <w:rsid w:val="00F44B7E"/>
    <w:rsid w:val="00F44C7D"/>
    <w:rsid w:val="00F44C8F"/>
    <w:rsid w:val="00F44DB9"/>
    <w:rsid w:val="00F44EC4"/>
    <w:rsid w:val="00F45291"/>
    <w:rsid w:val="00F456C5"/>
    <w:rsid w:val="00F45B07"/>
    <w:rsid w:val="00F45B1C"/>
    <w:rsid w:val="00F45C04"/>
    <w:rsid w:val="00F467D2"/>
    <w:rsid w:val="00F473D1"/>
    <w:rsid w:val="00F47582"/>
    <w:rsid w:val="00F47D89"/>
    <w:rsid w:val="00F47EA2"/>
    <w:rsid w:val="00F5041B"/>
    <w:rsid w:val="00F50597"/>
    <w:rsid w:val="00F505A9"/>
    <w:rsid w:val="00F51038"/>
    <w:rsid w:val="00F5108B"/>
    <w:rsid w:val="00F516E4"/>
    <w:rsid w:val="00F51C6B"/>
    <w:rsid w:val="00F52B70"/>
    <w:rsid w:val="00F53001"/>
    <w:rsid w:val="00F5305B"/>
    <w:rsid w:val="00F539CE"/>
    <w:rsid w:val="00F54BC9"/>
    <w:rsid w:val="00F54D4D"/>
    <w:rsid w:val="00F55387"/>
    <w:rsid w:val="00F558C7"/>
    <w:rsid w:val="00F561A3"/>
    <w:rsid w:val="00F5692D"/>
    <w:rsid w:val="00F56A91"/>
    <w:rsid w:val="00F56BC1"/>
    <w:rsid w:val="00F56DBE"/>
    <w:rsid w:val="00F571FF"/>
    <w:rsid w:val="00F57464"/>
    <w:rsid w:val="00F574FC"/>
    <w:rsid w:val="00F577C3"/>
    <w:rsid w:val="00F5798C"/>
    <w:rsid w:val="00F60254"/>
    <w:rsid w:val="00F60B4E"/>
    <w:rsid w:val="00F61E64"/>
    <w:rsid w:val="00F63BF2"/>
    <w:rsid w:val="00F63C50"/>
    <w:rsid w:val="00F641D5"/>
    <w:rsid w:val="00F64CCB"/>
    <w:rsid w:val="00F655D7"/>
    <w:rsid w:val="00F655EE"/>
    <w:rsid w:val="00F661E9"/>
    <w:rsid w:val="00F66440"/>
    <w:rsid w:val="00F66AA2"/>
    <w:rsid w:val="00F66D39"/>
    <w:rsid w:val="00F66D60"/>
    <w:rsid w:val="00F66D8D"/>
    <w:rsid w:val="00F67731"/>
    <w:rsid w:val="00F67D8C"/>
    <w:rsid w:val="00F70386"/>
    <w:rsid w:val="00F7080F"/>
    <w:rsid w:val="00F70C61"/>
    <w:rsid w:val="00F70F7E"/>
    <w:rsid w:val="00F7114D"/>
    <w:rsid w:val="00F71599"/>
    <w:rsid w:val="00F716CC"/>
    <w:rsid w:val="00F71BB2"/>
    <w:rsid w:val="00F72204"/>
    <w:rsid w:val="00F7246C"/>
    <w:rsid w:val="00F727CA"/>
    <w:rsid w:val="00F72BF4"/>
    <w:rsid w:val="00F73485"/>
    <w:rsid w:val="00F7467C"/>
    <w:rsid w:val="00F74B64"/>
    <w:rsid w:val="00F752D5"/>
    <w:rsid w:val="00F754BE"/>
    <w:rsid w:val="00F756B1"/>
    <w:rsid w:val="00F76201"/>
    <w:rsid w:val="00F762DA"/>
    <w:rsid w:val="00F76FCB"/>
    <w:rsid w:val="00F770F9"/>
    <w:rsid w:val="00F773A4"/>
    <w:rsid w:val="00F7742F"/>
    <w:rsid w:val="00F778E8"/>
    <w:rsid w:val="00F77FBE"/>
    <w:rsid w:val="00F809F8"/>
    <w:rsid w:val="00F80B0E"/>
    <w:rsid w:val="00F80E72"/>
    <w:rsid w:val="00F815CC"/>
    <w:rsid w:val="00F81B0B"/>
    <w:rsid w:val="00F820BE"/>
    <w:rsid w:val="00F82A8D"/>
    <w:rsid w:val="00F82F8A"/>
    <w:rsid w:val="00F83404"/>
    <w:rsid w:val="00F837F9"/>
    <w:rsid w:val="00F83E4A"/>
    <w:rsid w:val="00F83F0F"/>
    <w:rsid w:val="00F84470"/>
    <w:rsid w:val="00F84E32"/>
    <w:rsid w:val="00F85314"/>
    <w:rsid w:val="00F8575B"/>
    <w:rsid w:val="00F85812"/>
    <w:rsid w:val="00F868B5"/>
    <w:rsid w:val="00F87332"/>
    <w:rsid w:val="00F90910"/>
    <w:rsid w:val="00F90F03"/>
    <w:rsid w:val="00F91CA2"/>
    <w:rsid w:val="00F91FA8"/>
    <w:rsid w:val="00F923DB"/>
    <w:rsid w:val="00F9310B"/>
    <w:rsid w:val="00F93FFB"/>
    <w:rsid w:val="00F94487"/>
    <w:rsid w:val="00F95659"/>
    <w:rsid w:val="00F9584D"/>
    <w:rsid w:val="00F95A7E"/>
    <w:rsid w:val="00F96322"/>
    <w:rsid w:val="00F96476"/>
    <w:rsid w:val="00F9669A"/>
    <w:rsid w:val="00F96A1D"/>
    <w:rsid w:val="00F96DEA"/>
    <w:rsid w:val="00F975DA"/>
    <w:rsid w:val="00F976B4"/>
    <w:rsid w:val="00F9792B"/>
    <w:rsid w:val="00F97D29"/>
    <w:rsid w:val="00FA0591"/>
    <w:rsid w:val="00FA097C"/>
    <w:rsid w:val="00FA0C4B"/>
    <w:rsid w:val="00FA14C5"/>
    <w:rsid w:val="00FA1B95"/>
    <w:rsid w:val="00FA1E4B"/>
    <w:rsid w:val="00FA2C3D"/>
    <w:rsid w:val="00FA2EBF"/>
    <w:rsid w:val="00FA3B49"/>
    <w:rsid w:val="00FA4606"/>
    <w:rsid w:val="00FA48CD"/>
    <w:rsid w:val="00FA60FA"/>
    <w:rsid w:val="00FA645A"/>
    <w:rsid w:val="00FA6641"/>
    <w:rsid w:val="00FA6DC6"/>
    <w:rsid w:val="00FA6F48"/>
    <w:rsid w:val="00FA7983"/>
    <w:rsid w:val="00FA7A00"/>
    <w:rsid w:val="00FA7D66"/>
    <w:rsid w:val="00FA7E29"/>
    <w:rsid w:val="00FA7F2B"/>
    <w:rsid w:val="00FB05A0"/>
    <w:rsid w:val="00FB07CC"/>
    <w:rsid w:val="00FB111C"/>
    <w:rsid w:val="00FB1583"/>
    <w:rsid w:val="00FB18E2"/>
    <w:rsid w:val="00FB1C45"/>
    <w:rsid w:val="00FB2BE1"/>
    <w:rsid w:val="00FB3477"/>
    <w:rsid w:val="00FB3B18"/>
    <w:rsid w:val="00FB3F87"/>
    <w:rsid w:val="00FB416A"/>
    <w:rsid w:val="00FB5592"/>
    <w:rsid w:val="00FB57D5"/>
    <w:rsid w:val="00FB5F73"/>
    <w:rsid w:val="00FB6497"/>
    <w:rsid w:val="00FB6D45"/>
    <w:rsid w:val="00FB7B5D"/>
    <w:rsid w:val="00FC162E"/>
    <w:rsid w:val="00FC25EB"/>
    <w:rsid w:val="00FC2E9B"/>
    <w:rsid w:val="00FC3259"/>
    <w:rsid w:val="00FC389A"/>
    <w:rsid w:val="00FC3B20"/>
    <w:rsid w:val="00FC3D16"/>
    <w:rsid w:val="00FC4CC4"/>
    <w:rsid w:val="00FC63D4"/>
    <w:rsid w:val="00FC65F8"/>
    <w:rsid w:val="00FC6923"/>
    <w:rsid w:val="00FC697C"/>
    <w:rsid w:val="00FC6A42"/>
    <w:rsid w:val="00FC6A9F"/>
    <w:rsid w:val="00FC6E74"/>
    <w:rsid w:val="00FC6EF3"/>
    <w:rsid w:val="00FC6F1A"/>
    <w:rsid w:val="00FC79CA"/>
    <w:rsid w:val="00FC7D1E"/>
    <w:rsid w:val="00FC7D66"/>
    <w:rsid w:val="00FD004D"/>
    <w:rsid w:val="00FD00E9"/>
    <w:rsid w:val="00FD0CC9"/>
    <w:rsid w:val="00FD0E9C"/>
    <w:rsid w:val="00FD322C"/>
    <w:rsid w:val="00FD419E"/>
    <w:rsid w:val="00FD459B"/>
    <w:rsid w:val="00FD4734"/>
    <w:rsid w:val="00FD4CB1"/>
    <w:rsid w:val="00FD4E80"/>
    <w:rsid w:val="00FD506F"/>
    <w:rsid w:val="00FD5158"/>
    <w:rsid w:val="00FD5938"/>
    <w:rsid w:val="00FD6479"/>
    <w:rsid w:val="00FD6494"/>
    <w:rsid w:val="00FD6C71"/>
    <w:rsid w:val="00FD747D"/>
    <w:rsid w:val="00FD781C"/>
    <w:rsid w:val="00FD78FD"/>
    <w:rsid w:val="00FE0466"/>
    <w:rsid w:val="00FE0549"/>
    <w:rsid w:val="00FE0921"/>
    <w:rsid w:val="00FE09BB"/>
    <w:rsid w:val="00FE0C53"/>
    <w:rsid w:val="00FE1031"/>
    <w:rsid w:val="00FE138F"/>
    <w:rsid w:val="00FE1CD1"/>
    <w:rsid w:val="00FE3436"/>
    <w:rsid w:val="00FE380A"/>
    <w:rsid w:val="00FE3E95"/>
    <w:rsid w:val="00FE4139"/>
    <w:rsid w:val="00FE4FED"/>
    <w:rsid w:val="00FE5384"/>
    <w:rsid w:val="00FE5AF0"/>
    <w:rsid w:val="00FE68F4"/>
    <w:rsid w:val="00FF0940"/>
    <w:rsid w:val="00FF0A12"/>
    <w:rsid w:val="00FF0A67"/>
    <w:rsid w:val="00FF0CC2"/>
    <w:rsid w:val="00FF1113"/>
    <w:rsid w:val="00FF1342"/>
    <w:rsid w:val="00FF21A7"/>
    <w:rsid w:val="00FF2855"/>
    <w:rsid w:val="00FF2947"/>
    <w:rsid w:val="00FF35E5"/>
    <w:rsid w:val="00FF5560"/>
    <w:rsid w:val="00FF589C"/>
    <w:rsid w:val="00FF6D6D"/>
    <w:rsid w:val="00FF70C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D10"/>
  </w:style>
  <w:style w:type="paragraph" w:styleId="Heading1">
    <w:name w:val="heading 1"/>
    <w:basedOn w:val="ListParagraph"/>
    <w:next w:val="Normal"/>
    <w:link w:val="Heading1Char"/>
    <w:uiPriority w:val="9"/>
    <w:rsid w:val="00B94D10"/>
    <w:pPr>
      <w:spacing w:before="480" w:after="240" w:line="240" w:lineRule="auto"/>
      <w:ind w:left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94D10"/>
    <w:pPr>
      <w:keepNext/>
      <w:keepLines/>
      <w:autoSpaceDE w:val="0"/>
      <w:autoSpaceDN w:val="0"/>
      <w:adjustRightInd w:val="0"/>
      <w:spacing w:before="360" w:after="240" w:line="240" w:lineRule="auto"/>
      <w:outlineLvl w:val="1"/>
    </w:pPr>
    <w:rPr>
      <w:rFonts w:cstheme="minorHAns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C6"/>
    <w:pPr>
      <w:ind w:left="720"/>
      <w:contextualSpacing/>
    </w:pPr>
  </w:style>
  <w:style w:type="table" w:styleId="TableGrid">
    <w:name w:val="Table Grid"/>
    <w:basedOn w:val="TableNormal"/>
    <w:uiPriority w:val="59"/>
    <w:rsid w:val="00077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SE4ALLbodycopy">
    <w:name w:val="SE4ALL body copy"/>
    <w:basedOn w:val="Normal"/>
    <w:rsid w:val="00B94D10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B94D10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4D10"/>
    <w:rPr>
      <w:rFonts w:cstheme="minorHAnsi"/>
      <w:b/>
      <w:i/>
      <w:color w:val="000000"/>
      <w:sz w:val="24"/>
    </w:rPr>
  </w:style>
  <w:style w:type="paragraph" w:customStyle="1" w:styleId="SE4ALLboxtext">
    <w:name w:val="SE4ALL box text"/>
    <w:basedOn w:val="Normal"/>
    <w:rsid w:val="00B94D10"/>
    <w:pPr>
      <w:autoSpaceDE w:val="0"/>
      <w:autoSpaceDN w:val="0"/>
      <w:adjustRightInd w:val="0"/>
      <w:spacing w:after="120" w:line="240" w:lineRule="auto"/>
      <w:outlineLvl w:val="0"/>
    </w:pPr>
    <w:rPr>
      <w:sz w:val="20"/>
    </w:rPr>
  </w:style>
  <w:style w:type="paragraph" w:customStyle="1" w:styleId="SE4ALLblockquote">
    <w:name w:val="SE4ALL block quote"/>
    <w:basedOn w:val="SE4ALLboxtext"/>
    <w:rsid w:val="00B94D10"/>
    <w:pPr>
      <w:ind w:left="720" w:right="720"/>
    </w:pPr>
  </w:style>
  <w:style w:type="paragraph" w:customStyle="1" w:styleId="SE4ALLboxbullets">
    <w:name w:val="SE4ALL box bullets"/>
    <w:basedOn w:val="ListParagraph"/>
    <w:rsid w:val="00B94D10"/>
    <w:pPr>
      <w:numPr>
        <w:ilvl w:val="1"/>
        <w:numId w:val="2"/>
      </w:numPr>
      <w:spacing w:after="120" w:line="240" w:lineRule="auto"/>
    </w:pPr>
    <w:rPr>
      <w:rFonts w:cstheme="minorHAnsi"/>
      <w:sz w:val="20"/>
    </w:rPr>
  </w:style>
  <w:style w:type="paragraph" w:customStyle="1" w:styleId="SE4ALLboxcaption">
    <w:name w:val="SE4ALL box caption"/>
    <w:basedOn w:val="Normal"/>
    <w:rsid w:val="00B94D10"/>
    <w:pPr>
      <w:spacing w:before="120" w:after="120" w:line="240" w:lineRule="auto"/>
      <w:jc w:val="both"/>
    </w:pPr>
    <w:rPr>
      <w:b/>
    </w:rPr>
  </w:style>
  <w:style w:type="paragraph" w:customStyle="1" w:styleId="SE4ALLchapterhead">
    <w:name w:val="SE4ALL chapter head"/>
    <w:basedOn w:val="Normal"/>
    <w:rsid w:val="00B94D10"/>
    <w:pPr>
      <w:spacing w:after="120"/>
      <w:jc w:val="center"/>
    </w:pPr>
    <w:rPr>
      <w:sz w:val="48"/>
      <w:szCs w:val="26"/>
    </w:rPr>
  </w:style>
  <w:style w:type="paragraph" w:customStyle="1" w:styleId="SE4ALLfigurecaption">
    <w:name w:val="SE4ALL figure caption"/>
    <w:basedOn w:val="Normal"/>
    <w:rsid w:val="00B94D10"/>
    <w:pPr>
      <w:keepNext/>
      <w:keepLines/>
      <w:spacing w:before="120" w:after="120" w:line="240" w:lineRule="auto"/>
      <w:jc w:val="center"/>
    </w:pPr>
    <w:rPr>
      <w:b/>
    </w:rPr>
  </w:style>
  <w:style w:type="paragraph" w:customStyle="1" w:styleId="SE4ALLtablewhitecolumnheads">
    <w:name w:val="SE4ALL table white column heads"/>
    <w:basedOn w:val="Normal"/>
    <w:rsid w:val="00B94D10"/>
    <w:pPr>
      <w:spacing w:before="40" w:after="40" w:line="240" w:lineRule="auto"/>
      <w:jc w:val="center"/>
    </w:pPr>
    <w:rPr>
      <w:b/>
      <w:color w:val="F2F2F2" w:themeColor="background1" w:themeShade="F2"/>
      <w:sz w:val="20"/>
      <w:szCs w:val="20"/>
    </w:rPr>
  </w:style>
  <w:style w:type="paragraph" w:customStyle="1" w:styleId="SE4ALLfiguresubcaption">
    <w:name w:val="SE4ALL figure subcaption"/>
    <w:basedOn w:val="SE4ALLtablewhitecolumnheads"/>
    <w:rsid w:val="00B94D10"/>
    <w:pPr>
      <w:spacing w:after="120"/>
    </w:pPr>
    <w:rPr>
      <w:rFonts w:eastAsia="Arial Unicode MS" w:cstheme="minorHAnsi"/>
      <w:bCs/>
      <w:color w:val="0070C0"/>
      <w:u w:color="000000"/>
    </w:rPr>
  </w:style>
  <w:style w:type="paragraph" w:customStyle="1" w:styleId="SE4ALLfootnotetext">
    <w:name w:val="SE4ALL footnote text"/>
    <w:basedOn w:val="FootnoteText"/>
    <w:rsid w:val="00B94D10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D1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D10"/>
    <w:rPr>
      <w:sz w:val="24"/>
      <w:szCs w:val="24"/>
    </w:rPr>
  </w:style>
  <w:style w:type="paragraph" w:customStyle="1" w:styleId="SE4ALLreferences">
    <w:name w:val="SE4ALL references"/>
    <w:basedOn w:val="SE4ALLbodycopy"/>
    <w:rsid w:val="00B94D10"/>
    <w:pPr>
      <w:spacing w:line="240" w:lineRule="auto"/>
      <w:ind w:left="720" w:hanging="720"/>
    </w:pPr>
    <w:rPr>
      <w:szCs w:val="18"/>
    </w:rPr>
  </w:style>
  <w:style w:type="paragraph" w:customStyle="1" w:styleId="SE4ALLsource">
    <w:name w:val="SE4ALL source"/>
    <w:basedOn w:val="Normal"/>
    <w:rsid w:val="00B143C0"/>
    <w:pPr>
      <w:spacing w:after="120"/>
      <w:contextualSpacing/>
    </w:pPr>
    <w:rPr>
      <w:rFonts w:ascii="Arial Narrow" w:hAnsi="Arial Narrow" w:cstheme="minorHAnsi"/>
      <w:sz w:val="18"/>
      <w:szCs w:val="20"/>
    </w:rPr>
  </w:style>
  <w:style w:type="paragraph" w:customStyle="1" w:styleId="SE4ALLtablecaption">
    <w:name w:val="SE4ALL table caption"/>
    <w:basedOn w:val="SE4ALLfigurecaption"/>
    <w:rsid w:val="00B94D10"/>
    <w:pPr>
      <w:jc w:val="left"/>
    </w:pPr>
  </w:style>
  <w:style w:type="paragraph" w:customStyle="1" w:styleId="SE4ALLtablestubs">
    <w:name w:val="SE4ALL table stubs"/>
    <w:basedOn w:val="Normal"/>
    <w:rsid w:val="00B94D10"/>
    <w:pPr>
      <w:spacing w:before="40" w:after="40" w:line="240" w:lineRule="auto"/>
    </w:pPr>
    <w:rPr>
      <w:color w:val="F2F2F2" w:themeColor="background1" w:themeShade="F2"/>
      <w:sz w:val="20"/>
      <w:szCs w:val="18"/>
    </w:rPr>
  </w:style>
  <w:style w:type="paragraph" w:customStyle="1" w:styleId="SE4ALLtabletext">
    <w:name w:val="SE4ALL table text"/>
    <w:basedOn w:val="Normal"/>
    <w:rsid w:val="00961B15"/>
    <w:pPr>
      <w:spacing w:before="40" w:after="40" w:line="240" w:lineRule="auto"/>
    </w:pPr>
    <w:rPr>
      <w:rFonts w:ascii="Arial Narrow" w:hAnsi="Arial Narrow"/>
      <w:sz w:val="18"/>
    </w:rPr>
  </w:style>
  <w:style w:type="paragraph" w:styleId="Header">
    <w:name w:val="header"/>
    <w:basedOn w:val="Normal"/>
    <w:link w:val="HeaderChar"/>
    <w:uiPriority w:val="99"/>
    <w:unhideWhenUsed/>
    <w:rsid w:val="00095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62"/>
  </w:style>
  <w:style w:type="paragraph" w:styleId="Footer">
    <w:name w:val="footer"/>
    <w:basedOn w:val="Normal"/>
    <w:link w:val="FooterChar"/>
    <w:uiPriority w:val="99"/>
    <w:unhideWhenUsed/>
    <w:rsid w:val="00095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62"/>
  </w:style>
  <w:style w:type="character" w:styleId="PageNumber">
    <w:name w:val="page number"/>
    <w:basedOn w:val="DefaultParagraphFont"/>
    <w:uiPriority w:val="99"/>
    <w:semiHidden/>
    <w:unhideWhenUsed/>
    <w:rsid w:val="00095C62"/>
  </w:style>
  <w:style w:type="character" w:styleId="FootnoteReference">
    <w:name w:val="footnote reference"/>
    <w:basedOn w:val="DefaultParagraphFont"/>
    <w:uiPriority w:val="99"/>
    <w:semiHidden/>
    <w:unhideWhenUsed/>
    <w:rsid w:val="00304C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2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9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D10"/>
  </w:style>
  <w:style w:type="paragraph" w:styleId="Heading1">
    <w:name w:val="heading 1"/>
    <w:basedOn w:val="ListParagraph"/>
    <w:next w:val="Normal"/>
    <w:link w:val="Heading1Char"/>
    <w:uiPriority w:val="9"/>
    <w:rsid w:val="00B94D10"/>
    <w:pPr>
      <w:spacing w:before="480" w:after="240" w:line="240" w:lineRule="auto"/>
      <w:ind w:left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94D10"/>
    <w:pPr>
      <w:keepNext/>
      <w:keepLines/>
      <w:autoSpaceDE w:val="0"/>
      <w:autoSpaceDN w:val="0"/>
      <w:adjustRightInd w:val="0"/>
      <w:spacing w:before="360" w:after="240" w:line="240" w:lineRule="auto"/>
      <w:outlineLvl w:val="1"/>
    </w:pPr>
    <w:rPr>
      <w:rFonts w:cstheme="minorHAns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C6"/>
    <w:pPr>
      <w:ind w:left="720"/>
      <w:contextualSpacing/>
    </w:pPr>
  </w:style>
  <w:style w:type="table" w:styleId="TableGrid">
    <w:name w:val="Table Grid"/>
    <w:basedOn w:val="TableNormal"/>
    <w:uiPriority w:val="59"/>
    <w:rsid w:val="00077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SE4ALLbodycopy">
    <w:name w:val="SE4ALL body copy"/>
    <w:basedOn w:val="Normal"/>
    <w:rsid w:val="00B94D10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B94D10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4D10"/>
    <w:rPr>
      <w:rFonts w:cstheme="minorHAnsi"/>
      <w:b/>
      <w:i/>
      <w:color w:val="000000"/>
      <w:sz w:val="24"/>
    </w:rPr>
  </w:style>
  <w:style w:type="paragraph" w:customStyle="1" w:styleId="SE4ALLboxtext">
    <w:name w:val="SE4ALL box text"/>
    <w:basedOn w:val="Normal"/>
    <w:rsid w:val="00B94D10"/>
    <w:pPr>
      <w:autoSpaceDE w:val="0"/>
      <w:autoSpaceDN w:val="0"/>
      <w:adjustRightInd w:val="0"/>
      <w:spacing w:after="120" w:line="240" w:lineRule="auto"/>
      <w:outlineLvl w:val="0"/>
    </w:pPr>
    <w:rPr>
      <w:sz w:val="20"/>
    </w:rPr>
  </w:style>
  <w:style w:type="paragraph" w:customStyle="1" w:styleId="SE4ALLblockquote">
    <w:name w:val="SE4ALL block quote"/>
    <w:basedOn w:val="SE4ALLboxtext"/>
    <w:rsid w:val="00B94D10"/>
    <w:pPr>
      <w:ind w:left="720" w:right="720"/>
    </w:pPr>
  </w:style>
  <w:style w:type="paragraph" w:customStyle="1" w:styleId="SE4ALLboxbullets">
    <w:name w:val="SE4ALL box bullets"/>
    <w:basedOn w:val="ListParagraph"/>
    <w:rsid w:val="00B94D10"/>
    <w:pPr>
      <w:numPr>
        <w:ilvl w:val="1"/>
        <w:numId w:val="2"/>
      </w:numPr>
      <w:spacing w:after="120" w:line="240" w:lineRule="auto"/>
    </w:pPr>
    <w:rPr>
      <w:rFonts w:cstheme="minorHAnsi"/>
      <w:sz w:val="20"/>
    </w:rPr>
  </w:style>
  <w:style w:type="paragraph" w:customStyle="1" w:styleId="SE4ALLboxcaption">
    <w:name w:val="SE4ALL box caption"/>
    <w:basedOn w:val="Normal"/>
    <w:rsid w:val="00B94D10"/>
    <w:pPr>
      <w:spacing w:before="120" w:after="120" w:line="240" w:lineRule="auto"/>
      <w:jc w:val="both"/>
    </w:pPr>
    <w:rPr>
      <w:b/>
    </w:rPr>
  </w:style>
  <w:style w:type="paragraph" w:customStyle="1" w:styleId="SE4ALLchapterhead">
    <w:name w:val="SE4ALL chapter head"/>
    <w:basedOn w:val="Normal"/>
    <w:rsid w:val="00B94D10"/>
    <w:pPr>
      <w:spacing w:after="120"/>
      <w:jc w:val="center"/>
    </w:pPr>
    <w:rPr>
      <w:sz w:val="48"/>
      <w:szCs w:val="26"/>
    </w:rPr>
  </w:style>
  <w:style w:type="paragraph" w:customStyle="1" w:styleId="SE4ALLfigurecaption">
    <w:name w:val="SE4ALL figure caption"/>
    <w:basedOn w:val="Normal"/>
    <w:rsid w:val="00B94D10"/>
    <w:pPr>
      <w:keepNext/>
      <w:keepLines/>
      <w:spacing w:before="120" w:after="120" w:line="240" w:lineRule="auto"/>
      <w:jc w:val="center"/>
    </w:pPr>
    <w:rPr>
      <w:b/>
    </w:rPr>
  </w:style>
  <w:style w:type="paragraph" w:customStyle="1" w:styleId="SE4ALLtablewhitecolumnheads">
    <w:name w:val="SE4ALL table white column heads"/>
    <w:basedOn w:val="Normal"/>
    <w:rsid w:val="00B94D10"/>
    <w:pPr>
      <w:spacing w:before="40" w:after="40" w:line="240" w:lineRule="auto"/>
      <w:jc w:val="center"/>
    </w:pPr>
    <w:rPr>
      <w:b/>
      <w:color w:val="F2F2F2" w:themeColor="background1" w:themeShade="F2"/>
      <w:sz w:val="20"/>
      <w:szCs w:val="20"/>
    </w:rPr>
  </w:style>
  <w:style w:type="paragraph" w:customStyle="1" w:styleId="SE4ALLfiguresubcaption">
    <w:name w:val="SE4ALL figure subcaption"/>
    <w:basedOn w:val="SE4ALLtablewhitecolumnheads"/>
    <w:rsid w:val="00B94D10"/>
    <w:pPr>
      <w:spacing w:after="120"/>
    </w:pPr>
    <w:rPr>
      <w:rFonts w:eastAsia="Arial Unicode MS" w:cstheme="minorHAnsi"/>
      <w:bCs/>
      <w:color w:val="0070C0"/>
      <w:u w:color="000000"/>
    </w:rPr>
  </w:style>
  <w:style w:type="paragraph" w:customStyle="1" w:styleId="SE4ALLfootnotetext">
    <w:name w:val="SE4ALL footnote text"/>
    <w:basedOn w:val="FootnoteText"/>
    <w:rsid w:val="00B94D10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D1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D10"/>
    <w:rPr>
      <w:sz w:val="24"/>
      <w:szCs w:val="24"/>
    </w:rPr>
  </w:style>
  <w:style w:type="paragraph" w:customStyle="1" w:styleId="SE4ALLreferences">
    <w:name w:val="SE4ALL references"/>
    <w:basedOn w:val="SE4ALLbodycopy"/>
    <w:rsid w:val="00B94D10"/>
    <w:pPr>
      <w:spacing w:line="240" w:lineRule="auto"/>
      <w:ind w:left="720" w:hanging="720"/>
    </w:pPr>
    <w:rPr>
      <w:szCs w:val="18"/>
    </w:rPr>
  </w:style>
  <w:style w:type="paragraph" w:customStyle="1" w:styleId="SE4ALLsource">
    <w:name w:val="SE4ALL source"/>
    <w:basedOn w:val="Normal"/>
    <w:rsid w:val="00B143C0"/>
    <w:pPr>
      <w:spacing w:after="120"/>
      <w:contextualSpacing/>
    </w:pPr>
    <w:rPr>
      <w:rFonts w:ascii="Arial Narrow" w:hAnsi="Arial Narrow" w:cstheme="minorHAnsi"/>
      <w:sz w:val="18"/>
      <w:szCs w:val="20"/>
    </w:rPr>
  </w:style>
  <w:style w:type="paragraph" w:customStyle="1" w:styleId="SE4ALLtablecaption">
    <w:name w:val="SE4ALL table caption"/>
    <w:basedOn w:val="SE4ALLfigurecaption"/>
    <w:rsid w:val="00B94D10"/>
    <w:pPr>
      <w:jc w:val="left"/>
    </w:pPr>
  </w:style>
  <w:style w:type="paragraph" w:customStyle="1" w:styleId="SE4ALLtablestubs">
    <w:name w:val="SE4ALL table stubs"/>
    <w:basedOn w:val="Normal"/>
    <w:rsid w:val="00B94D10"/>
    <w:pPr>
      <w:spacing w:before="40" w:after="40" w:line="240" w:lineRule="auto"/>
    </w:pPr>
    <w:rPr>
      <w:color w:val="F2F2F2" w:themeColor="background1" w:themeShade="F2"/>
      <w:sz w:val="20"/>
      <w:szCs w:val="18"/>
    </w:rPr>
  </w:style>
  <w:style w:type="paragraph" w:customStyle="1" w:styleId="SE4ALLtabletext">
    <w:name w:val="SE4ALL table text"/>
    <w:basedOn w:val="Normal"/>
    <w:rsid w:val="00961B15"/>
    <w:pPr>
      <w:spacing w:before="40" w:after="40" w:line="240" w:lineRule="auto"/>
    </w:pPr>
    <w:rPr>
      <w:rFonts w:ascii="Arial Narrow" w:hAnsi="Arial Narrow"/>
      <w:sz w:val="18"/>
    </w:rPr>
  </w:style>
  <w:style w:type="paragraph" w:styleId="Header">
    <w:name w:val="header"/>
    <w:basedOn w:val="Normal"/>
    <w:link w:val="HeaderChar"/>
    <w:uiPriority w:val="99"/>
    <w:unhideWhenUsed/>
    <w:rsid w:val="00095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62"/>
  </w:style>
  <w:style w:type="paragraph" w:styleId="Footer">
    <w:name w:val="footer"/>
    <w:basedOn w:val="Normal"/>
    <w:link w:val="FooterChar"/>
    <w:uiPriority w:val="99"/>
    <w:unhideWhenUsed/>
    <w:rsid w:val="00095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62"/>
  </w:style>
  <w:style w:type="character" w:styleId="PageNumber">
    <w:name w:val="page number"/>
    <w:basedOn w:val="DefaultParagraphFont"/>
    <w:uiPriority w:val="99"/>
    <w:semiHidden/>
    <w:unhideWhenUsed/>
    <w:rsid w:val="00095C62"/>
  </w:style>
  <w:style w:type="character" w:styleId="FootnoteReference">
    <w:name w:val="footnote reference"/>
    <w:basedOn w:val="DefaultParagraphFont"/>
    <w:uiPriority w:val="99"/>
    <w:semiHidden/>
    <w:unhideWhenUsed/>
    <w:rsid w:val="00304C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2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Drive52A\HQ-Private4\wb380984\Home\ENERGY\SE4ALL\ANALYSIS\REPORT\FIGURES%20Executive%20Summary%20and%20Overvie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Drive52A\HQ-Private4\wb400704\Home\RE%20chapter\Section%202_4%20Charts_Updated_v2TJ_1990-2010%20Perio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Drive52A\HQ-Private4\wb400704\Home\RE%20chapter\Section%202_4%20Charts_Updated_v2TJ_1990-2010%20Perio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1644921327839202"/>
          <c:y val="6.0804534849810785E-2"/>
          <c:w val="0.51732745842002914"/>
          <c:h val="0.8783909303003816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'[FIGURES Executive Summary and Overview.xlsx]Executive Summary'!$B$5:$B$24</c:f>
              <c:strCache>
                <c:ptCount val="20"/>
                <c:pt idx="0">
                  <c:v>India</c:v>
                </c:pt>
                <c:pt idx="1">
                  <c:v>Nigeria</c:v>
                </c:pt>
                <c:pt idx="2">
                  <c:v>Bangladesh</c:v>
                </c:pt>
                <c:pt idx="3">
                  <c:v>Ethiopia</c:v>
                </c:pt>
                <c:pt idx="4">
                  <c:v>Congo, DR</c:v>
                </c:pt>
                <c:pt idx="5">
                  <c:v>Tanzania</c:v>
                </c:pt>
                <c:pt idx="6">
                  <c:v>Kenya</c:v>
                </c:pt>
                <c:pt idx="7">
                  <c:v>Sudan</c:v>
                </c:pt>
                <c:pt idx="8">
                  <c:v>Uganda</c:v>
                </c:pt>
                <c:pt idx="9">
                  <c:v>Myanmar</c:v>
                </c:pt>
                <c:pt idx="10">
                  <c:v>Mozambique</c:v>
                </c:pt>
                <c:pt idx="11">
                  <c:v>Afghanistan</c:v>
                </c:pt>
                <c:pt idx="12">
                  <c:v>Korea, DR</c:v>
                </c:pt>
                <c:pt idx="13">
                  <c:v>Madagascar</c:v>
                </c:pt>
                <c:pt idx="14">
                  <c:v>Philippines</c:v>
                </c:pt>
                <c:pt idx="15">
                  <c:v>Pakistan</c:v>
                </c:pt>
                <c:pt idx="16">
                  <c:v>Burkina Faso</c:v>
                </c:pt>
                <c:pt idx="17">
                  <c:v>Niger</c:v>
                </c:pt>
                <c:pt idx="18">
                  <c:v>Indonesia</c:v>
                </c:pt>
                <c:pt idx="19">
                  <c:v>Malawi</c:v>
                </c:pt>
              </c:strCache>
            </c:strRef>
          </c:cat>
          <c:val>
            <c:numRef>
              <c:f>'[FIGURES Executive Summary and Overview.xlsx]Executive Summary'!$C$5:$C$24</c:f>
              <c:numCache>
                <c:formatCode>0.0</c:formatCode>
                <c:ptCount val="20"/>
                <c:pt idx="0">
                  <c:v>306.15358174999994</c:v>
                </c:pt>
                <c:pt idx="1">
                  <c:v>82.380054639999983</c:v>
                </c:pt>
                <c:pt idx="2">
                  <c:v>66.614074688000215</c:v>
                </c:pt>
                <c:pt idx="3">
                  <c:v>63.871146569999944</c:v>
                </c:pt>
                <c:pt idx="4">
                  <c:v>55.93899416</c:v>
                </c:pt>
                <c:pt idx="5">
                  <c:v>38.204724551999995</c:v>
                </c:pt>
                <c:pt idx="6">
                  <c:v>31.194765140000055</c:v>
                </c:pt>
                <c:pt idx="7">
                  <c:v>30.921878110000058</c:v>
                </c:pt>
                <c:pt idx="8">
                  <c:v>28.54467928199993</c:v>
                </c:pt>
                <c:pt idx="9">
                  <c:v>24.557062144000035</c:v>
                </c:pt>
                <c:pt idx="10">
                  <c:v>19.882150249999953</c:v>
                </c:pt>
                <c:pt idx="11">
                  <c:v>18.53292837</c:v>
                </c:pt>
                <c:pt idx="12">
                  <c:v>18.016209459999999</c:v>
                </c:pt>
                <c:pt idx="13">
                  <c:v>17.751742882999903</c:v>
                </c:pt>
                <c:pt idx="14">
                  <c:v>15.574553266000002</c:v>
                </c:pt>
                <c:pt idx="15">
                  <c:v>14.981108952900001</c:v>
                </c:pt>
                <c:pt idx="16">
                  <c:v>14.311312465999999</c:v>
                </c:pt>
                <c:pt idx="17">
                  <c:v>14.069341371</c:v>
                </c:pt>
                <c:pt idx="18">
                  <c:v>14.032449814500026</c:v>
                </c:pt>
                <c:pt idx="19">
                  <c:v>13.604467833000006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158597120"/>
        <c:axId val="158598656"/>
      </c:barChart>
      <c:catAx>
        <c:axId val="158597120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58598656"/>
        <c:crosses val="autoZero"/>
        <c:auto val="1"/>
        <c:lblAlgn val="ctr"/>
        <c:lblOffset val="100"/>
        <c:tickLblSkip val="1"/>
        <c:noMultiLvlLbl val="0"/>
      </c:catAx>
      <c:valAx>
        <c:axId val="158598656"/>
        <c:scaling>
          <c:orientation val="minMax"/>
        </c:scaling>
        <c:delete val="1"/>
        <c:axPos val="t"/>
        <c:numFmt formatCode="0.0" sourceLinked="1"/>
        <c:majorTickMark val="out"/>
        <c:minorTickMark val="none"/>
        <c:tickLblPos val="none"/>
        <c:crossAx val="158597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171691621449102"/>
          <c:y val="6.0804534849811173E-2"/>
          <c:w val="0.50351053268600499"/>
          <c:h val="0.8783909303003862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6B1D2"/>
            </a:solidFill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Sheet5!$U$80:$U$99</c:f>
              <c:strCache>
                <c:ptCount val="20"/>
                <c:pt idx="0">
                  <c:v>India</c:v>
                </c:pt>
                <c:pt idx="1">
                  <c:v>China</c:v>
                </c:pt>
                <c:pt idx="2">
                  <c:v>Bangladesh</c:v>
                </c:pt>
                <c:pt idx="3">
                  <c:v>Indonesia</c:v>
                </c:pt>
                <c:pt idx="4">
                  <c:v>Nigeria</c:v>
                </c:pt>
                <c:pt idx="5">
                  <c:v>Pakistan</c:v>
                </c:pt>
                <c:pt idx="6">
                  <c:v>Ethiopia</c:v>
                </c:pt>
                <c:pt idx="7">
                  <c:v>Congo, DR</c:v>
                </c:pt>
                <c:pt idx="8">
                  <c:v>Vietnam</c:v>
                </c:pt>
                <c:pt idx="9">
                  <c:v>Philippines</c:v>
                </c:pt>
                <c:pt idx="10">
                  <c:v>Myanmar</c:v>
                </c:pt>
                <c:pt idx="11">
                  <c:v>Tanzania</c:v>
                </c:pt>
                <c:pt idx="12">
                  <c:v>Sudan</c:v>
                </c:pt>
                <c:pt idx="13">
                  <c:v>Kenya</c:v>
                </c:pt>
                <c:pt idx="14">
                  <c:v>Uganda</c:v>
                </c:pt>
                <c:pt idx="15">
                  <c:v>Afghanistan</c:v>
                </c:pt>
                <c:pt idx="16">
                  <c:v>Nepal</c:v>
                </c:pt>
                <c:pt idx="17">
                  <c:v>Mozambique</c:v>
                </c:pt>
                <c:pt idx="18">
                  <c:v>Korea, DR</c:v>
                </c:pt>
                <c:pt idx="19">
                  <c:v>Ghana</c:v>
                </c:pt>
              </c:strCache>
            </c:strRef>
          </c:cat>
          <c:val>
            <c:numRef>
              <c:f>Sheet5!$V$80:$V$99</c:f>
              <c:numCache>
                <c:formatCode>_(* #,##0_);_(* \(#,##0\);_(* "-"??_);_(@_)</c:formatCode>
                <c:ptCount val="20"/>
                <c:pt idx="0">
                  <c:v>705</c:v>
                </c:pt>
                <c:pt idx="1">
                  <c:v>612.79999999999995</c:v>
                </c:pt>
                <c:pt idx="2">
                  <c:v>134.9</c:v>
                </c:pt>
                <c:pt idx="3">
                  <c:v>131.19999999999999</c:v>
                </c:pt>
                <c:pt idx="4">
                  <c:v>117.8</c:v>
                </c:pt>
                <c:pt idx="5">
                  <c:v>110.8</c:v>
                </c:pt>
                <c:pt idx="6">
                  <c:v>81.099999999999994</c:v>
                </c:pt>
                <c:pt idx="7">
                  <c:v>61.3</c:v>
                </c:pt>
                <c:pt idx="8">
                  <c:v>49.4</c:v>
                </c:pt>
                <c:pt idx="9">
                  <c:v>46.2</c:v>
                </c:pt>
                <c:pt idx="10">
                  <c:v>44</c:v>
                </c:pt>
                <c:pt idx="11">
                  <c:v>42.3</c:v>
                </c:pt>
                <c:pt idx="12">
                  <c:v>34.6</c:v>
                </c:pt>
                <c:pt idx="13">
                  <c:v>32.6</c:v>
                </c:pt>
                <c:pt idx="14">
                  <c:v>32.200000000000003</c:v>
                </c:pt>
                <c:pt idx="15">
                  <c:v>26.7</c:v>
                </c:pt>
                <c:pt idx="16">
                  <c:v>24.6</c:v>
                </c:pt>
                <c:pt idx="17">
                  <c:v>22.2</c:v>
                </c:pt>
                <c:pt idx="18">
                  <c:v>22.2</c:v>
                </c:pt>
                <c:pt idx="19">
                  <c:v>20.399999999999999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158635520"/>
        <c:axId val="158637056"/>
      </c:barChart>
      <c:catAx>
        <c:axId val="158635520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58637056"/>
        <c:crosses val="autoZero"/>
        <c:auto val="1"/>
        <c:lblAlgn val="ctr"/>
        <c:lblOffset val="100"/>
        <c:tickLblSkip val="1"/>
        <c:noMultiLvlLbl val="0"/>
      </c:catAx>
      <c:valAx>
        <c:axId val="158637056"/>
        <c:scaling>
          <c:orientation val="minMax"/>
        </c:scaling>
        <c:delete val="1"/>
        <c:axPos val="t"/>
        <c:numFmt formatCode="_(* #,##0_);_(* \(#,##0\);_(* &quot;-&quot;??_);_(@_)" sourceLinked="1"/>
        <c:majorTickMark val="out"/>
        <c:minorTickMark val="none"/>
        <c:tickLblPos val="none"/>
        <c:crossAx val="15863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499848352360438"/>
          <c:y val="6.0804534849811173E-2"/>
          <c:w val="0.60022901282418695"/>
          <c:h val="0.8783909303003862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Sheet5!$U$102:$U$121</c:f>
              <c:strCache>
                <c:ptCount val="20"/>
                <c:pt idx="0">
                  <c:v>China</c:v>
                </c:pt>
                <c:pt idx="1">
                  <c:v>USA</c:v>
                </c:pt>
                <c:pt idx="2">
                  <c:v>Russia</c:v>
                </c:pt>
                <c:pt idx="3">
                  <c:v>India</c:v>
                </c:pt>
                <c:pt idx="4">
                  <c:v>Japan</c:v>
                </c:pt>
                <c:pt idx="5">
                  <c:v>Germany</c:v>
                </c:pt>
                <c:pt idx="6">
                  <c:v>Brazil</c:v>
                </c:pt>
                <c:pt idx="7">
                  <c:v>France</c:v>
                </c:pt>
                <c:pt idx="8">
                  <c:v>Canada</c:v>
                </c:pt>
                <c:pt idx="9">
                  <c:v>S. Korea</c:v>
                </c:pt>
                <c:pt idx="10">
                  <c:v>Iran</c:v>
                </c:pt>
                <c:pt idx="11">
                  <c:v>Indonesia</c:v>
                </c:pt>
                <c:pt idx="12">
                  <c:v>UK</c:v>
                </c:pt>
                <c:pt idx="13">
                  <c:v>Mexico</c:v>
                </c:pt>
                <c:pt idx="14">
                  <c:v>Italy</c:v>
                </c:pt>
                <c:pt idx="15">
                  <c:v>S. Arabia</c:v>
                </c:pt>
                <c:pt idx="16">
                  <c:v>S. Africa</c:v>
                </c:pt>
                <c:pt idx="17">
                  <c:v>Ukraine</c:v>
                </c:pt>
                <c:pt idx="18">
                  <c:v>Spain</c:v>
                </c:pt>
                <c:pt idx="19">
                  <c:v>Australia</c:v>
                </c:pt>
              </c:strCache>
            </c:strRef>
          </c:cat>
          <c:val>
            <c:numRef>
              <c:f>Sheet5!$V$102:$V$121</c:f>
              <c:numCache>
                <c:formatCode>_(* #,##0_);_(* \(#,##0\);_(* "-"??_);_(@_)</c:formatCode>
                <c:ptCount val="20"/>
                <c:pt idx="0">
                  <c:v>107.4</c:v>
                </c:pt>
                <c:pt idx="1">
                  <c:v>92.8</c:v>
                </c:pt>
                <c:pt idx="2">
                  <c:v>29.4</c:v>
                </c:pt>
                <c:pt idx="3">
                  <c:v>29</c:v>
                </c:pt>
                <c:pt idx="4">
                  <c:v>20.8</c:v>
                </c:pt>
                <c:pt idx="5">
                  <c:v>13.7</c:v>
                </c:pt>
                <c:pt idx="6">
                  <c:v>11.1</c:v>
                </c:pt>
                <c:pt idx="7">
                  <c:v>11</c:v>
                </c:pt>
                <c:pt idx="8">
                  <c:v>10.5</c:v>
                </c:pt>
                <c:pt idx="9">
                  <c:v>10.5</c:v>
                </c:pt>
                <c:pt idx="10">
                  <c:v>8.7000000000000011</c:v>
                </c:pt>
                <c:pt idx="11">
                  <c:v>8.7000000000000011</c:v>
                </c:pt>
                <c:pt idx="12">
                  <c:v>8.5</c:v>
                </c:pt>
                <c:pt idx="13">
                  <c:v>7.5</c:v>
                </c:pt>
                <c:pt idx="14">
                  <c:v>7.1</c:v>
                </c:pt>
                <c:pt idx="15">
                  <c:v>7.1</c:v>
                </c:pt>
                <c:pt idx="16">
                  <c:v>5.7</c:v>
                </c:pt>
                <c:pt idx="17">
                  <c:v>5.5</c:v>
                </c:pt>
                <c:pt idx="18">
                  <c:v>5.3</c:v>
                </c:pt>
                <c:pt idx="19">
                  <c:v>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158653056"/>
        <c:axId val="163709312"/>
      </c:barChart>
      <c:catAx>
        <c:axId val="158653056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63709312"/>
        <c:crosses val="autoZero"/>
        <c:auto val="1"/>
        <c:lblAlgn val="ctr"/>
        <c:lblOffset val="100"/>
        <c:tickLblSkip val="1"/>
        <c:noMultiLvlLbl val="0"/>
      </c:catAx>
      <c:valAx>
        <c:axId val="163709312"/>
        <c:scaling>
          <c:orientation val="minMax"/>
        </c:scaling>
        <c:delete val="1"/>
        <c:axPos val="t"/>
        <c:numFmt formatCode="_(* #,##0_);_(* \(#,##0\);_(* &quot;-&quot;??_);_(@_)" sourceLinked="1"/>
        <c:majorTickMark val="out"/>
        <c:minorTickMark val="none"/>
        <c:tickLblPos val="none"/>
        <c:crossAx val="158653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34121-2636-4630-AED7-B29F5DC6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2819</Words>
  <Characters>16071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wb159424</dc:creator>
  <cp:lastModifiedBy>Jurgita Campbell</cp:lastModifiedBy>
  <cp:revision>3</cp:revision>
  <dcterms:created xsi:type="dcterms:W3CDTF">2013-05-22T15:14:00Z</dcterms:created>
  <dcterms:modified xsi:type="dcterms:W3CDTF">2013-05-22T18:50:00Z</dcterms:modified>
</cp:coreProperties>
</file>