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3772" w14:paraId="5931D933" w14:textId="77777777" w:rsidTr="008E3772">
        <w:tc>
          <w:tcPr>
            <w:tcW w:w="9576" w:type="dxa"/>
          </w:tcPr>
          <w:p w14:paraId="1DFD8323" w14:textId="77777777" w:rsidR="008E3772" w:rsidRDefault="008E3772" w:rsidP="008E3772">
            <w:pPr>
              <w:jc w:val="center"/>
              <w:rPr>
                <w:b/>
                <w:bCs/>
              </w:rPr>
            </w:pPr>
            <w:r>
              <w:rPr>
                <w:b/>
                <w:bCs/>
              </w:rPr>
              <w:t>PROGRAM-FOR-RESULTS INFORMATION DOCUMENT (PID)</w:t>
            </w:r>
          </w:p>
          <w:p w14:paraId="219CA3B8" w14:textId="77777777" w:rsidR="008E3772" w:rsidRDefault="008E3772" w:rsidP="008E3772">
            <w:pPr>
              <w:jc w:val="center"/>
              <w:rPr>
                <w:b/>
                <w:bCs/>
              </w:rPr>
            </w:pPr>
            <w:r>
              <w:rPr>
                <w:b/>
                <w:bCs/>
              </w:rPr>
              <w:t>APPRAISAL STAGE</w:t>
            </w:r>
          </w:p>
          <w:p w14:paraId="114180B2" w14:textId="583259D7" w:rsidR="008E3772" w:rsidRDefault="008E3772" w:rsidP="008E3772">
            <w:pPr>
              <w:jc w:val="right"/>
            </w:pPr>
            <w:r w:rsidRPr="00C82216">
              <w:t>Report No.:</w:t>
            </w:r>
            <w:r w:rsidR="00141B80">
              <w:t xml:space="preserve"> 112853</w:t>
            </w:r>
            <w:bookmarkStart w:id="0" w:name="_GoBack"/>
            <w:bookmarkEnd w:id="0"/>
            <w:r w:rsidRPr="00DA1232">
              <w:rPr>
                <w:caps/>
                <w:color w:val="000000"/>
              </w:rPr>
              <w:t xml:space="preserve"> </w:t>
            </w:r>
          </w:p>
          <w:p w14:paraId="18F2DEA5" w14:textId="77777777" w:rsidR="008E3772" w:rsidRDefault="008E3772" w:rsidP="008E3772">
            <w:pPr>
              <w:jc w:val="center"/>
              <w:rPr>
                <w:b/>
                <w:bCs/>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827"/>
            </w:tblGrid>
            <w:tr w:rsidR="008E3772" w14:paraId="3DBD7840" w14:textId="77777777" w:rsidTr="008E3772">
              <w:tc>
                <w:tcPr>
                  <w:tcW w:w="3420" w:type="dxa"/>
                </w:tcPr>
                <w:p w14:paraId="38541956" w14:textId="77777777" w:rsidR="008E3772" w:rsidRDefault="008E3772" w:rsidP="00FE7848">
                  <w:pPr>
                    <w:rPr>
                      <w:b/>
                      <w:bCs/>
                    </w:rPr>
                  </w:pPr>
                  <w:r>
                    <w:rPr>
                      <w:b/>
                      <w:bCs/>
                    </w:rPr>
                    <w:t>Program Name</w:t>
                  </w:r>
                </w:p>
              </w:tc>
              <w:tc>
                <w:tcPr>
                  <w:tcW w:w="5827" w:type="dxa"/>
                </w:tcPr>
                <w:p w14:paraId="0D5CD754" w14:textId="77777777" w:rsidR="008E3772" w:rsidRPr="00985525" w:rsidRDefault="00FE7848" w:rsidP="00FE7848">
                  <w:pPr>
                    <w:ind w:right="-1039"/>
                    <w:rPr>
                      <w:rFonts w:asciiTheme="majorBidi" w:hAnsiTheme="majorBidi" w:cstheme="majorBidi"/>
                      <w:sz w:val="22"/>
                      <w:szCs w:val="22"/>
                    </w:rPr>
                  </w:pPr>
                  <w:r>
                    <w:rPr>
                      <w:rFonts w:asciiTheme="majorBidi" w:hAnsiTheme="majorBidi" w:cstheme="majorBidi"/>
                      <w:sz w:val="22"/>
                      <w:szCs w:val="22"/>
                    </w:rPr>
                    <w:t>Road Rehabilitation and Maintenance Program</w:t>
                  </w:r>
                </w:p>
              </w:tc>
            </w:tr>
            <w:tr w:rsidR="008E3772" w14:paraId="76BD28AB" w14:textId="77777777" w:rsidTr="008E3772">
              <w:tc>
                <w:tcPr>
                  <w:tcW w:w="3420" w:type="dxa"/>
                </w:tcPr>
                <w:p w14:paraId="28BAF4B6" w14:textId="77777777" w:rsidR="008E3772" w:rsidRDefault="008E3772" w:rsidP="00FE7848">
                  <w:pPr>
                    <w:rPr>
                      <w:b/>
                      <w:bCs/>
                    </w:rPr>
                  </w:pPr>
                  <w:r>
                    <w:rPr>
                      <w:b/>
                      <w:bCs/>
                    </w:rPr>
                    <w:t>Region</w:t>
                  </w:r>
                </w:p>
              </w:tc>
              <w:tc>
                <w:tcPr>
                  <w:tcW w:w="5827" w:type="dxa"/>
                </w:tcPr>
                <w:p w14:paraId="274AAC35" w14:textId="7A209EB2" w:rsidR="008E3772" w:rsidRPr="00985525" w:rsidRDefault="00FE7848" w:rsidP="004A6635">
                  <w:pPr>
                    <w:rPr>
                      <w:sz w:val="22"/>
                      <w:szCs w:val="22"/>
                    </w:rPr>
                  </w:pPr>
                  <w:r>
                    <w:rPr>
                      <w:sz w:val="22"/>
                      <w:szCs w:val="22"/>
                    </w:rPr>
                    <w:t>L</w:t>
                  </w:r>
                  <w:r w:rsidR="004A6635">
                    <w:rPr>
                      <w:sz w:val="22"/>
                      <w:szCs w:val="22"/>
                    </w:rPr>
                    <w:t>atina American and Caribbean</w:t>
                  </w:r>
                </w:p>
              </w:tc>
            </w:tr>
            <w:tr w:rsidR="008E3772" w14:paraId="052B2CC0" w14:textId="77777777" w:rsidTr="008E3772">
              <w:tc>
                <w:tcPr>
                  <w:tcW w:w="3420" w:type="dxa"/>
                </w:tcPr>
                <w:p w14:paraId="51CE29E5" w14:textId="77777777" w:rsidR="008E3772" w:rsidRDefault="008E3772" w:rsidP="00FE7848">
                  <w:pPr>
                    <w:rPr>
                      <w:b/>
                      <w:bCs/>
                    </w:rPr>
                  </w:pPr>
                  <w:r>
                    <w:rPr>
                      <w:b/>
                      <w:bCs/>
                    </w:rPr>
                    <w:t>Country</w:t>
                  </w:r>
                </w:p>
              </w:tc>
              <w:tc>
                <w:tcPr>
                  <w:tcW w:w="5827" w:type="dxa"/>
                </w:tcPr>
                <w:p w14:paraId="6D2A271B" w14:textId="77777777" w:rsidR="008E3772" w:rsidRPr="00985525" w:rsidRDefault="00FE7848" w:rsidP="00FE7848">
                  <w:pPr>
                    <w:rPr>
                      <w:sz w:val="22"/>
                      <w:szCs w:val="22"/>
                    </w:rPr>
                  </w:pPr>
                  <w:r>
                    <w:rPr>
                      <w:sz w:val="22"/>
                      <w:szCs w:val="22"/>
                    </w:rPr>
                    <w:t>Oriental Republic of Uruguay</w:t>
                  </w:r>
                </w:p>
              </w:tc>
            </w:tr>
            <w:tr w:rsidR="008E3772" w14:paraId="472E8EA9" w14:textId="77777777" w:rsidTr="008E3772">
              <w:tc>
                <w:tcPr>
                  <w:tcW w:w="3420" w:type="dxa"/>
                </w:tcPr>
                <w:p w14:paraId="646071A1" w14:textId="77777777" w:rsidR="008E3772" w:rsidRDefault="008E3772" w:rsidP="00FE7848">
                  <w:pPr>
                    <w:rPr>
                      <w:b/>
                      <w:bCs/>
                    </w:rPr>
                  </w:pPr>
                  <w:r>
                    <w:rPr>
                      <w:b/>
                      <w:bCs/>
                    </w:rPr>
                    <w:t>Sector</w:t>
                  </w:r>
                </w:p>
              </w:tc>
              <w:tc>
                <w:tcPr>
                  <w:tcW w:w="5827" w:type="dxa"/>
                </w:tcPr>
                <w:p w14:paraId="62F409F3" w14:textId="77777777" w:rsidR="008E3772" w:rsidRPr="00985525" w:rsidRDefault="00FE7848" w:rsidP="00FE7848">
                  <w:pPr>
                    <w:rPr>
                      <w:sz w:val="22"/>
                      <w:szCs w:val="22"/>
                    </w:rPr>
                  </w:pPr>
                  <w:r>
                    <w:rPr>
                      <w:sz w:val="22"/>
                      <w:szCs w:val="22"/>
                    </w:rPr>
                    <w:t>Transport</w:t>
                  </w:r>
                </w:p>
              </w:tc>
            </w:tr>
            <w:tr w:rsidR="008E3772" w14:paraId="74FE8830" w14:textId="77777777" w:rsidTr="008E3772">
              <w:tc>
                <w:tcPr>
                  <w:tcW w:w="3420" w:type="dxa"/>
                </w:tcPr>
                <w:p w14:paraId="6023CC00" w14:textId="77777777" w:rsidR="008E3772" w:rsidRDefault="008E3772" w:rsidP="00FE7848">
                  <w:pPr>
                    <w:rPr>
                      <w:b/>
                      <w:bCs/>
                    </w:rPr>
                  </w:pPr>
                  <w:r>
                    <w:rPr>
                      <w:b/>
                      <w:bCs/>
                    </w:rPr>
                    <w:t>Lending Instrument</w:t>
                  </w:r>
                </w:p>
              </w:tc>
              <w:tc>
                <w:tcPr>
                  <w:tcW w:w="5827" w:type="dxa"/>
                </w:tcPr>
                <w:p w14:paraId="5855F756" w14:textId="77777777" w:rsidR="008E3772" w:rsidRPr="00985525" w:rsidRDefault="008E3772" w:rsidP="00FE7848">
                  <w:pPr>
                    <w:rPr>
                      <w:sz w:val="22"/>
                      <w:szCs w:val="22"/>
                    </w:rPr>
                  </w:pPr>
                  <w:r>
                    <w:rPr>
                      <w:sz w:val="22"/>
                      <w:szCs w:val="22"/>
                    </w:rPr>
                    <w:t>Program for Results</w:t>
                  </w:r>
                  <w:r w:rsidR="00FE7848">
                    <w:rPr>
                      <w:sz w:val="22"/>
                      <w:szCs w:val="22"/>
                    </w:rPr>
                    <w:t>-Additional Financing</w:t>
                  </w:r>
                </w:p>
              </w:tc>
            </w:tr>
            <w:tr w:rsidR="008E3772" w14:paraId="275F377A" w14:textId="77777777" w:rsidTr="008E3772">
              <w:tc>
                <w:tcPr>
                  <w:tcW w:w="3420" w:type="dxa"/>
                </w:tcPr>
                <w:p w14:paraId="63BB937E" w14:textId="77777777" w:rsidR="008E3772" w:rsidRDefault="008E3772" w:rsidP="00FE7848">
                  <w:pPr>
                    <w:rPr>
                      <w:b/>
                      <w:bCs/>
                    </w:rPr>
                  </w:pPr>
                  <w:r>
                    <w:rPr>
                      <w:b/>
                      <w:bCs/>
                    </w:rPr>
                    <w:t>Program ID</w:t>
                  </w:r>
                </w:p>
              </w:tc>
              <w:tc>
                <w:tcPr>
                  <w:tcW w:w="5827" w:type="dxa"/>
                </w:tcPr>
                <w:p w14:paraId="2E1644EE" w14:textId="77777777" w:rsidR="008E3772" w:rsidRPr="00985525" w:rsidRDefault="00FE7848" w:rsidP="00FE7848">
                  <w:pPr>
                    <w:rPr>
                      <w:sz w:val="22"/>
                      <w:szCs w:val="22"/>
                    </w:rPr>
                  </w:pPr>
                  <w:r w:rsidRPr="00085A89">
                    <w:t>P162110</w:t>
                  </w:r>
                </w:p>
              </w:tc>
            </w:tr>
            <w:tr w:rsidR="008E3772" w14:paraId="5E350ADF" w14:textId="77777777" w:rsidTr="008E3772">
              <w:tc>
                <w:tcPr>
                  <w:tcW w:w="3420" w:type="dxa"/>
                </w:tcPr>
                <w:p w14:paraId="0AE01512" w14:textId="77777777" w:rsidR="008E3772" w:rsidRDefault="008E3772" w:rsidP="00FE7848">
                  <w:pPr>
                    <w:rPr>
                      <w:b/>
                      <w:bCs/>
                    </w:rPr>
                  </w:pPr>
                  <w:r>
                    <w:rPr>
                      <w:b/>
                      <w:bCs/>
                    </w:rPr>
                    <w:t>Parent Program ID</w:t>
                  </w:r>
                </w:p>
              </w:tc>
              <w:tc>
                <w:tcPr>
                  <w:tcW w:w="5827" w:type="dxa"/>
                </w:tcPr>
                <w:p w14:paraId="51950D88" w14:textId="77777777" w:rsidR="008E3772" w:rsidRPr="00985525" w:rsidRDefault="00FE7848" w:rsidP="00FE7848">
                  <w:pPr>
                    <w:rPr>
                      <w:sz w:val="22"/>
                      <w:szCs w:val="22"/>
                    </w:rPr>
                  </w:pPr>
                  <w:r w:rsidRPr="00F41339">
                    <w:t>P12</w:t>
                  </w:r>
                  <w:r>
                    <w:t>5803</w:t>
                  </w:r>
                </w:p>
              </w:tc>
            </w:tr>
            <w:tr w:rsidR="008E3772" w14:paraId="33FAD611" w14:textId="77777777" w:rsidTr="008E3772">
              <w:tc>
                <w:tcPr>
                  <w:tcW w:w="3420" w:type="dxa"/>
                  <w:tcBorders>
                    <w:bottom w:val="single" w:sz="4" w:space="0" w:color="auto"/>
                  </w:tcBorders>
                </w:tcPr>
                <w:p w14:paraId="33EEFF81" w14:textId="77777777" w:rsidR="008E3772" w:rsidRDefault="008E3772" w:rsidP="00FE7848">
                  <w:pPr>
                    <w:rPr>
                      <w:b/>
                      <w:bCs/>
                    </w:rPr>
                  </w:pPr>
                  <w:r>
                    <w:rPr>
                      <w:b/>
                      <w:bCs/>
                    </w:rPr>
                    <w:t>Borrower(s)</w:t>
                  </w:r>
                </w:p>
              </w:tc>
              <w:tc>
                <w:tcPr>
                  <w:tcW w:w="5827" w:type="dxa"/>
                  <w:tcBorders>
                    <w:bottom w:val="single" w:sz="4" w:space="0" w:color="auto"/>
                  </w:tcBorders>
                </w:tcPr>
                <w:p w14:paraId="72CCC051" w14:textId="77777777" w:rsidR="008E3772" w:rsidRPr="00985525" w:rsidRDefault="00FE7848" w:rsidP="00FE7848">
                  <w:pPr>
                    <w:rPr>
                      <w:sz w:val="22"/>
                      <w:szCs w:val="22"/>
                    </w:rPr>
                  </w:pPr>
                  <w:r w:rsidRPr="007F2225">
                    <w:rPr>
                      <w:sz w:val="22"/>
                      <w:szCs w:val="22"/>
                    </w:rPr>
                    <w:t>Oriental Republic of Uruguay</w:t>
                  </w:r>
                </w:p>
              </w:tc>
            </w:tr>
            <w:tr w:rsidR="008E3772" w14:paraId="0D3494D4" w14:textId="77777777" w:rsidTr="008E3772">
              <w:trPr>
                <w:cantSplit/>
                <w:trHeight w:val="140"/>
              </w:trPr>
              <w:tc>
                <w:tcPr>
                  <w:tcW w:w="3420" w:type="dxa"/>
                  <w:tcBorders>
                    <w:bottom w:val="nil"/>
                    <w:right w:val="single" w:sz="4" w:space="0" w:color="auto"/>
                  </w:tcBorders>
                </w:tcPr>
                <w:p w14:paraId="38F320B8" w14:textId="77777777" w:rsidR="008E3772" w:rsidRDefault="008E3772" w:rsidP="00FE7848">
                  <w:pPr>
                    <w:rPr>
                      <w:b/>
                      <w:bCs/>
                    </w:rPr>
                  </w:pPr>
                  <w:r>
                    <w:rPr>
                      <w:b/>
                      <w:bCs/>
                    </w:rPr>
                    <w:t>Implementing Agency</w:t>
                  </w:r>
                </w:p>
              </w:tc>
              <w:tc>
                <w:tcPr>
                  <w:tcW w:w="5827" w:type="dxa"/>
                  <w:tcBorders>
                    <w:top w:val="single" w:sz="4" w:space="0" w:color="auto"/>
                    <w:left w:val="single" w:sz="4" w:space="0" w:color="auto"/>
                    <w:bottom w:val="nil"/>
                    <w:right w:val="single" w:sz="4" w:space="0" w:color="auto"/>
                  </w:tcBorders>
                </w:tcPr>
                <w:p w14:paraId="623B04D0" w14:textId="77777777" w:rsidR="008E3772" w:rsidRPr="00985525" w:rsidRDefault="00FE7848" w:rsidP="00FE7848">
                  <w:pPr>
                    <w:rPr>
                      <w:sz w:val="22"/>
                      <w:szCs w:val="22"/>
                    </w:rPr>
                  </w:pPr>
                  <w:bookmarkStart w:id="1" w:name="IMPLEMENTINGAGENCY"/>
                  <w:bookmarkEnd w:id="1"/>
                  <w:r>
                    <w:rPr>
                      <w:sz w:val="22"/>
                      <w:szCs w:val="22"/>
                    </w:rPr>
                    <w:t>Ministry of Transport and Public Works</w:t>
                  </w:r>
                </w:p>
              </w:tc>
            </w:tr>
            <w:tr w:rsidR="008E3772" w14:paraId="320BBCD3" w14:textId="77777777" w:rsidTr="008E3772">
              <w:tc>
                <w:tcPr>
                  <w:tcW w:w="3420" w:type="dxa"/>
                </w:tcPr>
                <w:p w14:paraId="353E46C2" w14:textId="77777777" w:rsidR="008E3772" w:rsidRDefault="008E3772" w:rsidP="00FE7848">
                  <w:pPr>
                    <w:rPr>
                      <w:b/>
                      <w:bCs/>
                    </w:rPr>
                  </w:pPr>
                  <w:r>
                    <w:rPr>
                      <w:b/>
                      <w:bCs/>
                    </w:rPr>
                    <w:t>Date PID Prepared</w:t>
                  </w:r>
                </w:p>
              </w:tc>
              <w:tc>
                <w:tcPr>
                  <w:tcW w:w="5827" w:type="dxa"/>
                </w:tcPr>
                <w:p w14:paraId="312D4DBB" w14:textId="50750F0B" w:rsidR="008E3772" w:rsidRPr="00985525" w:rsidRDefault="004A6635" w:rsidP="00FE7848">
                  <w:pPr>
                    <w:rPr>
                      <w:sz w:val="22"/>
                      <w:szCs w:val="22"/>
                    </w:rPr>
                  </w:pPr>
                  <w:r>
                    <w:rPr>
                      <w:sz w:val="22"/>
                      <w:szCs w:val="22"/>
                    </w:rPr>
                    <w:t>February 14, 2017</w:t>
                  </w:r>
                </w:p>
              </w:tc>
            </w:tr>
            <w:tr w:rsidR="008E3772" w14:paraId="36C44BD6" w14:textId="77777777" w:rsidTr="008E3772">
              <w:tc>
                <w:tcPr>
                  <w:tcW w:w="3420" w:type="dxa"/>
                </w:tcPr>
                <w:p w14:paraId="0757C5D8" w14:textId="77777777" w:rsidR="008E3772" w:rsidRPr="008F0B46" w:rsidRDefault="008E3772" w:rsidP="00FE7848">
                  <w:pPr>
                    <w:rPr>
                      <w:b/>
                      <w:bCs/>
                    </w:rPr>
                  </w:pPr>
                  <w:r w:rsidRPr="00DE739D">
                    <w:rPr>
                      <w:b/>
                      <w:bCs/>
                    </w:rPr>
                    <w:t>Estimated Date of Appraisal Completion</w:t>
                  </w:r>
                </w:p>
              </w:tc>
              <w:tc>
                <w:tcPr>
                  <w:tcW w:w="5827" w:type="dxa"/>
                </w:tcPr>
                <w:p w14:paraId="4D4DA51E" w14:textId="2BFA0F99" w:rsidR="008E3772" w:rsidRPr="00985525" w:rsidRDefault="00816BC5" w:rsidP="004A6635">
                  <w:pPr>
                    <w:rPr>
                      <w:sz w:val="22"/>
                      <w:szCs w:val="22"/>
                    </w:rPr>
                  </w:pPr>
                  <w:r>
                    <w:rPr>
                      <w:sz w:val="22"/>
                      <w:szCs w:val="22"/>
                    </w:rPr>
                    <w:t xml:space="preserve">February </w:t>
                  </w:r>
                  <w:r w:rsidR="004A6635">
                    <w:rPr>
                      <w:sz w:val="22"/>
                      <w:szCs w:val="22"/>
                    </w:rPr>
                    <w:t>23</w:t>
                  </w:r>
                  <w:r>
                    <w:rPr>
                      <w:sz w:val="22"/>
                      <w:szCs w:val="22"/>
                    </w:rPr>
                    <w:t>, 2017</w:t>
                  </w:r>
                </w:p>
              </w:tc>
            </w:tr>
            <w:tr w:rsidR="008E3772" w14:paraId="40BE19F8" w14:textId="77777777" w:rsidTr="008E3772">
              <w:tc>
                <w:tcPr>
                  <w:tcW w:w="3420" w:type="dxa"/>
                </w:tcPr>
                <w:p w14:paraId="239E25B7" w14:textId="77777777" w:rsidR="008E3772" w:rsidRDefault="008E3772" w:rsidP="00FE7848">
                  <w:pPr>
                    <w:rPr>
                      <w:b/>
                      <w:bCs/>
                    </w:rPr>
                  </w:pPr>
                  <w:r>
                    <w:rPr>
                      <w:b/>
                      <w:bCs/>
                    </w:rPr>
                    <w:t>Estimated Date of Board Approval</w:t>
                  </w:r>
                </w:p>
              </w:tc>
              <w:tc>
                <w:tcPr>
                  <w:tcW w:w="5827" w:type="dxa"/>
                </w:tcPr>
                <w:p w14:paraId="05199036" w14:textId="4CD80658" w:rsidR="008E3772" w:rsidRPr="00985525" w:rsidRDefault="009448CE" w:rsidP="00FE7848">
                  <w:pPr>
                    <w:rPr>
                      <w:sz w:val="22"/>
                      <w:szCs w:val="22"/>
                    </w:rPr>
                  </w:pPr>
                  <w:r>
                    <w:rPr>
                      <w:sz w:val="22"/>
                      <w:szCs w:val="22"/>
                    </w:rPr>
                    <w:t>March 24, 2017</w:t>
                  </w:r>
                </w:p>
              </w:tc>
            </w:tr>
          </w:tbl>
          <w:p w14:paraId="57F71B54" w14:textId="77777777" w:rsidR="008E3772" w:rsidRDefault="008E3772" w:rsidP="008E3772"/>
          <w:p w14:paraId="669C879C" w14:textId="77777777" w:rsidR="00D22363" w:rsidRDefault="00D22363" w:rsidP="008E3772"/>
          <w:p w14:paraId="3DE0565C" w14:textId="77777777" w:rsidR="008E3772" w:rsidRDefault="008E3772" w:rsidP="008E3772">
            <w:pPr>
              <w:numPr>
                <w:ilvl w:val="0"/>
                <w:numId w:val="24"/>
              </w:numPr>
              <w:rPr>
                <w:b/>
              </w:rPr>
            </w:pPr>
            <w:r>
              <w:rPr>
                <w:b/>
              </w:rPr>
              <w:t>Country Context</w:t>
            </w:r>
          </w:p>
          <w:p w14:paraId="625DD007" w14:textId="6EE9EFFF" w:rsidR="00F35C04" w:rsidRDefault="004A6635" w:rsidP="00F35C04">
            <w:pPr>
              <w:pStyle w:val="NormalWeb"/>
              <w:jc w:val="both"/>
              <w:rPr>
                <w:rFonts w:ascii="Times New Roman" w:hAnsi="Times New Roman"/>
                <w:sz w:val="24"/>
                <w:szCs w:val="24"/>
              </w:rPr>
            </w:pPr>
            <w:r>
              <w:rPr>
                <w:rFonts w:ascii="Times New Roman" w:hAnsi="Times New Roman"/>
                <w:sz w:val="24"/>
                <w:szCs w:val="24"/>
              </w:rPr>
              <w:t>In</w:t>
            </w:r>
            <w:r w:rsidR="00F35C04" w:rsidRPr="00F35C04">
              <w:rPr>
                <w:rFonts w:ascii="Times New Roman" w:hAnsi="Times New Roman"/>
                <w:sz w:val="24"/>
                <w:szCs w:val="24"/>
              </w:rPr>
              <w:t xml:space="preserve"> 2015, the </w:t>
            </w:r>
            <w:r>
              <w:rPr>
                <w:rFonts w:ascii="Times New Roman" w:hAnsi="Times New Roman"/>
                <w:sz w:val="24"/>
                <w:szCs w:val="24"/>
              </w:rPr>
              <w:t xml:space="preserve">Uruguay </w:t>
            </w:r>
            <w:r w:rsidR="00F35C04" w:rsidRPr="00F35C04">
              <w:rPr>
                <w:rFonts w:ascii="Times New Roman" w:hAnsi="Times New Roman"/>
                <w:sz w:val="24"/>
                <w:szCs w:val="24"/>
              </w:rPr>
              <w:t xml:space="preserve">national gross </w:t>
            </w:r>
            <w:r>
              <w:rPr>
                <w:rFonts w:ascii="Times New Roman" w:hAnsi="Times New Roman"/>
                <w:sz w:val="24"/>
                <w:szCs w:val="24"/>
              </w:rPr>
              <w:t xml:space="preserve">product </w:t>
            </w:r>
            <w:r w:rsidR="00F35C04" w:rsidRPr="00F35C04">
              <w:rPr>
                <w:rFonts w:ascii="Times New Roman" w:hAnsi="Times New Roman"/>
                <w:sz w:val="24"/>
                <w:szCs w:val="24"/>
              </w:rPr>
              <w:t xml:space="preserve">per capita income stood at US$15,720, according to the Atlas method. Two </w:t>
            </w:r>
            <w:r>
              <w:rPr>
                <w:rFonts w:ascii="Times New Roman" w:hAnsi="Times New Roman"/>
                <w:sz w:val="24"/>
                <w:szCs w:val="24"/>
              </w:rPr>
              <w:t xml:space="preserve">country’s </w:t>
            </w:r>
            <w:r w:rsidR="00F35C04" w:rsidRPr="00F35C04">
              <w:rPr>
                <w:rFonts w:ascii="Times New Roman" w:hAnsi="Times New Roman"/>
                <w:sz w:val="24"/>
                <w:szCs w:val="24"/>
              </w:rPr>
              <w:t>main characteristics —a solid social contract and economic openness— paved the way to the reduction in poverty and the promotion of shared prosperity that Uruguay successfully followed in the last decade. Moderate poverty went from 32.5% in 2006 to 9.7% in 2015, while extreme poverty has practically disappeared: it went down from 2.5% to 0.3% in the same period. In terms of equity, income levels among the poorest 40% of the Uruguayan population increased much faster that the average growth rate of income levels for the entire population.</w:t>
            </w:r>
            <w:r w:rsidR="00F35C04">
              <w:rPr>
                <w:rFonts w:ascii="Times New Roman" w:hAnsi="Times New Roman"/>
                <w:sz w:val="24"/>
                <w:szCs w:val="24"/>
              </w:rPr>
              <w:t xml:space="preserve"> </w:t>
            </w:r>
            <w:r w:rsidR="00F35C04" w:rsidRPr="00F35C04">
              <w:rPr>
                <w:rFonts w:ascii="Times New Roman" w:hAnsi="Times New Roman"/>
                <w:sz w:val="24"/>
                <w:szCs w:val="24"/>
              </w:rPr>
              <w:t>In relative terms, its middle class is the largest in America, and represents 60% of its population.</w:t>
            </w:r>
          </w:p>
          <w:p w14:paraId="440276C2" w14:textId="77777777" w:rsidR="00F35C04" w:rsidRPr="00F35C04" w:rsidRDefault="00F35C04" w:rsidP="00F35C04">
            <w:pPr>
              <w:pStyle w:val="NormalWeb"/>
              <w:jc w:val="both"/>
              <w:rPr>
                <w:rFonts w:ascii="Times New Roman" w:hAnsi="Times New Roman"/>
                <w:sz w:val="24"/>
                <w:szCs w:val="24"/>
              </w:rPr>
            </w:pPr>
            <w:r w:rsidRPr="00F35C04">
              <w:rPr>
                <w:rFonts w:ascii="Times New Roman" w:hAnsi="Times New Roman"/>
                <w:sz w:val="24"/>
                <w:szCs w:val="24"/>
              </w:rPr>
              <w:t>Its robust macroeconomic performance was also reflected in the labor market, which registered historically low unemployment levels in 2014 (6.6%), although in view of a marked slowdown in growth, the latter has increased to 8.6% in July of 2016. Concerning export markets, these have been diversified with the aim of reducing the country’s dependency on its main trade partners; currently, 77% of exports go to 15 different destinations.</w:t>
            </w:r>
          </w:p>
          <w:p w14:paraId="2D92BEA1" w14:textId="77777777" w:rsidR="008E3772" w:rsidRDefault="00F35C04" w:rsidP="00F35C04">
            <w:pPr>
              <w:pStyle w:val="NormalWeb"/>
              <w:rPr>
                <w:rFonts w:ascii="Times New Roman" w:hAnsi="Times New Roman"/>
                <w:sz w:val="24"/>
                <w:szCs w:val="24"/>
              </w:rPr>
            </w:pPr>
            <w:r>
              <w:rPr>
                <w:rFonts w:ascii="Times New Roman" w:hAnsi="Times New Roman"/>
                <w:sz w:val="24"/>
                <w:szCs w:val="24"/>
              </w:rPr>
              <w:t xml:space="preserve">Between 2006 and 2015, Uruguay grew at an average rate of 4.8%. Today, </w:t>
            </w:r>
            <w:r w:rsidRPr="00F35C04">
              <w:rPr>
                <w:rFonts w:ascii="Times New Roman" w:hAnsi="Times New Roman"/>
                <w:sz w:val="24"/>
                <w:szCs w:val="24"/>
              </w:rPr>
              <w:t>Uruguay continues to maintain an adequate macroeconomic framework although in a much more c</w:t>
            </w:r>
            <w:r>
              <w:rPr>
                <w:rFonts w:ascii="Times New Roman" w:hAnsi="Times New Roman"/>
                <w:sz w:val="24"/>
                <w:szCs w:val="24"/>
              </w:rPr>
              <w:t>omplicated external environment.</w:t>
            </w:r>
          </w:p>
          <w:p w14:paraId="1E0B4B0F" w14:textId="77777777" w:rsidR="00D22363" w:rsidRDefault="00D22363" w:rsidP="00F35C04">
            <w:pPr>
              <w:pStyle w:val="NormalWeb"/>
              <w:rPr>
                <w:rFonts w:ascii="Times New Roman" w:hAnsi="Times New Roman"/>
                <w:sz w:val="24"/>
                <w:szCs w:val="24"/>
              </w:rPr>
            </w:pPr>
          </w:p>
          <w:p w14:paraId="324B3AB1" w14:textId="77777777" w:rsidR="00D22363" w:rsidRPr="00F35C04" w:rsidRDefault="00D22363" w:rsidP="00F35C04">
            <w:pPr>
              <w:pStyle w:val="NormalWeb"/>
              <w:rPr>
                <w:rFonts w:ascii="Times New Roman" w:hAnsi="Times New Roman"/>
                <w:sz w:val="24"/>
                <w:szCs w:val="24"/>
              </w:rPr>
            </w:pPr>
          </w:p>
          <w:p w14:paraId="71A7EB45" w14:textId="77777777" w:rsidR="008E3772" w:rsidRPr="00DD5AF2" w:rsidRDefault="008E3772" w:rsidP="008E3772">
            <w:pPr>
              <w:pStyle w:val="NoSpacing"/>
              <w:jc w:val="both"/>
              <w:rPr>
                <w:rFonts w:ascii="Times New Roman" w:hAnsi="Times New Roman" w:cs="Times New Roman"/>
              </w:rPr>
            </w:pPr>
          </w:p>
          <w:p w14:paraId="51F9AC87" w14:textId="77777777" w:rsidR="008E3772" w:rsidRDefault="00133CF6" w:rsidP="008E3772">
            <w:pPr>
              <w:numPr>
                <w:ilvl w:val="0"/>
                <w:numId w:val="24"/>
              </w:numPr>
              <w:rPr>
                <w:b/>
              </w:rPr>
            </w:pPr>
            <w:r>
              <w:rPr>
                <w:b/>
              </w:rPr>
              <w:t xml:space="preserve">Sectoral </w:t>
            </w:r>
            <w:r w:rsidR="008E3772">
              <w:rPr>
                <w:b/>
              </w:rPr>
              <w:t>and Institutional Context</w:t>
            </w:r>
          </w:p>
          <w:p w14:paraId="0B1773A4" w14:textId="77777777" w:rsidR="00D22363" w:rsidRDefault="00D22363" w:rsidP="00D22363">
            <w:pPr>
              <w:ind w:left="720"/>
              <w:rPr>
                <w:b/>
              </w:rPr>
            </w:pPr>
          </w:p>
          <w:p w14:paraId="43821428" w14:textId="1FA8F875" w:rsidR="00D22363" w:rsidRPr="00085A89" w:rsidRDefault="00D22363" w:rsidP="00D22363">
            <w:pPr>
              <w:pStyle w:val="BankNormal"/>
              <w:autoSpaceDE w:val="0"/>
              <w:autoSpaceDN w:val="0"/>
              <w:adjustRightInd w:val="0"/>
              <w:spacing w:after="120"/>
              <w:jc w:val="both"/>
              <w:rPr>
                <w:szCs w:val="24"/>
              </w:rPr>
            </w:pPr>
            <w:r w:rsidRPr="00085A89">
              <w:rPr>
                <w:szCs w:val="24"/>
              </w:rPr>
              <w:t>Highway infrastructure in good condition is critical for the competitiveness of Uruguay’s economy and its aspiration to become a Southern Cone logistics platform. The quality of road infrastructure is a key enabler of logistics services</w:t>
            </w:r>
            <w:r>
              <w:rPr>
                <w:szCs w:val="24"/>
              </w:rPr>
              <w:t>, as</w:t>
            </w:r>
            <w:r w:rsidRPr="00085A89">
              <w:rPr>
                <w:szCs w:val="24"/>
              </w:rPr>
              <w:t xml:space="preserve"> about 95 percent of cargo (in ton-kilometers) are transported by road.</w:t>
            </w:r>
            <w:r>
              <w:rPr>
                <w:szCs w:val="24"/>
              </w:rPr>
              <w:t xml:space="preserve"> T</w:t>
            </w:r>
            <w:r w:rsidRPr="00085A89">
              <w:rPr>
                <w:szCs w:val="24"/>
              </w:rPr>
              <w:t>ransportation costs still severely hamper logistic efficiency and export competitiveness, call</w:t>
            </w:r>
            <w:r>
              <w:rPr>
                <w:szCs w:val="24"/>
              </w:rPr>
              <w:t>ing</w:t>
            </w:r>
            <w:r w:rsidRPr="00085A89">
              <w:rPr>
                <w:szCs w:val="24"/>
              </w:rPr>
              <w:t xml:space="preserve"> for continued support for better national roads condition. Road-based transport costs represent up to 70% of total logistic costs in some of the most relevant logistic chains.</w:t>
            </w:r>
            <w:r w:rsidRPr="00085A89">
              <w:rPr>
                <w:rStyle w:val="FootnoteReference"/>
                <w:szCs w:val="24"/>
              </w:rPr>
              <w:footnoteReference w:id="1"/>
            </w:r>
            <w:r w:rsidRPr="00085A89">
              <w:rPr>
                <w:szCs w:val="24"/>
              </w:rPr>
              <w:t xml:space="preserve"> The average cost of a ton-kilometer transported by road in Uruguay is estimated at US$0.19, while international benchmarks range between US$0.08 and US$0.10, making Uruguay’s road transportation at least twice as expensive compared to best performers. </w:t>
            </w:r>
          </w:p>
          <w:p w14:paraId="52C09906" w14:textId="15A4995F" w:rsidR="006171AB" w:rsidRDefault="00D22363" w:rsidP="00FE7848">
            <w:pPr>
              <w:pStyle w:val="BankNormal"/>
              <w:autoSpaceDE w:val="0"/>
              <w:autoSpaceDN w:val="0"/>
              <w:adjustRightInd w:val="0"/>
              <w:spacing w:after="120"/>
              <w:jc w:val="both"/>
              <w:rPr>
                <w:szCs w:val="24"/>
              </w:rPr>
            </w:pPr>
            <w:r w:rsidRPr="00085A89">
              <w:rPr>
                <w:szCs w:val="24"/>
              </w:rPr>
              <w:t>The Uruguay 2013-2016 National Road Rehabilitation and Maintenance Program (NRMP), supported by the Program has reduced the rate of deterioration of Uruguay’s road network. Since 2013, about US$500 million ha</w:t>
            </w:r>
            <w:r>
              <w:rPr>
                <w:szCs w:val="24"/>
              </w:rPr>
              <w:t>ve</w:t>
            </w:r>
            <w:r w:rsidRPr="00085A89">
              <w:rPr>
                <w:szCs w:val="24"/>
              </w:rPr>
              <w:t xml:space="preserve"> been invested in roads through the NMRP to maintain the 9,000 km of the Uruguay national road network and, specifically, to rehabilitate more than 500 km of highways. </w:t>
            </w:r>
            <w:r>
              <w:rPr>
                <w:szCs w:val="24"/>
              </w:rPr>
              <w:t>Prior to the initiation of the NRMP, 35% of the road network was in good or very good conditions; t</w:t>
            </w:r>
            <w:r w:rsidRPr="00085A89">
              <w:rPr>
                <w:szCs w:val="24"/>
              </w:rPr>
              <w:t xml:space="preserve">oday, it is estimated that about </w:t>
            </w:r>
            <w:r>
              <w:rPr>
                <w:szCs w:val="24"/>
              </w:rPr>
              <w:t>40</w:t>
            </w:r>
            <w:r w:rsidRPr="00085A89">
              <w:rPr>
                <w:szCs w:val="24"/>
              </w:rPr>
              <w:t xml:space="preserve"> percent of the national road network is in good or very good condition.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6171AB" w14:paraId="4BD325D0" w14:textId="77777777" w:rsidTr="006171AB">
              <w:tc>
                <w:tcPr>
                  <w:tcW w:w="9345" w:type="dxa"/>
                </w:tcPr>
                <w:p w14:paraId="41BB5C5D" w14:textId="77777777" w:rsidR="006171AB" w:rsidRDefault="006171AB" w:rsidP="006171AB">
                  <w:pPr>
                    <w:pStyle w:val="BankNormal"/>
                    <w:autoSpaceDE w:val="0"/>
                    <w:autoSpaceDN w:val="0"/>
                    <w:adjustRightInd w:val="0"/>
                    <w:spacing w:after="120"/>
                    <w:jc w:val="center"/>
                    <w:rPr>
                      <w:szCs w:val="24"/>
                    </w:rPr>
                  </w:pPr>
                  <w:r w:rsidRPr="00085A89">
                    <w:rPr>
                      <w:b/>
                    </w:rPr>
                    <w:t>Percentage of the Uruguay national road network in good or very good condition</w:t>
                  </w:r>
                </w:p>
              </w:tc>
            </w:tr>
            <w:tr w:rsidR="006171AB" w14:paraId="0B978093" w14:textId="77777777" w:rsidTr="006171AB">
              <w:tc>
                <w:tcPr>
                  <w:tcW w:w="9345" w:type="dxa"/>
                </w:tcPr>
                <w:p w14:paraId="7E5E8815" w14:textId="09EF7EE2" w:rsidR="006171AB" w:rsidRDefault="00DA545A" w:rsidP="006171AB">
                  <w:pPr>
                    <w:pStyle w:val="BankNormal"/>
                    <w:autoSpaceDE w:val="0"/>
                    <w:autoSpaceDN w:val="0"/>
                    <w:adjustRightInd w:val="0"/>
                    <w:spacing w:after="120"/>
                    <w:jc w:val="center"/>
                    <w:rPr>
                      <w:szCs w:val="24"/>
                    </w:rPr>
                  </w:pPr>
                  <w:r>
                    <w:rPr>
                      <w:noProof/>
                    </w:rPr>
                    <w:drawing>
                      <wp:inline distT="0" distB="0" distL="0" distR="0" wp14:anchorId="43E36703" wp14:editId="05F3BFCD">
                        <wp:extent cx="4102873" cy="2282025"/>
                        <wp:effectExtent l="0" t="0" r="12065"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4E2C2D17" w14:textId="77777777" w:rsidR="006171AB" w:rsidRDefault="006171AB" w:rsidP="00FE7848">
            <w:pPr>
              <w:pStyle w:val="BankNormal"/>
              <w:autoSpaceDE w:val="0"/>
              <w:autoSpaceDN w:val="0"/>
              <w:adjustRightInd w:val="0"/>
              <w:spacing w:after="120"/>
              <w:jc w:val="both"/>
              <w:rPr>
                <w:szCs w:val="24"/>
              </w:rPr>
            </w:pPr>
          </w:p>
          <w:p w14:paraId="2792CB2C" w14:textId="7311C98D" w:rsidR="00D22363" w:rsidRDefault="00D22363" w:rsidP="00D22363">
            <w:pPr>
              <w:pStyle w:val="BankNormal"/>
              <w:autoSpaceDE w:val="0"/>
              <w:autoSpaceDN w:val="0"/>
              <w:adjustRightInd w:val="0"/>
              <w:spacing w:after="120"/>
              <w:jc w:val="both"/>
              <w:rPr>
                <w:szCs w:val="24"/>
              </w:rPr>
            </w:pPr>
            <w:r>
              <w:rPr>
                <w:szCs w:val="24"/>
              </w:rPr>
              <w:t xml:space="preserve">Going further, the Government of Uruguay </w:t>
            </w:r>
            <w:r w:rsidRPr="00085A89">
              <w:rPr>
                <w:szCs w:val="24"/>
              </w:rPr>
              <w:t xml:space="preserve">elected in 2015 has scaled-up the priority given to transport infrastructure </w:t>
            </w:r>
            <w:r>
              <w:rPr>
                <w:szCs w:val="24"/>
              </w:rPr>
              <w:t>upgrading</w:t>
            </w:r>
            <w:r w:rsidRPr="00085A89">
              <w:rPr>
                <w:szCs w:val="24"/>
              </w:rPr>
              <w:t xml:space="preserve">, </w:t>
            </w:r>
            <w:r>
              <w:rPr>
                <w:szCs w:val="24"/>
              </w:rPr>
              <w:t xml:space="preserve">as evidenced by several </w:t>
            </w:r>
            <w:r w:rsidRPr="00085A89">
              <w:rPr>
                <w:szCs w:val="24"/>
              </w:rPr>
              <w:t xml:space="preserve">concrete actions. First, the Ministry of Transport and Public Works (MTOP) budget for roads </w:t>
            </w:r>
            <w:r>
              <w:rPr>
                <w:szCs w:val="24"/>
              </w:rPr>
              <w:t>has</w:t>
            </w:r>
            <w:r w:rsidRPr="00085A89">
              <w:rPr>
                <w:szCs w:val="24"/>
              </w:rPr>
              <w:t xml:space="preserve"> been increased by about 20% over the 2015-2019 period</w:t>
            </w:r>
            <w:r>
              <w:rPr>
                <w:szCs w:val="24"/>
              </w:rPr>
              <w:t xml:space="preserve"> (compared to the </w:t>
            </w:r>
            <w:r w:rsidRPr="001C7E10">
              <w:t xml:space="preserve">2010-2015 </w:t>
            </w:r>
            <w:r>
              <w:t xml:space="preserve">budget </w:t>
            </w:r>
            <w:r w:rsidRPr="001C7E10">
              <w:t>period</w:t>
            </w:r>
            <w:r>
              <w:t>)</w:t>
            </w:r>
            <w:r w:rsidRPr="00085A89">
              <w:rPr>
                <w:szCs w:val="24"/>
              </w:rPr>
              <w:t xml:space="preserve">. </w:t>
            </w:r>
            <w:r>
              <w:rPr>
                <w:szCs w:val="24"/>
              </w:rPr>
              <w:t>T</w:t>
            </w:r>
            <w:r w:rsidRPr="00085A89">
              <w:rPr>
                <w:szCs w:val="24"/>
              </w:rPr>
              <w:t xml:space="preserve">he </w:t>
            </w:r>
            <w:r>
              <w:rPr>
                <w:szCs w:val="24"/>
              </w:rPr>
              <w:t xml:space="preserve">Uruguay government coordinated across International Financing Institutions (IFIs) to contribute funding the NMRP. </w:t>
            </w:r>
            <w:r w:rsidRPr="00085A89">
              <w:rPr>
                <w:szCs w:val="24"/>
              </w:rPr>
              <w:t xml:space="preserve">Second, the scope of the Uruguay Road Corporation (CVU), a public concessionaire managing Uruguay’s key highway network, has been expanded, both in size (CVU now manages 2,600 km of highways, up from 1,600 km in 2013) and in its capacity to leverage funds. Finally, Uruguay </w:t>
            </w:r>
            <w:r w:rsidRPr="00085A89">
              <w:rPr>
                <w:szCs w:val="24"/>
              </w:rPr>
              <w:lastRenderedPageBreak/>
              <w:t xml:space="preserve">has given a strong push for private sector participation in road financing and management. MTOP has identified 1,630 km of national roads to be managed under PPP arrangements; the </w:t>
            </w:r>
            <w:r w:rsidRPr="00085A89">
              <w:rPr>
                <w:i/>
                <w:szCs w:val="24"/>
              </w:rPr>
              <w:t>Ruta</w:t>
            </w:r>
            <w:r w:rsidRPr="00085A89">
              <w:rPr>
                <w:szCs w:val="24"/>
              </w:rPr>
              <w:t xml:space="preserve"> 21 and </w:t>
            </w:r>
            <w:r w:rsidRPr="00085A89">
              <w:rPr>
                <w:i/>
                <w:szCs w:val="24"/>
              </w:rPr>
              <w:t>Ruta</w:t>
            </w:r>
            <w:r w:rsidRPr="00085A89">
              <w:rPr>
                <w:szCs w:val="24"/>
              </w:rPr>
              <w:t xml:space="preserve"> 24 PPP bid (approx. 170 km) is currently in the final phase of negotiations.</w:t>
            </w:r>
          </w:p>
          <w:p w14:paraId="45890D4F" w14:textId="77777777" w:rsidR="00D22363" w:rsidRDefault="00D22363" w:rsidP="00D22363">
            <w:pPr>
              <w:pStyle w:val="BankNormal"/>
              <w:autoSpaceDE w:val="0"/>
              <w:autoSpaceDN w:val="0"/>
              <w:adjustRightInd w:val="0"/>
              <w:spacing w:after="120"/>
              <w:jc w:val="both"/>
            </w:pPr>
            <w:r>
              <w:rPr>
                <w:szCs w:val="24"/>
              </w:rPr>
              <w:t xml:space="preserve">Besides, road safety and road infrastructure resilience towards increasingly frequent adverse climate events have gained traction in Uruguay. </w:t>
            </w:r>
            <w:r w:rsidRPr="0053377F">
              <w:t xml:space="preserve">In 2015, </w:t>
            </w:r>
            <w:r w:rsidRPr="00171A1A">
              <w:t>UNASEV</w:t>
            </w:r>
            <w:r>
              <w:t xml:space="preserve">, Uruguay’s national agency for road safety, </w:t>
            </w:r>
            <w:r w:rsidRPr="00171A1A">
              <w:t xml:space="preserve">estimated that 506 people lost their lives in car crashes, </w:t>
            </w:r>
            <w:r w:rsidRPr="009235B3">
              <w:t>with 37.5% of fatalities occurring on the national road network.</w:t>
            </w:r>
            <w:r>
              <w:t xml:space="preserve"> </w:t>
            </w:r>
            <w:r w:rsidRPr="009235B3">
              <w:t>U</w:t>
            </w:r>
            <w:r w:rsidRPr="0053377F">
              <w:t>nsafe road</w:t>
            </w:r>
            <w:r w:rsidRPr="009235B3">
              <w:t>s</w:t>
            </w:r>
            <w:r w:rsidRPr="0053377F">
              <w:t xml:space="preserve"> generate a significant economic and social burde</w:t>
            </w:r>
            <w:r w:rsidRPr="00171A1A">
              <w:t>n for Uruguay, which is increasingly taking measures to improve safety standards of its road infrastructure</w:t>
            </w:r>
            <w:r>
              <w:t>, in line with Pillar 2 of the United Nations Decade of Action for Road Safety. In terms of infrastructure resilience, the sequence of violent climate events that struck the country in recent years (severe storms, tidal waves, floods, high speed winds, etc.) have put in evidence the vulnerability of critical road infrastructure, with highly disruptive consequences as regards trade flows and accessibility to basic social services.</w:t>
            </w:r>
            <w:r w:rsidDel="00D716F8">
              <w:t xml:space="preserve"> </w:t>
            </w:r>
          </w:p>
          <w:p w14:paraId="5F261B7E" w14:textId="77777777" w:rsidR="008E3772" w:rsidRPr="004C7835" w:rsidRDefault="008E3772" w:rsidP="008E3772">
            <w:pPr>
              <w:pStyle w:val="NoSpacing"/>
              <w:jc w:val="both"/>
              <w:rPr>
                <w:rFonts w:ascii="Times New Roman" w:hAnsi="Times New Roman" w:cs="Times New Roman"/>
              </w:rPr>
            </w:pPr>
          </w:p>
          <w:p w14:paraId="53F99C85" w14:textId="77777777" w:rsidR="008E3772" w:rsidRDefault="008E3772" w:rsidP="008E3772">
            <w:pPr>
              <w:numPr>
                <w:ilvl w:val="0"/>
                <w:numId w:val="24"/>
              </w:numPr>
              <w:rPr>
                <w:b/>
              </w:rPr>
            </w:pPr>
            <w:r>
              <w:rPr>
                <w:b/>
              </w:rPr>
              <w:t>Program Scope</w:t>
            </w:r>
          </w:p>
          <w:p w14:paraId="29F67BCD" w14:textId="56C9F80C" w:rsidR="00FE7848" w:rsidRPr="00085A89" w:rsidRDefault="00FE7848" w:rsidP="00FE7848">
            <w:pPr>
              <w:pStyle w:val="MainPara"/>
              <w:ind w:left="0"/>
            </w:pPr>
            <w:r w:rsidRPr="00085A89">
              <w:t>The Program consists of the following activities within the Uruguay National Road Network, from January 1, 201</w:t>
            </w:r>
            <w:r w:rsidR="004A6635">
              <w:t>3</w:t>
            </w:r>
            <w:r w:rsidRPr="00085A89">
              <w:t xml:space="preserve"> until December 31, 2019:</w:t>
            </w:r>
          </w:p>
          <w:p w14:paraId="6FF82702" w14:textId="0C6E1B44" w:rsidR="00FE7848" w:rsidRPr="00085A89" w:rsidRDefault="00FE7848" w:rsidP="00FE7848">
            <w:pPr>
              <w:pStyle w:val="Bullet"/>
              <w:numPr>
                <w:ilvl w:val="0"/>
                <w:numId w:val="37"/>
              </w:numPr>
              <w:spacing w:before="120"/>
              <w:ind w:left="720" w:hanging="450"/>
              <w:contextualSpacing/>
              <w:jc w:val="both"/>
            </w:pPr>
            <w:r w:rsidRPr="00085A89">
              <w:t xml:space="preserve">Road rehabilitation and/or maintenance works, which consists of, </w:t>
            </w:r>
            <w:r w:rsidRPr="00085A89">
              <w:rPr>
                <w:i/>
              </w:rPr>
              <w:t>inter alia</w:t>
            </w:r>
            <w:r w:rsidRPr="00085A89">
              <w:t xml:space="preserve">: (i) pavement rehabilitation; (ii) pavement resurfacing; (iii) shoulders’ rehabilitation and/or surfacing; </w:t>
            </w:r>
            <w:proofErr w:type="gramStart"/>
            <w:r>
              <w:t>(iv)</w:t>
            </w:r>
            <w:r w:rsidR="00DA545A">
              <w:t xml:space="preserve"> </w:t>
            </w:r>
            <w:r w:rsidRPr="00085A89">
              <w:t>repairing</w:t>
            </w:r>
            <w:proofErr w:type="gramEnd"/>
            <w:r w:rsidRPr="00085A89">
              <w:t xml:space="preserve"> and/or upgrading drainage systems; and (v) rehabilitation and maintenance of road vertical and horizontal signaling.</w:t>
            </w:r>
          </w:p>
          <w:p w14:paraId="1DFD7921" w14:textId="77777777" w:rsidR="00FE7848" w:rsidRPr="00085A89" w:rsidRDefault="00FE7848" w:rsidP="00FE7848">
            <w:pPr>
              <w:pStyle w:val="Bullet"/>
              <w:numPr>
                <w:ilvl w:val="0"/>
                <w:numId w:val="37"/>
              </w:numPr>
              <w:spacing w:before="120"/>
              <w:ind w:left="720" w:hanging="450"/>
              <w:contextualSpacing/>
              <w:jc w:val="both"/>
            </w:pPr>
            <w:r w:rsidRPr="00085A89">
              <w:t xml:space="preserve">Bridge rehabilitation and maintenance works, which consists of, </w:t>
            </w:r>
            <w:r w:rsidRPr="00085A89">
              <w:rPr>
                <w:i/>
              </w:rPr>
              <w:t>inter alia</w:t>
            </w:r>
            <w:r w:rsidRPr="00085A89">
              <w:t>: (i) structure repairing of deck, abutments, piers and foundations; and (ii) the enhancement of bridge functional characteristics, such as increasing bridge extension, deck widening and increasing of bridge bearing capacity.</w:t>
            </w:r>
          </w:p>
          <w:p w14:paraId="201CB524" w14:textId="77777777" w:rsidR="00FE7848" w:rsidRPr="00085A89" w:rsidRDefault="00FE7848" w:rsidP="00FE7848">
            <w:pPr>
              <w:pStyle w:val="Bullet"/>
              <w:numPr>
                <w:ilvl w:val="0"/>
                <w:numId w:val="37"/>
              </w:numPr>
              <w:spacing w:before="120"/>
              <w:ind w:left="720" w:hanging="450"/>
              <w:contextualSpacing/>
              <w:jc w:val="both"/>
            </w:pPr>
            <w:r w:rsidRPr="00085A89">
              <w:t>Bridge reconstruction works, which consists of the construction of a new structure and its contiguous road accesses, to replace an existing bridge on the same location or in its vicinity.</w:t>
            </w:r>
          </w:p>
          <w:p w14:paraId="085DEADE" w14:textId="39BC9ED4" w:rsidR="00FE7848" w:rsidRDefault="00FE7848" w:rsidP="00FE7848">
            <w:pPr>
              <w:pStyle w:val="Bullet"/>
              <w:numPr>
                <w:ilvl w:val="0"/>
                <w:numId w:val="37"/>
              </w:numPr>
              <w:spacing w:before="120"/>
              <w:ind w:left="720" w:hanging="450"/>
              <w:contextualSpacing/>
              <w:jc w:val="both"/>
            </w:pPr>
            <w:r w:rsidRPr="00085A89">
              <w:t xml:space="preserve">Road safety </w:t>
            </w:r>
            <w:r w:rsidR="004A6635">
              <w:t>investments</w:t>
            </w:r>
            <w:r w:rsidRPr="00085A89">
              <w:t xml:space="preserve">, which consists of, </w:t>
            </w:r>
            <w:r w:rsidRPr="00085A89">
              <w:rPr>
                <w:i/>
              </w:rPr>
              <w:t>inter alia</w:t>
            </w:r>
            <w:r w:rsidRPr="00085A89">
              <w:t>: (i) investments to improve visibility; (ii) investments to reduce road crashes severity; and (iii) road equipment investments.</w:t>
            </w:r>
          </w:p>
          <w:p w14:paraId="1607F063" w14:textId="77777777" w:rsidR="008E3772" w:rsidRPr="00FE7848" w:rsidRDefault="00FE7848" w:rsidP="00FE7848">
            <w:pPr>
              <w:pStyle w:val="Bullet"/>
              <w:numPr>
                <w:ilvl w:val="0"/>
                <w:numId w:val="37"/>
              </w:numPr>
              <w:spacing w:before="120"/>
              <w:ind w:left="720" w:hanging="450"/>
              <w:contextualSpacing/>
              <w:jc w:val="both"/>
            </w:pPr>
            <w:r w:rsidRPr="00085A89">
              <w:t xml:space="preserve">Provision of technical assistance to DNV, </w:t>
            </w:r>
            <w:proofErr w:type="spellStart"/>
            <w:r w:rsidRPr="00085A89">
              <w:t>DNTop</w:t>
            </w:r>
            <w:proofErr w:type="spellEnd"/>
            <w:r w:rsidRPr="00085A89">
              <w:t xml:space="preserve"> and DINAPLO, including, </w:t>
            </w:r>
            <w:r w:rsidRPr="00FE7848">
              <w:rPr>
                <w:i/>
              </w:rPr>
              <w:t>inter alia</w:t>
            </w:r>
            <w:r w:rsidRPr="00085A89">
              <w:t>: (i) the carrying out of road condition surveys; (ii) the carrying out of training and capacity building activities; and (iii) the carrying out of studies required to implement the Program.</w:t>
            </w:r>
          </w:p>
          <w:p w14:paraId="499DC01C" w14:textId="77777777" w:rsidR="00FE7848" w:rsidRPr="003900B8" w:rsidRDefault="00FE7848" w:rsidP="008E3772">
            <w:pPr>
              <w:pStyle w:val="Default"/>
              <w:tabs>
                <w:tab w:val="left" w:pos="360"/>
              </w:tabs>
              <w:jc w:val="both"/>
              <w:rPr>
                <w:b/>
                <w:sz w:val="22"/>
                <w:szCs w:val="22"/>
              </w:rPr>
            </w:pPr>
          </w:p>
          <w:p w14:paraId="43DFCA36" w14:textId="77777777" w:rsidR="008E3772" w:rsidRDefault="008E3772" w:rsidP="008E3772">
            <w:pPr>
              <w:numPr>
                <w:ilvl w:val="0"/>
                <w:numId w:val="24"/>
              </w:numPr>
              <w:rPr>
                <w:b/>
              </w:rPr>
            </w:pPr>
            <w:r>
              <w:rPr>
                <w:b/>
              </w:rPr>
              <w:t>Program Development O</w:t>
            </w:r>
            <w:r w:rsidRPr="008D1059">
              <w:rPr>
                <w:b/>
              </w:rPr>
              <w:t>bjective(s)</w:t>
            </w:r>
          </w:p>
          <w:p w14:paraId="7B5D63DD" w14:textId="77777777" w:rsidR="00FE7848" w:rsidRDefault="00FE7848" w:rsidP="00FE7848">
            <w:pPr>
              <w:rPr>
                <w:b/>
              </w:rPr>
            </w:pPr>
          </w:p>
          <w:p w14:paraId="48CD04DA" w14:textId="14260695" w:rsidR="00FE7848" w:rsidRDefault="00D22363" w:rsidP="00FE7848">
            <w:r>
              <w:t>To improve the condition of</w:t>
            </w:r>
            <w:r w:rsidR="00FE7848" w:rsidRPr="00FE7848">
              <w:t xml:space="preserve"> the National Road Network and enhance road sector management</w:t>
            </w:r>
            <w:r w:rsidR="00FE7848">
              <w:t>.</w:t>
            </w:r>
          </w:p>
          <w:p w14:paraId="5875CD78" w14:textId="77777777" w:rsidR="00D22363" w:rsidRDefault="00D22363" w:rsidP="00FE7848"/>
          <w:p w14:paraId="7C400ADD" w14:textId="77777777" w:rsidR="00FE7848" w:rsidRPr="00FE7848" w:rsidRDefault="00FE7848" w:rsidP="00FE7848"/>
          <w:p w14:paraId="3FEDC12A" w14:textId="77777777" w:rsidR="008E3772" w:rsidRDefault="008E3772" w:rsidP="008E3772">
            <w:pPr>
              <w:numPr>
                <w:ilvl w:val="0"/>
                <w:numId w:val="24"/>
              </w:numPr>
              <w:rPr>
                <w:b/>
              </w:rPr>
            </w:pPr>
            <w:r>
              <w:rPr>
                <w:b/>
              </w:rPr>
              <w:t>Environmental and Social Effects</w:t>
            </w:r>
          </w:p>
          <w:p w14:paraId="1F182BEC" w14:textId="77777777" w:rsidR="008E3772" w:rsidRDefault="008E3772" w:rsidP="004345ED"/>
          <w:p w14:paraId="5512DF1A" w14:textId="03FF61CF" w:rsidR="002754A8" w:rsidRDefault="002754A8" w:rsidP="002754A8">
            <w:pPr>
              <w:pStyle w:val="BankNormal"/>
              <w:jc w:val="both"/>
            </w:pPr>
            <w:r w:rsidRPr="000F6AB7">
              <w:t>Program e</w:t>
            </w:r>
            <w:r w:rsidRPr="002A028D">
              <w:t xml:space="preserve">nvironmental and social management systems are deemed </w:t>
            </w:r>
            <w:r w:rsidR="004A6635">
              <w:t xml:space="preserve">overall </w:t>
            </w:r>
            <w:r w:rsidRPr="002A028D">
              <w:t xml:space="preserve">satisfactory. The Program implementing entities and environmental / social </w:t>
            </w:r>
            <w:r w:rsidR="004A6635">
              <w:t xml:space="preserve">systems </w:t>
            </w:r>
            <w:r w:rsidRPr="002A028D">
              <w:t>regulation</w:t>
            </w:r>
            <w:r w:rsidR="00D22363">
              <w:t>s</w:t>
            </w:r>
            <w:r w:rsidRPr="002A028D">
              <w:t xml:space="preserve"> remain overall the </w:t>
            </w:r>
            <w:r w:rsidRPr="002A028D">
              <w:lastRenderedPageBreak/>
              <w:t xml:space="preserve">same as for the original loan. The environmental and social impacts of the Program would not change substantially because of the inclusion of the new road safety activities within the Program. </w:t>
            </w:r>
          </w:p>
          <w:p w14:paraId="5005D52A" w14:textId="0378EB09" w:rsidR="002754A8" w:rsidRPr="004C7CCB" w:rsidRDefault="00D22363" w:rsidP="002754A8">
            <w:pPr>
              <w:pStyle w:val="BankNormal"/>
              <w:jc w:val="both"/>
            </w:pPr>
            <w:r>
              <w:t>While the environmental audit reports carried out during Program implementation have reported unconformities (related to, among others:</w:t>
            </w:r>
            <w:r w:rsidR="002754A8" w:rsidRPr="002E602B">
              <w:t xml:space="preserve"> air emissions from asphalt plants, lack of permits from the environmental agency for quarries, contamination of water bodies, man</w:t>
            </w:r>
            <w:r>
              <w:t>agement of hazardous materials-diesel tanks- and noise), no major shortcoming has been identified</w:t>
            </w:r>
            <w:r w:rsidR="002754A8" w:rsidRPr="002E602B">
              <w:t xml:space="preserve">. </w:t>
            </w:r>
            <w:r w:rsidR="002754A8" w:rsidRPr="004C7CCB">
              <w:t>The main environmental regulatory instrument for the Program is the DNV Environmental Manual</w:t>
            </w:r>
            <w:r w:rsidR="002754A8">
              <w:t>,</w:t>
            </w:r>
            <w:r w:rsidR="002754A8" w:rsidRPr="004C7CCB">
              <w:t xml:space="preserve"> which a document well known in the country and by contractors; this Environmental manual was improved as part of the original loan PAP. The incremental </w:t>
            </w:r>
            <w:r w:rsidR="004A6635">
              <w:t>Environmental and Social Systems Assessment (</w:t>
            </w:r>
            <w:r w:rsidR="002754A8" w:rsidRPr="004C7CCB">
              <w:t>ESSA</w:t>
            </w:r>
            <w:r w:rsidR="004A6635">
              <w:t>)</w:t>
            </w:r>
            <w:r w:rsidR="002754A8" w:rsidRPr="004C7CCB">
              <w:t xml:space="preserve"> shows that the Program implementation entities have actually improved environmental management during the original loan implementation; for instance, the environmental unit of DNV has now been converted to an Environmental Department and DNV has systematized environmental audits.</w:t>
            </w:r>
          </w:p>
          <w:p w14:paraId="0ACF9B9B" w14:textId="577805FC" w:rsidR="002754A8" w:rsidRDefault="002754A8" w:rsidP="002754A8">
            <w:pPr>
              <w:pStyle w:val="BankNormal"/>
              <w:jc w:val="both"/>
            </w:pPr>
            <w:r>
              <w:t>As regards Program’s social management, while some</w:t>
            </w:r>
            <w:r w:rsidRPr="00085A89">
              <w:t xml:space="preserve"> civil works to be financed under the Program </w:t>
            </w:r>
            <w:r>
              <w:t>may require land acquisition in specific cases, most rehabilitation and maintenance works under the Program would</w:t>
            </w:r>
            <w:r w:rsidRPr="00085A89">
              <w:t xml:space="preserve"> be carried out within </w:t>
            </w:r>
            <w:r>
              <w:t xml:space="preserve">the </w:t>
            </w:r>
            <w:r w:rsidRPr="00085A89">
              <w:t xml:space="preserve">existing right of way and </w:t>
            </w:r>
            <w:r>
              <w:t>would</w:t>
            </w:r>
            <w:r w:rsidRPr="00085A89">
              <w:t xml:space="preserve"> not require land acquisition. Land acquisition </w:t>
            </w:r>
            <w:r>
              <w:t>would</w:t>
            </w:r>
            <w:r w:rsidRPr="00085A89">
              <w:t xml:space="preserve"> take place per the provisions of the Expropriation Law, which provides adequate protection to the affected persons. The activities planned under the Program, including those to increase road safety, are not expected to cause physical displacement (relocation). In terms of expropriation and resettlement, the ESSA did not identify significant gaps between the legal framework and the OP9.00 core principles. This analysis is still valid and would apply to the Program as defined in the </w:t>
            </w:r>
            <w:r w:rsidR="004A6635">
              <w:t xml:space="preserve">proposed </w:t>
            </w:r>
            <w:r w:rsidRPr="00085A89">
              <w:t>A</w:t>
            </w:r>
            <w:r w:rsidR="004A6635">
              <w:t xml:space="preserve">dditional </w:t>
            </w:r>
            <w:r w:rsidRPr="00085A89">
              <w:t>F</w:t>
            </w:r>
            <w:r w:rsidR="004A6635">
              <w:t>inancing</w:t>
            </w:r>
            <w:r w:rsidRPr="00085A89">
              <w:t>.</w:t>
            </w:r>
          </w:p>
          <w:p w14:paraId="599139A3" w14:textId="046ADC5A" w:rsidR="002754A8" w:rsidRDefault="002754A8" w:rsidP="002754A8">
            <w:pPr>
              <w:pStyle w:val="BankNormal"/>
              <w:jc w:val="both"/>
            </w:pPr>
            <w:r w:rsidRPr="00CB1C07">
              <w:t xml:space="preserve">The incremental ESSA included a rapid assessment of the Program compliance with agreed actions to improve environmental management; part of them were complied with and the </w:t>
            </w:r>
            <w:r>
              <w:t xml:space="preserve">proposed new </w:t>
            </w:r>
            <w:r w:rsidRPr="00CB1C07">
              <w:t>P</w:t>
            </w:r>
            <w:r w:rsidR="004A6635">
              <w:t xml:space="preserve">rogram </w:t>
            </w:r>
            <w:r w:rsidRPr="00CB1C07">
              <w:t>A</w:t>
            </w:r>
            <w:r w:rsidR="004A6635">
              <w:t xml:space="preserve">ction </w:t>
            </w:r>
            <w:r w:rsidRPr="00CB1C07">
              <w:t>P</w:t>
            </w:r>
            <w:r w:rsidR="004A6635">
              <w:t>lan</w:t>
            </w:r>
            <w:r w:rsidRPr="00CB1C07">
              <w:t xml:space="preserve"> includes several actions continue strengthening Program’s environmental </w:t>
            </w:r>
            <w:r>
              <w:t xml:space="preserve">and social </w:t>
            </w:r>
            <w:r w:rsidRPr="00CB1C07">
              <w:t>management systems.</w:t>
            </w:r>
          </w:p>
          <w:p w14:paraId="7D59B108" w14:textId="58038562" w:rsidR="004345ED" w:rsidRPr="004345ED" w:rsidRDefault="002754A8" w:rsidP="002754A8">
            <w:pPr>
              <w:pStyle w:val="BankNormal"/>
              <w:jc w:val="both"/>
            </w:pPr>
            <w:r>
              <w:rPr>
                <w:b/>
              </w:rPr>
              <w:t>P</w:t>
            </w:r>
            <w:r w:rsidRPr="00E80F86">
              <w:rPr>
                <w:b/>
              </w:rPr>
              <w:t xml:space="preserve">ublication and </w:t>
            </w:r>
            <w:r>
              <w:rPr>
                <w:b/>
              </w:rPr>
              <w:t xml:space="preserve">Public </w:t>
            </w:r>
            <w:r w:rsidRPr="00E80F86">
              <w:rPr>
                <w:b/>
              </w:rPr>
              <w:t>Consultation.</w:t>
            </w:r>
            <w:r>
              <w:t xml:space="preserve"> </w:t>
            </w:r>
            <w:r w:rsidRPr="00E80F86">
              <w:t xml:space="preserve">A draft </w:t>
            </w:r>
            <w:r>
              <w:t>ESSA evaluation was disclosed o</w:t>
            </w:r>
            <w:r w:rsidRPr="00E80F86">
              <w:t>n Bank</w:t>
            </w:r>
            <w:r>
              <w:t>’s</w:t>
            </w:r>
            <w:r w:rsidRPr="00E80F86">
              <w:t xml:space="preserve"> website on </w:t>
            </w:r>
            <w:r>
              <w:t>Feb. 2, 2017</w:t>
            </w:r>
            <w:r w:rsidRPr="002A028D">
              <w:t xml:space="preserve">, and </w:t>
            </w:r>
            <w:r w:rsidRPr="00E80F86">
              <w:t>was consulted during a meeting invited by the Bank and</w:t>
            </w:r>
            <w:r>
              <w:t xml:space="preserve"> MTOP on Feb. 9, 2017.</w:t>
            </w:r>
            <w:r>
              <w:rPr>
                <w:b/>
              </w:rPr>
              <w:t xml:space="preserve"> </w:t>
            </w:r>
            <w:r w:rsidRPr="00E80F86">
              <w:t>A total of</w:t>
            </w:r>
            <w:r>
              <w:t xml:space="preserve"> about 25 people</w:t>
            </w:r>
            <w:r w:rsidRPr="00E80F86">
              <w:t xml:space="preserve"> participated</w:t>
            </w:r>
            <w:r>
              <w:t xml:space="preserve">. </w:t>
            </w:r>
            <w:r w:rsidRPr="00E80F86">
              <w:t xml:space="preserve">The final </w:t>
            </w:r>
            <w:r>
              <w:t>ESSA, incorporating public consultation’s comments, w</w:t>
            </w:r>
            <w:r w:rsidR="004A6635">
              <w:t xml:space="preserve">ill be published soon </w:t>
            </w:r>
            <w:r>
              <w:t>published on Bank’s and on MTOP’s website</w:t>
            </w:r>
            <w:r w:rsidR="004A6635">
              <w:t>s</w:t>
            </w:r>
            <w:r>
              <w:t>.</w:t>
            </w:r>
          </w:p>
          <w:p w14:paraId="74E977DD" w14:textId="77777777" w:rsidR="008E3772" w:rsidRPr="005375FA" w:rsidRDefault="008E3772" w:rsidP="008E3772"/>
          <w:p w14:paraId="3BA85225" w14:textId="77777777" w:rsidR="008E3772" w:rsidRPr="00B14B1C" w:rsidRDefault="008E3772" w:rsidP="008E3772">
            <w:pPr>
              <w:numPr>
                <w:ilvl w:val="0"/>
                <w:numId w:val="24"/>
              </w:numPr>
              <w:rPr>
                <w:b/>
              </w:rPr>
            </w:pPr>
            <w:r>
              <w:rPr>
                <w:b/>
              </w:rPr>
              <w:t>F</w:t>
            </w:r>
            <w:r w:rsidRPr="00B14B1C">
              <w:rPr>
                <w:b/>
              </w:rPr>
              <w:t>inancing</w:t>
            </w:r>
          </w:p>
          <w:p w14:paraId="43642ED5" w14:textId="77777777" w:rsidR="006171AB" w:rsidRDefault="006171AB" w:rsidP="006171AB">
            <w:pPr>
              <w:jc w:val="both"/>
            </w:pPr>
          </w:p>
          <w:p w14:paraId="75656F9A" w14:textId="1A20DFEA" w:rsidR="008E3772" w:rsidRDefault="006171AB" w:rsidP="006171AB">
            <w:pPr>
              <w:jc w:val="both"/>
            </w:pPr>
            <w:r w:rsidRPr="00085A89">
              <w:t>The total estimated cost of the Program is US$755.4 million equivalent, over the 2017-2019 period. The Program will be financed by Government fiscal resources, as well as IADB, FONPLATA, CAF, FOCEM and IBRD loans.</w:t>
            </w:r>
          </w:p>
          <w:p w14:paraId="38798E98" w14:textId="77777777" w:rsidR="002754A8" w:rsidRDefault="002754A8" w:rsidP="006171AB">
            <w:pPr>
              <w:jc w:val="both"/>
            </w:pPr>
          </w:p>
          <w:p w14:paraId="6A956609" w14:textId="77777777" w:rsidR="00D22363" w:rsidRDefault="00D22363" w:rsidP="006171AB">
            <w:pPr>
              <w:jc w:val="both"/>
            </w:pPr>
          </w:p>
          <w:p w14:paraId="4F77590F" w14:textId="77777777" w:rsidR="006171AB" w:rsidRDefault="006171AB" w:rsidP="00FE7848"/>
          <w:tbl>
            <w:tblPr>
              <w:tblStyle w:val="TableGrid"/>
              <w:tblW w:w="0" w:type="auto"/>
              <w:tblLook w:val="04A0" w:firstRow="1" w:lastRow="0" w:firstColumn="1" w:lastColumn="0" w:noHBand="0" w:noVBand="1"/>
            </w:tblPr>
            <w:tblGrid>
              <w:gridCol w:w="4672"/>
              <w:gridCol w:w="4673"/>
            </w:tblGrid>
            <w:tr w:rsidR="006171AB" w14:paraId="383DF58E" w14:textId="77777777" w:rsidTr="006171AB">
              <w:tc>
                <w:tcPr>
                  <w:tcW w:w="4672" w:type="dxa"/>
                </w:tcPr>
                <w:p w14:paraId="30A086DE" w14:textId="77777777" w:rsidR="006171AB" w:rsidRPr="006171AB" w:rsidRDefault="006171AB" w:rsidP="006171AB">
                  <w:pPr>
                    <w:jc w:val="center"/>
                    <w:rPr>
                      <w:b/>
                      <w:sz w:val="22"/>
                      <w:szCs w:val="22"/>
                    </w:rPr>
                  </w:pPr>
                  <w:r w:rsidRPr="006171AB">
                    <w:rPr>
                      <w:b/>
                      <w:sz w:val="22"/>
                      <w:szCs w:val="22"/>
                    </w:rPr>
                    <w:t>Source</w:t>
                  </w:r>
                </w:p>
              </w:tc>
              <w:tc>
                <w:tcPr>
                  <w:tcW w:w="4673" w:type="dxa"/>
                </w:tcPr>
                <w:p w14:paraId="1962B423" w14:textId="77777777" w:rsidR="006171AB" w:rsidRDefault="006171AB" w:rsidP="006171AB">
                  <w:pPr>
                    <w:pStyle w:val="NoSpacing"/>
                    <w:jc w:val="center"/>
                    <w:rPr>
                      <w:rFonts w:ascii="Times New Roman" w:hAnsi="Times New Roman"/>
                      <w:b/>
                    </w:rPr>
                  </w:pPr>
                  <w:r w:rsidRPr="006171AB">
                    <w:rPr>
                      <w:rFonts w:ascii="Times New Roman" w:hAnsi="Times New Roman"/>
                      <w:b/>
                    </w:rPr>
                    <w:t>Amount</w:t>
                  </w:r>
                </w:p>
                <w:p w14:paraId="7AA5731C" w14:textId="77777777" w:rsidR="006171AB" w:rsidRPr="006171AB" w:rsidRDefault="006171AB" w:rsidP="006171AB">
                  <w:pPr>
                    <w:pStyle w:val="NoSpacing"/>
                    <w:jc w:val="center"/>
                    <w:rPr>
                      <w:rFonts w:ascii="Times New Roman" w:hAnsi="Times New Roman"/>
                      <w:b/>
                    </w:rPr>
                  </w:pPr>
                  <w:r w:rsidRPr="006171AB">
                    <w:rPr>
                      <w:rFonts w:ascii="Times New Roman" w:hAnsi="Times New Roman"/>
                      <w:b/>
                    </w:rPr>
                    <w:lastRenderedPageBreak/>
                    <w:t>(US$ M)</w:t>
                  </w:r>
                </w:p>
              </w:tc>
            </w:tr>
            <w:tr w:rsidR="006171AB" w14:paraId="3C222022" w14:textId="77777777" w:rsidTr="006171AB">
              <w:tc>
                <w:tcPr>
                  <w:tcW w:w="4672" w:type="dxa"/>
                </w:tcPr>
                <w:p w14:paraId="3C021025" w14:textId="77777777" w:rsidR="006171AB" w:rsidRPr="00085A89" w:rsidRDefault="006171AB" w:rsidP="006171AB">
                  <w:pPr>
                    <w:pStyle w:val="NoSpacing"/>
                    <w:rPr>
                      <w:rFonts w:ascii="Times New Roman" w:hAnsi="Times New Roman"/>
                    </w:rPr>
                  </w:pPr>
                  <w:r w:rsidRPr="00085A89">
                    <w:rPr>
                      <w:rFonts w:ascii="Times New Roman" w:hAnsi="Times New Roman"/>
                    </w:rPr>
                    <w:lastRenderedPageBreak/>
                    <w:t xml:space="preserve">Government </w:t>
                  </w:r>
                </w:p>
              </w:tc>
              <w:tc>
                <w:tcPr>
                  <w:tcW w:w="4673" w:type="dxa"/>
                  <w:vAlign w:val="center"/>
                </w:tcPr>
                <w:p w14:paraId="363220D3" w14:textId="77777777" w:rsidR="006171AB" w:rsidRPr="00085A89" w:rsidRDefault="006171AB" w:rsidP="006171AB">
                  <w:pPr>
                    <w:jc w:val="center"/>
                  </w:pPr>
                  <w:r w:rsidRPr="00085A89">
                    <w:t>454,4</w:t>
                  </w:r>
                </w:p>
              </w:tc>
            </w:tr>
            <w:tr w:rsidR="006171AB" w14:paraId="0E3C1ABF" w14:textId="77777777" w:rsidTr="006171AB">
              <w:tc>
                <w:tcPr>
                  <w:tcW w:w="4672" w:type="dxa"/>
                </w:tcPr>
                <w:p w14:paraId="04379E42" w14:textId="77777777" w:rsidR="006171AB" w:rsidRPr="00085A89" w:rsidRDefault="006171AB" w:rsidP="006171AB">
                  <w:pPr>
                    <w:pStyle w:val="NoSpacing"/>
                    <w:rPr>
                      <w:rFonts w:ascii="Times New Roman" w:hAnsi="Times New Roman"/>
                    </w:rPr>
                  </w:pPr>
                  <w:r w:rsidRPr="00085A89">
                    <w:rPr>
                      <w:rFonts w:ascii="Times New Roman" w:hAnsi="Times New Roman"/>
                    </w:rPr>
                    <w:t>IBRD</w:t>
                  </w:r>
                </w:p>
              </w:tc>
              <w:tc>
                <w:tcPr>
                  <w:tcW w:w="4673" w:type="dxa"/>
                  <w:vAlign w:val="center"/>
                </w:tcPr>
                <w:p w14:paraId="64BEFEA6" w14:textId="77777777" w:rsidR="006171AB" w:rsidRPr="00085A89" w:rsidRDefault="006171AB" w:rsidP="006171AB">
                  <w:pPr>
                    <w:jc w:val="center"/>
                  </w:pPr>
                  <w:r w:rsidRPr="00085A89">
                    <w:t>70,0</w:t>
                  </w:r>
                </w:p>
              </w:tc>
            </w:tr>
            <w:tr w:rsidR="006171AB" w14:paraId="6AC85C4D" w14:textId="77777777" w:rsidTr="006171AB">
              <w:tc>
                <w:tcPr>
                  <w:tcW w:w="4672" w:type="dxa"/>
                </w:tcPr>
                <w:p w14:paraId="32DACF34" w14:textId="77777777" w:rsidR="006171AB" w:rsidRPr="00085A89" w:rsidRDefault="006171AB" w:rsidP="006171AB">
                  <w:pPr>
                    <w:pStyle w:val="NoSpacing"/>
                    <w:rPr>
                      <w:rFonts w:ascii="Times New Roman" w:hAnsi="Times New Roman"/>
                    </w:rPr>
                  </w:pPr>
                  <w:r w:rsidRPr="00085A89">
                    <w:rPr>
                      <w:rFonts w:ascii="Times New Roman" w:hAnsi="Times New Roman"/>
                    </w:rPr>
                    <w:t>IADB</w:t>
                  </w:r>
                </w:p>
              </w:tc>
              <w:tc>
                <w:tcPr>
                  <w:tcW w:w="4673" w:type="dxa"/>
                  <w:vAlign w:val="center"/>
                </w:tcPr>
                <w:p w14:paraId="0F4BD21D" w14:textId="77777777" w:rsidR="006171AB" w:rsidRPr="00085A89" w:rsidRDefault="006171AB" w:rsidP="006171AB">
                  <w:pPr>
                    <w:jc w:val="center"/>
                  </w:pPr>
                  <w:r w:rsidRPr="00085A89">
                    <w:t>81,2</w:t>
                  </w:r>
                </w:p>
              </w:tc>
            </w:tr>
            <w:tr w:rsidR="006171AB" w14:paraId="0CD25270" w14:textId="77777777" w:rsidTr="006171AB">
              <w:tc>
                <w:tcPr>
                  <w:tcW w:w="4672" w:type="dxa"/>
                </w:tcPr>
                <w:p w14:paraId="2389F7E6" w14:textId="77777777" w:rsidR="006171AB" w:rsidRPr="00085A89" w:rsidRDefault="006171AB" w:rsidP="006171AB">
                  <w:pPr>
                    <w:pStyle w:val="NoSpacing"/>
                    <w:rPr>
                      <w:rFonts w:ascii="Times New Roman" w:hAnsi="Times New Roman"/>
                      <w:b/>
                    </w:rPr>
                  </w:pPr>
                  <w:r w:rsidRPr="00085A89">
                    <w:rPr>
                      <w:rFonts w:ascii="Times New Roman" w:hAnsi="Times New Roman"/>
                    </w:rPr>
                    <w:t>FONPLATA</w:t>
                  </w:r>
                </w:p>
              </w:tc>
              <w:tc>
                <w:tcPr>
                  <w:tcW w:w="4673" w:type="dxa"/>
                  <w:vAlign w:val="center"/>
                </w:tcPr>
                <w:p w14:paraId="7EF80B31" w14:textId="77777777" w:rsidR="006171AB" w:rsidRPr="00085A89" w:rsidRDefault="006171AB" w:rsidP="006171AB">
                  <w:pPr>
                    <w:jc w:val="center"/>
                  </w:pPr>
                  <w:r w:rsidRPr="00085A89">
                    <w:t>31,0</w:t>
                  </w:r>
                </w:p>
              </w:tc>
            </w:tr>
            <w:tr w:rsidR="006171AB" w14:paraId="3F726E2F" w14:textId="77777777" w:rsidTr="006171AB">
              <w:tc>
                <w:tcPr>
                  <w:tcW w:w="4672" w:type="dxa"/>
                </w:tcPr>
                <w:p w14:paraId="7BB13B12" w14:textId="77777777" w:rsidR="006171AB" w:rsidRPr="00085A89" w:rsidRDefault="006171AB" w:rsidP="006171AB">
                  <w:pPr>
                    <w:pStyle w:val="NoSpacing"/>
                    <w:rPr>
                      <w:rFonts w:ascii="Times New Roman" w:hAnsi="Times New Roman"/>
                    </w:rPr>
                  </w:pPr>
                  <w:r w:rsidRPr="00085A89">
                    <w:rPr>
                      <w:rFonts w:ascii="Times New Roman" w:hAnsi="Times New Roman"/>
                    </w:rPr>
                    <w:t>CAF</w:t>
                  </w:r>
                </w:p>
              </w:tc>
              <w:tc>
                <w:tcPr>
                  <w:tcW w:w="4673" w:type="dxa"/>
                  <w:vAlign w:val="center"/>
                </w:tcPr>
                <w:p w14:paraId="59341E12" w14:textId="77777777" w:rsidR="006171AB" w:rsidRPr="00085A89" w:rsidRDefault="006171AB" w:rsidP="006171AB">
                  <w:pPr>
                    <w:jc w:val="center"/>
                  </w:pPr>
                  <w:r w:rsidRPr="00085A89">
                    <w:t>90,6</w:t>
                  </w:r>
                </w:p>
              </w:tc>
            </w:tr>
            <w:tr w:rsidR="006171AB" w14:paraId="1606B425" w14:textId="77777777" w:rsidTr="006171AB">
              <w:tc>
                <w:tcPr>
                  <w:tcW w:w="4672" w:type="dxa"/>
                </w:tcPr>
                <w:p w14:paraId="23F9CC28" w14:textId="77777777" w:rsidR="006171AB" w:rsidRPr="00085A89" w:rsidRDefault="006171AB" w:rsidP="006171AB">
                  <w:pPr>
                    <w:pStyle w:val="NoSpacing"/>
                    <w:rPr>
                      <w:rFonts w:ascii="Times New Roman" w:hAnsi="Times New Roman"/>
                    </w:rPr>
                  </w:pPr>
                  <w:r w:rsidRPr="00085A89">
                    <w:rPr>
                      <w:rFonts w:ascii="Times New Roman" w:hAnsi="Times New Roman"/>
                    </w:rPr>
                    <w:t>FOCEM</w:t>
                  </w:r>
                </w:p>
              </w:tc>
              <w:tc>
                <w:tcPr>
                  <w:tcW w:w="4673" w:type="dxa"/>
                  <w:vAlign w:val="center"/>
                </w:tcPr>
                <w:p w14:paraId="4119CE28" w14:textId="77777777" w:rsidR="006171AB" w:rsidRPr="00085A89" w:rsidRDefault="006171AB" w:rsidP="006171AB">
                  <w:pPr>
                    <w:jc w:val="center"/>
                  </w:pPr>
                  <w:r w:rsidRPr="00085A89">
                    <w:t>28,2</w:t>
                  </w:r>
                </w:p>
              </w:tc>
            </w:tr>
            <w:tr w:rsidR="006171AB" w14:paraId="26C9FB12" w14:textId="77777777" w:rsidTr="006171AB">
              <w:tc>
                <w:tcPr>
                  <w:tcW w:w="4672" w:type="dxa"/>
                </w:tcPr>
                <w:p w14:paraId="1A399A3A" w14:textId="77777777" w:rsidR="006171AB" w:rsidRDefault="006171AB" w:rsidP="00FE7848">
                  <w:r w:rsidRPr="00085A89">
                    <w:rPr>
                      <w:b/>
                    </w:rPr>
                    <w:t>Total</w:t>
                  </w:r>
                </w:p>
              </w:tc>
              <w:tc>
                <w:tcPr>
                  <w:tcW w:w="4673" w:type="dxa"/>
                </w:tcPr>
                <w:p w14:paraId="2EDE720C" w14:textId="77777777" w:rsidR="006171AB" w:rsidRPr="00085A89" w:rsidRDefault="006171AB" w:rsidP="006171AB">
                  <w:pPr>
                    <w:pStyle w:val="NoSpacing"/>
                    <w:jc w:val="center"/>
                    <w:rPr>
                      <w:rFonts w:ascii="Times New Roman" w:hAnsi="Times New Roman"/>
                      <w:b/>
                    </w:rPr>
                  </w:pPr>
                  <w:r w:rsidRPr="00085A89">
                    <w:rPr>
                      <w:rFonts w:ascii="Times New Roman" w:hAnsi="Times New Roman"/>
                      <w:b/>
                      <w:bCs/>
                    </w:rPr>
                    <w:t>755,4</w:t>
                  </w:r>
                </w:p>
              </w:tc>
            </w:tr>
          </w:tbl>
          <w:p w14:paraId="2DB1AAAC" w14:textId="77777777" w:rsidR="006171AB" w:rsidRPr="00FE7848" w:rsidRDefault="006171AB" w:rsidP="00FE7848"/>
          <w:p w14:paraId="3282CF47" w14:textId="77777777" w:rsidR="006171AB" w:rsidRDefault="006171AB" w:rsidP="006171AB">
            <w:pPr>
              <w:rPr>
                <w:b/>
              </w:rPr>
            </w:pPr>
          </w:p>
          <w:p w14:paraId="5F56B49A" w14:textId="77777777" w:rsidR="008E3772" w:rsidRDefault="008E3772" w:rsidP="008E3772">
            <w:pPr>
              <w:numPr>
                <w:ilvl w:val="0"/>
                <w:numId w:val="24"/>
              </w:numPr>
              <w:rPr>
                <w:b/>
              </w:rPr>
            </w:pPr>
            <w:r w:rsidRPr="005B0352">
              <w:rPr>
                <w:b/>
              </w:rPr>
              <w:t>Pr</w:t>
            </w:r>
            <w:r>
              <w:rPr>
                <w:b/>
              </w:rPr>
              <w:t>ogram Institutional and Implementation Arrangements</w:t>
            </w:r>
          </w:p>
          <w:p w14:paraId="1C5B61AC" w14:textId="7A3AC947" w:rsidR="00133CF6" w:rsidRDefault="00133CF6" w:rsidP="00133CF6">
            <w:pPr>
              <w:pStyle w:val="MainPara"/>
              <w:ind w:left="0"/>
            </w:pPr>
            <w:r w:rsidRPr="00085A89">
              <w:t>The institutional arrangements for Program implementation are the same as for the original loan. The Program will be implemented by the Ministry of Transport and Public Works (MTOP) and the Uruguay Road Corporation (</w:t>
            </w:r>
            <w:proofErr w:type="spellStart"/>
            <w:r w:rsidRPr="00085A89">
              <w:rPr>
                <w:i/>
              </w:rPr>
              <w:t>Corporación</w:t>
            </w:r>
            <w:proofErr w:type="spellEnd"/>
            <w:r w:rsidRPr="00085A89">
              <w:rPr>
                <w:i/>
              </w:rPr>
              <w:t xml:space="preserve"> Vial del Uruguay</w:t>
            </w:r>
            <w:r w:rsidRPr="00085A89">
              <w:t xml:space="preserve"> – CVU). </w:t>
            </w:r>
          </w:p>
          <w:p w14:paraId="78BEC245" w14:textId="3A755327" w:rsidR="008E3772" w:rsidRPr="00133CF6" w:rsidRDefault="004A6635" w:rsidP="00133CF6">
            <w:pPr>
              <w:jc w:val="both"/>
            </w:pPr>
            <w:r>
              <w:t xml:space="preserve">Program implementation technical, fiduciary and safeguards systems are primarily the ones implemented with MTOP and CVU. </w:t>
            </w:r>
          </w:p>
          <w:p w14:paraId="492FD983" w14:textId="77777777" w:rsidR="00133CF6" w:rsidRDefault="00133CF6" w:rsidP="00133CF6">
            <w:pPr>
              <w:rPr>
                <w:i/>
              </w:rPr>
            </w:pPr>
          </w:p>
          <w:p w14:paraId="2CD31F32" w14:textId="77777777" w:rsidR="004A6635" w:rsidRPr="003C714A" w:rsidRDefault="004A6635" w:rsidP="00133CF6">
            <w:pPr>
              <w:rPr>
                <w:i/>
              </w:rPr>
            </w:pPr>
          </w:p>
          <w:p w14:paraId="4BB84796" w14:textId="3A6084FA" w:rsidR="008E3772" w:rsidRDefault="008E3772" w:rsidP="008E3772">
            <w:pPr>
              <w:numPr>
                <w:ilvl w:val="0"/>
                <w:numId w:val="24"/>
              </w:numPr>
              <w:rPr>
                <w:b/>
              </w:rPr>
            </w:pPr>
            <w:r w:rsidRPr="00B14B1C">
              <w:rPr>
                <w:b/>
              </w:rPr>
              <w:t>Contact point</w:t>
            </w:r>
            <w:r w:rsidR="004A6635">
              <w:rPr>
                <w:b/>
              </w:rPr>
              <w:t>s</w:t>
            </w:r>
          </w:p>
          <w:p w14:paraId="779F2CE4" w14:textId="77777777" w:rsidR="008E3772" w:rsidRPr="003E3D6A" w:rsidRDefault="008E3772" w:rsidP="008E3772">
            <w:pPr>
              <w:ind w:left="720"/>
              <w:rPr>
                <w:b/>
              </w:rPr>
            </w:pPr>
          </w:p>
          <w:p w14:paraId="308A1A25" w14:textId="77777777" w:rsidR="008E3772" w:rsidRDefault="008E3772" w:rsidP="008E3772">
            <w:pPr>
              <w:pStyle w:val="ListParagraph"/>
              <w:ind w:left="0"/>
              <w:rPr>
                <w:b/>
              </w:rPr>
            </w:pPr>
            <w:r w:rsidRPr="00225112">
              <w:rPr>
                <w:b/>
              </w:rPr>
              <w:t>World Bank</w:t>
            </w:r>
            <w:r>
              <w:rPr>
                <w:b/>
              </w:rPr>
              <w:t xml:space="preserve"> </w:t>
            </w:r>
          </w:p>
          <w:p w14:paraId="20C9D4D5" w14:textId="3C48AE9E" w:rsidR="00FE7848" w:rsidRPr="00581EF2" w:rsidRDefault="00FE7848" w:rsidP="00FE7848">
            <w:pPr>
              <w:rPr>
                <w:lang w:val="fr-FR"/>
              </w:rPr>
            </w:pPr>
            <w:r w:rsidRPr="00581EF2">
              <w:rPr>
                <w:lang w:val="fr-FR"/>
              </w:rPr>
              <w:t>Gregoire F</w:t>
            </w:r>
            <w:r>
              <w:rPr>
                <w:lang w:val="fr-FR"/>
              </w:rPr>
              <w:t>.</w:t>
            </w:r>
            <w:r w:rsidRPr="00581EF2">
              <w:rPr>
                <w:lang w:val="fr-FR"/>
              </w:rPr>
              <w:t xml:space="preserve"> Gauthier</w:t>
            </w:r>
            <w:r w:rsidRPr="00581EF2">
              <w:rPr>
                <w:lang w:val="fr-FR"/>
              </w:rPr>
              <w:tab/>
              <w:t>(TTL)</w:t>
            </w:r>
          </w:p>
          <w:p w14:paraId="79F6C5C5" w14:textId="77777777" w:rsidR="00FE7848" w:rsidRDefault="00FE7848" w:rsidP="00FE7848">
            <w:r>
              <w:t>Title:</w:t>
            </w:r>
            <w:r>
              <w:tab/>
              <w:t xml:space="preserve"> Senior Transport Engineer</w:t>
            </w:r>
          </w:p>
          <w:p w14:paraId="0B0E00F8" w14:textId="77777777" w:rsidR="00FE7848" w:rsidRDefault="00FE7848" w:rsidP="00FE7848">
            <w:r>
              <w:t>Tel:</w:t>
            </w:r>
            <w:r>
              <w:tab/>
              <w:t xml:space="preserve">+212 473 </w:t>
            </w:r>
            <w:r w:rsidRPr="00A26F21">
              <w:t>7099</w:t>
            </w:r>
            <w:r>
              <w:tab/>
            </w:r>
          </w:p>
          <w:p w14:paraId="3347DAE0" w14:textId="77777777" w:rsidR="00FE7848" w:rsidRDefault="00FE7848" w:rsidP="00FE7848">
            <w:r>
              <w:t>Email:</w:t>
            </w:r>
            <w:r>
              <w:tab/>
            </w:r>
            <w:hyperlink r:id="rId13" w:history="1">
              <w:r w:rsidRPr="006A7865">
                <w:rPr>
                  <w:rStyle w:val="Hyperlink"/>
                </w:rPr>
                <w:t>ggauthier@worldbank.org</w:t>
              </w:r>
            </w:hyperlink>
          </w:p>
          <w:p w14:paraId="53EC0102" w14:textId="77777777" w:rsidR="00DA545A" w:rsidRDefault="00DA545A" w:rsidP="00DA545A">
            <w:pPr>
              <w:rPr>
                <w:b/>
              </w:rPr>
            </w:pPr>
          </w:p>
          <w:p w14:paraId="29479D4D" w14:textId="77777777" w:rsidR="00DA545A" w:rsidRPr="00D13092" w:rsidRDefault="00DA545A" w:rsidP="00DA545A">
            <w:pPr>
              <w:rPr>
                <w:b/>
              </w:rPr>
            </w:pPr>
            <w:r w:rsidRPr="00D13092">
              <w:rPr>
                <w:b/>
              </w:rPr>
              <w:t>Borrower/Client/Recipient</w:t>
            </w:r>
          </w:p>
          <w:p w14:paraId="64B91673" w14:textId="21C09FA2" w:rsidR="00DA545A" w:rsidRPr="00985525" w:rsidRDefault="00DA545A" w:rsidP="00DA545A">
            <w:r>
              <w:t>Oriental Republic of Uruguay - Ministry of  Economy and Finance</w:t>
            </w:r>
          </w:p>
          <w:p w14:paraId="79B57D92" w14:textId="63EE255A" w:rsidR="00DA545A" w:rsidRPr="00DA545A" w:rsidRDefault="00DA545A" w:rsidP="00DA545A">
            <w:pPr>
              <w:rPr>
                <w:rFonts w:asciiTheme="majorBidi" w:hAnsiTheme="majorBidi" w:cstheme="majorBidi"/>
                <w:sz w:val="22"/>
                <w:szCs w:val="22"/>
              </w:rPr>
            </w:pPr>
            <w:r w:rsidRPr="00DA545A">
              <w:rPr>
                <w:rFonts w:asciiTheme="majorBidi" w:hAnsiTheme="majorBidi" w:cstheme="majorBidi"/>
                <w:sz w:val="22"/>
                <w:szCs w:val="22"/>
              </w:rPr>
              <w:t>Contact:</w:t>
            </w:r>
            <w:r w:rsidRPr="00DA545A">
              <w:rPr>
                <w:rFonts w:asciiTheme="majorBidi" w:hAnsiTheme="majorBidi" w:cstheme="majorBidi"/>
                <w:sz w:val="22"/>
                <w:szCs w:val="22"/>
              </w:rPr>
              <w:tab/>
            </w:r>
            <w:r>
              <w:rPr>
                <w:rFonts w:asciiTheme="majorBidi" w:hAnsiTheme="majorBidi" w:cstheme="majorBidi"/>
                <w:sz w:val="22"/>
                <w:szCs w:val="22"/>
              </w:rPr>
              <w:t xml:space="preserve">Mariella Maglia </w:t>
            </w:r>
          </w:p>
          <w:p w14:paraId="429F50E9" w14:textId="421BD2D9" w:rsidR="00DA545A" w:rsidRPr="00DA545A" w:rsidRDefault="00DA545A" w:rsidP="00DA545A">
            <w:pPr>
              <w:rPr>
                <w:rFonts w:asciiTheme="majorBidi" w:hAnsiTheme="majorBidi" w:cstheme="majorBidi"/>
                <w:sz w:val="22"/>
                <w:szCs w:val="22"/>
              </w:rPr>
            </w:pPr>
            <w:proofErr w:type="spellStart"/>
            <w:r w:rsidRPr="00DA545A">
              <w:rPr>
                <w:rFonts w:asciiTheme="majorBidi" w:hAnsiTheme="majorBidi" w:cstheme="majorBidi"/>
                <w:sz w:val="22"/>
                <w:szCs w:val="22"/>
              </w:rPr>
              <w:t>Titre</w:t>
            </w:r>
            <w:proofErr w:type="spellEnd"/>
            <w:r w:rsidRPr="00DA545A">
              <w:rPr>
                <w:rFonts w:asciiTheme="majorBidi" w:hAnsiTheme="majorBidi" w:cstheme="majorBidi"/>
                <w:sz w:val="22"/>
                <w:szCs w:val="22"/>
              </w:rPr>
              <w:t>:</w:t>
            </w:r>
            <w:r w:rsidRPr="00DA545A">
              <w:rPr>
                <w:rFonts w:asciiTheme="majorBidi" w:hAnsiTheme="majorBidi" w:cstheme="majorBidi"/>
                <w:sz w:val="22"/>
                <w:szCs w:val="22"/>
              </w:rPr>
              <w:tab/>
            </w:r>
            <w:r w:rsidRPr="00DA545A">
              <w:rPr>
                <w:rFonts w:asciiTheme="majorBidi" w:hAnsiTheme="majorBidi" w:cstheme="majorBidi"/>
                <w:sz w:val="22"/>
                <w:szCs w:val="22"/>
              </w:rPr>
              <w:tab/>
            </w:r>
            <w:proofErr w:type="spellStart"/>
            <w:r>
              <w:rPr>
                <w:rFonts w:asciiTheme="majorBidi" w:hAnsiTheme="majorBidi" w:cstheme="majorBidi"/>
                <w:sz w:val="22"/>
                <w:szCs w:val="22"/>
              </w:rPr>
              <w:t>Contadora</w:t>
            </w:r>
            <w:proofErr w:type="spellEnd"/>
          </w:p>
          <w:p w14:paraId="74EFD2AF" w14:textId="31A2142B" w:rsidR="00DA545A" w:rsidRPr="009345D2" w:rsidRDefault="00DA545A" w:rsidP="00DA545A">
            <w:pPr>
              <w:rPr>
                <w:rFonts w:asciiTheme="majorBidi" w:hAnsiTheme="majorBidi" w:cstheme="majorBidi"/>
                <w:sz w:val="22"/>
                <w:szCs w:val="22"/>
              </w:rPr>
            </w:pPr>
            <w:r w:rsidRPr="009345D2">
              <w:rPr>
                <w:rFonts w:asciiTheme="majorBidi" w:hAnsiTheme="majorBidi" w:cstheme="majorBidi"/>
                <w:sz w:val="22"/>
                <w:szCs w:val="22"/>
              </w:rPr>
              <w:t>Tel:</w:t>
            </w:r>
            <w:r w:rsidRPr="009345D2">
              <w:rPr>
                <w:rFonts w:asciiTheme="majorBidi" w:hAnsiTheme="majorBidi" w:cstheme="majorBidi"/>
                <w:sz w:val="22"/>
                <w:szCs w:val="22"/>
              </w:rPr>
              <w:tab/>
            </w:r>
            <w:r w:rsidRPr="009345D2">
              <w:rPr>
                <w:rFonts w:asciiTheme="majorBidi" w:hAnsiTheme="majorBidi" w:cstheme="majorBidi"/>
                <w:sz w:val="22"/>
                <w:szCs w:val="22"/>
              </w:rPr>
              <w:tab/>
            </w:r>
            <w:r>
              <w:rPr>
                <w:rFonts w:asciiTheme="majorBidi" w:hAnsiTheme="majorBidi" w:cstheme="majorBidi"/>
                <w:sz w:val="22"/>
                <w:szCs w:val="22"/>
              </w:rPr>
              <w:t>(598) 2-1712-2220</w:t>
            </w:r>
          </w:p>
          <w:p w14:paraId="2F726DD3" w14:textId="7AC7FC0E" w:rsidR="00DA545A" w:rsidRDefault="00DA545A" w:rsidP="00DA545A">
            <w:r w:rsidRPr="009345D2">
              <w:rPr>
                <w:rFonts w:asciiTheme="majorBidi" w:hAnsiTheme="majorBidi" w:cstheme="majorBidi"/>
                <w:sz w:val="22"/>
                <w:szCs w:val="22"/>
              </w:rPr>
              <w:t>Email:</w:t>
            </w:r>
            <w:r w:rsidRPr="009345D2">
              <w:rPr>
                <w:rFonts w:asciiTheme="majorBidi" w:hAnsiTheme="majorBidi" w:cstheme="majorBidi"/>
                <w:sz w:val="22"/>
                <w:szCs w:val="22"/>
              </w:rPr>
              <w:tab/>
            </w:r>
            <w:r w:rsidRPr="009345D2">
              <w:rPr>
                <w:rFonts w:asciiTheme="majorBidi" w:hAnsiTheme="majorBidi" w:cstheme="majorBidi"/>
                <w:sz w:val="22"/>
                <w:szCs w:val="22"/>
              </w:rPr>
              <w:tab/>
            </w:r>
            <w:r w:rsidRPr="00DA545A">
              <w:rPr>
                <w:rFonts w:asciiTheme="majorBidi" w:hAnsiTheme="majorBidi" w:cstheme="majorBidi"/>
                <w:sz w:val="22"/>
                <w:szCs w:val="22"/>
              </w:rPr>
              <w:t>organismos.multilaterales@mef.gub.uy</w:t>
            </w:r>
          </w:p>
          <w:p w14:paraId="37D025D0" w14:textId="77777777" w:rsidR="008E3772" w:rsidRDefault="008E3772" w:rsidP="008E3772"/>
          <w:p w14:paraId="7634D458" w14:textId="77777777" w:rsidR="00DA545A" w:rsidRPr="00985525" w:rsidRDefault="00DA545A" w:rsidP="00DA545A">
            <w:pPr>
              <w:rPr>
                <w:b/>
              </w:rPr>
            </w:pPr>
            <w:r w:rsidRPr="00985525">
              <w:rPr>
                <w:b/>
              </w:rPr>
              <w:t>Implementing Agencies</w:t>
            </w:r>
          </w:p>
          <w:p w14:paraId="1D2E4CBA" w14:textId="77777777" w:rsidR="00FE7848" w:rsidRPr="00985525" w:rsidRDefault="00FE7848" w:rsidP="00FE7848">
            <w:r>
              <w:t>Oriental Republic of Uruguay - Ministry of Transport and Public Works</w:t>
            </w:r>
          </w:p>
          <w:p w14:paraId="14424B39" w14:textId="77777777" w:rsidR="00FE7848" w:rsidRPr="004A6635" w:rsidRDefault="00FE7848" w:rsidP="00FE7848">
            <w:r w:rsidRPr="004A6635">
              <w:t>Contact: Rafael Ferrando</w:t>
            </w:r>
          </w:p>
          <w:p w14:paraId="4E4C8067" w14:textId="3206C0D7" w:rsidR="00FE7848" w:rsidRPr="004A6635" w:rsidRDefault="00FE7848" w:rsidP="00FE7848">
            <w:r w:rsidRPr="004A6635">
              <w:t>Title:</w:t>
            </w:r>
            <w:r w:rsidRPr="004A6635">
              <w:tab/>
              <w:t xml:space="preserve">   Ar</w:t>
            </w:r>
            <w:r w:rsidR="004A6635">
              <w:t>ch</w:t>
            </w:r>
            <w:r w:rsidRPr="004A6635">
              <w:t>itect</w:t>
            </w:r>
          </w:p>
          <w:p w14:paraId="67E6E02F" w14:textId="77777777" w:rsidR="00FE7848" w:rsidRPr="004A6635" w:rsidRDefault="00FE7848" w:rsidP="00FE7848">
            <w:r w:rsidRPr="004A6635">
              <w:t>Tel:</w:t>
            </w:r>
            <w:r w:rsidRPr="004A6635">
              <w:tab/>
              <w:t xml:space="preserve">   (598) 2915-8333</w:t>
            </w:r>
          </w:p>
          <w:p w14:paraId="1F335314" w14:textId="0151E17C" w:rsidR="00FE7848" w:rsidRPr="004A6635" w:rsidRDefault="00FE7848" w:rsidP="00FE7848">
            <w:pPr>
              <w:rPr>
                <w:lang w:val="fr-FR"/>
              </w:rPr>
            </w:pPr>
            <w:r w:rsidRPr="004A6635">
              <w:rPr>
                <w:lang w:val="fr-FR"/>
              </w:rPr>
              <w:t>Email:</w:t>
            </w:r>
            <w:r w:rsidRPr="004A6635">
              <w:rPr>
                <w:lang w:val="fr-FR"/>
              </w:rPr>
              <w:tab/>
              <w:t xml:space="preserve">   </w:t>
            </w:r>
            <w:r w:rsidR="004A6635" w:rsidRPr="004A6635">
              <w:rPr>
                <w:lang w:val="fr-FR"/>
              </w:rPr>
              <w:t>gustavo.ferrando</w:t>
            </w:r>
            <w:r w:rsidRPr="004A6635">
              <w:rPr>
                <w:lang w:val="fr-FR"/>
              </w:rPr>
              <w:t>@mtop.gub.uy</w:t>
            </w:r>
          </w:p>
          <w:p w14:paraId="5BB058EA" w14:textId="77777777" w:rsidR="00DA545A" w:rsidRDefault="00DA545A" w:rsidP="00DA545A">
            <w:pPr>
              <w:rPr>
                <w:b/>
              </w:rPr>
            </w:pPr>
          </w:p>
          <w:p w14:paraId="175E3361" w14:textId="77777777" w:rsidR="008E3772" w:rsidRDefault="008E3772" w:rsidP="008E3772"/>
          <w:p w14:paraId="13E5E0CA" w14:textId="77777777" w:rsidR="008E3772" w:rsidRDefault="008E3772" w:rsidP="008E3772"/>
          <w:p w14:paraId="74ED62F9" w14:textId="77777777" w:rsidR="008E3772" w:rsidRPr="0059349F" w:rsidRDefault="008E3772" w:rsidP="008E3772">
            <w:pPr>
              <w:numPr>
                <w:ilvl w:val="0"/>
                <w:numId w:val="24"/>
              </w:numPr>
              <w:rPr>
                <w:b/>
              </w:rPr>
            </w:pPr>
            <w:r w:rsidRPr="0059349F">
              <w:rPr>
                <w:b/>
              </w:rPr>
              <w:t>For more information contact:</w:t>
            </w:r>
          </w:p>
          <w:p w14:paraId="51FAD022" w14:textId="77777777" w:rsidR="008E3772" w:rsidRPr="00C82216" w:rsidRDefault="008E3772" w:rsidP="008E3772">
            <w:r w:rsidRPr="00C82216">
              <w:t>The InfoShop</w:t>
            </w:r>
          </w:p>
          <w:p w14:paraId="1E0F94ED" w14:textId="77777777" w:rsidR="008E3772" w:rsidRPr="00C82216" w:rsidRDefault="008E3772" w:rsidP="008E3772">
            <w:r w:rsidRPr="00C82216">
              <w:t>The World Bank</w:t>
            </w:r>
          </w:p>
          <w:p w14:paraId="56D10324" w14:textId="77777777" w:rsidR="008E3772" w:rsidRPr="00C82216" w:rsidRDefault="008E3772" w:rsidP="008E3772">
            <w:r w:rsidRPr="00C82216">
              <w:t>1818 H Street, NW</w:t>
            </w:r>
          </w:p>
          <w:p w14:paraId="2B725B04" w14:textId="77777777" w:rsidR="008E3772" w:rsidRPr="00C82216" w:rsidRDefault="008E3772" w:rsidP="008E3772">
            <w:r w:rsidRPr="00C82216">
              <w:lastRenderedPageBreak/>
              <w:t>Washington, D.C. 20433</w:t>
            </w:r>
          </w:p>
          <w:p w14:paraId="5D1A613F" w14:textId="77777777" w:rsidR="008E3772" w:rsidRPr="00C82216" w:rsidRDefault="008E3772" w:rsidP="008E3772">
            <w:r>
              <w:t>Telephone:  (202) 458-4500</w:t>
            </w:r>
          </w:p>
          <w:p w14:paraId="5811A1F3" w14:textId="77777777" w:rsidR="008E3772" w:rsidRPr="00C82216" w:rsidRDefault="008E3772" w:rsidP="008E3772">
            <w:r w:rsidRPr="00C82216">
              <w:t>Fax:  (202) 522-1500</w:t>
            </w:r>
          </w:p>
          <w:p w14:paraId="377ECEFB" w14:textId="77777777" w:rsidR="008E3772" w:rsidRPr="00A30F2B" w:rsidRDefault="008E3772" w:rsidP="008E3772">
            <w:r w:rsidRPr="00C82216">
              <w:t>Web: http://www.worldbank.org/infoshop</w:t>
            </w:r>
          </w:p>
          <w:p w14:paraId="16D735A6" w14:textId="77777777" w:rsidR="008E3772" w:rsidRDefault="008E3772" w:rsidP="008E3772">
            <w:pPr>
              <w:rPr>
                <w:b/>
                <w:bCs/>
              </w:rPr>
            </w:pPr>
          </w:p>
        </w:tc>
      </w:tr>
    </w:tbl>
    <w:p w14:paraId="686666B2" w14:textId="77777777" w:rsidR="008E3772" w:rsidRDefault="008E3772" w:rsidP="008E3772">
      <w:pPr>
        <w:rPr>
          <w:b/>
          <w:bCs/>
        </w:rPr>
      </w:pPr>
    </w:p>
    <w:sectPr w:rsidR="008E3772"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ED25" w14:textId="77777777" w:rsidR="008008ED" w:rsidRDefault="008008ED">
      <w:r>
        <w:separator/>
      </w:r>
    </w:p>
  </w:endnote>
  <w:endnote w:type="continuationSeparator" w:id="0">
    <w:p w14:paraId="4102FE48" w14:textId="77777777" w:rsidR="008008ED" w:rsidRDefault="008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A874" w14:textId="77777777" w:rsidR="008008ED" w:rsidRDefault="008008ED">
      <w:r>
        <w:separator/>
      </w:r>
    </w:p>
  </w:footnote>
  <w:footnote w:type="continuationSeparator" w:id="0">
    <w:p w14:paraId="297116AB" w14:textId="77777777" w:rsidR="008008ED" w:rsidRDefault="008008ED">
      <w:r>
        <w:continuationSeparator/>
      </w:r>
    </w:p>
  </w:footnote>
  <w:footnote w:id="1">
    <w:p w14:paraId="2B155019" w14:textId="77777777" w:rsidR="00816BC5" w:rsidRDefault="00816BC5" w:rsidP="00D22363">
      <w:pPr>
        <w:pStyle w:val="FootnoteText"/>
      </w:pPr>
      <w:r>
        <w:rPr>
          <w:rStyle w:val="FootnoteReference"/>
        </w:rPr>
        <w:footnoteRef/>
      </w:r>
      <w:r w:rsidRPr="00CF7A81">
        <w:t xml:space="preserve"> Soybean logistics – Argentina, Paraguay, Uruguay. </w:t>
      </w:r>
      <w:r>
        <w:t xml:space="preserve">World Bank,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A3DD5"/>
    <w:multiLevelType w:val="hybridMultilevel"/>
    <w:tmpl w:val="BDF2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86D7A"/>
    <w:multiLevelType w:val="hybridMultilevel"/>
    <w:tmpl w:val="186A033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F6E43"/>
    <w:multiLevelType w:val="hybridMultilevel"/>
    <w:tmpl w:val="97A05E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95E02"/>
    <w:multiLevelType w:val="hybridMultilevel"/>
    <w:tmpl w:val="598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00FBC"/>
    <w:multiLevelType w:val="hybridMultilevel"/>
    <w:tmpl w:val="1A581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6336DA"/>
    <w:multiLevelType w:val="hybridMultilevel"/>
    <w:tmpl w:val="D7BCD112"/>
    <w:lvl w:ilvl="0" w:tplc="1B7497C8">
      <w:start w:val="1"/>
      <w:numFmt w:val="decimal"/>
      <w:pStyle w:val="Subheading1"/>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027FE7"/>
    <w:multiLevelType w:val="hybridMultilevel"/>
    <w:tmpl w:val="42BA51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D2B61"/>
    <w:multiLevelType w:val="hybridMultilevel"/>
    <w:tmpl w:val="AD565A6E"/>
    <w:lvl w:ilvl="0" w:tplc="EB329B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E74BD6"/>
    <w:multiLevelType w:val="hybridMultilevel"/>
    <w:tmpl w:val="CC7A0AB6"/>
    <w:lvl w:ilvl="0" w:tplc="540A76D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D54F4A"/>
    <w:multiLevelType w:val="hybridMultilevel"/>
    <w:tmpl w:val="09A0B02E"/>
    <w:lvl w:ilvl="0" w:tplc="F75C222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2" w15:restartNumberingAfterBreak="0">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BA2B55"/>
    <w:multiLevelType w:val="hybridMultilevel"/>
    <w:tmpl w:val="3640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540BC2"/>
    <w:multiLevelType w:val="hybridMultilevel"/>
    <w:tmpl w:val="68BC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5"/>
  </w:num>
  <w:num w:numId="4">
    <w:abstractNumId w:val="1"/>
  </w:num>
  <w:num w:numId="5">
    <w:abstractNumId w:val="19"/>
  </w:num>
  <w:num w:numId="6">
    <w:abstractNumId w:val="0"/>
  </w:num>
  <w:num w:numId="7">
    <w:abstractNumId w:val="28"/>
  </w:num>
  <w:num w:numId="8">
    <w:abstractNumId w:val="11"/>
  </w:num>
  <w:num w:numId="9">
    <w:abstractNumId w:val="22"/>
  </w:num>
  <w:num w:numId="10">
    <w:abstractNumId w:val="2"/>
  </w:num>
  <w:num w:numId="11">
    <w:abstractNumId w:val="16"/>
  </w:num>
  <w:num w:numId="12">
    <w:abstractNumId w:val="20"/>
  </w:num>
  <w:num w:numId="13">
    <w:abstractNumId w:val="15"/>
  </w:num>
  <w:num w:numId="14">
    <w:abstractNumId w:val="31"/>
  </w:num>
  <w:num w:numId="15">
    <w:abstractNumId w:val="37"/>
  </w:num>
  <w:num w:numId="16">
    <w:abstractNumId w:val="13"/>
  </w:num>
  <w:num w:numId="17">
    <w:abstractNumId w:val="17"/>
  </w:num>
  <w:num w:numId="18">
    <w:abstractNumId w:val="33"/>
  </w:num>
  <w:num w:numId="19">
    <w:abstractNumId w:val="23"/>
  </w:num>
  <w:num w:numId="20">
    <w:abstractNumId w:val="3"/>
  </w:num>
  <w:num w:numId="21">
    <w:abstractNumId w:val="30"/>
  </w:num>
  <w:num w:numId="22">
    <w:abstractNumId w:val="25"/>
  </w:num>
  <w:num w:numId="23">
    <w:abstractNumId w:val="5"/>
  </w:num>
  <w:num w:numId="24">
    <w:abstractNumId w:val="32"/>
  </w:num>
  <w:num w:numId="25">
    <w:abstractNumId w:val="26"/>
  </w:num>
  <w:num w:numId="26">
    <w:abstractNumId w:val="4"/>
  </w:num>
  <w:num w:numId="27">
    <w:abstractNumId w:val="27"/>
  </w:num>
  <w:num w:numId="28">
    <w:abstractNumId w:val="34"/>
  </w:num>
  <w:num w:numId="29">
    <w:abstractNumId w:val="24"/>
  </w:num>
  <w:num w:numId="30">
    <w:abstractNumId w:val="14"/>
  </w:num>
  <w:num w:numId="31">
    <w:abstractNumId w:val="6"/>
  </w:num>
  <w:num w:numId="32">
    <w:abstractNumId w:val="7"/>
  </w:num>
  <w:num w:numId="33">
    <w:abstractNumId w:val="29"/>
  </w:num>
  <w:num w:numId="34">
    <w:abstractNumId w:val="10"/>
  </w:num>
  <w:num w:numId="35">
    <w:abstractNumId w:val="12"/>
  </w:num>
  <w:num w:numId="36">
    <w:abstractNumId w:val="9"/>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FA"/>
    <w:rsid w:val="00030402"/>
    <w:rsid w:val="00071B65"/>
    <w:rsid w:val="00084ABC"/>
    <w:rsid w:val="000A77BF"/>
    <w:rsid w:val="000B0A0E"/>
    <w:rsid w:val="000C13BA"/>
    <w:rsid w:val="00133CF6"/>
    <w:rsid w:val="00133E79"/>
    <w:rsid w:val="00141B80"/>
    <w:rsid w:val="001527BE"/>
    <w:rsid w:val="00171E5D"/>
    <w:rsid w:val="001A4469"/>
    <w:rsid w:val="001B45FA"/>
    <w:rsid w:val="001C5EDF"/>
    <w:rsid w:val="001E638A"/>
    <w:rsid w:val="002344B9"/>
    <w:rsid w:val="002446B2"/>
    <w:rsid w:val="002546F7"/>
    <w:rsid w:val="00273928"/>
    <w:rsid w:val="002754A8"/>
    <w:rsid w:val="002A0BDC"/>
    <w:rsid w:val="002A2178"/>
    <w:rsid w:val="002A7BEE"/>
    <w:rsid w:val="002B7076"/>
    <w:rsid w:val="002E065F"/>
    <w:rsid w:val="003103C4"/>
    <w:rsid w:val="00337CE7"/>
    <w:rsid w:val="00344C61"/>
    <w:rsid w:val="003723D9"/>
    <w:rsid w:val="00383CBB"/>
    <w:rsid w:val="003901B6"/>
    <w:rsid w:val="0039671E"/>
    <w:rsid w:val="003C714A"/>
    <w:rsid w:val="003D5308"/>
    <w:rsid w:val="003E0732"/>
    <w:rsid w:val="003E3E86"/>
    <w:rsid w:val="003F669F"/>
    <w:rsid w:val="00410562"/>
    <w:rsid w:val="00417A9A"/>
    <w:rsid w:val="004228F5"/>
    <w:rsid w:val="004345ED"/>
    <w:rsid w:val="004605F4"/>
    <w:rsid w:val="004A6635"/>
    <w:rsid w:val="004B2501"/>
    <w:rsid w:val="004C5683"/>
    <w:rsid w:val="004C6525"/>
    <w:rsid w:val="004F0F64"/>
    <w:rsid w:val="00507604"/>
    <w:rsid w:val="00552FED"/>
    <w:rsid w:val="00577870"/>
    <w:rsid w:val="0059349F"/>
    <w:rsid w:val="005A091D"/>
    <w:rsid w:val="005E0D8B"/>
    <w:rsid w:val="006171AB"/>
    <w:rsid w:val="00630C43"/>
    <w:rsid w:val="0067697E"/>
    <w:rsid w:val="00690F9A"/>
    <w:rsid w:val="006B4727"/>
    <w:rsid w:val="006C6F1E"/>
    <w:rsid w:val="00701460"/>
    <w:rsid w:val="007150F6"/>
    <w:rsid w:val="00731BC4"/>
    <w:rsid w:val="0076696F"/>
    <w:rsid w:val="007863D3"/>
    <w:rsid w:val="00787B7C"/>
    <w:rsid w:val="00793D7D"/>
    <w:rsid w:val="00794AB5"/>
    <w:rsid w:val="008008ED"/>
    <w:rsid w:val="00816BC5"/>
    <w:rsid w:val="008451FE"/>
    <w:rsid w:val="008D1E93"/>
    <w:rsid w:val="008E3772"/>
    <w:rsid w:val="008F0B46"/>
    <w:rsid w:val="008F2C61"/>
    <w:rsid w:val="009041F5"/>
    <w:rsid w:val="00914E33"/>
    <w:rsid w:val="00915DAE"/>
    <w:rsid w:val="00921E31"/>
    <w:rsid w:val="00923AC9"/>
    <w:rsid w:val="00931279"/>
    <w:rsid w:val="0094238F"/>
    <w:rsid w:val="009448CE"/>
    <w:rsid w:val="0095043F"/>
    <w:rsid w:val="00963593"/>
    <w:rsid w:val="00985525"/>
    <w:rsid w:val="00987386"/>
    <w:rsid w:val="00996EEB"/>
    <w:rsid w:val="009A4C57"/>
    <w:rsid w:val="009B1086"/>
    <w:rsid w:val="009B1BF2"/>
    <w:rsid w:val="009D3F59"/>
    <w:rsid w:val="009E1BEE"/>
    <w:rsid w:val="009F5E4D"/>
    <w:rsid w:val="00A05BC0"/>
    <w:rsid w:val="00A126FA"/>
    <w:rsid w:val="00A25C56"/>
    <w:rsid w:val="00A42C53"/>
    <w:rsid w:val="00A430DF"/>
    <w:rsid w:val="00A91654"/>
    <w:rsid w:val="00AB0F65"/>
    <w:rsid w:val="00B0344D"/>
    <w:rsid w:val="00B14568"/>
    <w:rsid w:val="00B16EEE"/>
    <w:rsid w:val="00B17C5F"/>
    <w:rsid w:val="00B463BF"/>
    <w:rsid w:val="00B52F3C"/>
    <w:rsid w:val="00B677C4"/>
    <w:rsid w:val="00B8792D"/>
    <w:rsid w:val="00B966C3"/>
    <w:rsid w:val="00BA4035"/>
    <w:rsid w:val="00BC6BFC"/>
    <w:rsid w:val="00BF1DC6"/>
    <w:rsid w:val="00BF75CD"/>
    <w:rsid w:val="00C418BA"/>
    <w:rsid w:val="00C4388E"/>
    <w:rsid w:val="00C47686"/>
    <w:rsid w:val="00C63E52"/>
    <w:rsid w:val="00C67E15"/>
    <w:rsid w:val="00C94BA3"/>
    <w:rsid w:val="00CA0EC0"/>
    <w:rsid w:val="00CB4B05"/>
    <w:rsid w:val="00D13092"/>
    <w:rsid w:val="00D22363"/>
    <w:rsid w:val="00D2365D"/>
    <w:rsid w:val="00D545E4"/>
    <w:rsid w:val="00DA1232"/>
    <w:rsid w:val="00DA545A"/>
    <w:rsid w:val="00DE739D"/>
    <w:rsid w:val="00E13443"/>
    <w:rsid w:val="00E522BF"/>
    <w:rsid w:val="00E528E0"/>
    <w:rsid w:val="00EB0CB2"/>
    <w:rsid w:val="00EC09FB"/>
    <w:rsid w:val="00EC4733"/>
    <w:rsid w:val="00F0007C"/>
    <w:rsid w:val="00F0622C"/>
    <w:rsid w:val="00F325CF"/>
    <w:rsid w:val="00F35C04"/>
    <w:rsid w:val="00F41703"/>
    <w:rsid w:val="00F77194"/>
    <w:rsid w:val="00FD6433"/>
    <w:rsid w:val="00FE17F1"/>
    <w:rsid w:val="00FE468E"/>
    <w:rsid w:val="00FE7848"/>
    <w:rsid w:val="00FF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4BD0"/>
  <w15:docId w15:val="{5D9CD97E-D9EB-4162-A8C8-5E053179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uiPriority w:val="99"/>
    <w:semiHidden/>
    <w:rsid w:val="00731BC4"/>
    <w:rPr>
      <w:sz w:val="16"/>
      <w:szCs w:val="16"/>
    </w:rPr>
  </w:style>
  <w:style w:type="paragraph" w:styleId="CommentText">
    <w:name w:val="annotation text"/>
    <w:basedOn w:val="Normal"/>
    <w:link w:val="CommentTextChar"/>
    <w:uiPriority w:val="99"/>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qFormat/>
    <w:rsid w:val="00731BC4"/>
    <w:pPr>
      <w:numPr>
        <w:numId w:val="15"/>
      </w:numPr>
      <w:tabs>
        <w:tab w:val="clear" w:pos="1440"/>
      </w:tabs>
    </w:pPr>
  </w:style>
  <w:style w:type="character" w:styleId="FootnoteReference">
    <w:name w:val="footnote reference"/>
    <w:aliases w:val="ftref,Footnote Reference Number,Error-Fußnotenzeichen5,Error-Fußnotenzeichen6,Error-Fußnotenzeichen3,Footnote Reference1, BVI fnr,Footnote Reference_LVL6,Footnote Reference_LVL61,Footnote Reference_LVL62,Footnote Reference_LVL63,fr"/>
    <w:basedOn w:val="DefaultParagraphFont"/>
    <w:uiPriority w:val="99"/>
    <w:rsid w:val="00731BC4"/>
    <w:rPr>
      <w:vertAlign w:val="superscript"/>
    </w:rPr>
  </w:style>
  <w:style w:type="paragraph" w:styleId="FootnoteText">
    <w:name w:val="footnote text"/>
    <w:aliases w:val="FOOTNOTES,fn,single space,footnote text,ADB,single space1,footnote text1,FOOTNOTES1,fn1,ADB1,single space2,footnote text2,FOOTNOTES2,fn2,ADB2,single space3,footnote text3,FOOTNOTES3,fn3,ADB3,Fodnotetekst Tegn,Texto nota pie Car1,ft,Char,Ch"/>
    <w:basedOn w:val="Normal"/>
    <w:link w:val="FootnoteTextChar"/>
    <w:uiPriority w:val="99"/>
    <w:qFormat/>
    <w:rsid w:val="00731BC4"/>
    <w:rPr>
      <w:sz w:val="20"/>
      <w:szCs w:val="20"/>
    </w:rPr>
  </w:style>
  <w:style w:type="table" w:styleId="TableGrid">
    <w:name w:val="Table Grid"/>
    <w:basedOn w:val="TableNormal"/>
    <w:uiPriority w:val="59"/>
    <w:rsid w:val="00A1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41703"/>
    <w:rPr>
      <w:color w:val="0000FF"/>
      <w:u w:val="single"/>
    </w:rPr>
  </w:style>
  <w:style w:type="character" w:customStyle="1" w:styleId="FootnoteTextChar">
    <w:name w:val="Footnote Text Char"/>
    <w:aliases w:val="FOOTNOTES Char,fn Char,single space Char,footnote text Char,ADB Char,single space1 Char,footnote text1 Char,FOOTNOTES1 Char,fn1 Char,ADB1 Char,single space2 Char,footnote text2 Char,FOOTNOTES2 Char,fn2 Char,ADB2 Char,FOOTNOTES3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link w:val="ListParagraphChar"/>
    <w:uiPriority w:val="34"/>
    <w:qFormat/>
    <w:rsid w:val="00FF23CF"/>
    <w:pPr>
      <w:ind w:left="720"/>
      <w:contextualSpacing/>
    </w:pPr>
  </w:style>
  <w:style w:type="paragraph" w:styleId="Header">
    <w:name w:val="header"/>
    <w:basedOn w:val="Normal"/>
    <w:link w:val="HeaderChar"/>
    <w:uiPriority w:val="99"/>
    <w:rsid w:val="00E522BF"/>
    <w:pPr>
      <w:tabs>
        <w:tab w:val="center" w:pos="4680"/>
        <w:tab w:val="right" w:pos="9360"/>
      </w:tabs>
    </w:pPr>
  </w:style>
  <w:style w:type="character" w:customStyle="1" w:styleId="HeaderChar">
    <w:name w:val="Header Char"/>
    <w:basedOn w:val="DefaultParagraphFont"/>
    <w:link w:val="Header"/>
    <w:uiPriority w:val="99"/>
    <w:rsid w:val="00E522BF"/>
    <w:rPr>
      <w:sz w:val="24"/>
      <w:szCs w:val="24"/>
    </w:rPr>
  </w:style>
  <w:style w:type="paragraph" w:styleId="Footer">
    <w:name w:val="footer"/>
    <w:basedOn w:val="Normal"/>
    <w:link w:val="FooterChar"/>
    <w:rsid w:val="00E522BF"/>
    <w:pPr>
      <w:tabs>
        <w:tab w:val="center" w:pos="4680"/>
        <w:tab w:val="right" w:pos="9360"/>
      </w:tabs>
    </w:pPr>
  </w:style>
  <w:style w:type="character" w:customStyle="1" w:styleId="FooterChar">
    <w:name w:val="Footer Char"/>
    <w:basedOn w:val="DefaultParagraphFont"/>
    <w:link w:val="Footer"/>
    <w:rsid w:val="00E522BF"/>
    <w:rPr>
      <w:sz w:val="24"/>
      <w:szCs w:val="24"/>
    </w:rPr>
  </w:style>
  <w:style w:type="paragraph" w:styleId="NoSpacing">
    <w:name w:val="No Spacing"/>
    <w:link w:val="NoSpacingChar"/>
    <w:uiPriority w:val="1"/>
    <w:qFormat/>
    <w:rsid w:val="00DA123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DA1232"/>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A1232"/>
    <w:rPr>
      <w:sz w:val="24"/>
      <w:szCs w:val="24"/>
    </w:rPr>
  </w:style>
  <w:style w:type="paragraph" w:customStyle="1" w:styleId="Subheading1">
    <w:name w:val="Subheading1"/>
    <w:basedOn w:val="Normal"/>
    <w:link w:val="Subheading1Char"/>
    <w:qFormat/>
    <w:rsid w:val="00DA1232"/>
    <w:pPr>
      <w:numPr>
        <w:numId w:val="30"/>
      </w:numPr>
      <w:tabs>
        <w:tab w:val="left" w:pos="360"/>
      </w:tabs>
      <w:autoSpaceDE w:val="0"/>
      <w:autoSpaceDN w:val="0"/>
      <w:adjustRightInd w:val="0"/>
      <w:spacing w:after="267"/>
    </w:pPr>
    <w:rPr>
      <w:rFonts w:ascii="Calibri" w:eastAsiaTheme="minorHAnsi" w:hAnsi="Calibri"/>
      <w:b/>
      <w:color w:val="000000"/>
      <w:u w:val="single"/>
    </w:rPr>
  </w:style>
  <w:style w:type="character" w:customStyle="1" w:styleId="Subheading1Char">
    <w:name w:val="Subheading1 Char"/>
    <w:basedOn w:val="DefaultParagraphFont"/>
    <w:link w:val="Subheading1"/>
    <w:rsid w:val="00DA1232"/>
    <w:rPr>
      <w:rFonts w:ascii="Calibri" w:eastAsiaTheme="minorHAnsi" w:hAnsi="Calibri"/>
      <w:b/>
      <w:color w:val="000000"/>
      <w:sz w:val="24"/>
      <w:szCs w:val="24"/>
      <w:u w:val="single"/>
    </w:rPr>
  </w:style>
  <w:style w:type="paragraph" w:customStyle="1" w:styleId="Default">
    <w:name w:val="Default"/>
    <w:link w:val="DefaultChar"/>
    <w:rsid w:val="00DA1232"/>
    <w:pPr>
      <w:autoSpaceDE w:val="0"/>
      <w:autoSpaceDN w:val="0"/>
      <w:adjustRightInd w:val="0"/>
    </w:pPr>
    <w:rPr>
      <w:rFonts w:eastAsiaTheme="minorHAnsi"/>
      <w:color w:val="000000"/>
      <w:sz w:val="24"/>
      <w:szCs w:val="24"/>
    </w:rPr>
  </w:style>
  <w:style w:type="character" w:customStyle="1" w:styleId="DefaultChar">
    <w:name w:val="Default Char"/>
    <w:basedOn w:val="DefaultParagraphFont"/>
    <w:link w:val="Default"/>
    <w:rsid w:val="00DA1232"/>
    <w:rPr>
      <w:rFonts w:eastAsiaTheme="minorHAnsi"/>
      <w:color w:val="000000"/>
      <w:sz w:val="24"/>
      <w:szCs w:val="24"/>
    </w:rPr>
  </w:style>
  <w:style w:type="paragraph" w:customStyle="1" w:styleId="BankNormal">
    <w:name w:val="BankNormal"/>
    <w:basedOn w:val="Normal"/>
    <w:uiPriority w:val="99"/>
    <w:rsid w:val="00FE7848"/>
    <w:pPr>
      <w:spacing w:after="240"/>
    </w:pPr>
    <w:rPr>
      <w:szCs w:val="20"/>
    </w:rPr>
  </w:style>
  <w:style w:type="character" w:customStyle="1" w:styleId="CommentTextChar">
    <w:name w:val="Comment Text Char"/>
    <w:basedOn w:val="DefaultParagraphFont"/>
    <w:link w:val="CommentText"/>
    <w:uiPriority w:val="99"/>
    <w:semiHidden/>
    <w:rsid w:val="00FE7848"/>
  </w:style>
  <w:style w:type="paragraph" w:customStyle="1" w:styleId="Bullet2">
    <w:name w:val="Bullet 2"/>
    <w:basedOn w:val="Bullet"/>
    <w:rsid w:val="00FE7848"/>
    <w:pPr>
      <w:numPr>
        <w:numId w:val="0"/>
      </w:numPr>
      <w:tabs>
        <w:tab w:val="num" w:pos="1440"/>
      </w:tabs>
      <w:spacing w:after="240"/>
      <w:ind w:left="1440" w:hanging="360"/>
      <w:jc w:val="both"/>
    </w:pPr>
    <w:rPr>
      <w:color w:val="000000"/>
    </w:rPr>
  </w:style>
  <w:style w:type="paragraph" w:customStyle="1" w:styleId="MainPara">
    <w:name w:val="Main Para"/>
    <w:basedOn w:val="NoSpacing"/>
    <w:qFormat/>
    <w:rsid w:val="00FE7848"/>
    <w:pPr>
      <w:tabs>
        <w:tab w:val="left" w:pos="360"/>
      </w:tabs>
      <w:spacing w:before="120" w:after="120"/>
      <w:ind w:left="360"/>
      <w:jc w:val="both"/>
    </w:pPr>
    <w:rPr>
      <w:rFonts w:ascii="Times New Roman" w:eastAsiaTheme="minorEastAsia" w:hAnsi="Times New Roman" w:cs="Times New Roman"/>
      <w:sz w:val="24"/>
      <w:szCs w:val="24"/>
    </w:rPr>
  </w:style>
  <w:style w:type="paragraph" w:styleId="NormalWeb">
    <w:name w:val="Normal (Web)"/>
    <w:basedOn w:val="Normal"/>
    <w:uiPriority w:val="99"/>
    <w:unhideWhenUsed/>
    <w:rsid w:val="00F35C0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0246">
      <w:bodyDiv w:val="1"/>
      <w:marLeft w:val="0"/>
      <w:marRight w:val="0"/>
      <w:marTop w:val="0"/>
      <w:marBottom w:val="0"/>
      <w:divBdr>
        <w:top w:val="none" w:sz="0" w:space="0" w:color="auto"/>
        <w:left w:val="none" w:sz="0" w:space="0" w:color="auto"/>
        <w:bottom w:val="none" w:sz="0" w:space="0" w:color="auto"/>
        <w:right w:val="none" w:sz="0" w:space="0" w:color="auto"/>
      </w:divBdr>
    </w:div>
    <w:div w:id="1538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gauthier@worldban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326260\Documents\_Projets\Uruguay\P125803-URIP\2.%20Lending\9.%20Additional%20financing\Appraisal\Background%20docs\Incremental%20tec%20assessment%20tables%20and%20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'IRI evolution'!$A$9</c:f>
              <c:strCache>
                <c:ptCount val="1"/>
                <c:pt idx="0">
                  <c:v>Very good + good</c:v>
                </c:pt>
              </c:strCache>
            </c:strRef>
          </c:tx>
          <c:spPr>
            <a:solidFill>
              <a:schemeClr val="accent1"/>
            </a:solidFill>
            <a:ln>
              <a:noFill/>
            </a:ln>
            <a:effectLst/>
          </c:spPr>
          <c:invertIfNegative val="0"/>
          <c:cat>
            <c:numRef>
              <c:f>'IRI evolution'!$B$8:$M$8</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'IRI evolution'!$B$9:$M$9</c:f>
              <c:numCache>
                <c:formatCode>0%</c:formatCode>
                <c:ptCount val="12"/>
                <c:pt idx="0">
                  <c:v>0.59099999999999997</c:v>
                </c:pt>
                <c:pt idx="1">
                  <c:v>0.60599999999999998</c:v>
                </c:pt>
                <c:pt idx="2">
                  <c:v>0.56799999999999995</c:v>
                </c:pt>
                <c:pt idx="3">
                  <c:v>0.53400000000000003</c:v>
                </c:pt>
                <c:pt idx="4">
                  <c:v>0.55199999999999994</c:v>
                </c:pt>
                <c:pt idx="5">
                  <c:v>0.54800000000000004</c:v>
                </c:pt>
                <c:pt idx="6">
                  <c:v>0.46</c:v>
                </c:pt>
                <c:pt idx="7">
                  <c:v>0.42</c:v>
                </c:pt>
                <c:pt idx="8">
                  <c:v>0.36</c:v>
                </c:pt>
                <c:pt idx="9">
                  <c:v>0.37</c:v>
                </c:pt>
                <c:pt idx="10">
                  <c:v>0.39</c:v>
                </c:pt>
                <c:pt idx="11">
                  <c:v>0.4</c:v>
                </c:pt>
              </c:numCache>
            </c:numRef>
          </c:val>
        </c:ser>
        <c:dLbls>
          <c:showLegendKey val="0"/>
          <c:showVal val="0"/>
          <c:showCatName val="0"/>
          <c:showSerName val="0"/>
          <c:showPercent val="0"/>
          <c:showBubbleSize val="0"/>
        </c:dLbls>
        <c:gapWidth val="219"/>
        <c:overlap val="-27"/>
        <c:axId val="530747976"/>
        <c:axId val="696262512"/>
      </c:barChart>
      <c:catAx>
        <c:axId val="53074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262512"/>
        <c:crosses val="autoZero"/>
        <c:auto val="1"/>
        <c:lblAlgn val="ctr"/>
        <c:lblOffset val="100"/>
        <c:noMultiLvlLbl val="0"/>
      </c:catAx>
      <c:valAx>
        <c:axId val="696262512"/>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747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xmlns:pkg="http://schemas.microsoft.com/office/2006/xmlPackage" ct:_="" ma:_="" ma:contentTypeDescription="" ma:contentTypeID="0x01010099B6B9EF8F35F840B8C1B763013CF53600CE25AF614DB28246AF64A03CA0F82515" ma:contentTypeName="Select Content Type" ma:contentTypeScope="" ma:contentTypeVersion="4" ma:versionID="1248548af08e382c1260260fd8404fa4">
  <xsd:schema xmlns:xsd="http://www.w3.org/2001/XMLSchema" xmlns:ns2="4f665c86-b6e3-4427-8f26-07c07c084871" xmlns:p="http://schemas.microsoft.com/office/2006/metadata/properties" xmlns:xs="http://www.w3.org/2001/XMLSchema" ma:fieldsID="fbb835408aee4b19ec09bc3948176eb1" ma:root="true" ns2:_="" targetNamespace="http://schemas.microsoft.com/office/2006/metadata/properties">
    <xsd:import namespace="4f665c86-b6e3-4427-8f26-07c07c084871"/>
    <xsd:element name="properties">
      <xsd:complexType>
        <xsd:sequence>
          <xsd:element name="documentManagement">
            <xsd:complexType>
              <xsd:all>
                <xsd:element minOccurs="0" ref="ns2:_dlc_DocId"/>
                <xsd:element minOccurs="0" ref="ns2:_dlc_DocIdUrl"/>
                <xsd:element minOccurs="0" ref="ns2:_dlc_DocIdPersistId"/>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scription="The value of the document ID assigned to this item." ma:displayName="Document ID Value" ma:index="8" ma:internalName="_dlc_DocId" ma:readOnly="true" name="_dlc_DocId" nillable="true">
      <xsd:simpleType>
        <xsd:restriction base="dms:Text"/>
      </xsd:simpleType>
    </xsd:element>
    <xsd:element ma:description="Permanent link to this document." ma:displayName="Document ID"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0"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SharedContentType xmlns="Microsoft.SharePoint.Taxonomy.ContentTypeSync" xmlns:pkg="http://schemas.microsoft.com/office/2006/xmlPackage" ContentTypeId="0x01010099B6B9EF8F35F840B8C1B763013CF536" PreviousValue="false" SourceId="04fe4a42-127e-478d-9b6e-420dd7ce26ac"/>
</file>

<file path=customXml/item4.xml><?xml version="1.0" encoding="utf-8"?>
<spe:Receivers xmlns:spe="http://schemas.microsoft.com/sharepoint/events" xmlns:pkg="http://schemas.microsoft.com/office/2006/xmlPackage"/>
</file>

<file path=customXml/item5.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F3986F9-4A6A-4078-9517-BA8F114FCBAB}">
  <ds:schemaRefs>
    <ds:schemaRef ds:uri="http://schemas.microsoft.com/sharepoint/v3/contenttype/forms"/>
    <ds:schemaRef ds:uri="http://schemas.microsoft.com/office/2006/xmlPackage"/>
  </ds:schemaRefs>
</ds:datastoreItem>
</file>

<file path=customXml/itemProps2.xml><?xml version="1.0" encoding="utf-8"?>
<ds:datastoreItem xmlns:ds="http://schemas.openxmlformats.org/officeDocument/2006/customXml" ds:itemID="{687ABB6A-7697-4288-9C57-6DF3BFBB6640}">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AD5B3-C9C6-45C3-99EB-B9ECF9DB2CE4}">
  <ds:schemaRefs>
    <ds:schemaRef ds:uri="Microsoft.SharePoint.Taxonomy.ContentTypeSync"/>
    <ds:schemaRef ds:uri="http://schemas.microsoft.com/office/2006/xmlPackage"/>
  </ds:schemaRefs>
</ds:datastoreItem>
</file>

<file path=customXml/itemProps4.xml><?xml version="1.0" encoding="utf-8"?>
<ds:datastoreItem xmlns:ds="http://schemas.openxmlformats.org/officeDocument/2006/customXml" ds:itemID="{7A5C2782-3FBE-49F9-9C91-F2CB66334A13}">
  <ds:schemaRefs>
    <ds:schemaRef ds:uri="http://schemas.microsoft.com/sharepoint/events"/>
    <ds:schemaRef ds:uri="http://schemas.microsoft.com/office/2006/xmlPackage"/>
  </ds:schemaRefs>
</ds:datastoreItem>
</file>

<file path=customXml/itemProps5.xml><?xml version="1.0" encoding="utf-8"?>
<ds:datastoreItem xmlns:ds="http://schemas.openxmlformats.org/officeDocument/2006/customXml" ds:itemID="{1DC7828E-DCFB-440E-9EF2-3FD44121121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11443</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F. Gauthier</dc:creator>
  <cp:lastModifiedBy>Lina Janenaite</cp:lastModifiedBy>
  <cp:revision>2</cp:revision>
  <dcterms:created xsi:type="dcterms:W3CDTF">2017-02-15T20:55:00Z</dcterms:created>
  <dcterms:modified xsi:type="dcterms:W3CDTF">2017-02-15T20:55:00Z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AB2618</vt:lpwstr>
  </property>
  <property fmtid="{D5CDD505-2E9C-101B-9397-08002B2CF9AE}" pid="3" name="TEAMLEADER">
    <vt:lpwstr>Zafar Iqbal Raja</vt:lpwstr>
  </property>
  <property fmtid="{D5CDD505-2E9C-101B-9397-08002B2CF9AE}" pid="4" name="ContentTypeId">
    <vt:lpwstr>0x01010099B6B9EF8F35F840B8C1B763013CF53600CE25AF614DB28246AF64A03CA0F82515</vt:lpwstr>
  </property>
  <property fmtid="{D5CDD505-2E9C-101B-9397-08002B2CF9AE}" pid="5" name="OPSCustomProjectID">
    <vt:lpwstr>P102900</vt:lpwstr>
  </property>
  <property fmtid="{D5CDD505-2E9C-101B-9397-08002B2CF9AE}" pid="6" name="Author0">
    <vt:lpwstr>Malek Atallah</vt:lpwstr>
  </property>
</Properties>
</file>