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90"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4A0" w:firstRow="1" w:lastRow="0" w:firstColumn="1" w:lastColumn="0" w:noHBand="0" w:noVBand="1"/>
      </w:tblPr>
      <w:tblGrid>
        <w:gridCol w:w="221"/>
        <w:gridCol w:w="110"/>
        <w:gridCol w:w="5299"/>
        <w:gridCol w:w="3860"/>
      </w:tblGrid>
      <w:tr w:rsidR="00CC6D6F" w:rsidRPr="00CC6D6F" w14:paraId="6F9B293C" w14:textId="77777777" w:rsidTr="00CC6D6F">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66DB5A7A" w14:textId="77777777" w:rsidR="00CC6D6F" w:rsidRPr="00CC6D6F" w:rsidRDefault="00CC6D6F" w:rsidP="00CC6D6F">
            <w:pPr>
              <w:autoSpaceDE w:val="0"/>
              <w:autoSpaceDN w:val="0"/>
              <w:adjustRightInd w:val="0"/>
              <w:spacing w:before="0" w:after="0" w:line="256" w:lineRule="auto"/>
              <w:jc w:val="left"/>
              <w:rPr>
                <w:snapToGrid/>
                <w:szCs w:val="24"/>
              </w:rPr>
            </w:pPr>
            <w:bookmarkStart w:id="0" w:name="_GoBack"/>
            <w:bookmarkEnd w:id="0"/>
          </w:p>
        </w:tc>
        <w:tc>
          <w:tcPr>
            <w:tcW w:w="9269" w:type="dxa"/>
            <w:gridSpan w:val="3"/>
            <w:tcBorders>
              <w:top w:val="nil"/>
              <w:left w:val="nil"/>
              <w:bottom w:val="nil"/>
              <w:right w:val="nil"/>
            </w:tcBorders>
            <w:shd w:val="clear" w:color="auto" w:fill="FFFFFF"/>
            <w:tcMar>
              <w:top w:w="50" w:type="dxa"/>
              <w:left w:w="50" w:type="dxa"/>
              <w:bottom w:w="50" w:type="dxa"/>
              <w:right w:w="50" w:type="dxa"/>
            </w:tcMar>
            <w:vAlign w:val="center"/>
            <w:hideMark/>
          </w:tcPr>
          <w:p w14:paraId="082ADE34" w14:textId="757C2C70" w:rsidR="00CC6D6F" w:rsidRPr="00CC6D6F" w:rsidRDefault="00CC6D6F" w:rsidP="00CC6D6F">
            <w:pPr>
              <w:autoSpaceDE w:val="0"/>
              <w:autoSpaceDN w:val="0"/>
              <w:adjustRightInd w:val="0"/>
              <w:spacing w:before="0" w:after="0" w:line="256" w:lineRule="auto"/>
              <w:jc w:val="left"/>
              <w:rPr>
                <w:rFonts w:ascii="Arial" w:hAnsi="Arial" w:cs="Arial"/>
                <w:snapToGrid/>
                <w:color w:val="000000"/>
                <w:sz w:val="20"/>
              </w:rPr>
            </w:pPr>
          </w:p>
        </w:tc>
      </w:tr>
      <w:tr w:rsidR="00CC6D6F" w:rsidRPr="00CC6D6F" w14:paraId="788063A5" w14:textId="77777777" w:rsidTr="00CC6D6F">
        <w:tc>
          <w:tcPr>
            <w:tcW w:w="9490" w:type="dxa"/>
            <w:gridSpan w:val="4"/>
            <w:tcBorders>
              <w:top w:val="nil"/>
              <w:left w:val="nil"/>
              <w:bottom w:val="nil"/>
              <w:right w:val="nil"/>
            </w:tcBorders>
            <w:shd w:val="clear" w:color="auto" w:fill="FFFFFF"/>
            <w:tcMar>
              <w:top w:w="50" w:type="dxa"/>
              <w:left w:w="50" w:type="dxa"/>
              <w:bottom w:w="50" w:type="dxa"/>
              <w:right w:w="50" w:type="dxa"/>
            </w:tcMar>
            <w:vAlign w:val="center"/>
            <w:hideMark/>
          </w:tcPr>
          <w:p w14:paraId="2E89D36A" w14:textId="77777777" w:rsidR="00CC6D6F" w:rsidRPr="00CC6D6F" w:rsidRDefault="00CC6D6F" w:rsidP="00CC6D6F">
            <w:pPr>
              <w:autoSpaceDE w:val="0"/>
              <w:autoSpaceDN w:val="0"/>
              <w:adjustRightInd w:val="0"/>
              <w:spacing w:before="0" w:after="0" w:line="256" w:lineRule="auto"/>
              <w:jc w:val="left"/>
              <w:rPr>
                <w:rFonts w:ascii="Times" w:hAnsi="Times" w:cs="Times"/>
                <w:snapToGrid/>
                <w:color w:val="FFFFFF"/>
                <w:sz w:val="10"/>
                <w:szCs w:val="10"/>
              </w:rPr>
            </w:pPr>
            <w:r w:rsidRPr="00CC6D6F">
              <w:rPr>
                <w:rFonts w:ascii="Times" w:hAnsi="Times" w:cs="Times"/>
                <w:snapToGrid/>
                <w:color w:val="FFFFFF"/>
                <w:sz w:val="10"/>
                <w:szCs w:val="10"/>
              </w:rPr>
              <w:t>.</w:t>
            </w:r>
          </w:p>
        </w:tc>
      </w:tr>
      <w:tr w:rsidR="00CC6D6F" w:rsidRPr="00CC6D6F" w14:paraId="19DEB4F8" w14:textId="77777777" w:rsidTr="00CC6D6F">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707B9E7C" w14:textId="77777777" w:rsidR="00CC6D6F" w:rsidRPr="00CC6D6F" w:rsidRDefault="00CC6D6F" w:rsidP="00CC6D6F">
            <w:pPr>
              <w:autoSpaceDE w:val="0"/>
              <w:autoSpaceDN w:val="0"/>
              <w:adjustRightInd w:val="0"/>
              <w:spacing w:before="0" w:after="0" w:line="256" w:lineRule="auto"/>
              <w:jc w:val="left"/>
              <w:rPr>
                <w:snapToGrid/>
                <w:szCs w:val="24"/>
              </w:rPr>
            </w:pPr>
          </w:p>
        </w:tc>
        <w:tc>
          <w:tcPr>
            <w:tcW w:w="9269" w:type="dxa"/>
            <w:gridSpan w:val="3"/>
            <w:tcBorders>
              <w:top w:val="nil"/>
              <w:left w:val="nil"/>
              <w:bottom w:val="nil"/>
              <w:right w:val="nil"/>
            </w:tcBorders>
            <w:shd w:val="clear" w:color="auto" w:fill="FFFFFF"/>
            <w:tcMar>
              <w:top w:w="50" w:type="dxa"/>
              <w:left w:w="50" w:type="dxa"/>
              <w:bottom w:w="50" w:type="dxa"/>
              <w:right w:w="50" w:type="dxa"/>
            </w:tcMar>
            <w:vAlign w:val="center"/>
            <w:hideMark/>
          </w:tcPr>
          <w:p w14:paraId="517BEA77" w14:textId="77777777" w:rsidR="00CC6D6F" w:rsidRPr="00CC6D6F" w:rsidRDefault="00CC6D6F" w:rsidP="00CC6D6F">
            <w:pPr>
              <w:autoSpaceDE w:val="0"/>
              <w:autoSpaceDN w:val="0"/>
              <w:adjustRightInd w:val="0"/>
              <w:spacing w:before="0" w:after="0" w:line="256" w:lineRule="auto"/>
              <w:jc w:val="left"/>
              <w:rPr>
                <w:rFonts w:ascii="Arial" w:hAnsi="Arial" w:cs="Arial"/>
                <w:snapToGrid/>
                <w:color w:val="000000"/>
                <w:sz w:val="48"/>
                <w:szCs w:val="48"/>
              </w:rPr>
            </w:pPr>
            <w:r w:rsidRPr="00CC6D6F">
              <w:rPr>
                <w:rFonts w:ascii="Arial" w:hAnsi="Arial" w:cs="Arial"/>
                <w:snapToGrid/>
                <w:color w:val="000000"/>
                <w:sz w:val="48"/>
                <w:szCs w:val="48"/>
              </w:rPr>
              <w:t>Europe and Central Asia</w:t>
            </w:r>
          </w:p>
        </w:tc>
      </w:tr>
      <w:tr w:rsidR="00CC6D6F" w:rsidRPr="00CC6D6F" w14:paraId="47330B7F" w14:textId="77777777" w:rsidTr="00CC6D6F">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0FD14A7D" w14:textId="77777777" w:rsidR="00CC6D6F" w:rsidRPr="00CC6D6F" w:rsidRDefault="00CC6D6F" w:rsidP="00CC6D6F">
            <w:pPr>
              <w:autoSpaceDE w:val="0"/>
              <w:autoSpaceDN w:val="0"/>
              <w:adjustRightInd w:val="0"/>
              <w:spacing w:before="0" w:after="0" w:line="256" w:lineRule="auto"/>
              <w:jc w:val="left"/>
              <w:rPr>
                <w:snapToGrid/>
                <w:szCs w:val="24"/>
              </w:rPr>
            </w:pPr>
          </w:p>
        </w:tc>
        <w:tc>
          <w:tcPr>
            <w:tcW w:w="9269" w:type="dxa"/>
            <w:gridSpan w:val="3"/>
            <w:tcBorders>
              <w:top w:val="nil"/>
              <w:left w:val="nil"/>
              <w:bottom w:val="nil"/>
              <w:right w:val="nil"/>
            </w:tcBorders>
            <w:shd w:val="clear" w:color="auto" w:fill="FFFFFF"/>
            <w:tcMar>
              <w:top w:w="50" w:type="dxa"/>
              <w:left w:w="50" w:type="dxa"/>
              <w:bottom w:w="50" w:type="dxa"/>
              <w:right w:w="50" w:type="dxa"/>
            </w:tcMar>
            <w:vAlign w:val="center"/>
            <w:hideMark/>
          </w:tcPr>
          <w:p w14:paraId="6B236052" w14:textId="2067E1FD" w:rsidR="00CC6D6F" w:rsidRPr="00CC6D6F" w:rsidRDefault="00CC6D6F" w:rsidP="00CC6D6F">
            <w:pPr>
              <w:autoSpaceDE w:val="0"/>
              <w:autoSpaceDN w:val="0"/>
              <w:adjustRightInd w:val="0"/>
              <w:spacing w:before="0" w:after="0" w:line="256" w:lineRule="auto"/>
              <w:jc w:val="left"/>
              <w:rPr>
                <w:rFonts w:ascii="Arial" w:hAnsi="Arial" w:cs="Arial"/>
                <w:snapToGrid/>
                <w:color w:val="000000"/>
                <w:sz w:val="48"/>
                <w:szCs w:val="48"/>
              </w:rPr>
            </w:pPr>
            <w:r w:rsidRPr="00CC6D6F">
              <w:rPr>
                <w:rFonts w:ascii="Arial" w:hAnsi="Arial" w:cs="Arial"/>
                <w:snapToGrid/>
                <w:color w:val="000000"/>
                <w:sz w:val="48"/>
                <w:szCs w:val="48"/>
              </w:rPr>
              <w:t>Energy Efficiency Financing Option Papers for Georgia</w:t>
            </w:r>
          </w:p>
        </w:tc>
      </w:tr>
      <w:tr w:rsidR="00CC6D6F" w:rsidRPr="00CC6D6F" w14:paraId="48A2DE2D" w14:textId="77777777" w:rsidTr="00CC6D6F">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0C4CDB96" w14:textId="77777777" w:rsidR="00CC6D6F" w:rsidRPr="00CC6D6F" w:rsidRDefault="00CC6D6F" w:rsidP="00CC6D6F">
            <w:pPr>
              <w:autoSpaceDE w:val="0"/>
              <w:autoSpaceDN w:val="0"/>
              <w:adjustRightInd w:val="0"/>
              <w:spacing w:before="0" w:after="0" w:line="256" w:lineRule="auto"/>
              <w:jc w:val="left"/>
              <w:rPr>
                <w:snapToGrid/>
                <w:szCs w:val="24"/>
              </w:rPr>
            </w:pPr>
          </w:p>
        </w:tc>
        <w:tc>
          <w:tcPr>
            <w:tcW w:w="9269" w:type="dxa"/>
            <w:gridSpan w:val="3"/>
            <w:tcBorders>
              <w:top w:val="nil"/>
              <w:left w:val="nil"/>
              <w:bottom w:val="nil"/>
              <w:right w:val="nil"/>
            </w:tcBorders>
            <w:shd w:val="clear" w:color="auto" w:fill="FFFFFF"/>
            <w:tcMar>
              <w:top w:w="50" w:type="dxa"/>
              <w:left w:w="50" w:type="dxa"/>
              <w:bottom w:w="50" w:type="dxa"/>
              <w:right w:w="50" w:type="dxa"/>
            </w:tcMar>
            <w:vAlign w:val="center"/>
            <w:hideMark/>
          </w:tcPr>
          <w:p w14:paraId="5C0861F5" w14:textId="4C556028" w:rsidR="00CC6D6F" w:rsidRPr="00CC6D6F" w:rsidRDefault="00CC6D6F" w:rsidP="00CC6D6F">
            <w:pPr>
              <w:autoSpaceDE w:val="0"/>
              <w:autoSpaceDN w:val="0"/>
              <w:adjustRightInd w:val="0"/>
              <w:spacing w:before="0" w:after="0" w:line="256" w:lineRule="auto"/>
              <w:jc w:val="left"/>
              <w:rPr>
                <w:rFonts w:ascii="Arial" w:hAnsi="Arial" w:cs="Arial"/>
                <w:snapToGrid/>
                <w:color w:val="000000"/>
                <w:sz w:val="34"/>
                <w:szCs w:val="34"/>
              </w:rPr>
            </w:pPr>
          </w:p>
        </w:tc>
      </w:tr>
      <w:tr w:rsidR="00CC6D6F" w:rsidRPr="00CC6D6F" w14:paraId="43BECFA2" w14:textId="77777777" w:rsidTr="00CC6D6F">
        <w:tc>
          <w:tcPr>
            <w:tcW w:w="9490" w:type="dxa"/>
            <w:gridSpan w:val="4"/>
            <w:tcBorders>
              <w:top w:val="nil"/>
              <w:left w:val="nil"/>
              <w:bottom w:val="nil"/>
              <w:right w:val="nil"/>
            </w:tcBorders>
            <w:shd w:val="clear" w:color="auto" w:fill="FFFFFF"/>
            <w:tcMar>
              <w:top w:w="50" w:type="dxa"/>
              <w:left w:w="50" w:type="dxa"/>
              <w:bottom w:w="50" w:type="dxa"/>
              <w:right w:w="50" w:type="dxa"/>
            </w:tcMar>
            <w:vAlign w:val="center"/>
            <w:hideMark/>
          </w:tcPr>
          <w:p w14:paraId="2B324CF3" w14:textId="77777777" w:rsidR="00CC6D6F" w:rsidRPr="00CC6D6F" w:rsidRDefault="00CC6D6F" w:rsidP="00CC6D6F">
            <w:pPr>
              <w:autoSpaceDE w:val="0"/>
              <w:autoSpaceDN w:val="0"/>
              <w:adjustRightInd w:val="0"/>
              <w:spacing w:before="0" w:after="0" w:line="256" w:lineRule="auto"/>
              <w:jc w:val="left"/>
              <w:rPr>
                <w:rFonts w:ascii="Times" w:hAnsi="Times" w:cs="Times"/>
                <w:snapToGrid/>
                <w:color w:val="FFFFFF"/>
                <w:sz w:val="60"/>
                <w:szCs w:val="60"/>
              </w:rPr>
            </w:pPr>
            <w:r w:rsidRPr="00CC6D6F">
              <w:rPr>
                <w:rFonts w:ascii="Times" w:hAnsi="Times" w:cs="Times"/>
                <w:snapToGrid/>
                <w:color w:val="FFFFFF"/>
                <w:sz w:val="60"/>
                <w:szCs w:val="60"/>
              </w:rPr>
              <w:t>.</w:t>
            </w:r>
          </w:p>
        </w:tc>
      </w:tr>
      <w:tr w:rsidR="00CC6D6F" w:rsidRPr="00CC6D6F" w14:paraId="13241F95" w14:textId="77777777" w:rsidTr="00CC6D6F">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0A304D07" w14:textId="77777777" w:rsidR="00CC6D6F" w:rsidRPr="00CC6D6F" w:rsidRDefault="00CC6D6F" w:rsidP="00CC6D6F">
            <w:pPr>
              <w:autoSpaceDE w:val="0"/>
              <w:autoSpaceDN w:val="0"/>
              <w:adjustRightInd w:val="0"/>
              <w:spacing w:before="0" w:after="0" w:line="256" w:lineRule="auto"/>
              <w:jc w:val="left"/>
              <w:rPr>
                <w:snapToGrid/>
                <w:szCs w:val="24"/>
              </w:rPr>
            </w:pPr>
          </w:p>
        </w:tc>
        <w:tc>
          <w:tcPr>
            <w:tcW w:w="9269" w:type="dxa"/>
            <w:gridSpan w:val="3"/>
            <w:tcBorders>
              <w:top w:val="nil"/>
              <w:left w:val="nil"/>
              <w:bottom w:val="nil"/>
              <w:right w:val="nil"/>
            </w:tcBorders>
            <w:shd w:val="clear" w:color="auto" w:fill="FFFFFF"/>
            <w:tcMar>
              <w:top w:w="50" w:type="dxa"/>
              <w:left w:w="50" w:type="dxa"/>
              <w:bottom w:w="50" w:type="dxa"/>
              <w:right w:w="50" w:type="dxa"/>
            </w:tcMar>
            <w:vAlign w:val="center"/>
            <w:hideMark/>
          </w:tcPr>
          <w:p w14:paraId="7A07AA7B" w14:textId="77777777" w:rsidR="00CC6D6F" w:rsidRPr="00CC6D6F" w:rsidRDefault="00CC6D6F" w:rsidP="00CC6D6F">
            <w:pPr>
              <w:autoSpaceDE w:val="0"/>
              <w:autoSpaceDN w:val="0"/>
              <w:adjustRightInd w:val="0"/>
              <w:spacing w:before="0" w:after="0" w:line="256" w:lineRule="auto"/>
              <w:jc w:val="left"/>
              <w:rPr>
                <w:rFonts w:ascii="Arial" w:hAnsi="Arial" w:cs="Arial"/>
                <w:snapToGrid/>
                <w:color w:val="000000"/>
                <w:sz w:val="20"/>
              </w:rPr>
            </w:pPr>
            <w:r w:rsidRPr="00CC6D6F">
              <w:rPr>
                <w:rFonts w:ascii="Arial" w:hAnsi="Arial" w:cs="Arial"/>
                <w:snapToGrid/>
                <w:color w:val="000000"/>
                <w:sz w:val="20"/>
              </w:rPr>
              <w:t>September 2016</w:t>
            </w:r>
          </w:p>
        </w:tc>
      </w:tr>
      <w:tr w:rsidR="00CC6D6F" w:rsidRPr="00CC6D6F" w14:paraId="0BF1A482" w14:textId="77777777" w:rsidTr="00CC6D6F">
        <w:tc>
          <w:tcPr>
            <w:tcW w:w="9490" w:type="dxa"/>
            <w:gridSpan w:val="4"/>
            <w:tcBorders>
              <w:top w:val="nil"/>
              <w:left w:val="nil"/>
              <w:bottom w:val="nil"/>
              <w:right w:val="nil"/>
            </w:tcBorders>
            <w:shd w:val="clear" w:color="auto" w:fill="FFFFFF"/>
            <w:tcMar>
              <w:top w:w="50" w:type="dxa"/>
              <w:left w:w="50" w:type="dxa"/>
              <w:bottom w:w="50" w:type="dxa"/>
              <w:right w:w="50" w:type="dxa"/>
            </w:tcMar>
            <w:vAlign w:val="center"/>
          </w:tcPr>
          <w:p w14:paraId="6BDC4402" w14:textId="77777777" w:rsidR="00CC6D6F" w:rsidRPr="00CC6D6F" w:rsidRDefault="00CC6D6F" w:rsidP="00CC6D6F">
            <w:pPr>
              <w:autoSpaceDE w:val="0"/>
              <w:autoSpaceDN w:val="0"/>
              <w:adjustRightInd w:val="0"/>
              <w:spacing w:before="0" w:after="0" w:line="256" w:lineRule="auto"/>
              <w:jc w:val="left"/>
              <w:rPr>
                <w:rFonts w:ascii="Times" w:hAnsi="Times" w:cs="Times"/>
                <w:snapToGrid/>
                <w:color w:val="FFFFFF"/>
                <w:sz w:val="60"/>
                <w:szCs w:val="60"/>
              </w:rPr>
            </w:pPr>
            <w:r w:rsidRPr="00CC6D6F">
              <w:rPr>
                <w:rFonts w:ascii="Times" w:hAnsi="Times" w:cs="Times"/>
                <w:snapToGrid/>
                <w:color w:val="FFFFFF"/>
                <w:sz w:val="60"/>
                <w:szCs w:val="60"/>
              </w:rPr>
              <w:t>.</w:t>
            </w:r>
          </w:p>
          <w:p w14:paraId="7C29F95C" w14:textId="77777777" w:rsidR="00CC6D6F" w:rsidRPr="00CC6D6F" w:rsidRDefault="00CC6D6F" w:rsidP="00CC6D6F">
            <w:pPr>
              <w:autoSpaceDE w:val="0"/>
              <w:autoSpaceDN w:val="0"/>
              <w:adjustRightInd w:val="0"/>
              <w:spacing w:before="0" w:after="0" w:line="256" w:lineRule="auto"/>
              <w:jc w:val="left"/>
              <w:rPr>
                <w:rFonts w:ascii="Times" w:hAnsi="Times" w:cs="Times"/>
                <w:snapToGrid/>
                <w:color w:val="FFFFFF"/>
                <w:sz w:val="60"/>
                <w:szCs w:val="60"/>
              </w:rPr>
            </w:pPr>
          </w:p>
          <w:p w14:paraId="0F573F80" w14:textId="77777777" w:rsidR="00CC6D6F" w:rsidRPr="00CC6D6F" w:rsidRDefault="00CC6D6F" w:rsidP="00CC6D6F">
            <w:pPr>
              <w:autoSpaceDE w:val="0"/>
              <w:autoSpaceDN w:val="0"/>
              <w:adjustRightInd w:val="0"/>
              <w:spacing w:before="0" w:after="0" w:line="256" w:lineRule="auto"/>
              <w:jc w:val="left"/>
              <w:rPr>
                <w:rFonts w:ascii="Times" w:hAnsi="Times" w:cs="Times"/>
                <w:snapToGrid/>
                <w:color w:val="FFFFFF"/>
                <w:sz w:val="60"/>
                <w:szCs w:val="60"/>
              </w:rPr>
            </w:pPr>
          </w:p>
          <w:p w14:paraId="212BC4E7" w14:textId="77777777" w:rsidR="00CC6D6F" w:rsidRPr="00CC6D6F" w:rsidRDefault="00CC6D6F" w:rsidP="00CC6D6F">
            <w:pPr>
              <w:autoSpaceDE w:val="0"/>
              <w:autoSpaceDN w:val="0"/>
              <w:adjustRightInd w:val="0"/>
              <w:spacing w:before="0" w:after="0" w:line="256" w:lineRule="auto"/>
              <w:jc w:val="left"/>
              <w:rPr>
                <w:rFonts w:ascii="Times" w:hAnsi="Times" w:cs="Times"/>
                <w:snapToGrid/>
                <w:color w:val="FFFFFF"/>
                <w:sz w:val="60"/>
                <w:szCs w:val="60"/>
              </w:rPr>
            </w:pPr>
          </w:p>
          <w:p w14:paraId="272D9CA0" w14:textId="77777777" w:rsidR="00CC6D6F" w:rsidRPr="00CC6D6F" w:rsidRDefault="00CC6D6F" w:rsidP="00CC6D6F">
            <w:pPr>
              <w:autoSpaceDE w:val="0"/>
              <w:autoSpaceDN w:val="0"/>
              <w:adjustRightInd w:val="0"/>
              <w:spacing w:before="0" w:after="0" w:line="256" w:lineRule="auto"/>
              <w:jc w:val="left"/>
              <w:rPr>
                <w:rFonts w:ascii="Times" w:hAnsi="Times" w:cs="Times"/>
                <w:snapToGrid/>
                <w:color w:val="FFFFFF"/>
                <w:sz w:val="60"/>
                <w:szCs w:val="60"/>
              </w:rPr>
            </w:pPr>
          </w:p>
          <w:p w14:paraId="1BDE5D46" w14:textId="77777777" w:rsidR="00CC6D6F" w:rsidRPr="00CC6D6F" w:rsidRDefault="00CC6D6F" w:rsidP="00CC6D6F">
            <w:pPr>
              <w:autoSpaceDE w:val="0"/>
              <w:autoSpaceDN w:val="0"/>
              <w:adjustRightInd w:val="0"/>
              <w:spacing w:before="0" w:after="0" w:line="256" w:lineRule="auto"/>
              <w:jc w:val="left"/>
              <w:rPr>
                <w:rFonts w:ascii="Times" w:hAnsi="Times" w:cs="Times"/>
                <w:snapToGrid/>
                <w:color w:val="FFFFFF"/>
                <w:sz w:val="60"/>
                <w:szCs w:val="60"/>
              </w:rPr>
            </w:pPr>
          </w:p>
          <w:p w14:paraId="3CAD1448" w14:textId="77777777" w:rsidR="00CC6D6F" w:rsidRPr="00CC6D6F" w:rsidRDefault="00CC6D6F" w:rsidP="00CC6D6F">
            <w:pPr>
              <w:autoSpaceDE w:val="0"/>
              <w:autoSpaceDN w:val="0"/>
              <w:adjustRightInd w:val="0"/>
              <w:spacing w:before="0" w:after="0" w:line="256" w:lineRule="auto"/>
              <w:jc w:val="left"/>
              <w:rPr>
                <w:rFonts w:ascii="Times" w:hAnsi="Times" w:cs="Times"/>
                <w:snapToGrid/>
                <w:color w:val="FFFFFF"/>
                <w:sz w:val="60"/>
                <w:szCs w:val="60"/>
              </w:rPr>
            </w:pPr>
          </w:p>
          <w:p w14:paraId="56EFDD6E" w14:textId="77777777" w:rsidR="00CC6D6F" w:rsidRPr="00CC6D6F" w:rsidRDefault="00CC6D6F" w:rsidP="00CC6D6F">
            <w:pPr>
              <w:autoSpaceDE w:val="0"/>
              <w:autoSpaceDN w:val="0"/>
              <w:adjustRightInd w:val="0"/>
              <w:spacing w:before="0" w:after="0" w:line="256" w:lineRule="auto"/>
              <w:jc w:val="left"/>
              <w:rPr>
                <w:rFonts w:ascii="Times" w:hAnsi="Times" w:cs="Times"/>
                <w:snapToGrid/>
                <w:color w:val="FFFFFF"/>
                <w:sz w:val="60"/>
                <w:szCs w:val="60"/>
              </w:rPr>
            </w:pPr>
          </w:p>
          <w:p w14:paraId="4B0EA58B" w14:textId="77777777" w:rsidR="00CC6D6F" w:rsidRPr="00CC6D6F" w:rsidRDefault="00CC6D6F" w:rsidP="00CC6D6F">
            <w:pPr>
              <w:autoSpaceDE w:val="0"/>
              <w:autoSpaceDN w:val="0"/>
              <w:adjustRightInd w:val="0"/>
              <w:spacing w:before="0" w:after="0" w:line="256" w:lineRule="auto"/>
              <w:jc w:val="left"/>
              <w:rPr>
                <w:rFonts w:ascii="Times" w:hAnsi="Times" w:cs="Times"/>
                <w:snapToGrid/>
                <w:color w:val="FFFFFF"/>
                <w:sz w:val="60"/>
                <w:szCs w:val="60"/>
              </w:rPr>
            </w:pPr>
          </w:p>
        </w:tc>
      </w:tr>
      <w:tr w:rsidR="00CC6D6F" w:rsidRPr="00CC6D6F" w14:paraId="15D42646" w14:textId="77777777" w:rsidTr="00CC6D6F">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5040CEFD" w14:textId="77777777" w:rsidR="00CC6D6F" w:rsidRPr="00CC6D6F" w:rsidRDefault="00CC6D6F" w:rsidP="00CC6D6F">
            <w:pPr>
              <w:autoSpaceDE w:val="0"/>
              <w:autoSpaceDN w:val="0"/>
              <w:adjustRightInd w:val="0"/>
              <w:spacing w:before="0" w:after="0" w:line="256" w:lineRule="auto"/>
              <w:jc w:val="left"/>
              <w:rPr>
                <w:snapToGrid/>
                <w:szCs w:val="24"/>
              </w:rPr>
            </w:pPr>
          </w:p>
        </w:tc>
        <w:tc>
          <w:tcPr>
            <w:tcW w:w="9269" w:type="dxa"/>
            <w:gridSpan w:val="3"/>
            <w:tcBorders>
              <w:top w:val="nil"/>
              <w:left w:val="nil"/>
              <w:bottom w:val="nil"/>
              <w:right w:val="nil"/>
            </w:tcBorders>
            <w:shd w:val="clear" w:color="auto" w:fill="FFFFFF"/>
            <w:tcMar>
              <w:top w:w="50" w:type="dxa"/>
              <w:left w:w="50" w:type="dxa"/>
              <w:bottom w:w="50" w:type="dxa"/>
              <w:right w:w="50" w:type="dxa"/>
            </w:tcMar>
            <w:vAlign w:val="center"/>
            <w:hideMark/>
          </w:tcPr>
          <w:p w14:paraId="6151AFDA" w14:textId="2C2EAB5E" w:rsidR="00CC6D6F" w:rsidRPr="00CC6D6F" w:rsidRDefault="00CC6D6F" w:rsidP="00CC6D6F">
            <w:pPr>
              <w:autoSpaceDE w:val="0"/>
              <w:autoSpaceDN w:val="0"/>
              <w:adjustRightInd w:val="0"/>
              <w:spacing w:before="0" w:after="0" w:line="256" w:lineRule="auto"/>
              <w:jc w:val="left"/>
              <w:rPr>
                <w:rFonts w:ascii="Arial" w:hAnsi="Arial" w:cs="Arial"/>
                <w:snapToGrid/>
                <w:color w:val="000000"/>
                <w:sz w:val="20"/>
              </w:rPr>
            </w:pPr>
          </w:p>
        </w:tc>
      </w:tr>
      <w:tr w:rsidR="00CC6D6F" w:rsidRPr="00CC6D6F" w14:paraId="2427424E" w14:textId="77777777" w:rsidTr="00CC6D6F">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06CD0A60" w14:textId="77777777" w:rsidR="00CC6D6F" w:rsidRPr="00CC6D6F" w:rsidRDefault="00CC6D6F" w:rsidP="00CC6D6F">
            <w:pPr>
              <w:autoSpaceDE w:val="0"/>
              <w:autoSpaceDN w:val="0"/>
              <w:adjustRightInd w:val="0"/>
              <w:spacing w:before="0" w:after="0" w:line="256" w:lineRule="auto"/>
              <w:jc w:val="left"/>
              <w:rPr>
                <w:snapToGrid/>
                <w:szCs w:val="24"/>
              </w:rPr>
            </w:pPr>
          </w:p>
        </w:tc>
        <w:tc>
          <w:tcPr>
            <w:tcW w:w="9269" w:type="dxa"/>
            <w:gridSpan w:val="3"/>
            <w:tcBorders>
              <w:top w:val="nil"/>
              <w:left w:val="nil"/>
              <w:bottom w:val="nil"/>
              <w:right w:val="nil"/>
            </w:tcBorders>
            <w:shd w:val="clear" w:color="auto" w:fill="FFFFFF"/>
            <w:tcMar>
              <w:top w:w="50" w:type="dxa"/>
              <w:left w:w="50" w:type="dxa"/>
              <w:bottom w:w="50" w:type="dxa"/>
              <w:right w:w="50" w:type="dxa"/>
            </w:tcMar>
            <w:vAlign w:val="center"/>
            <w:hideMark/>
          </w:tcPr>
          <w:p w14:paraId="0313A82C" w14:textId="1DED41F4" w:rsidR="00CC6D6F" w:rsidRPr="00CC6D6F" w:rsidRDefault="00CC6D6F" w:rsidP="00CC6D6F">
            <w:pPr>
              <w:autoSpaceDE w:val="0"/>
              <w:autoSpaceDN w:val="0"/>
              <w:adjustRightInd w:val="0"/>
              <w:spacing w:before="0" w:after="0" w:line="256" w:lineRule="auto"/>
              <w:jc w:val="left"/>
              <w:rPr>
                <w:rFonts w:ascii="Arial" w:hAnsi="Arial" w:cs="Arial"/>
                <w:snapToGrid/>
                <w:color w:val="000000"/>
                <w:sz w:val="20"/>
              </w:rPr>
            </w:pPr>
            <w:r>
              <w:rPr>
                <w:rFonts w:ascii="Arial" w:hAnsi="Arial" w:cs="Arial"/>
                <w:snapToGrid/>
                <w:color w:val="000000"/>
                <w:sz w:val="20"/>
              </w:rPr>
              <w:t>Energy &amp; Extractives Global Practice</w:t>
            </w:r>
          </w:p>
        </w:tc>
      </w:tr>
      <w:tr w:rsidR="00CC6D6F" w:rsidRPr="00CC6D6F" w14:paraId="2F609091" w14:textId="77777777" w:rsidTr="00CC6D6F">
        <w:tc>
          <w:tcPr>
            <w:tcW w:w="9490" w:type="dxa"/>
            <w:gridSpan w:val="4"/>
            <w:tcBorders>
              <w:top w:val="nil"/>
              <w:left w:val="nil"/>
              <w:bottom w:val="nil"/>
              <w:right w:val="nil"/>
            </w:tcBorders>
            <w:shd w:val="clear" w:color="auto" w:fill="FFFFFF"/>
            <w:tcMar>
              <w:top w:w="50" w:type="dxa"/>
              <w:left w:w="50" w:type="dxa"/>
              <w:bottom w:w="50" w:type="dxa"/>
              <w:right w:w="50" w:type="dxa"/>
            </w:tcMar>
            <w:vAlign w:val="center"/>
            <w:hideMark/>
          </w:tcPr>
          <w:p w14:paraId="11276529" w14:textId="77777777" w:rsidR="00CC6D6F" w:rsidRPr="00CC6D6F" w:rsidRDefault="00CC6D6F" w:rsidP="00CC6D6F">
            <w:pPr>
              <w:autoSpaceDE w:val="0"/>
              <w:autoSpaceDN w:val="0"/>
              <w:adjustRightInd w:val="0"/>
              <w:spacing w:before="0" w:after="0" w:line="256" w:lineRule="auto"/>
              <w:jc w:val="left"/>
              <w:rPr>
                <w:rFonts w:ascii="Times" w:hAnsi="Times" w:cs="Times"/>
                <w:snapToGrid/>
                <w:color w:val="FFFFFF"/>
                <w:sz w:val="20"/>
              </w:rPr>
            </w:pPr>
            <w:r w:rsidRPr="00CC6D6F">
              <w:rPr>
                <w:rFonts w:ascii="Times" w:hAnsi="Times" w:cs="Times"/>
                <w:snapToGrid/>
                <w:color w:val="FFFFFF"/>
                <w:sz w:val="20"/>
              </w:rPr>
              <w:t>.</w:t>
            </w:r>
          </w:p>
        </w:tc>
      </w:tr>
      <w:tr w:rsidR="00CC6D6F" w:rsidRPr="00CC6D6F" w14:paraId="651A71AE" w14:textId="77777777" w:rsidTr="00CC6D6F">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2696C6C5" w14:textId="77777777" w:rsidR="00CC6D6F" w:rsidRPr="00CC6D6F" w:rsidRDefault="00CC6D6F" w:rsidP="00CC6D6F">
            <w:pPr>
              <w:autoSpaceDE w:val="0"/>
              <w:autoSpaceDN w:val="0"/>
              <w:adjustRightInd w:val="0"/>
              <w:spacing w:before="0" w:after="0" w:line="256" w:lineRule="auto"/>
              <w:jc w:val="left"/>
              <w:rPr>
                <w:snapToGrid/>
                <w:szCs w:val="24"/>
              </w:rPr>
            </w:pPr>
          </w:p>
        </w:tc>
        <w:tc>
          <w:tcPr>
            <w:tcW w:w="5409" w:type="dxa"/>
            <w:gridSpan w:val="2"/>
            <w:tcBorders>
              <w:top w:val="nil"/>
              <w:left w:val="nil"/>
              <w:bottom w:val="nil"/>
              <w:right w:val="nil"/>
            </w:tcBorders>
            <w:shd w:val="clear" w:color="auto" w:fill="FFFFFF"/>
            <w:tcMar>
              <w:top w:w="50" w:type="dxa"/>
              <w:left w:w="50" w:type="dxa"/>
              <w:bottom w:w="50" w:type="dxa"/>
              <w:right w:w="50" w:type="dxa"/>
            </w:tcMar>
            <w:vAlign w:val="center"/>
            <w:hideMark/>
          </w:tcPr>
          <w:p w14:paraId="015440F9" w14:textId="5DC28994" w:rsidR="00CC6D6F" w:rsidRPr="00CC6D6F" w:rsidRDefault="00CC6D6F" w:rsidP="00CC6D6F">
            <w:pPr>
              <w:autoSpaceDE w:val="0"/>
              <w:autoSpaceDN w:val="0"/>
              <w:adjustRightInd w:val="0"/>
              <w:spacing w:before="0" w:after="0" w:line="320" w:lineRule="atLeast"/>
              <w:jc w:val="left"/>
              <w:rPr>
                <w:snapToGrid/>
                <w:szCs w:val="24"/>
              </w:rPr>
            </w:pPr>
            <w:r w:rsidRPr="00CC6D6F">
              <w:rPr>
                <w:color w:val="000000"/>
                <w:w w:val="1"/>
                <w:sz w:val="2"/>
                <w:szCs w:val="2"/>
                <w:bdr w:val="none" w:sz="0" w:space="0" w:color="auto" w:frame="1"/>
                <w:shd w:val="clear" w:color="auto" w:fill="000000"/>
                <w:lang w:val="x-none" w:eastAsia="x-none" w:bidi="x-none"/>
              </w:rPr>
              <w:t xml:space="preserve"> </w:t>
            </w:r>
            <w:r w:rsidRPr="00CC6D6F">
              <w:rPr>
                <w:noProof/>
                <w:color w:val="000000"/>
                <w:w w:val="1"/>
                <w:sz w:val="2"/>
                <w:szCs w:val="2"/>
                <w:bdr w:val="none" w:sz="0" w:space="0" w:color="auto" w:frame="1"/>
                <w:shd w:val="clear" w:color="auto" w:fill="000000"/>
              </w:rPr>
              <w:drawing>
                <wp:inline distT="0" distB="0" distL="0" distR="0" wp14:anchorId="1177BE7A" wp14:editId="10AC2D6C">
                  <wp:extent cx="2484120" cy="624012"/>
                  <wp:effectExtent l="0" t="0" r="0" b="5080"/>
                  <wp:docPr id="28676" name="Picture 28676" descr="C:\Users\wb349544\AppData\Local\Temp\Rar$DI79.496\WB-ECA-horizontal-RGB-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b349544\AppData\Local\Temp\Rar$DI79.496\WB-ECA-horizontal-RGB-hig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8713" cy="637726"/>
                          </a:xfrm>
                          <a:prstGeom prst="rect">
                            <a:avLst/>
                          </a:prstGeom>
                          <a:noFill/>
                          <a:ln>
                            <a:noFill/>
                          </a:ln>
                        </pic:spPr>
                      </pic:pic>
                    </a:graphicData>
                  </a:graphic>
                </wp:inline>
              </w:drawing>
            </w:r>
          </w:p>
        </w:tc>
        <w:tc>
          <w:tcPr>
            <w:tcW w:w="3860" w:type="dxa"/>
            <w:tcBorders>
              <w:top w:val="nil"/>
              <w:left w:val="nil"/>
              <w:bottom w:val="nil"/>
              <w:right w:val="nil"/>
            </w:tcBorders>
            <w:shd w:val="clear" w:color="auto" w:fill="FFFFFF"/>
            <w:vAlign w:val="center"/>
            <w:hideMark/>
          </w:tcPr>
          <w:p w14:paraId="184D35ED" w14:textId="77777777" w:rsidR="00CC6D6F" w:rsidRPr="00CC6D6F" w:rsidRDefault="00CC6D6F" w:rsidP="00CC6D6F">
            <w:pPr>
              <w:autoSpaceDE w:val="0"/>
              <w:autoSpaceDN w:val="0"/>
              <w:adjustRightInd w:val="0"/>
              <w:spacing w:before="0" w:after="0" w:line="320" w:lineRule="atLeast"/>
              <w:jc w:val="right"/>
              <w:rPr>
                <w:snapToGrid/>
                <w:szCs w:val="24"/>
              </w:rPr>
            </w:pPr>
            <w:r w:rsidRPr="00CC6D6F">
              <w:rPr>
                <w:rFonts w:ascii="Calibri" w:hAnsi="Calibri" w:cs="Arial"/>
                <w:b/>
                <w:noProof/>
                <w:snapToGrid/>
                <w:color w:val="000000"/>
                <w:sz w:val="30"/>
                <w:szCs w:val="24"/>
              </w:rPr>
              <w:drawing>
                <wp:inline distT="0" distB="0" distL="0" distR="0" wp14:anchorId="558E8BDE" wp14:editId="5898B59D">
                  <wp:extent cx="1836420" cy="731520"/>
                  <wp:effectExtent l="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6420" cy="731520"/>
                          </a:xfrm>
                          <a:prstGeom prst="rect">
                            <a:avLst/>
                          </a:prstGeom>
                          <a:noFill/>
                          <a:ln>
                            <a:noFill/>
                          </a:ln>
                        </pic:spPr>
                      </pic:pic>
                    </a:graphicData>
                  </a:graphic>
                </wp:inline>
              </w:drawing>
            </w:r>
          </w:p>
        </w:tc>
      </w:tr>
      <w:tr w:rsidR="00CC6D6F" w:rsidRPr="00CC6D6F" w14:paraId="77B9ED75" w14:textId="77777777" w:rsidTr="00CC6D6F">
        <w:trPr>
          <w:trHeight w:val="7780"/>
        </w:trPr>
        <w:tc>
          <w:tcPr>
            <w:tcW w:w="9490" w:type="dxa"/>
            <w:gridSpan w:val="4"/>
            <w:tcBorders>
              <w:top w:val="nil"/>
              <w:left w:val="nil"/>
              <w:bottom w:val="nil"/>
              <w:right w:val="nil"/>
            </w:tcBorders>
            <w:shd w:val="clear" w:color="auto" w:fill="FFFFFF"/>
            <w:tcMar>
              <w:top w:w="50" w:type="dxa"/>
              <w:left w:w="50" w:type="dxa"/>
              <w:bottom w:w="50" w:type="dxa"/>
              <w:right w:w="50" w:type="dxa"/>
            </w:tcMar>
            <w:vAlign w:val="center"/>
            <w:hideMark/>
          </w:tcPr>
          <w:p w14:paraId="42880879" w14:textId="77777777" w:rsidR="00CC6D6F" w:rsidRPr="00CC6D6F" w:rsidRDefault="00CC6D6F" w:rsidP="00CC6D6F">
            <w:pPr>
              <w:autoSpaceDE w:val="0"/>
              <w:autoSpaceDN w:val="0"/>
              <w:adjustRightInd w:val="0"/>
              <w:spacing w:before="0" w:after="0" w:line="256" w:lineRule="auto"/>
              <w:jc w:val="left"/>
              <w:rPr>
                <w:rFonts w:ascii="Times" w:hAnsi="Times" w:cs="Times"/>
                <w:snapToGrid/>
                <w:color w:val="FFFFFF"/>
                <w:sz w:val="650"/>
                <w:szCs w:val="650"/>
              </w:rPr>
            </w:pPr>
            <w:r w:rsidRPr="00CC6D6F">
              <w:rPr>
                <w:rFonts w:ascii="Times" w:hAnsi="Times" w:cs="Times"/>
                <w:snapToGrid/>
                <w:color w:val="FFFFFF"/>
                <w:sz w:val="650"/>
                <w:szCs w:val="650"/>
              </w:rPr>
              <w:t>.</w:t>
            </w:r>
          </w:p>
        </w:tc>
      </w:tr>
      <w:tr w:rsidR="00CC6D6F" w:rsidRPr="00CC6D6F" w14:paraId="16A56005" w14:textId="77777777" w:rsidTr="00CC6D6F">
        <w:tc>
          <w:tcPr>
            <w:tcW w:w="9490" w:type="dxa"/>
            <w:gridSpan w:val="4"/>
            <w:tcBorders>
              <w:top w:val="nil"/>
              <w:left w:val="nil"/>
              <w:bottom w:val="nil"/>
              <w:right w:val="nil"/>
            </w:tcBorders>
            <w:shd w:val="clear" w:color="auto" w:fill="FFFFFF"/>
            <w:tcMar>
              <w:top w:w="50" w:type="dxa"/>
              <w:left w:w="50" w:type="dxa"/>
              <w:bottom w:w="50" w:type="dxa"/>
              <w:right w:w="50" w:type="dxa"/>
            </w:tcMar>
            <w:vAlign w:val="center"/>
            <w:hideMark/>
          </w:tcPr>
          <w:p w14:paraId="32D7AA19" w14:textId="77777777" w:rsidR="00CC6D6F" w:rsidRPr="00CC6D6F" w:rsidRDefault="00CC6D6F" w:rsidP="00CC6D6F">
            <w:pPr>
              <w:autoSpaceDE w:val="0"/>
              <w:autoSpaceDN w:val="0"/>
              <w:adjustRightInd w:val="0"/>
              <w:spacing w:before="0" w:after="0" w:line="256" w:lineRule="auto"/>
              <w:jc w:val="left"/>
              <w:rPr>
                <w:rFonts w:ascii="Times" w:hAnsi="Times" w:cs="Times"/>
                <w:snapToGrid/>
                <w:color w:val="FFFFFF"/>
                <w:sz w:val="20"/>
              </w:rPr>
            </w:pPr>
            <w:r w:rsidRPr="00CC6D6F">
              <w:rPr>
                <w:rFonts w:ascii="Times" w:hAnsi="Times" w:cs="Times"/>
                <w:snapToGrid/>
                <w:color w:val="FFFFFF"/>
                <w:sz w:val="20"/>
              </w:rPr>
              <w:t>.</w:t>
            </w:r>
          </w:p>
        </w:tc>
      </w:tr>
      <w:tr w:rsidR="00CC6D6F" w:rsidRPr="00CC6D6F" w14:paraId="5739AFFF" w14:textId="77777777" w:rsidTr="00CC6D6F">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6161589C" w14:textId="77777777" w:rsidR="00CC6D6F" w:rsidRPr="00CC6D6F" w:rsidRDefault="00CC6D6F" w:rsidP="00CC6D6F">
            <w:pPr>
              <w:autoSpaceDE w:val="0"/>
              <w:autoSpaceDN w:val="0"/>
              <w:adjustRightInd w:val="0"/>
              <w:spacing w:before="0" w:after="0" w:line="256" w:lineRule="auto"/>
              <w:jc w:val="left"/>
              <w:rPr>
                <w:snapToGrid/>
                <w:szCs w:val="24"/>
              </w:rPr>
            </w:pPr>
          </w:p>
        </w:tc>
        <w:tc>
          <w:tcPr>
            <w:tcW w:w="9159" w:type="dxa"/>
            <w:gridSpan w:val="2"/>
            <w:tcBorders>
              <w:top w:val="nil"/>
              <w:left w:val="nil"/>
              <w:bottom w:val="nil"/>
              <w:right w:val="nil"/>
            </w:tcBorders>
            <w:shd w:val="clear" w:color="auto" w:fill="FFFFFF"/>
            <w:tcMar>
              <w:top w:w="50" w:type="dxa"/>
              <w:left w:w="50" w:type="dxa"/>
              <w:bottom w:w="50" w:type="dxa"/>
              <w:right w:w="50" w:type="dxa"/>
            </w:tcMar>
            <w:vAlign w:val="center"/>
            <w:hideMark/>
          </w:tcPr>
          <w:p w14:paraId="6E914CBC" w14:textId="77777777" w:rsidR="00CC6D6F" w:rsidRPr="00CC6D6F" w:rsidRDefault="00CC6D6F" w:rsidP="00CC6D6F">
            <w:pPr>
              <w:autoSpaceDE w:val="0"/>
              <w:autoSpaceDN w:val="0"/>
              <w:adjustRightInd w:val="0"/>
              <w:spacing w:before="0" w:after="0" w:line="256" w:lineRule="auto"/>
              <w:jc w:val="left"/>
              <w:rPr>
                <w:rFonts w:ascii="Arial" w:hAnsi="Arial" w:cs="Arial"/>
                <w:snapToGrid/>
                <w:color w:val="245086"/>
                <w:sz w:val="18"/>
                <w:szCs w:val="18"/>
              </w:rPr>
            </w:pPr>
            <w:r w:rsidRPr="00CC6D6F">
              <w:rPr>
                <w:rFonts w:ascii="Arial" w:hAnsi="Arial" w:cs="Arial"/>
                <w:b/>
                <w:bCs/>
                <w:snapToGrid/>
                <w:color w:val="245086"/>
                <w:sz w:val="18"/>
                <w:szCs w:val="18"/>
              </w:rPr>
              <w:t>Disclaimer:</w:t>
            </w:r>
          </w:p>
        </w:tc>
      </w:tr>
      <w:tr w:rsidR="00CC6D6F" w:rsidRPr="00CC6D6F" w14:paraId="36C83721" w14:textId="77777777" w:rsidTr="00CC6D6F">
        <w:tc>
          <w:tcPr>
            <w:tcW w:w="9490" w:type="dxa"/>
            <w:gridSpan w:val="4"/>
            <w:tcBorders>
              <w:top w:val="nil"/>
              <w:left w:val="nil"/>
              <w:bottom w:val="nil"/>
              <w:right w:val="nil"/>
            </w:tcBorders>
            <w:shd w:val="clear" w:color="auto" w:fill="FFFFFF"/>
            <w:tcMar>
              <w:top w:w="50" w:type="dxa"/>
              <w:left w:w="50" w:type="dxa"/>
              <w:bottom w:w="50" w:type="dxa"/>
              <w:right w:w="50" w:type="dxa"/>
            </w:tcMar>
            <w:vAlign w:val="center"/>
            <w:hideMark/>
          </w:tcPr>
          <w:p w14:paraId="5B21B276" w14:textId="77777777" w:rsidR="00CC6D6F" w:rsidRPr="00CC6D6F" w:rsidRDefault="00CC6D6F" w:rsidP="00CC6D6F">
            <w:pPr>
              <w:autoSpaceDE w:val="0"/>
              <w:autoSpaceDN w:val="0"/>
              <w:adjustRightInd w:val="0"/>
              <w:spacing w:before="0" w:after="0" w:line="256" w:lineRule="auto"/>
              <w:jc w:val="left"/>
              <w:rPr>
                <w:rFonts w:ascii="Times" w:hAnsi="Times" w:cs="Times"/>
                <w:snapToGrid/>
                <w:color w:val="FFFFFF"/>
                <w:sz w:val="20"/>
              </w:rPr>
            </w:pPr>
            <w:r w:rsidRPr="00CC6D6F">
              <w:rPr>
                <w:rFonts w:ascii="Times" w:hAnsi="Times" w:cs="Times"/>
                <w:snapToGrid/>
                <w:color w:val="FFFFFF"/>
                <w:sz w:val="20"/>
              </w:rPr>
              <w:t>.</w:t>
            </w:r>
          </w:p>
        </w:tc>
      </w:tr>
      <w:tr w:rsidR="00CC6D6F" w:rsidRPr="00CC6D6F" w14:paraId="59791D19" w14:textId="77777777" w:rsidTr="00CC6D6F">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39F7B3CC" w14:textId="77777777" w:rsidR="00CC6D6F" w:rsidRPr="00CC6D6F" w:rsidRDefault="00CC6D6F" w:rsidP="00CC6D6F">
            <w:pPr>
              <w:autoSpaceDE w:val="0"/>
              <w:autoSpaceDN w:val="0"/>
              <w:adjustRightInd w:val="0"/>
              <w:spacing w:before="0" w:after="0" w:line="256" w:lineRule="auto"/>
              <w:jc w:val="left"/>
              <w:rPr>
                <w:snapToGrid/>
                <w:szCs w:val="24"/>
              </w:rPr>
            </w:pPr>
          </w:p>
        </w:tc>
        <w:tc>
          <w:tcPr>
            <w:tcW w:w="9159" w:type="dxa"/>
            <w:gridSpan w:val="2"/>
            <w:tcBorders>
              <w:top w:val="nil"/>
              <w:left w:val="nil"/>
              <w:bottom w:val="nil"/>
              <w:right w:val="nil"/>
            </w:tcBorders>
            <w:shd w:val="clear" w:color="auto" w:fill="FFFFFF"/>
            <w:tcMar>
              <w:top w:w="50" w:type="dxa"/>
              <w:left w:w="50" w:type="dxa"/>
              <w:bottom w:w="50" w:type="dxa"/>
              <w:right w:w="50" w:type="dxa"/>
            </w:tcMar>
            <w:vAlign w:val="center"/>
            <w:hideMark/>
          </w:tcPr>
          <w:p w14:paraId="6EB96589" w14:textId="77777777" w:rsidR="00CC6D6F" w:rsidRPr="00CC6D6F" w:rsidRDefault="00CC6D6F" w:rsidP="00CC6D6F">
            <w:pPr>
              <w:autoSpaceDE w:val="0"/>
              <w:autoSpaceDN w:val="0"/>
              <w:adjustRightInd w:val="0"/>
              <w:spacing w:before="0" w:after="0" w:line="256" w:lineRule="auto"/>
              <w:rPr>
                <w:rFonts w:ascii="Arial" w:hAnsi="Arial" w:cs="Arial"/>
                <w:snapToGrid/>
                <w:color w:val="000000"/>
                <w:sz w:val="18"/>
                <w:szCs w:val="18"/>
              </w:rPr>
            </w:pPr>
            <w:r w:rsidRPr="00CC6D6F">
              <w:rPr>
                <w:rFonts w:ascii="Arial" w:hAnsi="Arial" w:cs="Arial"/>
                <w:snapToGrid/>
                <w:color w:val="000000"/>
                <w:sz w:val="18"/>
                <w:szCs w:val="18"/>
              </w:rPr>
              <w:t>This volume is a product of the staff of the International Bank for Reconstruction and Development/ The World Bank. The findings, interpretations, and conclusions expressed in this paper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w:t>
            </w:r>
          </w:p>
        </w:tc>
      </w:tr>
      <w:tr w:rsidR="00CC6D6F" w:rsidRPr="00CC6D6F" w14:paraId="358A1DEC" w14:textId="77777777" w:rsidTr="00CC6D6F">
        <w:tc>
          <w:tcPr>
            <w:tcW w:w="9490" w:type="dxa"/>
            <w:gridSpan w:val="4"/>
            <w:tcBorders>
              <w:top w:val="nil"/>
              <w:left w:val="nil"/>
              <w:bottom w:val="nil"/>
              <w:right w:val="nil"/>
            </w:tcBorders>
            <w:shd w:val="clear" w:color="auto" w:fill="FFFFFF"/>
            <w:tcMar>
              <w:top w:w="50" w:type="dxa"/>
              <w:left w:w="50" w:type="dxa"/>
              <w:bottom w:w="50" w:type="dxa"/>
              <w:right w:w="50" w:type="dxa"/>
            </w:tcMar>
            <w:vAlign w:val="center"/>
            <w:hideMark/>
          </w:tcPr>
          <w:p w14:paraId="165E2A51" w14:textId="77777777" w:rsidR="00CC6D6F" w:rsidRPr="00CC6D6F" w:rsidRDefault="00CC6D6F" w:rsidP="00CC6D6F">
            <w:pPr>
              <w:autoSpaceDE w:val="0"/>
              <w:autoSpaceDN w:val="0"/>
              <w:adjustRightInd w:val="0"/>
              <w:spacing w:before="0" w:after="0" w:line="256" w:lineRule="auto"/>
              <w:jc w:val="left"/>
              <w:rPr>
                <w:rFonts w:ascii="Times" w:hAnsi="Times" w:cs="Times"/>
                <w:snapToGrid/>
                <w:color w:val="FFFFFF"/>
                <w:sz w:val="20"/>
              </w:rPr>
            </w:pPr>
            <w:r w:rsidRPr="00CC6D6F">
              <w:rPr>
                <w:rFonts w:ascii="Times" w:hAnsi="Times" w:cs="Times"/>
                <w:snapToGrid/>
                <w:color w:val="FFFFFF"/>
                <w:sz w:val="20"/>
              </w:rPr>
              <w:t>.</w:t>
            </w:r>
          </w:p>
        </w:tc>
      </w:tr>
      <w:tr w:rsidR="00CC6D6F" w:rsidRPr="00CC6D6F" w14:paraId="7CB22DB2" w14:textId="77777777" w:rsidTr="00CC6D6F">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0EAABEEE" w14:textId="77777777" w:rsidR="00CC6D6F" w:rsidRPr="00CC6D6F" w:rsidRDefault="00CC6D6F" w:rsidP="00CC6D6F">
            <w:pPr>
              <w:autoSpaceDE w:val="0"/>
              <w:autoSpaceDN w:val="0"/>
              <w:adjustRightInd w:val="0"/>
              <w:spacing w:before="0" w:after="0" w:line="256" w:lineRule="auto"/>
              <w:jc w:val="left"/>
              <w:rPr>
                <w:snapToGrid/>
                <w:szCs w:val="24"/>
              </w:rPr>
            </w:pPr>
          </w:p>
        </w:tc>
        <w:tc>
          <w:tcPr>
            <w:tcW w:w="9159" w:type="dxa"/>
            <w:gridSpan w:val="2"/>
            <w:tcBorders>
              <w:top w:val="nil"/>
              <w:left w:val="nil"/>
              <w:bottom w:val="nil"/>
              <w:right w:val="nil"/>
            </w:tcBorders>
            <w:shd w:val="clear" w:color="auto" w:fill="FFFFFF"/>
            <w:tcMar>
              <w:top w:w="50" w:type="dxa"/>
              <w:left w:w="50" w:type="dxa"/>
              <w:bottom w:w="50" w:type="dxa"/>
              <w:right w:w="50" w:type="dxa"/>
            </w:tcMar>
            <w:vAlign w:val="center"/>
            <w:hideMark/>
          </w:tcPr>
          <w:p w14:paraId="476B5BEB" w14:textId="77777777" w:rsidR="00CC6D6F" w:rsidRPr="00CC6D6F" w:rsidRDefault="00CC6D6F" w:rsidP="00CC6D6F">
            <w:pPr>
              <w:autoSpaceDE w:val="0"/>
              <w:autoSpaceDN w:val="0"/>
              <w:adjustRightInd w:val="0"/>
              <w:spacing w:before="0" w:after="0" w:line="256" w:lineRule="auto"/>
              <w:jc w:val="left"/>
              <w:rPr>
                <w:rFonts w:ascii="Arial" w:hAnsi="Arial" w:cs="Arial"/>
                <w:snapToGrid/>
                <w:color w:val="245086"/>
                <w:sz w:val="18"/>
                <w:szCs w:val="18"/>
              </w:rPr>
            </w:pPr>
            <w:r w:rsidRPr="00CC6D6F">
              <w:rPr>
                <w:rFonts w:ascii="Arial" w:hAnsi="Arial" w:cs="Arial"/>
                <w:b/>
                <w:bCs/>
                <w:snapToGrid/>
                <w:color w:val="245086"/>
                <w:sz w:val="18"/>
                <w:szCs w:val="18"/>
              </w:rPr>
              <w:t>Copyright Statement:</w:t>
            </w:r>
          </w:p>
        </w:tc>
      </w:tr>
      <w:tr w:rsidR="00CC6D6F" w:rsidRPr="00CC6D6F" w14:paraId="5F4429BD" w14:textId="77777777" w:rsidTr="00CC6D6F">
        <w:tc>
          <w:tcPr>
            <w:tcW w:w="9490" w:type="dxa"/>
            <w:gridSpan w:val="4"/>
            <w:tcBorders>
              <w:top w:val="nil"/>
              <w:left w:val="nil"/>
              <w:bottom w:val="nil"/>
              <w:right w:val="nil"/>
            </w:tcBorders>
            <w:shd w:val="clear" w:color="auto" w:fill="FFFFFF"/>
            <w:tcMar>
              <w:top w:w="50" w:type="dxa"/>
              <w:left w:w="50" w:type="dxa"/>
              <w:bottom w:w="50" w:type="dxa"/>
              <w:right w:w="50" w:type="dxa"/>
            </w:tcMar>
            <w:vAlign w:val="center"/>
            <w:hideMark/>
          </w:tcPr>
          <w:p w14:paraId="5A8FF202" w14:textId="77777777" w:rsidR="00CC6D6F" w:rsidRPr="00CC6D6F" w:rsidRDefault="00CC6D6F" w:rsidP="00CC6D6F">
            <w:pPr>
              <w:autoSpaceDE w:val="0"/>
              <w:autoSpaceDN w:val="0"/>
              <w:adjustRightInd w:val="0"/>
              <w:spacing w:before="0" w:after="0" w:line="256" w:lineRule="auto"/>
              <w:jc w:val="left"/>
              <w:rPr>
                <w:rFonts w:ascii="Times" w:hAnsi="Times" w:cs="Times"/>
                <w:snapToGrid/>
                <w:color w:val="FFFFFF"/>
                <w:sz w:val="20"/>
              </w:rPr>
            </w:pPr>
            <w:r w:rsidRPr="00CC6D6F">
              <w:rPr>
                <w:rFonts w:ascii="Times" w:hAnsi="Times" w:cs="Times"/>
                <w:snapToGrid/>
                <w:color w:val="FFFFFF"/>
                <w:sz w:val="20"/>
              </w:rPr>
              <w:t>.</w:t>
            </w:r>
          </w:p>
        </w:tc>
      </w:tr>
      <w:tr w:rsidR="00CC6D6F" w:rsidRPr="00CC6D6F" w14:paraId="6DB6F79D" w14:textId="77777777" w:rsidTr="00CC6D6F">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550230E5" w14:textId="77777777" w:rsidR="00CC6D6F" w:rsidRPr="00CC6D6F" w:rsidRDefault="00CC6D6F" w:rsidP="00CC6D6F">
            <w:pPr>
              <w:autoSpaceDE w:val="0"/>
              <w:autoSpaceDN w:val="0"/>
              <w:adjustRightInd w:val="0"/>
              <w:spacing w:before="0" w:after="0" w:line="256" w:lineRule="auto"/>
              <w:jc w:val="left"/>
              <w:rPr>
                <w:snapToGrid/>
                <w:szCs w:val="24"/>
              </w:rPr>
            </w:pPr>
          </w:p>
        </w:tc>
        <w:tc>
          <w:tcPr>
            <w:tcW w:w="9159" w:type="dxa"/>
            <w:gridSpan w:val="2"/>
            <w:tcBorders>
              <w:top w:val="nil"/>
              <w:left w:val="nil"/>
              <w:bottom w:val="nil"/>
              <w:right w:val="nil"/>
            </w:tcBorders>
            <w:shd w:val="clear" w:color="auto" w:fill="FFFFFF"/>
            <w:tcMar>
              <w:top w:w="50" w:type="dxa"/>
              <w:left w:w="50" w:type="dxa"/>
              <w:bottom w:w="50" w:type="dxa"/>
              <w:right w:w="50" w:type="dxa"/>
            </w:tcMar>
            <w:vAlign w:val="center"/>
          </w:tcPr>
          <w:p w14:paraId="501A96FC" w14:textId="77777777" w:rsidR="00CC6D6F" w:rsidRPr="00CC6D6F" w:rsidRDefault="00CC6D6F" w:rsidP="00CC6D6F">
            <w:pPr>
              <w:autoSpaceDE w:val="0"/>
              <w:autoSpaceDN w:val="0"/>
              <w:adjustRightInd w:val="0"/>
              <w:spacing w:before="0" w:after="0" w:line="240" w:lineRule="atLeast"/>
              <w:rPr>
                <w:snapToGrid/>
                <w:color w:val="000000"/>
                <w:sz w:val="18"/>
                <w:szCs w:val="18"/>
              </w:rPr>
            </w:pPr>
            <w:r w:rsidRPr="00CC6D6F">
              <w:rPr>
                <w:rFonts w:ascii="Arial" w:hAnsi="Arial" w:cs="Arial"/>
                <w:snapToGrid/>
                <w:color w:val="000000"/>
                <w:sz w:val="18"/>
                <w:szCs w:val="18"/>
              </w:rPr>
              <w:t>The material in this publication is copyrighted. Copying and/or transmitting portions or all of this work without permission may be a violation of applicable law. The International Bank for Reconstruction and Development/ The World Bank encourages dissemination of its work and will normally grant permission to reproduce portions of the work promptly.</w:t>
            </w:r>
          </w:p>
          <w:p w14:paraId="271F1A90" w14:textId="77777777" w:rsidR="00CC6D6F" w:rsidRPr="00CC6D6F" w:rsidRDefault="00CC6D6F" w:rsidP="00CC6D6F">
            <w:pPr>
              <w:autoSpaceDE w:val="0"/>
              <w:autoSpaceDN w:val="0"/>
              <w:adjustRightInd w:val="0"/>
              <w:spacing w:before="0" w:after="0" w:line="240" w:lineRule="atLeast"/>
              <w:rPr>
                <w:snapToGrid/>
                <w:color w:val="000000"/>
                <w:sz w:val="18"/>
                <w:szCs w:val="18"/>
              </w:rPr>
            </w:pPr>
          </w:p>
          <w:p w14:paraId="6F4AD80F" w14:textId="77777777" w:rsidR="00CC6D6F" w:rsidRPr="00CC6D6F" w:rsidRDefault="00CC6D6F" w:rsidP="00CC6D6F">
            <w:pPr>
              <w:autoSpaceDE w:val="0"/>
              <w:autoSpaceDN w:val="0"/>
              <w:adjustRightInd w:val="0"/>
              <w:spacing w:before="0" w:after="0" w:line="240" w:lineRule="atLeast"/>
              <w:rPr>
                <w:snapToGrid/>
                <w:color w:val="000000"/>
                <w:sz w:val="18"/>
                <w:szCs w:val="18"/>
              </w:rPr>
            </w:pPr>
            <w:r w:rsidRPr="00CC6D6F">
              <w:rPr>
                <w:rFonts w:ascii="Arial" w:hAnsi="Arial" w:cs="Arial"/>
                <w:snapToGrid/>
                <w:color w:val="000000"/>
                <w:sz w:val="18"/>
                <w:szCs w:val="18"/>
              </w:rPr>
              <w:t xml:space="preserve">For permission to photocopy or reprint any part of this work, please send a request with complete information to the Copyright Clearance Center, Inc., 222 Rosewood Drive, Danvers, MA 01923, USA, telephone 978-750-8400, fax 978-750-4470, </w:t>
            </w:r>
            <w:hyperlink r:id="rId10" w:history="1">
              <w:r w:rsidRPr="00CC6D6F">
                <w:rPr>
                  <w:rFonts w:ascii="Arial" w:hAnsi="Arial" w:cs="Arial"/>
                  <w:snapToGrid/>
                  <w:color w:val="000099"/>
                  <w:sz w:val="18"/>
                  <w:szCs w:val="18"/>
                  <w:u w:val="single"/>
                </w:rPr>
                <w:t>http://www.copyright.com/.</w:t>
              </w:r>
            </w:hyperlink>
          </w:p>
          <w:p w14:paraId="254F97CF" w14:textId="77777777" w:rsidR="00CC6D6F" w:rsidRPr="00CC6D6F" w:rsidRDefault="00CC6D6F" w:rsidP="00CC6D6F">
            <w:pPr>
              <w:autoSpaceDE w:val="0"/>
              <w:autoSpaceDN w:val="0"/>
              <w:adjustRightInd w:val="0"/>
              <w:spacing w:before="0" w:after="0" w:line="240" w:lineRule="atLeast"/>
              <w:rPr>
                <w:snapToGrid/>
                <w:color w:val="000000"/>
                <w:sz w:val="18"/>
                <w:szCs w:val="18"/>
              </w:rPr>
            </w:pPr>
          </w:p>
          <w:p w14:paraId="31BAFE35" w14:textId="3B94B021" w:rsidR="00CC6D6F" w:rsidRPr="00CC6D6F" w:rsidRDefault="00CC6D6F" w:rsidP="00CC6D6F">
            <w:pPr>
              <w:autoSpaceDE w:val="0"/>
              <w:autoSpaceDN w:val="0"/>
              <w:adjustRightInd w:val="0"/>
              <w:spacing w:before="0" w:after="0" w:line="240" w:lineRule="atLeast"/>
              <w:rPr>
                <w:snapToGrid/>
                <w:color w:val="000000"/>
                <w:sz w:val="18"/>
                <w:szCs w:val="18"/>
              </w:rPr>
            </w:pPr>
            <w:r w:rsidRPr="00CC6D6F">
              <w:rPr>
                <w:rFonts w:ascii="Arial" w:hAnsi="Arial" w:cs="Arial"/>
                <w:snapToGrid/>
                <w:color w:val="000000"/>
                <w:sz w:val="18"/>
                <w:szCs w:val="18"/>
              </w:rPr>
              <w:t xml:space="preserve">All other queries on rights and licenses, including subsidiary rights, should be addressed to the Office of the Publisher, The World Bank, 1818 H Street NW, Washington, DC 20433, USA, fax 202-522-2422, e-mail </w:t>
            </w:r>
            <w:hyperlink r:id="rId11" w:history="1">
              <w:r w:rsidRPr="00CC6D6F">
                <w:rPr>
                  <w:rFonts w:ascii="Arial" w:hAnsi="Arial" w:cs="Arial"/>
                  <w:snapToGrid/>
                  <w:color w:val="000099"/>
                  <w:sz w:val="18"/>
                  <w:szCs w:val="18"/>
                  <w:u w:val="single"/>
                </w:rPr>
                <w:t>pubrights@worldbank.org.</w:t>
              </w:r>
            </w:hyperlink>
          </w:p>
        </w:tc>
      </w:tr>
    </w:tbl>
    <w:p w14:paraId="56757327" w14:textId="77777777" w:rsidR="00AB127C" w:rsidRDefault="00AB127C" w:rsidP="00535413">
      <w:pPr>
        <w:jc w:val="center"/>
        <w:rPr>
          <w:b/>
        </w:rPr>
        <w:sectPr w:rsidR="00AB127C" w:rsidSect="00B36BF1">
          <w:headerReference w:type="even" r:id="rId12"/>
          <w:headerReference w:type="default" r:id="rId13"/>
          <w:headerReference w:type="first" r:id="rId14"/>
          <w:endnotePr>
            <w:numFmt w:val="decimal"/>
          </w:endnotePr>
          <w:type w:val="continuous"/>
          <w:pgSz w:w="11907" w:h="16840" w:code="9"/>
          <w:pgMar w:top="1440" w:right="1440" w:bottom="720" w:left="1440" w:header="720" w:footer="720" w:gutter="0"/>
          <w:cols w:space="720"/>
          <w:noEndnote/>
        </w:sectPr>
      </w:pPr>
    </w:p>
    <w:p w14:paraId="72CF951A" w14:textId="77777777" w:rsidR="00AB127C" w:rsidRDefault="00AB127C" w:rsidP="00535413">
      <w:pPr>
        <w:jc w:val="center"/>
        <w:rPr>
          <w:b/>
          <w:sz w:val="28"/>
          <w:szCs w:val="28"/>
        </w:rPr>
      </w:pPr>
      <w:r w:rsidRPr="00AB127C">
        <w:rPr>
          <w:b/>
          <w:sz w:val="28"/>
          <w:szCs w:val="28"/>
        </w:rPr>
        <w:t>Table of Contents</w:t>
      </w:r>
    </w:p>
    <w:p w14:paraId="209802E7" w14:textId="77777777" w:rsidR="00E90500" w:rsidRDefault="00E90500" w:rsidP="00535413">
      <w:pPr>
        <w:jc w:val="center"/>
        <w:rPr>
          <w:b/>
          <w:sz w:val="28"/>
          <w:szCs w:val="28"/>
        </w:rPr>
      </w:pPr>
    </w:p>
    <w:p w14:paraId="529B09A9" w14:textId="77777777" w:rsidR="007F2F3E" w:rsidRDefault="008F60D8">
      <w:pPr>
        <w:pStyle w:val="TOC1"/>
        <w:tabs>
          <w:tab w:val="right" w:leader="dot" w:pos="9017"/>
        </w:tabs>
        <w:rPr>
          <w:rFonts w:eastAsiaTheme="minorEastAsia" w:cstheme="minorBidi"/>
          <w:b w:val="0"/>
          <w:bCs w:val="0"/>
          <w:caps w:val="0"/>
          <w:noProof/>
          <w:snapToGrid/>
          <w:sz w:val="22"/>
          <w:szCs w:val="22"/>
        </w:rPr>
      </w:pPr>
      <w:r>
        <w:rPr>
          <w:bCs w:val="0"/>
          <w:i/>
          <w:iCs/>
          <w:caps w:val="0"/>
          <w:sz w:val="28"/>
          <w:szCs w:val="28"/>
        </w:rPr>
        <w:fldChar w:fldCharType="begin"/>
      </w:r>
      <w:r>
        <w:rPr>
          <w:bCs w:val="0"/>
          <w:i/>
          <w:iCs/>
          <w:caps w:val="0"/>
          <w:sz w:val="28"/>
          <w:szCs w:val="28"/>
        </w:rPr>
        <w:instrText xml:space="preserve"> TOC \o "1-3" \h \z \u </w:instrText>
      </w:r>
      <w:r>
        <w:rPr>
          <w:bCs w:val="0"/>
          <w:i/>
          <w:iCs/>
          <w:caps w:val="0"/>
          <w:sz w:val="28"/>
          <w:szCs w:val="28"/>
        </w:rPr>
        <w:fldChar w:fldCharType="separate"/>
      </w:r>
      <w:hyperlink w:anchor="_Toc461093894" w:history="1">
        <w:r w:rsidR="007F2F3E" w:rsidRPr="00820121">
          <w:rPr>
            <w:rStyle w:val="Hyperlink"/>
            <w:noProof/>
          </w:rPr>
          <w:t>acknowledgements</w:t>
        </w:r>
        <w:r w:rsidR="007F2F3E">
          <w:rPr>
            <w:noProof/>
            <w:webHidden/>
          </w:rPr>
          <w:tab/>
        </w:r>
        <w:r w:rsidR="007F2F3E">
          <w:rPr>
            <w:noProof/>
            <w:webHidden/>
          </w:rPr>
          <w:fldChar w:fldCharType="begin"/>
        </w:r>
        <w:r w:rsidR="007F2F3E">
          <w:rPr>
            <w:noProof/>
            <w:webHidden/>
          </w:rPr>
          <w:instrText xml:space="preserve"> PAGEREF _Toc461093894 \h </w:instrText>
        </w:r>
        <w:r w:rsidR="007F2F3E">
          <w:rPr>
            <w:noProof/>
            <w:webHidden/>
          </w:rPr>
        </w:r>
        <w:r w:rsidR="007F2F3E">
          <w:rPr>
            <w:noProof/>
            <w:webHidden/>
          </w:rPr>
          <w:fldChar w:fldCharType="separate"/>
        </w:r>
        <w:r w:rsidR="00CC6D6F">
          <w:rPr>
            <w:noProof/>
            <w:webHidden/>
          </w:rPr>
          <w:t>iii</w:t>
        </w:r>
        <w:r w:rsidR="007F2F3E">
          <w:rPr>
            <w:noProof/>
            <w:webHidden/>
          </w:rPr>
          <w:fldChar w:fldCharType="end"/>
        </w:r>
      </w:hyperlink>
    </w:p>
    <w:p w14:paraId="20CE68CB" w14:textId="77777777" w:rsidR="007F2F3E" w:rsidRDefault="00CC6D6F">
      <w:pPr>
        <w:pStyle w:val="TOC1"/>
        <w:tabs>
          <w:tab w:val="right" w:leader="dot" w:pos="9017"/>
        </w:tabs>
        <w:rPr>
          <w:rFonts w:eastAsiaTheme="minorEastAsia" w:cstheme="minorBidi"/>
          <w:b w:val="0"/>
          <w:bCs w:val="0"/>
          <w:caps w:val="0"/>
          <w:noProof/>
          <w:snapToGrid/>
          <w:sz w:val="22"/>
          <w:szCs w:val="22"/>
        </w:rPr>
      </w:pPr>
      <w:hyperlink w:anchor="_Toc461093895" w:history="1">
        <w:r w:rsidR="007F2F3E" w:rsidRPr="00820121">
          <w:rPr>
            <w:rStyle w:val="Hyperlink"/>
            <w:noProof/>
          </w:rPr>
          <w:t>Executive Summary</w:t>
        </w:r>
        <w:r w:rsidR="007F2F3E">
          <w:rPr>
            <w:noProof/>
            <w:webHidden/>
          </w:rPr>
          <w:tab/>
        </w:r>
        <w:r w:rsidR="007F2F3E">
          <w:rPr>
            <w:noProof/>
            <w:webHidden/>
          </w:rPr>
          <w:fldChar w:fldCharType="begin"/>
        </w:r>
        <w:r w:rsidR="007F2F3E">
          <w:rPr>
            <w:noProof/>
            <w:webHidden/>
          </w:rPr>
          <w:instrText xml:space="preserve"> PAGEREF _Toc461093895 \h </w:instrText>
        </w:r>
        <w:r w:rsidR="007F2F3E">
          <w:rPr>
            <w:noProof/>
            <w:webHidden/>
          </w:rPr>
        </w:r>
        <w:r w:rsidR="007F2F3E">
          <w:rPr>
            <w:noProof/>
            <w:webHidden/>
          </w:rPr>
          <w:fldChar w:fldCharType="separate"/>
        </w:r>
        <w:r>
          <w:rPr>
            <w:noProof/>
            <w:webHidden/>
          </w:rPr>
          <w:t>1</w:t>
        </w:r>
        <w:r w:rsidR="007F2F3E">
          <w:rPr>
            <w:noProof/>
            <w:webHidden/>
          </w:rPr>
          <w:fldChar w:fldCharType="end"/>
        </w:r>
      </w:hyperlink>
    </w:p>
    <w:p w14:paraId="299709C4" w14:textId="77777777" w:rsidR="007F2F3E" w:rsidRDefault="00CC6D6F">
      <w:pPr>
        <w:pStyle w:val="TOC1"/>
        <w:tabs>
          <w:tab w:val="right" w:leader="dot" w:pos="9017"/>
        </w:tabs>
        <w:rPr>
          <w:rFonts w:eastAsiaTheme="minorEastAsia" w:cstheme="minorBidi"/>
          <w:b w:val="0"/>
          <w:bCs w:val="0"/>
          <w:caps w:val="0"/>
          <w:noProof/>
          <w:snapToGrid/>
          <w:sz w:val="22"/>
          <w:szCs w:val="22"/>
        </w:rPr>
      </w:pPr>
      <w:hyperlink w:anchor="_Toc461093896" w:history="1">
        <w:r w:rsidR="007F2F3E" w:rsidRPr="00820121">
          <w:rPr>
            <w:rStyle w:val="Hyperlink"/>
            <w:noProof/>
          </w:rPr>
          <w:t>Section 1 - Introduction</w:t>
        </w:r>
        <w:r w:rsidR="007F2F3E">
          <w:rPr>
            <w:noProof/>
            <w:webHidden/>
          </w:rPr>
          <w:tab/>
        </w:r>
        <w:r w:rsidR="007F2F3E">
          <w:rPr>
            <w:noProof/>
            <w:webHidden/>
          </w:rPr>
          <w:fldChar w:fldCharType="begin"/>
        </w:r>
        <w:r w:rsidR="007F2F3E">
          <w:rPr>
            <w:noProof/>
            <w:webHidden/>
          </w:rPr>
          <w:instrText xml:space="preserve"> PAGEREF _Toc461093896 \h </w:instrText>
        </w:r>
        <w:r w:rsidR="007F2F3E">
          <w:rPr>
            <w:noProof/>
            <w:webHidden/>
          </w:rPr>
        </w:r>
        <w:r w:rsidR="007F2F3E">
          <w:rPr>
            <w:noProof/>
            <w:webHidden/>
          </w:rPr>
          <w:fldChar w:fldCharType="separate"/>
        </w:r>
        <w:r>
          <w:rPr>
            <w:noProof/>
            <w:webHidden/>
          </w:rPr>
          <w:t>5</w:t>
        </w:r>
        <w:r w:rsidR="007F2F3E">
          <w:rPr>
            <w:noProof/>
            <w:webHidden/>
          </w:rPr>
          <w:fldChar w:fldCharType="end"/>
        </w:r>
      </w:hyperlink>
    </w:p>
    <w:p w14:paraId="225E6BC3"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897" w:history="1">
        <w:r w:rsidR="007F2F3E" w:rsidRPr="00820121">
          <w:rPr>
            <w:rStyle w:val="Hyperlink"/>
            <w:noProof/>
          </w:rPr>
          <w:t>Importance of Energy Efficiency in Georgia</w:t>
        </w:r>
        <w:r w:rsidR="007F2F3E">
          <w:rPr>
            <w:noProof/>
            <w:webHidden/>
          </w:rPr>
          <w:tab/>
        </w:r>
        <w:r w:rsidR="007F2F3E">
          <w:rPr>
            <w:noProof/>
            <w:webHidden/>
          </w:rPr>
          <w:fldChar w:fldCharType="begin"/>
        </w:r>
        <w:r w:rsidR="007F2F3E">
          <w:rPr>
            <w:noProof/>
            <w:webHidden/>
          </w:rPr>
          <w:instrText xml:space="preserve"> PAGEREF _Toc461093897 \h </w:instrText>
        </w:r>
        <w:r w:rsidR="007F2F3E">
          <w:rPr>
            <w:noProof/>
            <w:webHidden/>
          </w:rPr>
        </w:r>
        <w:r w:rsidR="007F2F3E">
          <w:rPr>
            <w:noProof/>
            <w:webHidden/>
          </w:rPr>
          <w:fldChar w:fldCharType="separate"/>
        </w:r>
        <w:r>
          <w:rPr>
            <w:noProof/>
            <w:webHidden/>
          </w:rPr>
          <w:t>5</w:t>
        </w:r>
        <w:r w:rsidR="007F2F3E">
          <w:rPr>
            <w:noProof/>
            <w:webHidden/>
          </w:rPr>
          <w:fldChar w:fldCharType="end"/>
        </w:r>
      </w:hyperlink>
    </w:p>
    <w:p w14:paraId="1B58DD3A"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898" w:history="1">
        <w:r w:rsidR="007F2F3E" w:rsidRPr="00820121">
          <w:rPr>
            <w:rStyle w:val="Hyperlink"/>
            <w:noProof/>
          </w:rPr>
          <w:t>Government Initiatives</w:t>
        </w:r>
        <w:r w:rsidR="007F2F3E">
          <w:rPr>
            <w:noProof/>
            <w:webHidden/>
          </w:rPr>
          <w:tab/>
        </w:r>
        <w:r w:rsidR="007F2F3E">
          <w:rPr>
            <w:noProof/>
            <w:webHidden/>
          </w:rPr>
          <w:fldChar w:fldCharType="begin"/>
        </w:r>
        <w:r w:rsidR="007F2F3E">
          <w:rPr>
            <w:noProof/>
            <w:webHidden/>
          </w:rPr>
          <w:instrText xml:space="preserve"> PAGEREF _Toc461093898 \h </w:instrText>
        </w:r>
        <w:r w:rsidR="007F2F3E">
          <w:rPr>
            <w:noProof/>
            <w:webHidden/>
          </w:rPr>
        </w:r>
        <w:r w:rsidR="007F2F3E">
          <w:rPr>
            <w:noProof/>
            <w:webHidden/>
          </w:rPr>
          <w:fldChar w:fldCharType="separate"/>
        </w:r>
        <w:r>
          <w:rPr>
            <w:noProof/>
            <w:webHidden/>
          </w:rPr>
          <w:t>7</w:t>
        </w:r>
        <w:r w:rsidR="007F2F3E">
          <w:rPr>
            <w:noProof/>
            <w:webHidden/>
          </w:rPr>
          <w:fldChar w:fldCharType="end"/>
        </w:r>
      </w:hyperlink>
    </w:p>
    <w:p w14:paraId="3B2BB530"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899" w:history="1">
        <w:r w:rsidR="007F2F3E" w:rsidRPr="00820121">
          <w:rPr>
            <w:rStyle w:val="Hyperlink"/>
            <w:noProof/>
          </w:rPr>
          <w:t>World Bank Experience with Public Sector EE</w:t>
        </w:r>
        <w:r w:rsidR="007F2F3E">
          <w:rPr>
            <w:noProof/>
            <w:webHidden/>
          </w:rPr>
          <w:tab/>
        </w:r>
        <w:r w:rsidR="007F2F3E">
          <w:rPr>
            <w:noProof/>
            <w:webHidden/>
          </w:rPr>
          <w:fldChar w:fldCharType="begin"/>
        </w:r>
        <w:r w:rsidR="007F2F3E">
          <w:rPr>
            <w:noProof/>
            <w:webHidden/>
          </w:rPr>
          <w:instrText xml:space="preserve"> PAGEREF _Toc461093899 \h </w:instrText>
        </w:r>
        <w:r w:rsidR="007F2F3E">
          <w:rPr>
            <w:noProof/>
            <w:webHidden/>
          </w:rPr>
        </w:r>
        <w:r w:rsidR="007F2F3E">
          <w:rPr>
            <w:noProof/>
            <w:webHidden/>
          </w:rPr>
          <w:fldChar w:fldCharType="separate"/>
        </w:r>
        <w:r>
          <w:rPr>
            <w:noProof/>
            <w:webHidden/>
          </w:rPr>
          <w:t>7</w:t>
        </w:r>
        <w:r w:rsidR="007F2F3E">
          <w:rPr>
            <w:noProof/>
            <w:webHidden/>
          </w:rPr>
          <w:fldChar w:fldCharType="end"/>
        </w:r>
      </w:hyperlink>
    </w:p>
    <w:p w14:paraId="16D2D858"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00" w:history="1">
        <w:r w:rsidR="007F2F3E" w:rsidRPr="00820121">
          <w:rPr>
            <w:rStyle w:val="Hyperlink"/>
            <w:noProof/>
          </w:rPr>
          <w:t>Project Objectives</w:t>
        </w:r>
        <w:r w:rsidR="007F2F3E">
          <w:rPr>
            <w:noProof/>
            <w:webHidden/>
          </w:rPr>
          <w:tab/>
        </w:r>
        <w:r w:rsidR="007F2F3E">
          <w:rPr>
            <w:noProof/>
            <w:webHidden/>
          </w:rPr>
          <w:fldChar w:fldCharType="begin"/>
        </w:r>
        <w:r w:rsidR="007F2F3E">
          <w:rPr>
            <w:noProof/>
            <w:webHidden/>
          </w:rPr>
          <w:instrText xml:space="preserve"> PAGEREF _Toc461093900 \h </w:instrText>
        </w:r>
        <w:r w:rsidR="007F2F3E">
          <w:rPr>
            <w:noProof/>
            <w:webHidden/>
          </w:rPr>
        </w:r>
        <w:r w:rsidR="007F2F3E">
          <w:rPr>
            <w:noProof/>
            <w:webHidden/>
          </w:rPr>
          <w:fldChar w:fldCharType="separate"/>
        </w:r>
        <w:r>
          <w:rPr>
            <w:noProof/>
            <w:webHidden/>
          </w:rPr>
          <w:t>8</w:t>
        </w:r>
        <w:r w:rsidR="007F2F3E">
          <w:rPr>
            <w:noProof/>
            <w:webHidden/>
          </w:rPr>
          <w:fldChar w:fldCharType="end"/>
        </w:r>
      </w:hyperlink>
    </w:p>
    <w:p w14:paraId="31C25CA5"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01" w:history="1">
        <w:r w:rsidR="007F2F3E" w:rsidRPr="00820121">
          <w:rPr>
            <w:rStyle w:val="Hyperlink"/>
            <w:noProof/>
          </w:rPr>
          <w:t>Summary of Approach</w:t>
        </w:r>
        <w:r w:rsidR="007F2F3E">
          <w:rPr>
            <w:noProof/>
            <w:webHidden/>
          </w:rPr>
          <w:tab/>
        </w:r>
        <w:r w:rsidR="007F2F3E">
          <w:rPr>
            <w:noProof/>
            <w:webHidden/>
          </w:rPr>
          <w:fldChar w:fldCharType="begin"/>
        </w:r>
        <w:r w:rsidR="007F2F3E">
          <w:rPr>
            <w:noProof/>
            <w:webHidden/>
          </w:rPr>
          <w:instrText xml:space="preserve"> PAGEREF _Toc461093901 \h </w:instrText>
        </w:r>
        <w:r w:rsidR="007F2F3E">
          <w:rPr>
            <w:noProof/>
            <w:webHidden/>
          </w:rPr>
        </w:r>
        <w:r w:rsidR="007F2F3E">
          <w:rPr>
            <w:noProof/>
            <w:webHidden/>
          </w:rPr>
          <w:fldChar w:fldCharType="separate"/>
        </w:r>
        <w:r>
          <w:rPr>
            <w:noProof/>
            <w:webHidden/>
          </w:rPr>
          <w:t>8</w:t>
        </w:r>
        <w:r w:rsidR="007F2F3E">
          <w:rPr>
            <w:noProof/>
            <w:webHidden/>
          </w:rPr>
          <w:fldChar w:fldCharType="end"/>
        </w:r>
      </w:hyperlink>
    </w:p>
    <w:p w14:paraId="0868F405"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02" w:history="1">
        <w:r w:rsidR="007F2F3E" w:rsidRPr="00820121">
          <w:rPr>
            <w:rStyle w:val="Hyperlink"/>
            <w:noProof/>
          </w:rPr>
          <w:t>Outline of This Report</w:t>
        </w:r>
        <w:r w:rsidR="007F2F3E">
          <w:rPr>
            <w:noProof/>
            <w:webHidden/>
          </w:rPr>
          <w:tab/>
        </w:r>
        <w:r w:rsidR="007F2F3E">
          <w:rPr>
            <w:noProof/>
            <w:webHidden/>
          </w:rPr>
          <w:fldChar w:fldCharType="begin"/>
        </w:r>
        <w:r w:rsidR="007F2F3E">
          <w:rPr>
            <w:noProof/>
            <w:webHidden/>
          </w:rPr>
          <w:instrText xml:space="preserve"> PAGEREF _Toc461093902 \h </w:instrText>
        </w:r>
        <w:r w:rsidR="007F2F3E">
          <w:rPr>
            <w:noProof/>
            <w:webHidden/>
          </w:rPr>
        </w:r>
        <w:r w:rsidR="007F2F3E">
          <w:rPr>
            <w:noProof/>
            <w:webHidden/>
          </w:rPr>
          <w:fldChar w:fldCharType="separate"/>
        </w:r>
        <w:r>
          <w:rPr>
            <w:noProof/>
            <w:webHidden/>
          </w:rPr>
          <w:t>8</w:t>
        </w:r>
        <w:r w:rsidR="007F2F3E">
          <w:rPr>
            <w:noProof/>
            <w:webHidden/>
          </w:rPr>
          <w:fldChar w:fldCharType="end"/>
        </w:r>
      </w:hyperlink>
    </w:p>
    <w:p w14:paraId="3D6621A2" w14:textId="77777777" w:rsidR="007F2F3E" w:rsidRDefault="00CC6D6F">
      <w:pPr>
        <w:pStyle w:val="TOC1"/>
        <w:tabs>
          <w:tab w:val="right" w:leader="dot" w:pos="9017"/>
        </w:tabs>
        <w:rPr>
          <w:rFonts w:eastAsiaTheme="minorEastAsia" w:cstheme="minorBidi"/>
          <w:b w:val="0"/>
          <w:bCs w:val="0"/>
          <w:caps w:val="0"/>
          <w:noProof/>
          <w:snapToGrid/>
          <w:sz w:val="22"/>
          <w:szCs w:val="22"/>
        </w:rPr>
      </w:pPr>
      <w:hyperlink w:anchor="_Toc461093903" w:history="1">
        <w:r w:rsidR="007F2F3E" w:rsidRPr="00820121">
          <w:rPr>
            <w:rStyle w:val="Hyperlink"/>
            <w:noProof/>
          </w:rPr>
          <w:t>SECTION 2 - Country Context</w:t>
        </w:r>
        <w:r w:rsidR="007F2F3E">
          <w:rPr>
            <w:noProof/>
            <w:webHidden/>
          </w:rPr>
          <w:tab/>
        </w:r>
        <w:r w:rsidR="007F2F3E">
          <w:rPr>
            <w:noProof/>
            <w:webHidden/>
          </w:rPr>
          <w:fldChar w:fldCharType="begin"/>
        </w:r>
        <w:r w:rsidR="007F2F3E">
          <w:rPr>
            <w:noProof/>
            <w:webHidden/>
          </w:rPr>
          <w:instrText xml:space="preserve"> PAGEREF _Toc461093903 \h </w:instrText>
        </w:r>
        <w:r w:rsidR="007F2F3E">
          <w:rPr>
            <w:noProof/>
            <w:webHidden/>
          </w:rPr>
        </w:r>
        <w:r w:rsidR="007F2F3E">
          <w:rPr>
            <w:noProof/>
            <w:webHidden/>
          </w:rPr>
          <w:fldChar w:fldCharType="separate"/>
        </w:r>
        <w:r>
          <w:rPr>
            <w:noProof/>
            <w:webHidden/>
          </w:rPr>
          <w:t>10</w:t>
        </w:r>
        <w:r w:rsidR="007F2F3E">
          <w:rPr>
            <w:noProof/>
            <w:webHidden/>
          </w:rPr>
          <w:fldChar w:fldCharType="end"/>
        </w:r>
      </w:hyperlink>
    </w:p>
    <w:p w14:paraId="12251813"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04" w:history="1">
        <w:r w:rsidR="007F2F3E" w:rsidRPr="00820121">
          <w:rPr>
            <w:rStyle w:val="Hyperlink"/>
            <w:noProof/>
          </w:rPr>
          <w:t>Legislative and Regulatory Framework</w:t>
        </w:r>
        <w:r w:rsidR="007F2F3E">
          <w:rPr>
            <w:noProof/>
            <w:webHidden/>
          </w:rPr>
          <w:tab/>
        </w:r>
        <w:r w:rsidR="007F2F3E">
          <w:rPr>
            <w:noProof/>
            <w:webHidden/>
          </w:rPr>
          <w:fldChar w:fldCharType="begin"/>
        </w:r>
        <w:r w:rsidR="007F2F3E">
          <w:rPr>
            <w:noProof/>
            <w:webHidden/>
          </w:rPr>
          <w:instrText xml:space="preserve"> PAGEREF _Toc461093904 \h </w:instrText>
        </w:r>
        <w:r w:rsidR="007F2F3E">
          <w:rPr>
            <w:noProof/>
            <w:webHidden/>
          </w:rPr>
        </w:r>
        <w:r w:rsidR="007F2F3E">
          <w:rPr>
            <w:noProof/>
            <w:webHidden/>
          </w:rPr>
          <w:fldChar w:fldCharType="separate"/>
        </w:r>
        <w:r>
          <w:rPr>
            <w:noProof/>
            <w:webHidden/>
          </w:rPr>
          <w:t>10</w:t>
        </w:r>
        <w:r w:rsidR="007F2F3E">
          <w:rPr>
            <w:noProof/>
            <w:webHidden/>
          </w:rPr>
          <w:fldChar w:fldCharType="end"/>
        </w:r>
      </w:hyperlink>
    </w:p>
    <w:p w14:paraId="34194AAC"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05" w:history="1">
        <w:r w:rsidR="007F2F3E" w:rsidRPr="00820121">
          <w:rPr>
            <w:rStyle w:val="Hyperlink"/>
            <w:noProof/>
          </w:rPr>
          <w:t>International Standards and Initiatives</w:t>
        </w:r>
        <w:r w:rsidR="007F2F3E">
          <w:rPr>
            <w:noProof/>
            <w:webHidden/>
          </w:rPr>
          <w:tab/>
        </w:r>
        <w:r w:rsidR="007F2F3E">
          <w:rPr>
            <w:noProof/>
            <w:webHidden/>
          </w:rPr>
          <w:fldChar w:fldCharType="begin"/>
        </w:r>
        <w:r w:rsidR="007F2F3E">
          <w:rPr>
            <w:noProof/>
            <w:webHidden/>
          </w:rPr>
          <w:instrText xml:space="preserve"> PAGEREF _Toc461093905 \h </w:instrText>
        </w:r>
        <w:r w:rsidR="007F2F3E">
          <w:rPr>
            <w:noProof/>
            <w:webHidden/>
          </w:rPr>
        </w:r>
        <w:r w:rsidR="007F2F3E">
          <w:rPr>
            <w:noProof/>
            <w:webHidden/>
          </w:rPr>
          <w:fldChar w:fldCharType="separate"/>
        </w:r>
        <w:r>
          <w:rPr>
            <w:noProof/>
            <w:webHidden/>
          </w:rPr>
          <w:t>11</w:t>
        </w:r>
        <w:r w:rsidR="007F2F3E">
          <w:rPr>
            <w:noProof/>
            <w:webHidden/>
          </w:rPr>
          <w:fldChar w:fldCharType="end"/>
        </w:r>
      </w:hyperlink>
    </w:p>
    <w:p w14:paraId="4952840C"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06" w:history="1">
        <w:r w:rsidR="007F2F3E" w:rsidRPr="00820121">
          <w:rPr>
            <w:rStyle w:val="Hyperlink"/>
            <w:noProof/>
          </w:rPr>
          <w:t>Energy Efficiency Responsibilities</w:t>
        </w:r>
        <w:r w:rsidR="007F2F3E">
          <w:rPr>
            <w:noProof/>
            <w:webHidden/>
          </w:rPr>
          <w:tab/>
        </w:r>
        <w:r w:rsidR="007F2F3E">
          <w:rPr>
            <w:noProof/>
            <w:webHidden/>
          </w:rPr>
          <w:fldChar w:fldCharType="begin"/>
        </w:r>
        <w:r w:rsidR="007F2F3E">
          <w:rPr>
            <w:noProof/>
            <w:webHidden/>
          </w:rPr>
          <w:instrText xml:space="preserve"> PAGEREF _Toc461093906 \h </w:instrText>
        </w:r>
        <w:r w:rsidR="007F2F3E">
          <w:rPr>
            <w:noProof/>
            <w:webHidden/>
          </w:rPr>
        </w:r>
        <w:r w:rsidR="007F2F3E">
          <w:rPr>
            <w:noProof/>
            <w:webHidden/>
          </w:rPr>
          <w:fldChar w:fldCharType="separate"/>
        </w:r>
        <w:r>
          <w:rPr>
            <w:noProof/>
            <w:webHidden/>
          </w:rPr>
          <w:t>11</w:t>
        </w:r>
        <w:r w:rsidR="007F2F3E">
          <w:rPr>
            <w:noProof/>
            <w:webHidden/>
          </w:rPr>
          <w:fldChar w:fldCharType="end"/>
        </w:r>
      </w:hyperlink>
    </w:p>
    <w:p w14:paraId="7DA098D9"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07" w:history="1">
        <w:r w:rsidR="007F2F3E" w:rsidRPr="00820121">
          <w:rPr>
            <w:rStyle w:val="Hyperlink"/>
            <w:noProof/>
          </w:rPr>
          <w:t>Activities Related to Energy Efficiency</w:t>
        </w:r>
        <w:r w:rsidR="007F2F3E">
          <w:rPr>
            <w:noProof/>
            <w:webHidden/>
          </w:rPr>
          <w:tab/>
        </w:r>
        <w:r w:rsidR="007F2F3E">
          <w:rPr>
            <w:noProof/>
            <w:webHidden/>
          </w:rPr>
          <w:fldChar w:fldCharType="begin"/>
        </w:r>
        <w:r w:rsidR="007F2F3E">
          <w:rPr>
            <w:noProof/>
            <w:webHidden/>
          </w:rPr>
          <w:instrText xml:space="preserve"> PAGEREF _Toc461093907 \h </w:instrText>
        </w:r>
        <w:r w:rsidR="007F2F3E">
          <w:rPr>
            <w:noProof/>
            <w:webHidden/>
          </w:rPr>
        </w:r>
        <w:r w:rsidR="007F2F3E">
          <w:rPr>
            <w:noProof/>
            <w:webHidden/>
          </w:rPr>
          <w:fldChar w:fldCharType="separate"/>
        </w:r>
        <w:r>
          <w:rPr>
            <w:noProof/>
            <w:webHidden/>
          </w:rPr>
          <w:t>12</w:t>
        </w:r>
        <w:r w:rsidR="007F2F3E">
          <w:rPr>
            <w:noProof/>
            <w:webHidden/>
          </w:rPr>
          <w:fldChar w:fldCharType="end"/>
        </w:r>
      </w:hyperlink>
    </w:p>
    <w:p w14:paraId="1514AA88"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08" w:history="1">
        <w:r w:rsidR="007F2F3E" w:rsidRPr="00820121">
          <w:rPr>
            <w:rStyle w:val="Hyperlink"/>
            <w:rFonts w:eastAsiaTheme="minorHAnsi"/>
            <w:noProof/>
          </w:rPr>
          <w:t>National Energy Efficiency Action Plan (NEEAP)</w:t>
        </w:r>
        <w:r w:rsidR="007F2F3E">
          <w:rPr>
            <w:noProof/>
            <w:webHidden/>
          </w:rPr>
          <w:tab/>
        </w:r>
        <w:r w:rsidR="007F2F3E">
          <w:rPr>
            <w:noProof/>
            <w:webHidden/>
          </w:rPr>
          <w:fldChar w:fldCharType="begin"/>
        </w:r>
        <w:r w:rsidR="007F2F3E">
          <w:rPr>
            <w:noProof/>
            <w:webHidden/>
          </w:rPr>
          <w:instrText xml:space="preserve"> PAGEREF _Toc461093908 \h </w:instrText>
        </w:r>
        <w:r w:rsidR="007F2F3E">
          <w:rPr>
            <w:noProof/>
            <w:webHidden/>
          </w:rPr>
        </w:r>
        <w:r w:rsidR="007F2F3E">
          <w:rPr>
            <w:noProof/>
            <w:webHidden/>
          </w:rPr>
          <w:fldChar w:fldCharType="separate"/>
        </w:r>
        <w:r>
          <w:rPr>
            <w:noProof/>
            <w:webHidden/>
          </w:rPr>
          <w:t>12</w:t>
        </w:r>
        <w:r w:rsidR="007F2F3E">
          <w:rPr>
            <w:noProof/>
            <w:webHidden/>
          </w:rPr>
          <w:fldChar w:fldCharType="end"/>
        </w:r>
      </w:hyperlink>
    </w:p>
    <w:p w14:paraId="54DED3E2"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09" w:history="1">
        <w:r w:rsidR="007F2F3E" w:rsidRPr="00820121">
          <w:rPr>
            <w:rStyle w:val="Hyperlink"/>
            <w:rFonts w:eastAsiaTheme="minorHAnsi"/>
            <w:noProof/>
          </w:rPr>
          <w:t>Low Emission Development Strategy (LEDS)</w:t>
        </w:r>
        <w:r w:rsidR="007F2F3E">
          <w:rPr>
            <w:noProof/>
            <w:webHidden/>
          </w:rPr>
          <w:tab/>
        </w:r>
        <w:r w:rsidR="007F2F3E">
          <w:rPr>
            <w:noProof/>
            <w:webHidden/>
          </w:rPr>
          <w:fldChar w:fldCharType="begin"/>
        </w:r>
        <w:r w:rsidR="007F2F3E">
          <w:rPr>
            <w:noProof/>
            <w:webHidden/>
          </w:rPr>
          <w:instrText xml:space="preserve"> PAGEREF _Toc461093909 \h </w:instrText>
        </w:r>
        <w:r w:rsidR="007F2F3E">
          <w:rPr>
            <w:noProof/>
            <w:webHidden/>
          </w:rPr>
        </w:r>
        <w:r w:rsidR="007F2F3E">
          <w:rPr>
            <w:noProof/>
            <w:webHidden/>
          </w:rPr>
          <w:fldChar w:fldCharType="separate"/>
        </w:r>
        <w:r>
          <w:rPr>
            <w:noProof/>
            <w:webHidden/>
          </w:rPr>
          <w:t>13</w:t>
        </w:r>
        <w:r w:rsidR="007F2F3E">
          <w:rPr>
            <w:noProof/>
            <w:webHidden/>
          </w:rPr>
          <w:fldChar w:fldCharType="end"/>
        </w:r>
      </w:hyperlink>
    </w:p>
    <w:p w14:paraId="037372F3"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10" w:history="1">
        <w:r w:rsidR="007F2F3E" w:rsidRPr="00820121">
          <w:rPr>
            <w:rStyle w:val="Hyperlink"/>
            <w:rFonts w:eastAsiaTheme="minorHAnsi"/>
            <w:noProof/>
          </w:rPr>
          <w:t>Nationally Appropriate Mitigation Actions (NAMA)</w:t>
        </w:r>
        <w:r w:rsidR="007F2F3E">
          <w:rPr>
            <w:noProof/>
            <w:webHidden/>
          </w:rPr>
          <w:tab/>
        </w:r>
        <w:r w:rsidR="007F2F3E">
          <w:rPr>
            <w:noProof/>
            <w:webHidden/>
          </w:rPr>
          <w:fldChar w:fldCharType="begin"/>
        </w:r>
        <w:r w:rsidR="007F2F3E">
          <w:rPr>
            <w:noProof/>
            <w:webHidden/>
          </w:rPr>
          <w:instrText xml:space="preserve"> PAGEREF _Toc461093910 \h </w:instrText>
        </w:r>
        <w:r w:rsidR="007F2F3E">
          <w:rPr>
            <w:noProof/>
            <w:webHidden/>
          </w:rPr>
        </w:r>
        <w:r w:rsidR="007F2F3E">
          <w:rPr>
            <w:noProof/>
            <w:webHidden/>
          </w:rPr>
          <w:fldChar w:fldCharType="separate"/>
        </w:r>
        <w:r>
          <w:rPr>
            <w:noProof/>
            <w:webHidden/>
          </w:rPr>
          <w:t>13</w:t>
        </w:r>
        <w:r w:rsidR="007F2F3E">
          <w:rPr>
            <w:noProof/>
            <w:webHidden/>
          </w:rPr>
          <w:fldChar w:fldCharType="end"/>
        </w:r>
      </w:hyperlink>
    </w:p>
    <w:p w14:paraId="7F0D92B0"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11" w:history="1">
        <w:r w:rsidR="007F2F3E" w:rsidRPr="00820121">
          <w:rPr>
            <w:rStyle w:val="Hyperlink"/>
            <w:rFonts w:eastAsiaTheme="minorHAnsi"/>
            <w:noProof/>
          </w:rPr>
          <w:t>RE/EE Trust Fund</w:t>
        </w:r>
        <w:r w:rsidR="007F2F3E">
          <w:rPr>
            <w:noProof/>
            <w:webHidden/>
          </w:rPr>
          <w:tab/>
        </w:r>
        <w:r w:rsidR="007F2F3E">
          <w:rPr>
            <w:noProof/>
            <w:webHidden/>
          </w:rPr>
          <w:fldChar w:fldCharType="begin"/>
        </w:r>
        <w:r w:rsidR="007F2F3E">
          <w:rPr>
            <w:noProof/>
            <w:webHidden/>
          </w:rPr>
          <w:instrText xml:space="preserve"> PAGEREF _Toc461093911 \h </w:instrText>
        </w:r>
        <w:r w:rsidR="007F2F3E">
          <w:rPr>
            <w:noProof/>
            <w:webHidden/>
          </w:rPr>
        </w:r>
        <w:r w:rsidR="007F2F3E">
          <w:rPr>
            <w:noProof/>
            <w:webHidden/>
          </w:rPr>
          <w:fldChar w:fldCharType="separate"/>
        </w:r>
        <w:r>
          <w:rPr>
            <w:noProof/>
            <w:webHidden/>
          </w:rPr>
          <w:t>13</w:t>
        </w:r>
        <w:r w:rsidR="007F2F3E">
          <w:rPr>
            <w:noProof/>
            <w:webHidden/>
          </w:rPr>
          <w:fldChar w:fldCharType="end"/>
        </w:r>
      </w:hyperlink>
    </w:p>
    <w:p w14:paraId="46C175E7"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12" w:history="1">
        <w:r w:rsidR="007F2F3E" w:rsidRPr="00820121">
          <w:rPr>
            <w:rStyle w:val="Hyperlink"/>
            <w:noProof/>
          </w:rPr>
          <w:t>Energy Consumption in Public Buildings in Georgia</w:t>
        </w:r>
        <w:r w:rsidR="007F2F3E">
          <w:rPr>
            <w:noProof/>
            <w:webHidden/>
          </w:rPr>
          <w:tab/>
        </w:r>
        <w:r w:rsidR="007F2F3E">
          <w:rPr>
            <w:noProof/>
            <w:webHidden/>
          </w:rPr>
          <w:fldChar w:fldCharType="begin"/>
        </w:r>
        <w:r w:rsidR="007F2F3E">
          <w:rPr>
            <w:noProof/>
            <w:webHidden/>
          </w:rPr>
          <w:instrText xml:space="preserve"> PAGEREF _Toc461093912 \h </w:instrText>
        </w:r>
        <w:r w:rsidR="007F2F3E">
          <w:rPr>
            <w:noProof/>
            <w:webHidden/>
          </w:rPr>
        </w:r>
        <w:r w:rsidR="007F2F3E">
          <w:rPr>
            <w:noProof/>
            <w:webHidden/>
          </w:rPr>
          <w:fldChar w:fldCharType="separate"/>
        </w:r>
        <w:r>
          <w:rPr>
            <w:noProof/>
            <w:webHidden/>
          </w:rPr>
          <w:t>13</w:t>
        </w:r>
        <w:r w:rsidR="007F2F3E">
          <w:rPr>
            <w:noProof/>
            <w:webHidden/>
          </w:rPr>
          <w:fldChar w:fldCharType="end"/>
        </w:r>
      </w:hyperlink>
    </w:p>
    <w:p w14:paraId="06D50473"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13" w:history="1">
        <w:r w:rsidR="007F2F3E" w:rsidRPr="00820121">
          <w:rPr>
            <w:rStyle w:val="Hyperlink"/>
            <w:noProof/>
          </w:rPr>
          <w:t>Information from SEAPs</w:t>
        </w:r>
        <w:r w:rsidR="007F2F3E">
          <w:rPr>
            <w:noProof/>
            <w:webHidden/>
          </w:rPr>
          <w:tab/>
        </w:r>
        <w:r w:rsidR="007F2F3E">
          <w:rPr>
            <w:noProof/>
            <w:webHidden/>
          </w:rPr>
          <w:fldChar w:fldCharType="begin"/>
        </w:r>
        <w:r w:rsidR="007F2F3E">
          <w:rPr>
            <w:noProof/>
            <w:webHidden/>
          </w:rPr>
          <w:instrText xml:space="preserve"> PAGEREF _Toc461093913 \h </w:instrText>
        </w:r>
        <w:r w:rsidR="007F2F3E">
          <w:rPr>
            <w:noProof/>
            <w:webHidden/>
          </w:rPr>
        </w:r>
        <w:r w:rsidR="007F2F3E">
          <w:rPr>
            <w:noProof/>
            <w:webHidden/>
          </w:rPr>
          <w:fldChar w:fldCharType="separate"/>
        </w:r>
        <w:r>
          <w:rPr>
            <w:noProof/>
            <w:webHidden/>
          </w:rPr>
          <w:t>14</w:t>
        </w:r>
        <w:r w:rsidR="007F2F3E">
          <w:rPr>
            <w:noProof/>
            <w:webHidden/>
          </w:rPr>
          <w:fldChar w:fldCharType="end"/>
        </w:r>
      </w:hyperlink>
    </w:p>
    <w:p w14:paraId="351867F9"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14" w:history="1">
        <w:r w:rsidR="007F2F3E" w:rsidRPr="00820121">
          <w:rPr>
            <w:rStyle w:val="Hyperlink"/>
            <w:noProof/>
          </w:rPr>
          <w:t>Estimating Total Floor Area</w:t>
        </w:r>
        <w:r w:rsidR="007F2F3E">
          <w:rPr>
            <w:noProof/>
            <w:webHidden/>
          </w:rPr>
          <w:tab/>
        </w:r>
        <w:r w:rsidR="007F2F3E">
          <w:rPr>
            <w:noProof/>
            <w:webHidden/>
          </w:rPr>
          <w:fldChar w:fldCharType="begin"/>
        </w:r>
        <w:r w:rsidR="007F2F3E">
          <w:rPr>
            <w:noProof/>
            <w:webHidden/>
          </w:rPr>
          <w:instrText xml:space="preserve"> PAGEREF _Toc461093914 \h </w:instrText>
        </w:r>
        <w:r w:rsidR="007F2F3E">
          <w:rPr>
            <w:noProof/>
            <w:webHidden/>
          </w:rPr>
        </w:r>
        <w:r w:rsidR="007F2F3E">
          <w:rPr>
            <w:noProof/>
            <w:webHidden/>
          </w:rPr>
          <w:fldChar w:fldCharType="separate"/>
        </w:r>
        <w:r>
          <w:rPr>
            <w:noProof/>
            <w:webHidden/>
          </w:rPr>
          <w:t>16</w:t>
        </w:r>
        <w:r w:rsidR="007F2F3E">
          <w:rPr>
            <w:noProof/>
            <w:webHidden/>
          </w:rPr>
          <w:fldChar w:fldCharType="end"/>
        </w:r>
      </w:hyperlink>
    </w:p>
    <w:p w14:paraId="04599E24"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15" w:history="1">
        <w:r w:rsidR="007F2F3E" w:rsidRPr="00820121">
          <w:rPr>
            <w:rStyle w:val="Hyperlink"/>
            <w:noProof/>
          </w:rPr>
          <w:t>Issues Related to Low Comfort Levels and Need for Structural Rehabilitation</w:t>
        </w:r>
        <w:r w:rsidR="007F2F3E">
          <w:rPr>
            <w:noProof/>
            <w:webHidden/>
          </w:rPr>
          <w:tab/>
        </w:r>
        <w:r w:rsidR="007F2F3E">
          <w:rPr>
            <w:noProof/>
            <w:webHidden/>
          </w:rPr>
          <w:fldChar w:fldCharType="begin"/>
        </w:r>
        <w:r w:rsidR="007F2F3E">
          <w:rPr>
            <w:noProof/>
            <w:webHidden/>
          </w:rPr>
          <w:instrText xml:space="preserve"> PAGEREF _Toc461093915 \h </w:instrText>
        </w:r>
        <w:r w:rsidR="007F2F3E">
          <w:rPr>
            <w:noProof/>
            <w:webHidden/>
          </w:rPr>
        </w:r>
        <w:r w:rsidR="007F2F3E">
          <w:rPr>
            <w:noProof/>
            <w:webHidden/>
          </w:rPr>
          <w:fldChar w:fldCharType="separate"/>
        </w:r>
        <w:r>
          <w:rPr>
            <w:noProof/>
            <w:webHidden/>
          </w:rPr>
          <w:t>16</w:t>
        </w:r>
        <w:r w:rsidR="007F2F3E">
          <w:rPr>
            <w:noProof/>
            <w:webHidden/>
          </w:rPr>
          <w:fldChar w:fldCharType="end"/>
        </w:r>
      </w:hyperlink>
    </w:p>
    <w:p w14:paraId="7D148704"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16" w:history="1">
        <w:r w:rsidR="007F2F3E" w:rsidRPr="00820121">
          <w:rPr>
            <w:rStyle w:val="Hyperlink"/>
            <w:noProof/>
          </w:rPr>
          <w:t>Estimating Potential Investment Needs for Energy Efficiency Improvement</w:t>
        </w:r>
        <w:r w:rsidR="007F2F3E">
          <w:rPr>
            <w:noProof/>
            <w:webHidden/>
          </w:rPr>
          <w:tab/>
        </w:r>
        <w:r w:rsidR="007F2F3E">
          <w:rPr>
            <w:noProof/>
            <w:webHidden/>
          </w:rPr>
          <w:fldChar w:fldCharType="begin"/>
        </w:r>
        <w:r w:rsidR="007F2F3E">
          <w:rPr>
            <w:noProof/>
            <w:webHidden/>
          </w:rPr>
          <w:instrText xml:space="preserve"> PAGEREF _Toc461093916 \h </w:instrText>
        </w:r>
        <w:r w:rsidR="007F2F3E">
          <w:rPr>
            <w:noProof/>
            <w:webHidden/>
          </w:rPr>
        </w:r>
        <w:r w:rsidR="007F2F3E">
          <w:rPr>
            <w:noProof/>
            <w:webHidden/>
          </w:rPr>
          <w:fldChar w:fldCharType="separate"/>
        </w:r>
        <w:r>
          <w:rPr>
            <w:noProof/>
            <w:webHidden/>
          </w:rPr>
          <w:t>17</w:t>
        </w:r>
        <w:r w:rsidR="007F2F3E">
          <w:rPr>
            <w:noProof/>
            <w:webHidden/>
          </w:rPr>
          <w:fldChar w:fldCharType="end"/>
        </w:r>
      </w:hyperlink>
    </w:p>
    <w:p w14:paraId="178CB0A6" w14:textId="77777777" w:rsidR="007F2F3E" w:rsidRDefault="00CC6D6F">
      <w:pPr>
        <w:pStyle w:val="TOC1"/>
        <w:tabs>
          <w:tab w:val="right" w:leader="dot" w:pos="9017"/>
        </w:tabs>
        <w:rPr>
          <w:rFonts w:eastAsiaTheme="minorEastAsia" w:cstheme="minorBidi"/>
          <w:b w:val="0"/>
          <w:bCs w:val="0"/>
          <w:caps w:val="0"/>
          <w:noProof/>
          <w:snapToGrid/>
          <w:sz w:val="22"/>
          <w:szCs w:val="22"/>
        </w:rPr>
      </w:pPr>
      <w:hyperlink w:anchor="_Toc461093917" w:history="1">
        <w:r w:rsidR="007F2F3E" w:rsidRPr="00820121">
          <w:rPr>
            <w:rStyle w:val="Hyperlink"/>
            <w:noProof/>
          </w:rPr>
          <w:t>SECTION 3 - Barriers to Financing pUBLIC sECTOR EE</w:t>
        </w:r>
        <w:r w:rsidR="007F2F3E">
          <w:rPr>
            <w:noProof/>
            <w:webHidden/>
          </w:rPr>
          <w:tab/>
        </w:r>
        <w:r w:rsidR="007F2F3E">
          <w:rPr>
            <w:noProof/>
            <w:webHidden/>
          </w:rPr>
          <w:fldChar w:fldCharType="begin"/>
        </w:r>
        <w:r w:rsidR="007F2F3E">
          <w:rPr>
            <w:noProof/>
            <w:webHidden/>
          </w:rPr>
          <w:instrText xml:space="preserve"> PAGEREF _Toc461093917 \h </w:instrText>
        </w:r>
        <w:r w:rsidR="007F2F3E">
          <w:rPr>
            <w:noProof/>
            <w:webHidden/>
          </w:rPr>
        </w:r>
        <w:r w:rsidR="007F2F3E">
          <w:rPr>
            <w:noProof/>
            <w:webHidden/>
          </w:rPr>
          <w:fldChar w:fldCharType="separate"/>
        </w:r>
        <w:r>
          <w:rPr>
            <w:noProof/>
            <w:webHidden/>
          </w:rPr>
          <w:t>18</w:t>
        </w:r>
        <w:r w:rsidR="007F2F3E">
          <w:rPr>
            <w:noProof/>
            <w:webHidden/>
          </w:rPr>
          <w:fldChar w:fldCharType="end"/>
        </w:r>
      </w:hyperlink>
    </w:p>
    <w:p w14:paraId="0B617E17"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18" w:history="1">
        <w:r w:rsidR="007F2F3E" w:rsidRPr="00820121">
          <w:rPr>
            <w:rStyle w:val="Hyperlink"/>
            <w:noProof/>
          </w:rPr>
          <w:t>Introduction</w:t>
        </w:r>
        <w:r w:rsidR="007F2F3E">
          <w:rPr>
            <w:noProof/>
            <w:webHidden/>
          </w:rPr>
          <w:tab/>
        </w:r>
        <w:r w:rsidR="007F2F3E">
          <w:rPr>
            <w:noProof/>
            <w:webHidden/>
          </w:rPr>
          <w:fldChar w:fldCharType="begin"/>
        </w:r>
        <w:r w:rsidR="007F2F3E">
          <w:rPr>
            <w:noProof/>
            <w:webHidden/>
          </w:rPr>
          <w:instrText xml:space="preserve"> PAGEREF _Toc461093918 \h </w:instrText>
        </w:r>
        <w:r w:rsidR="007F2F3E">
          <w:rPr>
            <w:noProof/>
            <w:webHidden/>
          </w:rPr>
        </w:r>
        <w:r w:rsidR="007F2F3E">
          <w:rPr>
            <w:noProof/>
            <w:webHidden/>
          </w:rPr>
          <w:fldChar w:fldCharType="separate"/>
        </w:r>
        <w:r>
          <w:rPr>
            <w:noProof/>
            <w:webHidden/>
          </w:rPr>
          <w:t>18</w:t>
        </w:r>
        <w:r w:rsidR="007F2F3E">
          <w:rPr>
            <w:noProof/>
            <w:webHidden/>
          </w:rPr>
          <w:fldChar w:fldCharType="end"/>
        </w:r>
      </w:hyperlink>
    </w:p>
    <w:p w14:paraId="362EEB28"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19" w:history="1">
        <w:r w:rsidR="007F2F3E" w:rsidRPr="00820121">
          <w:rPr>
            <w:rStyle w:val="Hyperlink"/>
            <w:noProof/>
          </w:rPr>
          <w:t>Barriers to Financing Public Sector EE in Georgia</w:t>
        </w:r>
        <w:r w:rsidR="007F2F3E">
          <w:rPr>
            <w:noProof/>
            <w:webHidden/>
          </w:rPr>
          <w:tab/>
        </w:r>
        <w:r w:rsidR="007F2F3E">
          <w:rPr>
            <w:noProof/>
            <w:webHidden/>
          </w:rPr>
          <w:fldChar w:fldCharType="begin"/>
        </w:r>
        <w:r w:rsidR="007F2F3E">
          <w:rPr>
            <w:noProof/>
            <w:webHidden/>
          </w:rPr>
          <w:instrText xml:space="preserve"> PAGEREF _Toc461093919 \h </w:instrText>
        </w:r>
        <w:r w:rsidR="007F2F3E">
          <w:rPr>
            <w:noProof/>
            <w:webHidden/>
          </w:rPr>
        </w:r>
        <w:r w:rsidR="007F2F3E">
          <w:rPr>
            <w:noProof/>
            <w:webHidden/>
          </w:rPr>
          <w:fldChar w:fldCharType="separate"/>
        </w:r>
        <w:r>
          <w:rPr>
            <w:noProof/>
            <w:webHidden/>
          </w:rPr>
          <w:t>18</w:t>
        </w:r>
        <w:r w:rsidR="007F2F3E">
          <w:rPr>
            <w:noProof/>
            <w:webHidden/>
          </w:rPr>
          <w:fldChar w:fldCharType="end"/>
        </w:r>
      </w:hyperlink>
    </w:p>
    <w:p w14:paraId="41003D37"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20" w:history="1">
        <w:r w:rsidR="007F2F3E" w:rsidRPr="00820121">
          <w:rPr>
            <w:rStyle w:val="Hyperlink"/>
            <w:noProof/>
          </w:rPr>
          <w:t>Policy and Regulatory Barriers</w:t>
        </w:r>
        <w:r w:rsidR="007F2F3E">
          <w:rPr>
            <w:noProof/>
            <w:webHidden/>
          </w:rPr>
          <w:tab/>
        </w:r>
        <w:r w:rsidR="007F2F3E">
          <w:rPr>
            <w:noProof/>
            <w:webHidden/>
          </w:rPr>
          <w:fldChar w:fldCharType="begin"/>
        </w:r>
        <w:r w:rsidR="007F2F3E">
          <w:rPr>
            <w:noProof/>
            <w:webHidden/>
          </w:rPr>
          <w:instrText xml:space="preserve"> PAGEREF _Toc461093920 \h </w:instrText>
        </w:r>
        <w:r w:rsidR="007F2F3E">
          <w:rPr>
            <w:noProof/>
            <w:webHidden/>
          </w:rPr>
        </w:r>
        <w:r w:rsidR="007F2F3E">
          <w:rPr>
            <w:noProof/>
            <w:webHidden/>
          </w:rPr>
          <w:fldChar w:fldCharType="separate"/>
        </w:r>
        <w:r>
          <w:rPr>
            <w:noProof/>
            <w:webHidden/>
          </w:rPr>
          <w:t>19</w:t>
        </w:r>
        <w:r w:rsidR="007F2F3E">
          <w:rPr>
            <w:noProof/>
            <w:webHidden/>
          </w:rPr>
          <w:fldChar w:fldCharType="end"/>
        </w:r>
      </w:hyperlink>
    </w:p>
    <w:p w14:paraId="41393F19"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21" w:history="1">
        <w:r w:rsidR="007F2F3E" w:rsidRPr="00820121">
          <w:rPr>
            <w:rStyle w:val="Hyperlink"/>
            <w:noProof/>
          </w:rPr>
          <w:t>Barriers related to Equipment and Service Providers</w:t>
        </w:r>
        <w:r w:rsidR="007F2F3E">
          <w:rPr>
            <w:noProof/>
            <w:webHidden/>
          </w:rPr>
          <w:tab/>
        </w:r>
        <w:r w:rsidR="007F2F3E">
          <w:rPr>
            <w:noProof/>
            <w:webHidden/>
          </w:rPr>
          <w:fldChar w:fldCharType="begin"/>
        </w:r>
        <w:r w:rsidR="007F2F3E">
          <w:rPr>
            <w:noProof/>
            <w:webHidden/>
          </w:rPr>
          <w:instrText xml:space="preserve"> PAGEREF _Toc461093921 \h </w:instrText>
        </w:r>
        <w:r w:rsidR="007F2F3E">
          <w:rPr>
            <w:noProof/>
            <w:webHidden/>
          </w:rPr>
        </w:r>
        <w:r w:rsidR="007F2F3E">
          <w:rPr>
            <w:noProof/>
            <w:webHidden/>
          </w:rPr>
          <w:fldChar w:fldCharType="separate"/>
        </w:r>
        <w:r>
          <w:rPr>
            <w:noProof/>
            <w:webHidden/>
          </w:rPr>
          <w:t>19</w:t>
        </w:r>
        <w:r w:rsidR="007F2F3E">
          <w:rPr>
            <w:noProof/>
            <w:webHidden/>
          </w:rPr>
          <w:fldChar w:fldCharType="end"/>
        </w:r>
      </w:hyperlink>
    </w:p>
    <w:p w14:paraId="4C366CEF"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22" w:history="1">
        <w:r w:rsidR="007F2F3E" w:rsidRPr="00820121">
          <w:rPr>
            <w:rStyle w:val="Hyperlink"/>
            <w:noProof/>
          </w:rPr>
          <w:t>Barriers related to End-Users</w:t>
        </w:r>
        <w:r w:rsidR="007F2F3E">
          <w:rPr>
            <w:noProof/>
            <w:webHidden/>
          </w:rPr>
          <w:tab/>
        </w:r>
        <w:r w:rsidR="007F2F3E">
          <w:rPr>
            <w:noProof/>
            <w:webHidden/>
          </w:rPr>
          <w:fldChar w:fldCharType="begin"/>
        </w:r>
        <w:r w:rsidR="007F2F3E">
          <w:rPr>
            <w:noProof/>
            <w:webHidden/>
          </w:rPr>
          <w:instrText xml:space="preserve"> PAGEREF _Toc461093922 \h </w:instrText>
        </w:r>
        <w:r w:rsidR="007F2F3E">
          <w:rPr>
            <w:noProof/>
            <w:webHidden/>
          </w:rPr>
        </w:r>
        <w:r w:rsidR="007F2F3E">
          <w:rPr>
            <w:noProof/>
            <w:webHidden/>
          </w:rPr>
          <w:fldChar w:fldCharType="separate"/>
        </w:r>
        <w:r>
          <w:rPr>
            <w:noProof/>
            <w:webHidden/>
          </w:rPr>
          <w:t>19</w:t>
        </w:r>
        <w:r w:rsidR="007F2F3E">
          <w:rPr>
            <w:noProof/>
            <w:webHidden/>
          </w:rPr>
          <w:fldChar w:fldCharType="end"/>
        </w:r>
      </w:hyperlink>
    </w:p>
    <w:p w14:paraId="5EFDF845"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23" w:history="1">
        <w:r w:rsidR="007F2F3E" w:rsidRPr="00820121">
          <w:rPr>
            <w:rStyle w:val="Hyperlink"/>
            <w:noProof/>
          </w:rPr>
          <w:t>Lack of Access to Commercial Financing</w:t>
        </w:r>
        <w:r w:rsidR="007F2F3E">
          <w:rPr>
            <w:noProof/>
            <w:webHidden/>
          </w:rPr>
          <w:tab/>
        </w:r>
        <w:r w:rsidR="007F2F3E">
          <w:rPr>
            <w:noProof/>
            <w:webHidden/>
          </w:rPr>
          <w:fldChar w:fldCharType="begin"/>
        </w:r>
        <w:r w:rsidR="007F2F3E">
          <w:rPr>
            <w:noProof/>
            <w:webHidden/>
          </w:rPr>
          <w:instrText xml:space="preserve"> PAGEREF _Toc461093923 \h </w:instrText>
        </w:r>
        <w:r w:rsidR="007F2F3E">
          <w:rPr>
            <w:noProof/>
            <w:webHidden/>
          </w:rPr>
        </w:r>
        <w:r w:rsidR="007F2F3E">
          <w:rPr>
            <w:noProof/>
            <w:webHidden/>
          </w:rPr>
          <w:fldChar w:fldCharType="separate"/>
        </w:r>
        <w:r>
          <w:rPr>
            <w:noProof/>
            <w:webHidden/>
          </w:rPr>
          <w:t>20</w:t>
        </w:r>
        <w:r w:rsidR="007F2F3E">
          <w:rPr>
            <w:noProof/>
            <w:webHidden/>
          </w:rPr>
          <w:fldChar w:fldCharType="end"/>
        </w:r>
      </w:hyperlink>
    </w:p>
    <w:p w14:paraId="502A5B0A"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24" w:history="1">
        <w:r w:rsidR="007F2F3E" w:rsidRPr="00820121">
          <w:rPr>
            <w:rStyle w:val="Hyperlink"/>
            <w:noProof/>
          </w:rPr>
          <w:t>Implementation Capacity</w:t>
        </w:r>
        <w:r w:rsidR="007F2F3E">
          <w:rPr>
            <w:noProof/>
            <w:webHidden/>
          </w:rPr>
          <w:tab/>
        </w:r>
        <w:r w:rsidR="007F2F3E">
          <w:rPr>
            <w:noProof/>
            <w:webHidden/>
          </w:rPr>
          <w:fldChar w:fldCharType="begin"/>
        </w:r>
        <w:r w:rsidR="007F2F3E">
          <w:rPr>
            <w:noProof/>
            <w:webHidden/>
          </w:rPr>
          <w:instrText xml:space="preserve"> PAGEREF _Toc461093924 \h </w:instrText>
        </w:r>
        <w:r w:rsidR="007F2F3E">
          <w:rPr>
            <w:noProof/>
            <w:webHidden/>
          </w:rPr>
        </w:r>
        <w:r w:rsidR="007F2F3E">
          <w:rPr>
            <w:noProof/>
            <w:webHidden/>
          </w:rPr>
          <w:fldChar w:fldCharType="separate"/>
        </w:r>
        <w:r>
          <w:rPr>
            <w:noProof/>
            <w:webHidden/>
          </w:rPr>
          <w:t>20</w:t>
        </w:r>
        <w:r w:rsidR="007F2F3E">
          <w:rPr>
            <w:noProof/>
            <w:webHidden/>
          </w:rPr>
          <w:fldChar w:fldCharType="end"/>
        </w:r>
      </w:hyperlink>
    </w:p>
    <w:p w14:paraId="03F35EA9" w14:textId="77777777" w:rsidR="007F2F3E" w:rsidRDefault="00CC6D6F">
      <w:pPr>
        <w:pStyle w:val="TOC1"/>
        <w:tabs>
          <w:tab w:val="right" w:leader="dot" w:pos="9017"/>
        </w:tabs>
        <w:rPr>
          <w:rFonts w:eastAsiaTheme="minorEastAsia" w:cstheme="minorBidi"/>
          <w:b w:val="0"/>
          <w:bCs w:val="0"/>
          <w:caps w:val="0"/>
          <w:noProof/>
          <w:snapToGrid/>
          <w:sz w:val="22"/>
          <w:szCs w:val="22"/>
        </w:rPr>
      </w:pPr>
      <w:hyperlink w:anchor="_Toc461093925" w:history="1">
        <w:r w:rsidR="007F2F3E" w:rsidRPr="00820121">
          <w:rPr>
            <w:rStyle w:val="Hyperlink"/>
            <w:noProof/>
          </w:rPr>
          <w:t>Section 4 - International Experience in Financing PUBLIC SECTOR Energy Efficiency Projects</w:t>
        </w:r>
        <w:r w:rsidR="007F2F3E">
          <w:rPr>
            <w:noProof/>
            <w:webHidden/>
          </w:rPr>
          <w:tab/>
        </w:r>
        <w:r w:rsidR="007F2F3E">
          <w:rPr>
            <w:noProof/>
            <w:webHidden/>
          </w:rPr>
          <w:fldChar w:fldCharType="begin"/>
        </w:r>
        <w:r w:rsidR="007F2F3E">
          <w:rPr>
            <w:noProof/>
            <w:webHidden/>
          </w:rPr>
          <w:instrText xml:space="preserve"> PAGEREF _Toc461093925 \h </w:instrText>
        </w:r>
        <w:r w:rsidR="007F2F3E">
          <w:rPr>
            <w:noProof/>
            <w:webHidden/>
          </w:rPr>
        </w:r>
        <w:r w:rsidR="007F2F3E">
          <w:rPr>
            <w:noProof/>
            <w:webHidden/>
          </w:rPr>
          <w:fldChar w:fldCharType="separate"/>
        </w:r>
        <w:r>
          <w:rPr>
            <w:noProof/>
            <w:webHidden/>
          </w:rPr>
          <w:t>21</w:t>
        </w:r>
        <w:r w:rsidR="007F2F3E">
          <w:rPr>
            <w:noProof/>
            <w:webHidden/>
          </w:rPr>
          <w:fldChar w:fldCharType="end"/>
        </w:r>
      </w:hyperlink>
    </w:p>
    <w:p w14:paraId="2A832C92"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26" w:history="1">
        <w:r w:rsidR="007F2F3E" w:rsidRPr="00820121">
          <w:rPr>
            <w:rStyle w:val="Hyperlink"/>
            <w:noProof/>
          </w:rPr>
          <w:t>Introduction</w:t>
        </w:r>
        <w:r w:rsidR="007F2F3E">
          <w:rPr>
            <w:noProof/>
            <w:webHidden/>
          </w:rPr>
          <w:tab/>
        </w:r>
        <w:r w:rsidR="007F2F3E">
          <w:rPr>
            <w:noProof/>
            <w:webHidden/>
          </w:rPr>
          <w:fldChar w:fldCharType="begin"/>
        </w:r>
        <w:r w:rsidR="007F2F3E">
          <w:rPr>
            <w:noProof/>
            <w:webHidden/>
          </w:rPr>
          <w:instrText xml:space="preserve"> PAGEREF _Toc461093926 \h </w:instrText>
        </w:r>
        <w:r w:rsidR="007F2F3E">
          <w:rPr>
            <w:noProof/>
            <w:webHidden/>
          </w:rPr>
        </w:r>
        <w:r w:rsidR="007F2F3E">
          <w:rPr>
            <w:noProof/>
            <w:webHidden/>
          </w:rPr>
          <w:fldChar w:fldCharType="separate"/>
        </w:r>
        <w:r>
          <w:rPr>
            <w:noProof/>
            <w:webHidden/>
          </w:rPr>
          <w:t>21</w:t>
        </w:r>
        <w:r w:rsidR="007F2F3E">
          <w:rPr>
            <w:noProof/>
            <w:webHidden/>
          </w:rPr>
          <w:fldChar w:fldCharType="end"/>
        </w:r>
      </w:hyperlink>
    </w:p>
    <w:p w14:paraId="0551B934"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27" w:history="1">
        <w:r w:rsidR="007F2F3E" w:rsidRPr="00820121">
          <w:rPr>
            <w:rStyle w:val="Hyperlink"/>
            <w:noProof/>
          </w:rPr>
          <w:t>Budget Financing with Capital Recovery</w:t>
        </w:r>
        <w:r w:rsidR="007F2F3E">
          <w:rPr>
            <w:noProof/>
            <w:webHidden/>
          </w:rPr>
          <w:tab/>
        </w:r>
        <w:r w:rsidR="007F2F3E">
          <w:rPr>
            <w:noProof/>
            <w:webHidden/>
          </w:rPr>
          <w:fldChar w:fldCharType="begin"/>
        </w:r>
        <w:r w:rsidR="007F2F3E">
          <w:rPr>
            <w:noProof/>
            <w:webHidden/>
          </w:rPr>
          <w:instrText xml:space="preserve"> PAGEREF _Toc461093927 \h </w:instrText>
        </w:r>
        <w:r w:rsidR="007F2F3E">
          <w:rPr>
            <w:noProof/>
            <w:webHidden/>
          </w:rPr>
        </w:r>
        <w:r w:rsidR="007F2F3E">
          <w:rPr>
            <w:noProof/>
            <w:webHidden/>
          </w:rPr>
          <w:fldChar w:fldCharType="separate"/>
        </w:r>
        <w:r>
          <w:rPr>
            <w:noProof/>
            <w:webHidden/>
          </w:rPr>
          <w:t>21</w:t>
        </w:r>
        <w:r w:rsidR="007F2F3E">
          <w:rPr>
            <w:noProof/>
            <w:webHidden/>
          </w:rPr>
          <w:fldChar w:fldCharType="end"/>
        </w:r>
      </w:hyperlink>
    </w:p>
    <w:p w14:paraId="2B3AC367"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28" w:history="1">
        <w:r w:rsidR="007F2F3E" w:rsidRPr="00820121">
          <w:rPr>
            <w:rStyle w:val="Hyperlink"/>
            <w:noProof/>
          </w:rPr>
          <w:t>Utility On-Bill Financing</w:t>
        </w:r>
        <w:r w:rsidR="007F2F3E">
          <w:rPr>
            <w:noProof/>
            <w:webHidden/>
          </w:rPr>
          <w:tab/>
        </w:r>
        <w:r w:rsidR="007F2F3E">
          <w:rPr>
            <w:noProof/>
            <w:webHidden/>
          </w:rPr>
          <w:fldChar w:fldCharType="begin"/>
        </w:r>
        <w:r w:rsidR="007F2F3E">
          <w:rPr>
            <w:noProof/>
            <w:webHidden/>
          </w:rPr>
          <w:instrText xml:space="preserve"> PAGEREF _Toc461093928 \h </w:instrText>
        </w:r>
        <w:r w:rsidR="007F2F3E">
          <w:rPr>
            <w:noProof/>
            <w:webHidden/>
          </w:rPr>
        </w:r>
        <w:r w:rsidR="007F2F3E">
          <w:rPr>
            <w:noProof/>
            <w:webHidden/>
          </w:rPr>
          <w:fldChar w:fldCharType="separate"/>
        </w:r>
        <w:r>
          <w:rPr>
            <w:noProof/>
            <w:webHidden/>
          </w:rPr>
          <w:t>22</w:t>
        </w:r>
        <w:r w:rsidR="007F2F3E">
          <w:rPr>
            <w:noProof/>
            <w:webHidden/>
          </w:rPr>
          <w:fldChar w:fldCharType="end"/>
        </w:r>
      </w:hyperlink>
    </w:p>
    <w:p w14:paraId="08671326"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29" w:history="1">
        <w:r w:rsidR="007F2F3E" w:rsidRPr="00820121">
          <w:rPr>
            <w:rStyle w:val="Hyperlink"/>
            <w:noProof/>
          </w:rPr>
          <w:t>Energy Efficiency Revolving Fund (EERF)</w:t>
        </w:r>
        <w:r w:rsidR="007F2F3E">
          <w:rPr>
            <w:noProof/>
            <w:webHidden/>
          </w:rPr>
          <w:tab/>
        </w:r>
        <w:r w:rsidR="007F2F3E">
          <w:rPr>
            <w:noProof/>
            <w:webHidden/>
          </w:rPr>
          <w:fldChar w:fldCharType="begin"/>
        </w:r>
        <w:r w:rsidR="007F2F3E">
          <w:rPr>
            <w:noProof/>
            <w:webHidden/>
          </w:rPr>
          <w:instrText xml:space="preserve"> PAGEREF _Toc461093929 \h </w:instrText>
        </w:r>
        <w:r w:rsidR="007F2F3E">
          <w:rPr>
            <w:noProof/>
            <w:webHidden/>
          </w:rPr>
        </w:r>
        <w:r w:rsidR="007F2F3E">
          <w:rPr>
            <w:noProof/>
            <w:webHidden/>
          </w:rPr>
          <w:fldChar w:fldCharType="separate"/>
        </w:r>
        <w:r>
          <w:rPr>
            <w:noProof/>
            <w:webHidden/>
          </w:rPr>
          <w:t>22</w:t>
        </w:r>
        <w:r w:rsidR="007F2F3E">
          <w:rPr>
            <w:noProof/>
            <w:webHidden/>
          </w:rPr>
          <w:fldChar w:fldCharType="end"/>
        </w:r>
      </w:hyperlink>
    </w:p>
    <w:p w14:paraId="75564C47"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30" w:history="1">
        <w:r w:rsidR="007F2F3E" w:rsidRPr="00820121">
          <w:rPr>
            <w:rStyle w:val="Hyperlink"/>
            <w:noProof/>
          </w:rPr>
          <w:t>Public or Super ESCO</w:t>
        </w:r>
        <w:r w:rsidR="007F2F3E">
          <w:rPr>
            <w:noProof/>
            <w:webHidden/>
          </w:rPr>
          <w:tab/>
        </w:r>
        <w:r w:rsidR="007F2F3E">
          <w:rPr>
            <w:noProof/>
            <w:webHidden/>
          </w:rPr>
          <w:fldChar w:fldCharType="begin"/>
        </w:r>
        <w:r w:rsidR="007F2F3E">
          <w:rPr>
            <w:noProof/>
            <w:webHidden/>
          </w:rPr>
          <w:instrText xml:space="preserve"> PAGEREF _Toc461093930 \h </w:instrText>
        </w:r>
        <w:r w:rsidR="007F2F3E">
          <w:rPr>
            <w:noProof/>
            <w:webHidden/>
          </w:rPr>
        </w:r>
        <w:r w:rsidR="007F2F3E">
          <w:rPr>
            <w:noProof/>
            <w:webHidden/>
          </w:rPr>
          <w:fldChar w:fldCharType="separate"/>
        </w:r>
        <w:r>
          <w:rPr>
            <w:noProof/>
            <w:webHidden/>
          </w:rPr>
          <w:t>22</w:t>
        </w:r>
        <w:r w:rsidR="007F2F3E">
          <w:rPr>
            <w:noProof/>
            <w:webHidden/>
          </w:rPr>
          <w:fldChar w:fldCharType="end"/>
        </w:r>
      </w:hyperlink>
    </w:p>
    <w:p w14:paraId="0AB937D5"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31" w:history="1">
        <w:r w:rsidR="007F2F3E" w:rsidRPr="00820121">
          <w:rPr>
            <w:rStyle w:val="Hyperlink"/>
            <w:noProof/>
          </w:rPr>
          <w:t>Public Sector Energy Efficiency Credit Line</w:t>
        </w:r>
        <w:r w:rsidR="007F2F3E">
          <w:rPr>
            <w:noProof/>
            <w:webHidden/>
          </w:rPr>
          <w:tab/>
        </w:r>
        <w:r w:rsidR="007F2F3E">
          <w:rPr>
            <w:noProof/>
            <w:webHidden/>
          </w:rPr>
          <w:fldChar w:fldCharType="begin"/>
        </w:r>
        <w:r w:rsidR="007F2F3E">
          <w:rPr>
            <w:noProof/>
            <w:webHidden/>
          </w:rPr>
          <w:instrText xml:space="preserve"> PAGEREF _Toc461093931 \h </w:instrText>
        </w:r>
        <w:r w:rsidR="007F2F3E">
          <w:rPr>
            <w:noProof/>
            <w:webHidden/>
          </w:rPr>
        </w:r>
        <w:r w:rsidR="007F2F3E">
          <w:rPr>
            <w:noProof/>
            <w:webHidden/>
          </w:rPr>
          <w:fldChar w:fldCharType="separate"/>
        </w:r>
        <w:r>
          <w:rPr>
            <w:noProof/>
            <w:webHidden/>
          </w:rPr>
          <w:t>23</w:t>
        </w:r>
        <w:r w:rsidR="007F2F3E">
          <w:rPr>
            <w:noProof/>
            <w:webHidden/>
          </w:rPr>
          <w:fldChar w:fldCharType="end"/>
        </w:r>
      </w:hyperlink>
    </w:p>
    <w:p w14:paraId="7E9F998D"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32" w:history="1">
        <w:r w:rsidR="007F2F3E" w:rsidRPr="00820121">
          <w:rPr>
            <w:rStyle w:val="Hyperlink"/>
            <w:noProof/>
          </w:rPr>
          <w:t>Risk-Sharing Facility</w:t>
        </w:r>
        <w:r w:rsidR="007F2F3E">
          <w:rPr>
            <w:noProof/>
            <w:webHidden/>
          </w:rPr>
          <w:tab/>
        </w:r>
        <w:r w:rsidR="007F2F3E">
          <w:rPr>
            <w:noProof/>
            <w:webHidden/>
          </w:rPr>
          <w:fldChar w:fldCharType="begin"/>
        </w:r>
        <w:r w:rsidR="007F2F3E">
          <w:rPr>
            <w:noProof/>
            <w:webHidden/>
          </w:rPr>
          <w:instrText xml:space="preserve"> PAGEREF _Toc461093932 \h </w:instrText>
        </w:r>
        <w:r w:rsidR="007F2F3E">
          <w:rPr>
            <w:noProof/>
            <w:webHidden/>
          </w:rPr>
        </w:r>
        <w:r w:rsidR="007F2F3E">
          <w:rPr>
            <w:noProof/>
            <w:webHidden/>
          </w:rPr>
          <w:fldChar w:fldCharType="separate"/>
        </w:r>
        <w:r>
          <w:rPr>
            <w:noProof/>
            <w:webHidden/>
          </w:rPr>
          <w:t>23</w:t>
        </w:r>
        <w:r w:rsidR="007F2F3E">
          <w:rPr>
            <w:noProof/>
            <w:webHidden/>
          </w:rPr>
          <w:fldChar w:fldCharType="end"/>
        </w:r>
      </w:hyperlink>
    </w:p>
    <w:p w14:paraId="4BD2B8BF"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33" w:history="1">
        <w:r w:rsidR="007F2F3E" w:rsidRPr="00820121">
          <w:rPr>
            <w:rStyle w:val="Hyperlink"/>
            <w:noProof/>
          </w:rPr>
          <w:t>Commercial Financing, Bonds</w:t>
        </w:r>
        <w:r w:rsidR="007F2F3E">
          <w:rPr>
            <w:noProof/>
            <w:webHidden/>
          </w:rPr>
          <w:tab/>
        </w:r>
        <w:r w:rsidR="007F2F3E">
          <w:rPr>
            <w:noProof/>
            <w:webHidden/>
          </w:rPr>
          <w:fldChar w:fldCharType="begin"/>
        </w:r>
        <w:r w:rsidR="007F2F3E">
          <w:rPr>
            <w:noProof/>
            <w:webHidden/>
          </w:rPr>
          <w:instrText xml:space="preserve"> PAGEREF _Toc461093933 \h </w:instrText>
        </w:r>
        <w:r w:rsidR="007F2F3E">
          <w:rPr>
            <w:noProof/>
            <w:webHidden/>
          </w:rPr>
        </w:r>
        <w:r w:rsidR="007F2F3E">
          <w:rPr>
            <w:noProof/>
            <w:webHidden/>
          </w:rPr>
          <w:fldChar w:fldCharType="separate"/>
        </w:r>
        <w:r>
          <w:rPr>
            <w:noProof/>
            <w:webHidden/>
          </w:rPr>
          <w:t>23</w:t>
        </w:r>
        <w:r w:rsidR="007F2F3E">
          <w:rPr>
            <w:noProof/>
            <w:webHidden/>
          </w:rPr>
          <w:fldChar w:fldCharType="end"/>
        </w:r>
      </w:hyperlink>
    </w:p>
    <w:p w14:paraId="6E066168"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34" w:history="1">
        <w:r w:rsidR="007F2F3E" w:rsidRPr="00820121">
          <w:rPr>
            <w:rStyle w:val="Hyperlink"/>
            <w:noProof/>
          </w:rPr>
          <w:t>Vendor Credit and Leasing</w:t>
        </w:r>
        <w:r w:rsidR="007F2F3E">
          <w:rPr>
            <w:noProof/>
            <w:webHidden/>
          </w:rPr>
          <w:tab/>
        </w:r>
        <w:r w:rsidR="007F2F3E">
          <w:rPr>
            <w:noProof/>
            <w:webHidden/>
          </w:rPr>
          <w:fldChar w:fldCharType="begin"/>
        </w:r>
        <w:r w:rsidR="007F2F3E">
          <w:rPr>
            <w:noProof/>
            <w:webHidden/>
          </w:rPr>
          <w:instrText xml:space="preserve"> PAGEREF _Toc461093934 \h </w:instrText>
        </w:r>
        <w:r w:rsidR="007F2F3E">
          <w:rPr>
            <w:noProof/>
            <w:webHidden/>
          </w:rPr>
        </w:r>
        <w:r w:rsidR="007F2F3E">
          <w:rPr>
            <w:noProof/>
            <w:webHidden/>
          </w:rPr>
          <w:fldChar w:fldCharType="separate"/>
        </w:r>
        <w:r>
          <w:rPr>
            <w:noProof/>
            <w:webHidden/>
          </w:rPr>
          <w:t>24</w:t>
        </w:r>
        <w:r w:rsidR="007F2F3E">
          <w:rPr>
            <w:noProof/>
            <w:webHidden/>
          </w:rPr>
          <w:fldChar w:fldCharType="end"/>
        </w:r>
      </w:hyperlink>
    </w:p>
    <w:p w14:paraId="05D3D3D0"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35" w:history="1">
        <w:r w:rsidR="007F2F3E" w:rsidRPr="00820121">
          <w:rPr>
            <w:rStyle w:val="Hyperlink"/>
            <w:noProof/>
          </w:rPr>
          <w:t>Leveraging Commercial Financing with Private ESCOs</w:t>
        </w:r>
        <w:r w:rsidR="007F2F3E">
          <w:rPr>
            <w:noProof/>
            <w:webHidden/>
          </w:rPr>
          <w:tab/>
        </w:r>
        <w:r w:rsidR="007F2F3E">
          <w:rPr>
            <w:noProof/>
            <w:webHidden/>
          </w:rPr>
          <w:fldChar w:fldCharType="begin"/>
        </w:r>
        <w:r w:rsidR="007F2F3E">
          <w:rPr>
            <w:noProof/>
            <w:webHidden/>
          </w:rPr>
          <w:instrText xml:space="preserve"> PAGEREF _Toc461093935 \h </w:instrText>
        </w:r>
        <w:r w:rsidR="007F2F3E">
          <w:rPr>
            <w:noProof/>
            <w:webHidden/>
          </w:rPr>
        </w:r>
        <w:r w:rsidR="007F2F3E">
          <w:rPr>
            <w:noProof/>
            <w:webHidden/>
          </w:rPr>
          <w:fldChar w:fldCharType="separate"/>
        </w:r>
        <w:r>
          <w:rPr>
            <w:noProof/>
            <w:webHidden/>
          </w:rPr>
          <w:t>24</w:t>
        </w:r>
        <w:r w:rsidR="007F2F3E">
          <w:rPr>
            <w:noProof/>
            <w:webHidden/>
          </w:rPr>
          <w:fldChar w:fldCharType="end"/>
        </w:r>
      </w:hyperlink>
    </w:p>
    <w:p w14:paraId="2A717DF3"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36" w:history="1">
        <w:r w:rsidR="007F2F3E" w:rsidRPr="00820121">
          <w:rPr>
            <w:rStyle w:val="Hyperlink"/>
            <w:noProof/>
          </w:rPr>
          <w:t>Comparison of the Financing Options</w:t>
        </w:r>
        <w:r w:rsidR="007F2F3E">
          <w:rPr>
            <w:noProof/>
            <w:webHidden/>
          </w:rPr>
          <w:tab/>
        </w:r>
        <w:r w:rsidR="007F2F3E">
          <w:rPr>
            <w:noProof/>
            <w:webHidden/>
          </w:rPr>
          <w:fldChar w:fldCharType="begin"/>
        </w:r>
        <w:r w:rsidR="007F2F3E">
          <w:rPr>
            <w:noProof/>
            <w:webHidden/>
          </w:rPr>
          <w:instrText xml:space="preserve"> PAGEREF _Toc461093936 \h </w:instrText>
        </w:r>
        <w:r w:rsidR="007F2F3E">
          <w:rPr>
            <w:noProof/>
            <w:webHidden/>
          </w:rPr>
        </w:r>
        <w:r w:rsidR="007F2F3E">
          <w:rPr>
            <w:noProof/>
            <w:webHidden/>
          </w:rPr>
          <w:fldChar w:fldCharType="separate"/>
        </w:r>
        <w:r>
          <w:rPr>
            <w:noProof/>
            <w:webHidden/>
          </w:rPr>
          <w:t>25</w:t>
        </w:r>
        <w:r w:rsidR="007F2F3E">
          <w:rPr>
            <w:noProof/>
            <w:webHidden/>
          </w:rPr>
          <w:fldChar w:fldCharType="end"/>
        </w:r>
      </w:hyperlink>
    </w:p>
    <w:p w14:paraId="5EF98D45" w14:textId="77777777" w:rsidR="007F2F3E" w:rsidRDefault="00CC6D6F">
      <w:pPr>
        <w:pStyle w:val="TOC1"/>
        <w:tabs>
          <w:tab w:val="right" w:leader="dot" w:pos="9017"/>
        </w:tabs>
        <w:rPr>
          <w:rFonts w:eastAsiaTheme="minorEastAsia" w:cstheme="minorBidi"/>
          <w:b w:val="0"/>
          <w:bCs w:val="0"/>
          <w:caps w:val="0"/>
          <w:noProof/>
          <w:snapToGrid/>
          <w:sz w:val="22"/>
          <w:szCs w:val="22"/>
        </w:rPr>
      </w:pPr>
      <w:hyperlink w:anchor="_Toc461093937" w:history="1">
        <w:r w:rsidR="007F2F3E" w:rsidRPr="00820121">
          <w:rPr>
            <w:rStyle w:val="Hyperlink"/>
            <w:noProof/>
          </w:rPr>
          <w:t>Section 5 - Assessment of Financing and Implementation Options for Public Sector Energy Efficiency in GEORGIA</w:t>
        </w:r>
        <w:r w:rsidR="007F2F3E">
          <w:rPr>
            <w:noProof/>
            <w:webHidden/>
          </w:rPr>
          <w:tab/>
        </w:r>
        <w:r w:rsidR="007F2F3E">
          <w:rPr>
            <w:noProof/>
            <w:webHidden/>
          </w:rPr>
          <w:fldChar w:fldCharType="begin"/>
        </w:r>
        <w:r w:rsidR="007F2F3E">
          <w:rPr>
            <w:noProof/>
            <w:webHidden/>
          </w:rPr>
          <w:instrText xml:space="preserve"> PAGEREF _Toc461093937 \h </w:instrText>
        </w:r>
        <w:r w:rsidR="007F2F3E">
          <w:rPr>
            <w:noProof/>
            <w:webHidden/>
          </w:rPr>
        </w:r>
        <w:r w:rsidR="007F2F3E">
          <w:rPr>
            <w:noProof/>
            <w:webHidden/>
          </w:rPr>
          <w:fldChar w:fldCharType="separate"/>
        </w:r>
        <w:r>
          <w:rPr>
            <w:noProof/>
            <w:webHidden/>
          </w:rPr>
          <w:t>29</w:t>
        </w:r>
        <w:r w:rsidR="007F2F3E">
          <w:rPr>
            <w:noProof/>
            <w:webHidden/>
          </w:rPr>
          <w:fldChar w:fldCharType="end"/>
        </w:r>
      </w:hyperlink>
    </w:p>
    <w:p w14:paraId="26AD8089"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38" w:history="1">
        <w:r w:rsidR="007F2F3E" w:rsidRPr="00820121">
          <w:rPr>
            <w:rStyle w:val="Hyperlink"/>
            <w:noProof/>
          </w:rPr>
          <w:t>Characteristics of Financing Options in the Georgia Context</w:t>
        </w:r>
        <w:r w:rsidR="007F2F3E">
          <w:rPr>
            <w:noProof/>
            <w:webHidden/>
          </w:rPr>
          <w:tab/>
        </w:r>
        <w:r w:rsidR="007F2F3E">
          <w:rPr>
            <w:noProof/>
            <w:webHidden/>
          </w:rPr>
          <w:fldChar w:fldCharType="begin"/>
        </w:r>
        <w:r w:rsidR="007F2F3E">
          <w:rPr>
            <w:noProof/>
            <w:webHidden/>
          </w:rPr>
          <w:instrText xml:space="preserve"> PAGEREF _Toc461093938 \h </w:instrText>
        </w:r>
        <w:r w:rsidR="007F2F3E">
          <w:rPr>
            <w:noProof/>
            <w:webHidden/>
          </w:rPr>
        </w:r>
        <w:r w:rsidR="007F2F3E">
          <w:rPr>
            <w:noProof/>
            <w:webHidden/>
          </w:rPr>
          <w:fldChar w:fldCharType="separate"/>
        </w:r>
        <w:r>
          <w:rPr>
            <w:noProof/>
            <w:webHidden/>
          </w:rPr>
          <w:t>29</w:t>
        </w:r>
        <w:r w:rsidR="007F2F3E">
          <w:rPr>
            <w:noProof/>
            <w:webHidden/>
          </w:rPr>
          <w:fldChar w:fldCharType="end"/>
        </w:r>
      </w:hyperlink>
    </w:p>
    <w:p w14:paraId="6928D3E5"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39" w:history="1">
        <w:r w:rsidR="007F2F3E" w:rsidRPr="00820121">
          <w:rPr>
            <w:rStyle w:val="Hyperlink"/>
            <w:noProof/>
          </w:rPr>
          <w:t>Narrowing the Financing Options: Rationale and Results</w:t>
        </w:r>
        <w:r w:rsidR="007F2F3E">
          <w:rPr>
            <w:noProof/>
            <w:webHidden/>
          </w:rPr>
          <w:tab/>
        </w:r>
        <w:r w:rsidR="007F2F3E">
          <w:rPr>
            <w:noProof/>
            <w:webHidden/>
          </w:rPr>
          <w:fldChar w:fldCharType="begin"/>
        </w:r>
        <w:r w:rsidR="007F2F3E">
          <w:rPr>
            <w:noProof/>
            <w:webHidden/>
          </w:rPr>
          <w:instrText xml:space="preserve"> PAGEREF _Toc461093939 \h </w:instrText>
        </w:r>
        <w:r w:rsidR="007F2F3E">
          <w:rPr>
            <w:noProof/>
            <w:webHidden/>
          </w:rPr>
        </w:r>
        <w:r w:rsidR="007F2F3E">
          <w:rPr>
            <w:noProof/>
            <w:webHidden/>
          </w:rPr>
          <w:fldChar w:fldCharType="separate"/>
        </w:r>
        <w:r>
          <w:rPr>
            <w:noProof/>
            <w:webHidden/>
          </w:rPr>
          <w:t>29</w:t>
        </w:r>
        <w:r w:rsidR="007F2F3E">
          <w:rPr>
            <w:noProof/>
            <w:webHidden/>
          </w:rPr>
          <w:fldChar w:fldCharType="end"/>
        </w:r>
      </w:hyperlink>
    </w:p>
    <w:p w14:paraId="5E55E702"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40" w:history="1">
        <w:r w:rsidR="007F2F3E" w:rsidRPr="00820121">
          <w:rPr>
            <w:rStyle w:val="Hyperlink"/>
            <w:noProof/>
          </w:rPr>
          <w:t>Budget Financing with Capital Recovery</w:t>
        </w:r>
        <w:r w:rsidR="007F2F3E">
          <w:rPr>
            <w:noProof/>
            <w:webHidden/>
          </w:rPr>
          <w:tab/>
        </w:r>
        <w:r w:rsidR="007F2F3E">
          <w:rPr>
            <w:noProof/>
            <w:webHidden/>
          </w:rPr>
          <w:fldChar w:fldCharType="begin"/>
        </w:r>
        <w:r w:rsidR="007F2F3E">
          <w:rPr>
            <w:noProof/>
            <w:webHidden/>
          </w:rPr>
          <w:instrText xml:space="preserve"> PAGEREF _Toc461093940 \h </w:instrText>
        </w:r>
        <w:r w:rsidR="007F2F3E">
          <w:rPr>
            <w:noProof/>
            <w:webHidden/>
          </w:rPr>
        </w:r>
        <w:r w:rsidR="007F2F3E">
          <w:rPr>
            <w:noProof/>
            <w:webHidden/>
          </w:rPr>
          <w:fldChar w:fldCharType="separate"/>
        </w:r>
        <w:r>
          <w:rPr>
            <w:noProof/>
            <w:webHidden/>
          </w:rPr>
          <w:t>31</w:t>
        </w:r>
        <w:r w:rsidR="007F2F3E">
          <w:rPr>
            <w:noProof/>
            <w:webHidden/>
          </w:rPr>
          <w:fldChar w:fldCharType="end"/>
        </w:r>
      </w:hyperlink>
    </w:p>
    <w:p w14:paraId="208C2A5E"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41" w:history="1">
        <w:r w:rsidR="007F2F3E" w:rsidRPr="00820121">
          <w:rPr>
            <w:rStyle w:val="Hyperlink"/>
            <w:noProof/>
          </w:rPr>
          <w:t>Overview</w:t>
        </w:r>
        <w:r w:rsidR="007F2F3E">
          <w:rPr>
            <w:noProof/>
            <w:webHidden/>
          </w:rPr>
          <w:tab/>
        </w:r>
        <w:r w:rsidR="007F2F3E">
          <w:rPr>
            <w:noProof/>
            <w:webHidden/>
          </w:rPr>
          <w:fldChar w:fldCharType="begin"/>
        </w:r>
        <w:r w:rsidR="007F2F3E">
          <w:rPr>
            <w:noProof/>
            <w:webHidden/>
          </w:rPr>
          <w:instrText xml:space="preserve"> PAGEREF _Toc461093941 \h </w:instrText>
        </w:r>
        <w:r w:rsidR="007F2F3E">
          <w:rPr>
            <w:noProof/>
            <w:webHidden/>
          </w:rPr>
        </w:r>
        <w:r w:rsidR="007F2F3E">
          <w:rPr>
            <w:noProof/>
            <w:webHidden/>
          </w:rPr>
          <w:fldChar w:fldCharType="separate"/>
        </w:r>
        <w:r>
          <w:rPr>
            <w:noProof/>
            <w:webHidden/>
          </w:rPr>
          <w:t>31</w:t>
        </w:r>
        <w:r w:rsidR="007F2F3E">
          <w:rPr>
            <w:noProof/>
            <w:webHidden/>
          </w:rPr>
          <w:fldChar w:fldCharType="end"/>
        </w:r>
      </w:hyperlink>
    </w:p>
    <w:p w14:paraId="3C422E8B"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42" w:history="1">
        <w:r w:rsidR="007F2F3E" w:rsidRPr="00820121">
          <w:rPr>
            <w:rStyle w:val="Hyperlink"/>
            <w:noProof/>
          </w:rPr>
          <w:t>Funds flow</w:t>
        </w:r>
        <w:r w:rsidR="007F2F3E">
          <w:rPr>
            <w:noProof/>
            <w:webHidden/>
          </w:rPr>
          <w:tab/>
        </w:r>
        <w:r w:rsidR="007F2F3E">
          <w:rPr>
            <w:noProof/>
            <w:webHidden/>
          </w:rPr>
          <w:fldChar w:fldCharType="begin"/>
        </w:r>
        <w:r w:rsidR="007F2F3E">
          <w:rPr>
            <w:noProof/>
            <w:webHidden/>
          </w:rPr>
          <w:instrText xml:space="preserve"> PAGEREF _Toc461093942 \h </w:instrText>
        </w:r>
        <w:r w:rsidR="007F2F3E">
          <w:rPr>
            <w:noProof/>
            <w:webHidden/>
          </w:rPr>
        </w:r>
        <w:r w:rsidR="007F2F3E">
          <w:rPr>
            <w:noProof/>
            <w:webHidden/>
          </w:rPr>
          <w:fldChar w:fldCharType="separate"/>
        </w:r>
        <w:r>
          <w:rPr>
            <w:noProof/>
            <w:webHidden/>
          </w:rPr>
          <w:t>31</w:t>
        </w:r>
        <w:r w:rsidR="007F2F3E">
          <w:rPr>
            <w:noProof/>
            <w:webHidden/>
          </w:rPr>
          <w:fldChar w:fldCharType="end"/>
        </w:r>
      </w:hyperlink>
    </w:p>
    <w:p w14:paraId="52004E88"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43" w:history="1">
        <w:r w:rsidR="007F2F3E" w:rsidRPr="00820121">
          <w:rPr>
            <w:rStyle w:val="Hyperlink"/>
            <w:noProof/>
          </w:rPr>
          <w:t>Implementation</w:t>
        </w:r>
        <w:r w:rsidR="007F2F3E">
          <w:rPr>
            <w:noProof/>
            <w:webHidden/>
          </w:rPr>
          <w:tab/>
        </w:r>
        <w:r w:rsidR="007F2F3E">
          <w:rPr>
            <w:noProof/>
            <w:webHidden/>
          </w:rPr>
          <w:fldChar w:fldCharType="begin"/>
        </w:r>
        <w:r w:rsidR="007F2F3E">
          <w:rPr>
            <w:noProof/>
            <w:webHidden/>
          </w:rPr>
          <w:instrText xml:space="preserve"> PAGEREF _Toc461093943 \h </w:instrText>
        </w:r>
        <w:r w:rsidR="007F2F3E">
          <w:rPr>
            <w:noProof/>
            <w:webHidden/>
          </w:rPr>
        </w:r>
        <w:r w:rsidR="007F2F3E">
          <w:rPr>
            <w:noProof/>
            <w:webHidden/>
          </w:rPr>
          <w:fldChar w:fldCharType="separate"/>
        </w:r>
        <w:r>
          <w:rPr>
            <w:noProof/>
            <w:webHidden/>
          </w:rPr>
          <w:t>32</w:t>
        </w:r>
        <w:r w:rsidR="007F2F3E">
          <w:rPr>
            <w:noProof/>
            <w:webHidden/>
          </w:rPr>
          <w:fldChar w:fldCharType="end"/>
        </w:r>
      </w:hyperlink>
    </w:p>
    <w:p w14:paraId="70D18E8C"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44" w:history="1">
        <w:r w:rsidR="007F2F3E" w:rsidRPr="00820121">
          <w:rPr>
            <w:rStyle w:val="Hyperlink"/>
            <w:noProof/>
          </w:rPr>
          <w:t>Technical Assistance</w:t>
        </w:r>
        <w:r w:rsidR="007F2F3E">
          <w:rPr>
            <w:noProof/>
            <w:webHidden/>
          </w:rPr>
          <w:tab/>
        </w:r>
        <w:r w:rsidR="007F2F3E">
          <w:rPr>
            <w:noProof/>
            <w:webHidden/>
          </w:rPr>
          <w:fldChar w:fldCharType="begin"/>
        </w:r>
        <w:r w:rsidR="007F2F3E">
          <w:rPr>
            <w:noProof/>
            <w:webHidden/>
          </w:rPr>
          <w:instrText xml:space="preserve"> PAGEREF _Toc461093944 \h </w:instrText>
        </w:r>
        <w:r w:rsidR="007F2F3E">
          <w:rPr>
            <w:noProof/>
            <w:webHidden/>
          </w:rPr>
        </w:r>
        <w:r w:rsidR="007F2F3E">
          <w:rPr>
            <w:noProof/>
            <w:webHidden/>
          </w:rPr>
          <w:fldChar w:fldCharType="separate"/>
        </w:r>
        <w:r>
          <w:rPr>
            <w:noProof/>
            <w:webHidden/>
          </w:rPr>
          <w:t>32</w:t>
        </w:r>
        <w:r w:rsidR="007F2F3E">
          <w:rPr>
            <w:noProof/>
            <w:webHidden/>
          </w:rPr>
          <w:fldChar w:fldCharType="end"/>
        </w:r>
      </w:hyperlink>
    </w:p>
    <w:p w14:paraId="32567437"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45" w:history="1">
        <w:r w:rsidR="007F2F3E" w:rsidRPr="00820121">
          <w:rPr>
            <w:rStyle w:val="Hyperlink"/>
            <w:noProof/>
          </w:rPr>
          <w:t>Energy Efficiency Revolving Fund</w:t>
        </w:r>
        <w:r w:rsidR="007F2F3E">
          <w:rPr>
            <w:noProof/>
            <w:webHidden/>
          </w:rPr>
          <w:tab/>
        </w:r>
        <w:r w:rsidR="007F2F3E">
          <w:rPr>
            <w:noProof/>
            <w:webHidden/>
          </w:rPr>
          <w:fldChar w:fldCharType="begin"/>
        </w:r>
        <w:r w:rsidR="007F2F3E">
          <w:rPr>
            <w:noProof/>
            <w:webHidden/>
          </w:rPr>
          <w:instrText xml:space="preserve"> PAGEREF _Toc461093945 \h </w:instrText>
        </w:r>
        <w:r w:rsidR="007F2F3E">
          <w:rPr>
            <w:noProof/>
            <w:webHidden/>
          </w:rPr>
        </w:r>
        <w:r w:rsidR="007F2F3E">
          <w:rPr>
            <w:noProof/>
            <w:webHidden/>
          </w:rPr>
          <w:fldChar w:fldCharType="separate"/>
        </w:r>
        <w:r>
          <w:rPr>
            <w:noProof/>
            <w:webHidden/>
          </w:rPr>
          <w:t>33</w:t>
        </w:r>
        <w:r w:rsidR="007F2F3E">
          <w:rPr>
            <w:noProof/>
            <w:webHidden/>
          </w:rPr>
          <w:fldChar w:fldCharType="end"/>
        </w:r>
      </w:hyperlink>
    </w:p>
    <w:p w14:paraId="39B5366D"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46" w:history="1">
        <w:r w:rsidR="007F2F3E" w:rsidRPr="00820121">
          <w:rPr>
            <w:rStyle w:val="Hyperlink"/>
            <w:noProof/>
          </w:rPr>
          <w:t>Legal Framework</w:t>
        </w:r>
        <w:r w:rsidR="007F2F3E">
          <w:rPr>
            <w:noProof/>
            <w:webHidden/>
          </w:rPr>
          <w:tab/>
        </w:r>
        <w:r w:rsidR="007F2F3E">
          <w:rPr>
            <w:noProof/>
            <w:webHidden/>
          </w:rPr>
          <w:fldChar w:fldCharType="begin"/>
        </w:r>
        <w:r w:rsidR="007F2F3E">
          <w:rPr>
            <w:noProof/>
            <w:webHidden/>
          </w:rPr>
          <w:instrText xml:space="preserve"> PAGEREF _Toc461093946 \h </w:instrText>
        </w:r>
        <w:r w:rsidR="007F2F3E">
          <w:rPr>
            <w:noProof/>
            <w:webHidden/>
          </w:rPr>
        </w:r>
        <w:r w:rsidR="007F2F3E">
          <w:rPr>
            <w:noProof/>
            <w:webHidden/>
          </w:rPr>
          <w:fldChar w:fldCharType="separate"/>
        </w:r>
        <w:r>
          <w:rPr>
            <w:noProof/>
            <w:webHidden/>
          </w:rPr>
          <w:t>33</w:t>
        </w:r>
        <w:r w:rsidR="007F2F3E">
          <w:rPr>
            <w:noProof/>
            <w:webHidden/>
          </w:rPr>
          <w:fldChar w:fldCharType="end"/>
        </w:r>
      </w:hyperlink>
    </w:p>
    <w:p w14:paraId="77F5C245"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47" w:history="1">
        <w:r w:rsidR="007F2F3E" w:rsidRPr="00820121">
          <w:rPr>
            <w:rStyle w:val="Hyperlink"/>
            <w:noProof/>
          </w:rPr>
          <w:t>Fund Management and Governance</w:t>
        </w:r>
        <w:r w:rsidR="007F2F3E">
          <w:rPr>
            <w:noProof/>
            <w:webHidden/>
          </w:rPr>
          <w:tab/>
        </w:r>
        <w:r w:rsidR="007F2F3E">
          <w:rPr>
            <w:noProof/>
            <w:webHidden/>
          </w:rPr>
          <w:fldChar w:fldCharType="begin"/>
        </w:r>
        <w:r w:rsidR="007F2F3E">
          <w:rPr>
            <w:noProof/>
            <w:webHidden/>
          </w:rPr>
          <w:instrText xml:space="preserve"> PAGEREF _Toc461093947 \h </w:instrText>
        </w:r>
        <w:r w:rsidR="007F2F3E">
          <w:rPr>
            <w:noProof/>
            <w:webHidden/>
          </w:rPr>
        </w:r>
        <w:r w:rsidR="007F2F3E">
          <w:rPr>
            <w:noProof/>
            <w:webHidden/>
          </w:rPr>
          <w:fldChar w:fldCharType="separate"/>
        </w:r>
        <w:r>
          <w:rPr>
            <w:noProof/>
            <w:webHidden/>
          </w:rPr>
          <w:t>33</w:t>
        </w:r>
        <w:r w:rsidR="007F2F3E">
          <w:rPr>
            <w:noProof/>
            <w:webHidden/>
          </w:rPr>
          <w:fldChar w:fldCharType="end"/>
        </w:r>
      </w:hyperlink>
    </w:p>
    <w:p w14:paraId="2A2AC6A1"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48" w:history="1">
        <w:r w:rsidR="007F2F3E" w:rsidRPr="00820121">
          <w:rPr>
            <w:rStyle w:val="Hyperlink"/>
            <w:noProof/>
          </w:rPr>
          <w:t>Debt Financing Window</w:t>
        </w:r>
        <w:r w:rsidR="007F2F3E">
          <w:rPr>
            <w:noProof/>
            <w:webHidden/>
          </w:rPr>
          <w:tab/>
        </w:r>
        <w:r w:rsidR="007F2F3E">
          <w:rPr>
            <w:noProof/>
            <w:webHidden/>
          </w:rPr>
          <w:fldChar w:fldCharType="begin"/>
        </w:r>
        <w:r w:rsidR="007F2F3E">
          <w:rPr>
            <w:noProof/>
            <w:webHidden/>
          </w:rPr>
          <w:instrText xml:space="preserve"> PAGEREF _Toc461093948 \h </w:instrText>
        </w:r>
        <w:r w:rsidR="007F2F3E">
          <w:rPr>
            <w:noProof/>
            <w:webHidden/>
          </w:rPr>
        </w:r>
        <w:r w:rsidR="007F2F3E">
          <w:rPr>
            <w:noProof/>
            <w:webHidden/>
          </w:rPr>
          <w:fldChar w:fldCharType="separate"/>
        </w:r>
        <w:r>
          <w:rPr>
            <w:noProof/>
            <w:webHidden/>
          </w:rPr>
          <w:t>34</w:t>
        </w:r>
        <w:r w:rsidR="007F2F3E">
          <w:rPr>
            <w:noProof/>
            <w:webHidden/>
          </w:rPr>
          <w:fldChar w:fldCharType="end"/>
        </w:r>
      </w:hyperlink>
    </w:p>
    <w:p w14:paraId="4612E82D"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49" w:history="1">
        <w:r w:rsidR="007F2F3E" w:rsidRPr="00820121">
          <w:rPr>
            <w:rStyle w:val="Hyperlink"/>
            <w:noProof/>
          </w:rPr>
          <w:t>Energy Services Window</w:t>
        </w:r>
        <w:r w:rsidR="007F2F3E">
          <w:rPr>
            <w:noProof/>
            <w:webHidden/>
          </w:rPr>
          <w:tab/>
        </w:r>
        <w:r w:rsidR="007F2F3E">
          <w:rPr>
            <w:noProof/>
            <w:webHidden/>
          </w:rPr>
          <w:fldChar w:fldCharType="begin"/>
        </w:r>
        <w:r w:rsidR="007F2F3E">
          <w:rPr>
            <w:noProof/>
            <w:webHidden/>
          </w:rPr>
          <w:instrText xml:space="preserve"> PAGEREF _Toc461093949 \h </w:instrText>
        </w:r>
        <w:r w:rsidR="007F2F3E">
          <w:rPr>
            <w:noProof/>
            <w:webHidden/>
          </w:rPr>
        </w:r>
        <w:r w:rsidR="007F2F3E">
          <w:rPr>
            <w:noProof/>
            <w:webHidden/>
          </w:rPr>
          <w:fldChar w:fldCharType="separate"/>
        </w:r>
        <w:r>
          <w:rPr>
            <w:noProof/>
            <w:webHidden/>
          </w:rPr>
          <w:t>34</w:t>
        </w:r>
        <w:r w:rsidR="007F2F3E">
          <w:rPr>
            <w:noProof/>
            <w:webHidden/>
          </w:rPr>
          <w:fldChar w:fldCharType="end"/>
        </w:r>
      </w:hyperlink>
    </w:p>
    <w:p w14:paraId="5E61F072"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50" w:history="1">
        <w:r w:rsidR="007F2F3E" w:rsidRPr="00820121">
          <w:rPr>
            <w:rStyle w:val="Hyperlink"/>
            <w:noProof/>
          </w:rPr>
          <w:t>Technical Assistance</w:t>
        </w:r>
        <w:r w:rsidR="007F2F3E">
          <w:rPr>
            <w:noProof/>
            <w:webHidden/>
          </w:rPr>
          <w:tab/>
        </w:r>
        <w:r w:rsidR="007F2F3E">
          <w:rPr>
            <w:noProof/>
            <w:webHidden/>
          </w:rPr>
          <w:fldChar w:fldCharType="begin"/>
        </w:r>
        <w:r w:rsidR="007F2F3E">
          <w:rPr>
            <w:noProof/>
            <w:webHidden/>
          </w:rPr>
          <w:instrText xml:space="preserve"> PAGEREF _Toc461093950 \h </w:instrText>
        </w:r>
        <w:r w:rsidR="007F2F3E">
          <w:rPr>
            <w:noProof/>
            <w:webHidden/>
          </w:rPr>
        </w:r>
        <w:r w:rsidR="007F2F3E">
          <w:rPr>
            <w:noProof/>
            <w:webHidden/>
          </w:rPr>
          <w:fldChar w:fldCharType="separate"/>
        </w:r>
        <w:r>
          <w:rPr>
            <w:noProof/>
            <w:webHidden/>
          </w:rPr>
          <w:t>35</w:t>
        </w:r>
        <w:r w:rsidR="007F2F3E">
          <w:rPr>
            <w:noProof/>
            <w:webHidden/>
          </w:rPr>
          <w:fldChar w:fldCharType="end"/>
        </w:r>
      </w:hyperlink>
    </w:p>
    <w:p w14:paraId="6E52270B"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51" w:history="1">
        <w:r w:rsidR="007F2F3E" w:rsidRPr="00820121">
          <w:rPr>
            <w:rStyle w:val="Hyperlink"/>
            <w:noProof/>
          </w:rPr>
          <w:t>Procurement of Implementation Services</w:t>
        </w:r>
        <w:r w:rsidR="007F2F3E">
          <w:rPr>
            <w:noProof/>
            <w:webHidden/>
          </w:rPr>
          <w:tab/>
        </w:r>
        <w:r w:rsidR="007F2F3E">
          <w:rPr>
            <w:noProof/>
            <w:webHidden/>
          </w:rPr>
          <w:fldChar w:fldCharType="begin"/>
        </w:r>
        <w:r w:rsidR="007F2F3E">
          <w:rPr>
            <w:noProof/>
            <w:webHidden/>
          </w:rPr>
          <w:instrText xml:space="preserve"> PAGEREF _Toc461093951 \h </w:instrText>
        </w:r>
        <w:r w:rsidR="007F2F3E">
          <w:rPr>
            <w:noProof/>
            <w:webHidden/>
          </w:rPr>
        </w:r>
        <w:r w:rsidR="007F2F3E">
          <w:rPr>
            <w:noProof/>
            <w:webHidden/>
          </w:rPr>
          <w:fldChar w:fldCharType="separate"/>
        </w:r>
        <w:r>
          <w:rPr>
            <w:noProof/>
            <w:webHidden/>
          </w:rPr>
          <w:t>36</w:t>
        </w:r>
        <w:r w:rsidR="007F2F3E">
          <w:rPr>
            <w:noProof/>
            <w:webHidden/>
          </w:rPr>
          <w:fldChar w:fldCharType="end"/>
        </w:r>
      </w:hyperlink>
    </w:p>
    <w:p w14:paraId="60B0C4D5"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52" w:history="1">
        <w:r w:rsidR="007F2F3E" w:rsidRPr="00820121">
          <w:rPr>
            <w:rStyle w:val="Hyperlink"/>
            <w:noProof/>
          </w:rPr>
          <w:t>Organization Structure</w:t>
        </w:r>
        <w:r w:rsidR="007F2F3E">
          <w:rPr>
            <w:noProof/>
            <w:webHidden/>
          </w:rPr>
          <w:tab/>
        </w:r>
        <w:r w:rsidR="007F2F3E">
          <w:rPr>
            <w:noProof/>
            <w:webHidden/>
          </w:rPr>
          <w:fldChar w:fldCharType="begin"/>
        </w:r>
        <w:r w:rsidR="007F2F3E">
          <w:rPr>
            <w:noProof/>
            <w:webHidden/>
          </w:rPr>
          <w:instrText xml:space="preserve"> PAGEREF _Toc461093952 \h </w:instrText>
        </w:r>
        <w:r w:rsidR="007F2F3E">
          <w:rPr>
            <w:noProof/>
            <w:webHidden/>
          </w:rPr>
        </w:r>
        <w:r w:rsidR="007F2F3E">
          <w:rPr>
            <w:noProof/>
            <w:webHidden/>
          </w:rPr>
          <w:fldChar w:fldCharType="separate"/>
        </w:r>
        <w:r>
          <w:rPr>
            <w:noProof/>
            <w:webHidden/>
          </w:rPr>
          <w:t>36</w:t>
        </w:r>
        <w:r w:rsidR="007F2F3E">
          <w:rPr>
            <w:noProof/>
            <w:webHidden/>
          </w:rPr>
          <w:fldChar w:fldCharType="end"/>
        </w:r>
      </w:hyperlink>
    </w:p>
    <w:p w14:paraId="787C18AF"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53" w:history="1">
        <w:r w:rsidR="007F2F3E" w:rsidRPr="00820121">
          <w:rPr>
            <w:rStyle w:val="Hyperlink"/>
            <w:noProof/>
          </w:rPr>
          <w:t>Investment Models</w:t>
        </w:r>
        <w:r w:rsidR="007F2F3E">
          <w:rPr>
            <w:noProof/>
            <w:webHidden/>
          </w:rPr>
          <w:tab/>
        </w:r>
        <w:r w:rsidR="007F2F3E">
          <w:rPr>
            <w:noProof/>
            <w:webHidden/>
          </w:rPr>
          <w:fldChar w:fldCharType="begin"/>
        </w:r>
        <w:r w:rsidR="007F2F3E">
          <w:rPr>
            <w:noProof/>
            <w:webHidden/>
          </w:rPr>
          <w:instrText xml:space="preserve"> PAGEREF _Toc461093953 \h </w:instrText>
        </w:r>
        <w:r w:rsidR="007F2F3E">
          <w:rPr>
            <w:noProof/>
            <w:webHidden/>
          </w:rPr>
        </w:r>
        <w:r w:rsidR="007F2F3E">
          <w:rPr>
            <w:noProof/>
            <w:webHidden/>
          </w:rPr>
          <w:fldChar w:fldCharType="separate"/>
        </w:r>
        <w:r>
          <w:rPr>
            <w:noProof/>
            <w:webHidden/>
          </w:rPr>
          <w:t>36</w:t>
        </w:r>
        <w:r w:rsidR="007F2F3E">
          <w:rPr>
            <w:noProof/>
            <w:webHidden/>
          </w:rPr>
          <w:fldChar w:fldCharType="end"/>
        </w:r>
      </w:hyperlink>
    </w:p>
    <w:p w14:paraId="4BCBF4B3"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54" w:history="1">
        <w:r w:rsidR="007F2F3E" w:rsidRPr="00820121">
          <w:rPr>
            <w:rStyle w:val="Hyperlink"/>
            <w:noProof/>
          </w:rPr>
          <w:t>How the GEERF Can Address the Barriers to EE Implementation</w:t>
        </w:r>
        <w:r w:rsidR="007F2F3E">
          <w:rPr>
            <w:noProof/>
            <w:webHidden/>
          </w:rPr>
          <w:tab/>
        </w:r>
        <w:r w:rsidR="007F2F3E">
          <w:rPr>
            <w:noProof/>
            <w:webHidden/>
          </w:rPr>
          <w:fldChar w:fldCharType="begin"/>
        </w:r>
        <w:r w:rsidR="007F2F3E">
          <w:rPr>
            <w:noProof/>
            <w:webHidden/>
          </w:rPr>
          <w:instrText xml:space="preserve"> PAGEREF _Toc461093954 \h </w:instrText>
        </w:r>
        <w:r w:rsidR="007F2F3E">
          <w:rPr>
            <w:noProof/>
            <w:webHidden/>
          </w:rPr>
        </w:r>
        <w:r w:rsidR="007F2F3E">
          <w:rPr>
            <w:noProof/>
            <w:webHidden/>
          </w:rPr>
          <w:fldChar w:fldCharType="separate"/>
        </w:r>
        <w:r>
          <w:rPr>
            <w:noProof/>
            <w:webHidden/>
          </w:rPr>
          <w:t>38</w:t>
        </w:r>
        <w:r w:rsidR="007F2F3E">
          <w:rPr>
            <w:noProof/>
            <w:webHidden/>
          </w:rPr>
          <w:fldChar w:fldCharType="end"/>
        </w:r>
      </w:hyperlink>
    </w:p>
    <w:p w14:paraId="6A774C12"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55" w:history="1">
        <w:r w:rsidR="007F2F3E" w:rsidRPr="00820121">
          <w:rPr>
            <w:rStyle w:val="Hyperlink"/>
            <w:noProof/>
          </w:rPr>
          <w:t>Super ESCO</w:t>
        </w:r>
        <w:r w:rsidR="007F2F3E">
          <w:rPr>
            <w:noProof/>
            <w:webHidden/>
          </w:rPr>
          <w:tab/>
        </w:r>
        <w:r w:rsidR="007F2F3E">
          <w:rPr>
            <w:noProof/>
            <w:webHidden/>
          </w:rPr>
          <w:fldChar w:fldCharType="begin"/>
        </w:r>
        <w:r w:rsidR="007F2F3E">
          <w:rPr>
            <w:noProof/>
            <w:webHidden/>
          </w:rPr>
          <w:instrText xml:space="preserve"> PAGEREF _Toc461093955 \h </w:instrText>
        </w:r>
        <w:r w:rsidR="007F2F3E">
          <w:rPr>
            <w:noProof/>
            <w:webHidden/>
          </w:rPr>
        </w:r>
        <w:r w:rsidR="007F2F3E">
          <w:rPr>
            <w:noProof/>
            <w:webHidden/>
          </w:rPr>
          <w:fldChar w:fldCharType="separate"/>
        </w:r>
        <w:r>
          <w:rPr>
            <w:noProof/>
            <w:webHidden/>
          </w:rPr>
          <w:t>38</w:t>
        </w:r>
        <w:r w:rsidR="007F2F3E">
          <w:rPr>
            <w:noProof/>
            <w:webHidden/>
          </w:rPr>
          <w:fldChar w:fldCharType="end"/>
        </w:r>
      </w:hyperlink>
    </w:p>
    <w:p w14:paraId="7DAE2E98"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56" w:history="1">
        <w:r w:rsidR="007F2F3E" w:rsidRPr="00820121">
          <w:rPr>
            <w:rStyle w:val="Hyperlink"/>
            <w:noProof/>
          </w:rPr>
          <w:t>Limitations on Growth of ESCOs in Developing Countries</w:t>
        </w:r>
        <w:r w:rsidR="007F2F3E">
          <w:rPr>
            <w:noProof/>
            <w:webHidden/>
          </w:rPr>
          <w:tab/>
        </w:r>
        <w:r w:rsidR="007F2F3E">
          <w:rPr>
            <w:noProof/>
            <w:webHidden/>
          </w:rPr>
          <w:fldChar w:fldCharType="begin"/>
        </w:r>
        <w:r w:rsidR="007F2F3E">
          <w:rPr>
            <w:noProof/>
            <w:webHidden/>
          </w:rPr>
          <w:instrText xml:space="preserve"> PAGEREF _Toc461093956 \h </w:instrText>
        </w:r>
        <w:r w:rsidR="007F2F3E">
          <w:rPr>
            <w:noProof/>
            <w:webHidden/>
          </w:rPr>
        </w:r>
        <w:r w:rsidR="007F2F3E">
          <w:rPr>
            <w:noProof/>
            <w:webHidden/>
          </w:rPr>
          <w:fldChar w:fldCharType="separate"/>
        </w:r>
        <w:r>
          <w:rPr>
            <w:noProof/>
            <w:webHidden/>
          </w:rPr>
          <w:t>38</w:t>
        </w:r>
        <w:r w:rsidR="007F2F3E">
          <w:rPr>
            <w:noProof/>
            <w:webHidden/>
          </w:rPr>
          <w:fldChar w:fldCharType="end"/>
        </w:r>
      </w:hyperlink>
    </w:p>
    <w:p w14:paraId="1E3E782E"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57" w:history="1">
        <w:r w:rsidR="007F2F3E" w:rsidRPr="00820121">
          <w:rPr>
            <w:rStyle w:val="Hyperlink"/>
            <w:noProof/>
          </w:rPr>
          <w:t>Georgia Super ESCO</w:t>
        </w:r>
        <w:r w:rsidR="007F2F3E">
          <w:rPr>
            <w:noProof/>
            <w:webHidden/>
          </w:rPr>
          <w:tab/>
        </w:r>
        <w:r w:rsidR="007F2F3E">
          <w:rPr>
            <w:noProof/>
            <w:webHidden/>
          </w:rPr>
          <w:fldChar w:fldCharType="begin"/>
        </w:r>
        <w:r w:rsidR="007F2F3E">
          <w:rPr>
            <w:noProof/>
            <w:webHidden/>
          </w:rPr>
          <w:instrText xml:space="preserve"> PAGEREF _Toc461093957 \h </w:instrText>
        </w:r>
        <w:r w:rsidR="007F2F3E">
          <w:rPr>
            <w:noProof/>
            <w:webHidden/>
          </w:rPr>
        </w:r>
        <w:r w:rsidR="007F2F3E">
          <w:rPr>
            <w:noProof/>
            <w:webHidden/>
          </w:rPr>
          <w:fldChar w:fldCharType="separate"/>
        </w:r>
        <w:r>
          <w:rPr>
            <w:noProof/>
            <w:webHidden/>
          </w:rPr>
          <w:t>39</w:t>
        </w:r>
        <w:r w:rsidR="007F2F3E">
          <w:rPr>
            <w:noProof/>
            <w:webHidden/>
          </w:rPr>
          <w:fldChar w:fldCharType="end"/>
        </w:r>
      </w:hyperlink>
    </w:p>
    <w:p w14:paraId="5D953308"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58" w:history="1">
        <w:r w:rsidR="007F2F3E" w:rsidRPr="00820121">
          <w:rPr>
            <w:rStyle w:val="Hyperlink"/>
            <w:noProof/>
            <w:lang w:eastAsia="zh-CN"/>
          </w:rPr>
          <w:t>How GESCO Can Address EE Financing Barriers</w:t>
        </w:r>
        <w:r w:rsidR="007F2F3E">
          <w:rPr>
            <w:noProof/>
            <w:webHidden/>
          </w:rPr>
          <w:tab/>
        </w:r>
        <w:r w:rsidR="007F2F3E">
          <w:rPr>
            <w:noProof/>
            <w:webHidden/>
          </w:rPr>
          <w:fldChar w:fldCharType="begin"/>
        </w:r>
        <w:r w:rsidR="007F2F3E">
          <w:rPr>
            <w:noProof/>
            <w:webHidden/>
          </w:rPr>
          <w:instrText xml:space="preserve"> PAGEREF _Toc461093958 \h </w:instrText>
        </w:r>
        <w:r w:rsidR="007F2F3E">
          <w:rPr>
            <w:noProof/>
            <w:webHidden/>
          </w:rPr>
        </w:r>
        <w:r w:rsidR="007F2F3E">
          <w:rPr>
            <w:noProof/>
            <w:webHidden/>
          </w:rPr>
          <w:fldChar w:fldCharType="separate"/>
        </w:r>
        <w:r>
          <w:rPr>
            <w:noProof/>
            <w:webHidden/>
          </w:rPr>
          <w:t>41</w:t>
        </w:r>
        <w:r w:rsidR="007F2F3E">
          <w:rPr>
            <w:noProof/>
            <w:webHidden/>
          </w:rPr>
          <w:fldChar w:fldCharType="end"/>
        </w:r>
      </w:hyperlink>
    </w:p>
    <w:p w14:paraId="3FD3AE32"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59" w:history="1">
        <w:r w:rsidR="007F2F3E" w:rsidRPr="00820121">
          <w:rPr>
            <w:rStyle w:val="Hyperlink"/>
            <w:noProof/>
          </w:rPr>
          <w:t>The Potential Role of IFIs and Donors</w:t>
        </w:r>
        <w:r w:rsidR="007F2F3E">
          <w:rPr>
            <w:noProof/>
            <w:webHidden/>
          </w:rPr>
          <w:tab/>
        </w:r>
        <w:r w:rsidR="007F2F3E">
          <w:rPr>
            <w:noProof/>
            <w:webHidden/>
          </w:rPr>
          <w:fldChar w:fldCharType="begin"/>
        </w:r>
        <w:r w:rsidR="007F2F3E">
          <w:rPr>
            <w:noProof/>
            <w:webHidden/>
          </w:rPr>
          <w:instrText xml:space="preserve"> PAGEREF _Toc461093959 \h </w:instrText>
        </w:r>
        <w:r w:rsidR="007F2F3E">
          <w:rPr>
            <w:noProof/>
            <w:webHidden/>
          </w:rPr>
        </w:r>
        <w:r w:rsidR="007F2F3E">
          <w:rPr>
            <w:noProof/>
            <w:webHidden/>
          </w:rPr>
          <w:fldChar w:fldCharType="separate"/>
        </w:r>
        <w:r>
          <w:rPr>
            <w:noProof/>
            <w:webHidden/>
          </w:rPr>
          <w:t>41</w:t>
        </w:r>
        <w:r w:rsidR="007F2F3E">
          <w:rPr>
            <w:noProof/>
            <w:webHidden/>
          </w:rPr>
          <w:fldChar w:fldCharType="end"/>
        </w:r>
      </w:hyperlink>
    </w:p>
    <w:p w14:paraId="36CE8A68"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60" w:history="1">
        <w:r w:rsidR="007F2F3E" w:rsidRPr="00820121">
          <w:rPr>
            <w:rStyle w:val="Hyperlink"/>
            <w:noProof/>
          </w:rPr>
          <w:t>Financial Assistance</w:t>
        </w:r>
        <w:r w:rsidR="007F2F3E">
          <w:rPr>
            <w:noProof/>
            <w:webHidden/>
          </w:rPr>
          <w:tab/>
        </w:r>
        <w:r w:rsidR="007F2F3E">
          <w:rPr>
            <w:noProof/>
            <w:webHidden/>
          </w:rPr>
          <w:fldChar w:fldCharType="begin"/>
        </w:r>
        <w:r w:rsidR="007F2F3E">
          <w:rPr>
            <w:noProof/>
            <w:webHidden/>
          </w:rPr>
          <w:instrText xml:space="preserve"> PAGEREF _Toc461093960 \h </w:instrText>
        </w:r>
        <w:r w:rsidR="007F2F3E">
          <w:rPr>
            <w:noProof/>
            <w:webHidden/>
          </w:rPr>
        </w:r>
        <w:r w:rsidR="007F2F3E">
          <w:rPr>
            <w:noProof/>
            <w:webHidden/>
          </w:rPr>
          <w:fldChar w:fldCharType="separate"/>
        </w:r>
        <w:r>
          <w:rPr>
            <w:noProof/>
            <w:webHidden/>
          </w:rPr>
          <w:t>41</w:t>
        </w:r>
        <w:r w:rsidR="007F2F3E">
          <w:rPr>
            <w:noProof/>
            <w:webHidden/>
          </w:rPr>
          <w:fldChar w:fldCharType="end"/>
        </w:r>
      </w:hyperlink>
    </w:p>
    <w:p w14:paraId="2CA0943F"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61" w:history="1">
        <w:r w:rsidR="007F2F3E" w:rsidRPr="00820121">
          <w:rPr>
            <w:rStyle w:val="Hyperlink"/>
            <w:noProof/>
          </w:rPr>
          <w:t>Capacity Building</w:t>
        </w:r>
        <w:r w:rsidR="007F2F3E">
          <w:rPr>
            <w:noProof/>
            <w:webHidden/>
          </w:rPr>
          <w:tab/>
        </w:r>
        <w:r w:rsidR="007F2F3E">
          <w:rPr>
            <w:noProof/>
            <w:webHidden/>
          </w:rPr>
          <w:fldChar w:fldCharType="begin"/>
        </w:r>
        <w:r w:rsidR="007F2F3E">
          <w:rPr>
            <w:noProof/>
            <w:webHidden/>
          </w:rPr>
          <w:instrText xml:space="preserve"> PAGEREF _Toc461093961 \h </w:instrText>
        </w:r>
        <w:r w:rsidR="007F2F3E">
          <w:rPr>
            <w:noProof/>
            <w:webHidden/>
          </w:rPr>
        </w:r>
        <w:r w:rsidR="007F2F3E">
          <w:rPr>
            <w:noProof/>
            <w:webHidden/>
          </w:rPr>
          <w:fldChar w:fldCharType="separate"/>
        </w:r>
        <w:r>
          <w:rPr>
            <w:noProof/>
            <w:webHidden/>
          </w:rPr>
          <w:t>41</w:t>
        </w:r>
        <w:r w:rsidR="007F2F3E">
          <w:rPr>
            <w:noProof/>
            <w:webHidden/>
          </w:rPr>
          <w:fldChar w:fldCharType="end"/>
        </w:r>
      </w:hyperlink>
    </w:p>
    <w:p w14:paraId="2763EDE9"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62" w:history="1">
        <w:r w:rsidR="007F2F3E" w:rsidRPr="00820121">
          <w:rPr>
            <w:rStyle w:val="Hyperlink"/>
            <w:noProof/>
          </w:rPr>
          <w:t>Other Technical Assistance</w:t>
        </w:r>
        <w:r w:rsidR="007F2F3E">
          <w:rPr>
            <w:noProof/>
            <w:webHidden/>
          </w:rPr>
          <w:tab/>
        </w:r>
        <w:r w:rsidR="007F2F3E">
          <w:rPr>
            <w:noProof/>
            <w:webHidden/>
          </w:rPr>
          <w:fldChar w:fldCharType="begin"/>
        </w:r>
        <w:r w:rsidR="007F2F3E">
          <w:rPr>
            <w:noProof/>
            <w:webHidden/>
          </w:rPr>
          <w:instrText xml:space="preserve"> PAGEREF _Toc461093962 \h </w:instrText>
        </w:r>
        <w:r w:rsidR="007F2F3E">
          <w:rPr>
            <w:noProof/>
            <w:webHidden/>
          </w:rPr>
        </w:r>
        <w:r w:rsidR="007F2F3E">
          <w:rPr>
            <w:noProof/>
            <w:webHidden/>
          </w:rPr>
          <w:fldChar w:fldCharType="separate"/>
        </w:r>
        <w:r>
          <w:rPr>
            <w:noProof/>
            <w:webHidden/>
          </w:rPr>
          <w:t>42</w:t>
        </w:r>
        <w:r w:rsidR="007F2F3E">
          <w:rPr>
            <w:noProof/>
            <w:webHidden/>
          </w:rPr>
          <w:fldChar w:fldCharType="end"/>
        </w:r>
      </w:hyperlink>
    </w:p>
    <w:p w14:paraId="3FAABFE3" w14:textId="77777777" w:rsidR="007F2F3E" w:rsidRDefault="00CC6D6F">
      <w:pPr>
        <w:pStyle w:val="TOC1"/>
        <w:tabs>
          <w:tab w:val="right" w:leader="dot" w:pos="9017"/>
        </w:tabs>
        <w:rPr>
          <w:rFonts w:eastAsiaTheme="minorEastAsia" w:cstheme="minorBidi"/>
          <w:b w:val="0"/>
          <w:bCs w:val="0"/>
          <w:caps w:val="0"/>
          <w:noProof/>
          <w:snapToGrid/>
          <w:sz w:val="22"/>
          <w:szCs w:val="22"/>
        </w:rPr>
      </w:pPr>
      <w:hyperlink w:anchor="_Toc461093963" w:history="1">
        <w:r w:rsidR="007F2F3E" w:rsidRPr="00820121">
          <w:rPr>
            <w:rStyle w:val="Hyperlink"/>
            <w:noProof/>
          </w:rPr>
          <w:t>Section 6 - Moving ForwaRD</w:t>
        </w:r>
        <w:r w:rsidR="007F2F3E">
          <w:rPr>
            <w:noProof/>
            <w:webHidden/>
          </w:rPr>
          <w:tab/>
        </w:r>
        <w:r w:rsidR="007F2F3E">
          <w:rPr>
            <w:noProof/>
            <w:webHidden/>
          </w:rPr>
          <w:fldChar w:fldCharType="begin"/>
        </w:r>
        <w:r w:rsidR="007F2F3E">
          <w:rPr>
            <w:noProof/>
            <w:webHidden/>
          </w:rPr>
          <w:instrText xml:space="preserve"> PAGEREF _Toc461093963 \h </w:instrText>
        </w:r>
        <w:r w:rsidR="007F2F3E">
          <w:rPr>
            <w:noProof/>
            <w:webHidden/>
          </w:rPr>
        </w:r>
        <w:r w:rsidR="007F2F3E">
          <w:rPr>
            <w:noProof/>
            <w:webHidden/>
          </w:rPr>
          <w:fldChar w:fldCharType="separate"/>
        </w:r>
        <w:r>
          <w:rPr>
            <w:noProof/>
            <w:webHidden/>
          </w:rPr>
          <w:t>44</w:t>
        </w:r>
        <w:r w:rsidR="007F2F3E">
          <w:rPr>
            <w:noProof/>
            <w:webHidden/>
          </w:rPr>
          <w:fldChar w:fldCharType="end"/>
        </w:r>
      </w:hyperlink>
    </w:p>
    <w:p w14:paraId="149042CE"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64" w:history="1">
        <w:r w:rsidR="007F2F3E" w:rsidRPr="00820121">
          <w:rPr>
            <w:rStyle w:val="Hyperlink"/>
            <w:noProof/>
          </w:rPr>
          <w:t>Advantages and Limitations of the Three Options</w:t>
        </w:r>
        <w:r w:rsidR="007F2F3E">
          <w:rPr>
            <w:noProof/>
            <w:webHidden/>
          </w:rPr>
          <w:tab/>
        </w:r>
        <w:r w:rsidR="007F2F3E">
          <w:rPr>
            <w:noProof/>
            <w:webHidden/>
          </w:rPr>
          <w:fldChar w:fldCharType="begin"/>
        </w:r>
        <w:r w:rsidR="007F2F3E">
          <w:rPr>
            <w:noProof/>
            <w:webHidden/>
          </w:rPr>
          <w:instrText xml:space="preserve"> PAGEREF _Toc461093964 \h </w:instrText>
        </w:r>
        <w:r w:rsidR="007F2F3E">
          <w:rPr>
            <w:noProof/>
            <w:webHidden/>
          </w:rPr>
        </w:r>
        <w:r w:rsidR="007F2F3E">
          <w:rPr>
            <w:noProof/>
            <w:webHidden/>
          </w:rPr>
          <w:fldChar w:fldCharType="separate"/>
        </w:r>
        <w:r>
          <w:rPr>
            <w:noProof/>
            <w:webHidden/>
          </w:rPr>
          <w:t>44</w:t>
        </w:r>
        <w:r w:rsidR="007F2F3E">
          <w:rPr>
            <w:noProof/>
            <w:webHidden/>
          </w:rPr>
          <w:fldChar w:fldCharType="end"/>
        </w:r>
      </w:hyperlink>
    </w:p>
    <w:p w14:paraId="7D5F9C6B"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65" w:history="1">
        <w:r w:rsidR="007F2F3E" w:rsidRPr="00820121">
          <w:rPr>
            <w:rStyle w:val="Hyperlink"/>
            <w:noProof/>
          </w:rPr>
          <w:t>Moving Forward on the Public Sector EE Financing Agenda</w:t>
        </w:r>
        <w:r w:rsidR="007F2F3E">
          <w:rPr>
            <w:noProof/>
            <w:webHidden/>
          </w:rPr>
          <w:tab/>
        </w:r>
        <w:r w:rsidR="007F2F3E">
          <w:rPr>
            <w:noProof/>
            <w:webHidden/>
          </w:rPr>
          <w:fldChar w:fldCharType="begin"/>
        </w:r>
        <w:r w:rsidR="007F2F3E">
          <w:rPr>
            <w:noProof/>
            <w:webHidden/>
          </w:rPr>
          <w:instrText xml:space="preserve"> PAGEREF _Toc461093965 \h </w:instrText>
        </w:r>
        <w:r w:rsidR="007F2F3E">
          <w:rPr>
            <w:noProof/>
            <w:webHidden/>
          </w:rPr>
        </w:r>
        <w:r w:rsidR="007F2F3E">
          <w:rPr>
            <w:noProof/>
            <w:webHidden/>
          </w:rPr>
          <w:fldChar w:fldCharType="separate"/>
        </w:r>
        <w:r>
          <w:rPr>
            <w:noProof/>
            <w:webHidden/>
          </w:rPr>
          <w:t>45</w:t>
        </w:r>
        <w:r w:rsidR="007F2F3E">
          <w:rPr>
            <w:noProof/>
            <w:webHidden/>
          </w:rPr>
          <w:fldChar w:fldCharType="end"/>
        </w:r>
      </w:hyperlink>
    </w:p>
    <w:p w14:paraId="5800AEEE"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66" w:history="1">
        <w:r w:rsidR="007F2F3E" w:rsidRPr="00820121">
          <w:rPr>
            <w:rStyle w:val="Hyperlink"/>
            <w:noProof/>
          </w:rPr>
          <w:t>Possible Funding Structure</w:t>
        </w:r>
        <w:r w:rsidR="007F2F3E">
          <w:rPr>
            <w:noProof/>
            <w:webHidden/>
          </w:rPr>
          <w:tab/>
        </w:r>
        <w:r w:rsidR="007F2F3E">
          <w:rPr>
            <w:noProof/>
            <w:webHidden/>
          </w:rPr>
          <w:fldChar w:fldCharType="begin"/>
        </w:r>
        <w:r w:rsidR="007F2F3E">
          <w:rPr>
            <w:noProof/>
            <w:webHidden/>
          </w:rPr>
          <w:instrText xml:space="preserve"> PAGEREF _Toc461093966 \h </w:instrText>
        </w:r>
        <w:r w:rsidR="007F2F3E">
          <w:rPr>
            <w:noProof/>
            <w:webHidden/>
          </w:rPr>
        </w:r>
        <w:r w:rsidR="007F2F3E">
          <w:rPr>
            <w:noProof/>
            <w:webHidden/>
          </w:rPr>
          <w:fldChar w:fldCharType="separate"/>
        </w:r>
        <w:r>
          <w:rPr>
            <w:noProof/>
            <w:webHidden/>
          </w:rPr>
          <w:t>45</w:t>
        </w:r>
        <w:r w:rsidR="007F2F3E">
          <w:rPr>
            <w:noProof/>
            <w:webHidden/>
          </w:rPr>
          <w:fldChar w:fldCharType="end"/>
        </w:r>
      </w:hyperlink>
    </w:p>
    <w:p w14:paraId="2D43B641"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67" w:history="1">
        <w:r w:rsidR="007F2F3E" w:rsidRPr="00820121">
          <w:rPr>
            <w:rStyle w:val="Hyperlink"/>
            <w:noProof/>
          </w:rPr>
          <w:t>Results</w:t>
        </w:r>
        <w:r w:rsidR="007F2F3E">
          <w:rPr>
            <w:noProof/>
            <w:webHidden/>
          </w:rPr>
          <w:tab/>
        </w:r>
        <w:r w:rsidR="007F2F3E">
          <w:rPr>
            <w:noProof/>
            <w:webHidden/>
          </w:rPr>
          <w:fldChar w:fldCharType="begin"/>
        </w:r>
        <w:r w:rsidR="007F2F3E">
          <w:rPr>
            <w:noProof/>
            <w:webHidden/>
          </w:rPr>
          <w:instrText xml:space="preserve"> PAGEREF _Toc461093967 \h </w:instrText>
        </w:r>
        <w:r w:rsidR="007F2F3E">
          <w:rPr>
            <w:noProof/>
            <w:webHidden/>
          </w:rPr>
        </w:r>
        <w:r w:rsidR="007F2F3E">
          <w:rPr>
            <w:noProof/>
            <w:webHidden/>
          </w:rPr>
          <w:fldChar w:fldCharType="separate"/>
        </w:r>
        <w:r>
          <w:rPr>
            <w:noProof/>
            <w:webHidden/>
          </w:rPr>
          <w:t>46</w:t>
        </w:r>
        <w:r w:rsidR="007F2F3E">
          <w:rPr>
            <w:noProof/>
            <w:webHidden/>
          </w:rPr>
          <w:fldChar w:fldCharType="end"/>
        </w:r>
      </w:hyperlink>
    </w:p>
    <w:p w14:paraId="19B3B4A1"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68" w:history="1">
        <w:r w:rsidR="007F2F3E" w:rsidRPr="00820121">
          <w:rPr>
            <w:rStyle w:val="Hyperlink"/>
            <w:noProof/>
          </w:rPr>
          <w:t>Roadmap for Establishing the GEERF</w:t>
        </w:r>
        <w:r w:rsidR="007F2F3E">
          <w:rPr>
            <w:noProof/>
            <w:webHidden/>
          </w:rPr>
          <w:tab/>
        </w:r>
        <w:r w:rsidR="007F2F3E">
          <w:rPr>
            <w:noProof/>
            <w:webHidden/>
          </w:rPr>
          <w:fldChar w:fldCharType="begin"/>
        </w:r>
        <w:r w:rsidR="007F2F3E">
          <w:rPr>
            <w:noProof/>
            <w:webHidden/>
          </w:rPr>
          <w:instrText xml:space="preserve"> PAGEREF _Toc461093968 \h </w:instrText>
        </w:r>
        <w:r w:rsidR="007F2F3E">
          <w:rPr>
            <w:noProof/>
            <w:webHidden/>
          </w:rPr>
        </w:r>
        <w:r w:rsidR="007F2F3E">
          <w:rPr>
            <w:noProof/>
            <w:webHidden/>
          </w:rPr>
          <w:fldChar w:fldCharType="separate"/>
        </w:r>
        <w:r>
          <w:rPr>
            <w:noProof/>
            <w:webHidden/>
          </w:rPr>
          <w:t>46</w:t>
        </w:r>
        <w:r w:rsidR="007F2F3E">
          <w:rPr>
            <w:noProof/>
            <w:webHidden/>
          </w:rPr>
          <w:fldChar w:fldCharType="end"/>
        </w:r>
      </w:hyperlink>
    </w:p>
    <w:p w14:paraId="1E25563D"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69" w:history="1">
        <w:r w:rsidR="007F2F3E" w:rsidRPr="00820121">
          <w:rPr>
            <w:rStyle w:val="Hyperlink"/>
            <w:noProof/>
          </w:rPr>
          <w:t>Advantages of the GEERF</w:t>
        </w:r>
        <w:r w:rsidR="007F2F3E">
          <w:rPr>
            <w:noProof/>
            <w:webHidden/>
          </w:rPr>
          <w:tab/>
        </w:r>
        <w:r w:rsidR="007F2F3E">
          <w:rPr>
            <w:noProof/>
            <w:webHidden/>
          </w:rPr>
          <w:fldChar w:fldCharType="begin"/>
        </w:r>
        <w:r w:rsidR="007F2F3E">
          <w:rPr>
            <w:noProof/>
            <w:webHidden/>
          </w:rPr>
          <w:instrText xml:space="preserve"> PAGEREF _Toc461093969 \h </w:instrText>
        </w:r>
        <w:r w:rsidR="007F2F3E">
          <w:rPr>
            <w:noProof/>
            <w:webHidden/>
          </w:rPr>
        </w:r>
        <w:r w:rsidR="007F2F3E">
          <w:rPr>
            <w:noProof/>
            <w:webHidden/>
          </w:rPr>
          <w:fldChar w:fldCharType="separate"/>
        </w:r>
        <w:r>
          <w:rPr>
            <w:noProof/>
            <w:webHidden/>
          </w:rPr>
          <w:t>47</w:t>
        </w:r>
        <w:r w:rsidR="007F2F3E">
          <w:rPr>
            <w:noProof/>
            <w:webHidden/>
          </w:rPr>
          <w:fldChar w:fldCharType="end"/>
        </w:r>
      </w:hyperlink>
    </w:p>
    <w:p w14:paraId="196A1C28"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70" w:history="1">
        <w:r w:rsidR="007F2F3E" w:rsidRPr="00820121">
          <w:rPr>
            <w:rStyle w:val="Hyperlink"/>
            <w:noProof/>
          </w:rPr>
          <w:t>Concluding Remarks</w:t>
        </w:r>
        <w:r w:rsidR="007F2F3E">
          <w:rPr>
            <w:noProof/>
            <w:webHidden/>
          </w:rPr>
          <w:tab/>
        </w:r>
        <w:r w:rsidR="007F2F3E">
          <w:rPr>
            <w:noProof/>
            <w:webHidden/>
          </w:rPr>
          <w:fldChar w:fldCharType="begin"/>
        </w:r>
        <w:r w:rsidR="007F2F3E">
          <w:rPr>
            <w:noProof/>
            <w:webHidden/>
          </w:rPr>
          <w:instrText xml:space="preserve"> PAGEREF _Toc461093970 \h </w:instrText>
        </w:r>
        <w:r w:rsidR="007F2F3E">
          <w:rPr>
            <w:noProof/>
            <w:webHidden/>
          </w:rPr>
        </w:r>
        <w:r w:rsidR="007F2F3E">
          <w:rPr>
            <w:noProof/>
            <w:webHidden/>
          </w:rPr>
          <w:fldChar w:fldCharType="separate"/>
        </w:r>
        <w:r>
          <w:rPr>
            <w:noProof/>
            <w:webHidden/>
          </w:rPr>
          <w:t>47</w:t>
        </w:r>
        <w:r w:rsidR="007F2F3E">
          <w:rPr>
            <w:noProof/>
            <w:webHidden/>
          </w:rPr>
          <w:fldChar w:fldCharType="end"/>
        </w:r>
      </w:hyperlink>
    </w:p>
    <w:p w14:paraId="16C6F4A3" w14:textId="77777777" w:rsidR="007F2F3E" w:rsidRDefault="00CC6D6F">
      <w:pPr>
        <w:pStyle w:val="TOC1"/>
        <w:tabs>
          <w:tab w:val="right" w:leader="dot" w:pos="9017"/>
        </w:tabs>
        <w:rPr>
          <w:rFonts w:eastAsiaTheme="minorEastAsia" w:cstheme="minorBidi"/>
          <w:b w:val="0"/>
          <w:bCs w:val="0"/>
          <w:caps w:val="0"/>
          <w:noProof/>
          <w:snapToGrid/>
          <w:sz w:val="22"/>
          <w:szCs w:val="22"/>
        </w:rPr>
      </w:pPr>
      <w:hyperlink w:anchor="_Toc461093971" w:history="1">
        <w:r w:rsidR="007F2F3E" w:rsidRPr="00820121">
          <w:rPr>
            <w:rStyle w:val="Hyperlink"/>
            <w:noProof/>
          </w:rPr>
          <w:t>SECTION 7 - REFERENCES</w:t>
        </w:r>
        <w:r w:rsidR="007F2F3E">
          <w:rPr>
            <w:noProof/>
            <w:webHidden/>
          </w:rPr>
          <w:tab/>
        </w:r>
        <w:r w:rsidR="007F2F3E">
          <w:rPr>
            <w:noProof/>
            <w:webHidden/>
          </w:rPr>
          <w:fldChar w:fldCharType="begin"/>
        </w:r>
        <w:r w:rsidR="007F2F3E">
          <w:rPr>
            <w:noProof/>
            <w:webHidden/>
          </w:rPr>
          <w:instrText xml:space="preserve"> PAGEREF _Toc461093971 \h </w:instrText>
        </w:r>
        <w:r w:rsidR="007F2F3E">
          <w:rPr>
            <w:noProof/>
            <w:webHidden/>
          </w:rPr>
        </w:r>
        <w:r w:rsidR="007F2F3E">
          <w:rPr>
            <w:noProof/>
            <w:webHidden/>
          </w:rPr>
          <w:fldChar w:fldCharType="separate"/>
        </w:r>
        <w:r>
          <w:rPr>
            <w:noProof/>
            <w:webHidden/>
          </w:rPr>
          <w:t>48</w:t>
        </w:r>
        <w:r w:rsidR="007F2F3E">
          <w:rPr>
            <w:noProof/>
            <w:webHidden/>
          </w:rPr>
          <w:fldChar w:fldCharType="end"/>
        </w:r>
      </w:hyperlink>
    </w:p>
    <w:p w14:paraId="69A3DD57" w14:textId="77777777" w:rsidR="007F2F3E" w:rsidRDefault="00CC6D6F">
      <w:pPr>
        <w:pStyle w:val="TOC1"/>
        <w:tabs>
          <w:tab w:val="right" w:leader="dot" w:pos="9017"/>
        </w:tabs>
        <w:rPr>
          <w:rFonts w:eastAsiaTheme="minorEastAsia" w:cstheme="minorBidi"/>
          <w:b w:val="0"/>
          <w:bCs w:val="0"/>
          <w:caps w:val="0"/>
          <w:noProof/>
          <w:snapToGrid/>
          <w:sz w:val="22"/>
          <w:szCs w:val="22"/>
        </w:rPr>
      </w:pPr>
      <w:hyperlink w:anchor="_Toc461093972" w:history="1">
        <w:r w:rsidR="007F2F3E" w:rsidRPr="00820121">
          <w:rPr>
            <w:rStyle w:val="Hyperlink"/>
            <w:noProof/>
          </w:rPr>
          <w:t>ANNEX A – AUDIT RESULTS</w:t>
        </w:r>
        <w:r w:rsidR="007F2F3E">
          <w:rPr>
            <w:noProof/>
            <w:webHidden/>
          </w:rPr>
          <w:tab/>
        </w:r>
        <w:r w:rsidR="007F2F3E">
          <w:rPr>
            <w:noProof/>
            <w:webHidden/>
          </w:rPr>
          <w:fldChar w:fldCharType="begin"/>
        </w:r>
        <w:r w:rsidR="007F2F3E">
          <w:rPr>
            <w:noProof/>
            <w:webHidden/>
          </w:rPr>
          <w:instrText xml:space="preserve"> PAGEREF _Toc461093972 \h </w:instrText>
        </w:r>
        <w:r w:rsidR="007F2F3E">
          <w:rPr>
            <w:noProof/>
            <w:webHidden/>
          </w:rPr>
        </w:r>
        <w:r w:rsidR="007F2F3E">
          <w:rPr>
            <w:noProof/>
            <w:webHidden/>
          </w:rPr>
          <w:fldChar w:fldCharType="separate"/>
        </w:r>
        <w:r>
          <w:rPr>
            <w:noProof/>
            <w:webHidden/>
          </w:rPr>
          <w:t>50</w:t>
        </w:r>
        <w:r w:rsidR="007F2F3E">
          <w:rPr>
            <w:noProof/>
            <w:webHidden/>
          </w:rPr>
          <w:fldChar w:fldCharType="end"/>
        </w:r>
      </w:hyperlink>
    </w:p>
    <w:p w14:paraId="4E6F416D" w14:textId="77777777" w:rsidR="007F2F3E" w:rsidRDefault="00CC6D6F">
      <w:pPr>
        <w:pStyle w:val="TOC1"/>
        <w:tabs>
          <w:tab w:val="right" w:leader="dot" w:pos="9017"/>
        </w:tabs>
        <w:rPr>
          <w:rFonts w:eastAsiaTheme="minorEastAsia" w:cstheme="minorBidi"/>
          <w:b w:val="0"/>
          <w:bCs w:val="0"/>
          <w:caps w:val="0"/>
          <w:noProof/>
          <w:snapToGrid/>
          <w:sz w:val="22"/>
          <w:szCs w:val="22"/>
        </w:rPr>
      </w:pPr>
      <w:hyperlink w:anchor="_Toc461093973" w:history="1">
        <w:r w:rsidR="007F2F3E" w:rsidRPr="00820121">
          <w:rPr>
            <w:rStyle w:val="Hyperlink"/>
            <w:noProof/>
          </w:rPr>
          <w:t>Annex B – Additional Information on Selected Financing Mechanisms</w:t>
        </w:r>
        <w:r w:rsidR="007F2F3E">
          <w:rPr>
            <w:noProof/>
            <w:webHidden/>
          </w:rPr>
          <w:tab/>
        </w:r>
        <w:r w:rsidR="007F2F3E">
          <w:rPr>
            <w:noProof/>
            <w:webHidden/>
          </w:rPr>
          <w:fldChar w:fldCharType="begin"/>
        </w:r>
        <w:r w:rsidR="007F2F3E">
          <w:rPr>
            <w:noProof/>
            <w:webHidden/>
          </w:rPr>
          <w:instrText xml:space="preserve"> PAGEREF _Toc461093973 \h </w:instrText>
        </w:r>
        <w:r w:rsidR="007F2F3E">
          <w:rPr>
            <w:noProof/>
            <w:webHidden/>
          </w:rPr>
        </w:r>
        <w:r w:rsidR="007F2F3E">
          <w:rPr>
            <w:noProof/>
            <w:webHidden/>
          </w:rPr>
          <w:fldChar w:fldCharType="separate"/>
        </w:r>
        <w:r>
          <w:rPr>
            <w:noProof/>
            <w:webHidden/>
          </w:rPr>
          <w:t>51</w:t>
        </w:r>
        <w:r w:rsidR="007F2F3E">
          <w:rPr>
            <w:noProof/>
            <w:webHidden/>
          </w:rPr>
          <w:fldChar w:fldCharType="end"/>
        </w:r>
      </w:hyperlink>
    </w:p>
    <w:p w14:paraId="1D2DBEE1"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74" w:history="1">
        <w:r w:rsidR="007F2F3E" w:rsidRPr="00820121">
          <w:rPr>
            <w:rStyle w:val="Hyperlink"/>
            <w:noProof/>
          </w:rPr>
          <w:t>Budget Financing with Capital Recovery</w:t>
        </w:r>
        <w:r w:rsidR="007F2F3E">
          <w:rPr>
            <w:noProof/>
            <w:webHidden/>
          </w:rPr>
          <w:tab/>
        </w:r>
        <w:r w:rsidR="007F2F3E">
          <w:rPr>
            <w:noProof/>
            <w:webHidden/>
          </w:rPr>
          <w:fldChar w:fldCharType="begin"/>
        </w:r>
        <w:r w:rsidR="007F2F3E">
          <w:rPr>
            <w:noProof/>
            <w:webHidden/>
          </w:rPr>
          <w:instrText xml:space="preserve"> PAGEREF _Toc461093974 \h </w:instrText>
        </w:r>
        <w:r w:rsidR="007F2F3E">
          <w:rPr>
            <w:noProof/>
            <w:webHidden/>
          </w:rPr>
        </w:r>
        <w:r w:rsidR="007F2F3E">
          <w:rPr>
            <w:noProof/>
            <w:webHidden/>
          </w:rPr>
          <w:fldChar w:fldCharType="separate"/>
        </w:r>
        <w:r>
          <w:rPr>
            <w:noProof/>
            <w:webHidden/>
          </w:rPr>
          <w:t>51</w:t>
        </w:r>
        <w:r w:rsidR="007F2F3E">
          <w:rPr>
            <w:noProof/>
            <w:webHidden/>
          </w:rPr>
          <w:fldChar w:fldCharType="end"/>
        </w:r>
      </w:hyperlink>
    </w:p>
    <w:p w14:paraId="7F006DC4"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75" w:history="1">
        <w:r w:rsidR="007F2F3E" w:rsidRPr="00820121">
          <w:rPr>
            <w:rStyle w:val="Hyperlink"/>
            <w:noProof/>
          </w:rPr>
          <w:t>Utility On-Bill Financing</w:t>
        </w:r>
        <w:r w:rsidR="007F2F3E">
          <w:rPr>
            <w:noProof/>
            <w:webHidden/>
          </w:rPr>
          <w:tab/>
        </w:r>
        <w:r w:rsidR="007F2F3E">
          <w:rPr>
            <w:noProof/>
            <w:webHidden/>
          </w:rPr>
          <w:fldChar w:fldCharType="begin"/>
        </w:r>
        <w:r w:rsidR="007F2F3E">
          <w:rPr>
            <w:noProof/>
            <w:webHidden/>
          </w:rPr>
          <w:instrText xml:space="preserve"> PAGEREF _Toc461093975 \h </w:instrText>
        </w:r>
        <w:r w:rsidR="007F2F3E">
          <w:rPr>
            <w:noProof/>
            <w:webHidden/>
          </w:rPr>
        </w:r>
        <w:r w:rsidR="007F2F3E">
          <w:rPr>
            <w:noProof/>
            <w:webHidden/>
          </w:rPr>
          <w:fldChar w:fldCharType="separate"/>
        </w:r>
        <w:r>
          <w:rPr>
            <w:noProof/>
            <w:webHidden/>
          </w:rPr>
          <w:t>52</w:t>
        </w:r>
        <w:r w:rsidR="007F2F3E">
          <w:rPr>
            <w:noProof/>
            <w:webHidden/>
          </w:rPr>
          <w:fldChar w:fldCharType="end"/>
        </w:r>
      </w:hyperlink>
    </w:p>
    <w:p w14:paraId="4E7FE29A"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76" w:history="1">
        <w:r w:rsidR="007F2F3E" w:rsidRPr="00820121">
          <w:rPr>
            <w:rStyle w:val="Hyperlink"/>
            <w:noProof/>
          </w:rPr>
          <w:t>Key Characteristics</w:t>
        </w:r>
        <w:r w:rsidR="007F2F3E">
          <w:rPr>
            <w:noProof/>
            <w:webHidden/>
          </w:rPr>
          <w:tab/>
        </w:r>
        <w:r w:rsidR="007F2F3E">
          <w:rPr>
            <w:noProof/>
            <w:webHidden/>
          </w:rPr>
          <w:fldChar w:fldCharType="begin"/>
        </w:r>
        <w:r w:rsidR="007F2F3E">
          <w:rPr>
            <w:noProof/>
            <w:webHidden/>
          </w:rPr>
          <w:instrText xml:space="preserve"> PAGEREF _Toc461093976 \h </w:instrText>
        </w:r>
        <w:r w:rsidR="007F2F3E">
          <w:rPr>
            <w:noProof/>
            <w:webHidden/>
          </w:rPr>
        </w:r>
        <w:r w:rsidR="007F2F3E">
          <w:rPr>
            <w:noProof/>
            <w:webHidden/>
          </w:rPr>
          <w:fldChar w:fldCharType="separate"/>
        </w:r>
        <w:r>
          <w:rPr>
            <w:noProof/>
            <w:webHidden/>
          </w:rPr>
          <w:t>52</w:t>
        </w:r>
        <w:r w:rsidR="007F2F3E">
          <w:rPr>
            <w:noProof/>
            <w:webHidden/>
          </w:rPr>
          <w:fldChar w:fldCharType="end"/>
        </w:r>
      </w:hyperlink>
    </w:p>
    <w:p w14:paraId="1B250517"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77" w:history="1">
        <w:r w:rsidR="007F2F3E" w:rsidRPr="00820121">
          <w:rPr>
            <w:rStyle w:val="Hyperlink"/>
            <w:noProof/>
          </w:rPr>
          <w:t>Illustrative Examples</w:t>
        </w:r>
        <w:r w:rsidR="007F2F3E">
          <w:rPr>
            <w:noProof/>
            <w:webHidden/>
          </w:rPr>
          <w:tab/>
        </w:r>
        <w:r w:rsidR="007F2F3E">
          <w:rPr>
            <w:noProof/>
            <w:webHidden/>
          </w:rPr>
          <w:fldChar w:fldCharType="begin"/>
        </w:r>
        <w:r w:rsidR="007F2F3E">
          <w:rPr>
            <w:noProof/>
            <w:webHidden/>
          </w:rPr>
          <w:instrText xml:space="preserve"> PAGEREF _Toc461093977 \h </w:instrText>
        </w:r>
        <w:r w:rsidR="007F2F3E">
          <w:rPr>
            <w:noProof/>
            <w:webHidden/>
          </w:rPr>
        </w:r>
        <w:r w:rsidR="007F2F3E">
          <w:rPr>
            <w:noProof/>
            <w:webHidden/>
          </w:rPr>
          <w:fldChar w:fldCharType="separate"/>
        </w:r>
        <w:r>
          <w:rPr>
            <w:noProof/>
            <w:webHidden/>
          </w:rPr>
          <w:t>52</w:t>
        </w:r>
        <w:r w:rsidR="007F2F3E">
          <w:rPr>
            <w:noProof/>
            <w:webHidden/>
          </w:rPr>
          <w:fldChar w:fldCharType="end"/>
        </w:r>
      </w:hyperlink>
    </w:p>
    <w:p w14:paraId="76410058"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78" w:history="1">
        <w:r w:rsidR="007F2F3E" w:rsidRPr="00820121">
          <w:rPr>
            <w:rStyle w:val="Hyperlink"/>
            <w:noProof/>
          </w:rPr>
          <w:t>Advantages and Limitations</w:t>
        </w:r>
        <w:r w:rsidR="007F2F3E">
          <w:rPr>
            <w:noProof/>
            <w:webHidden/>
          </w:rPr>
          <w:tab/>
        </w:r>
        <w:r w:rsidR="007F2F3E">
          <w:rPr>
            <w:noProof/>
            <w:webHidden/>
          </w:rPr>
          <w:fldChar w:fldCharType="begin"/>
        </w:r>
        <w:r w:rsidR="007F2F3E">
          <w:rPr>
            <w:noProof/>
            <w:webHidden/>
          </w:rPr>
          <w:instrText xml:space="preserve"> PAGEREF _Toc461093978 \h </w:instrText>
        </w:r>
        <w:r w:rsidR="007F2F3E">
          <w:rPr>
            <w:noProof/>
            <w:webHidden/>
          </w:rPr>
        </w:r>
        <w:r w:rsidR="007F2F3E">
          <w:rPr>
            <w:noProof/>
            <w:webHidden/>
          </w:rPr>
          <w:fldChar w:fldCharType="separate"/>
        </w:r>
        <w:r>
          <w:rPr>
            <w:noProof/>
            <w:webHidden/>
          </w:rPr>
          <w:t>53</w:t>
        </w:r>
        <w:r w:rsidR="007F2F3E">
          <w:rPr>
            <w:noProof/>
            <w:webHidden/>
          </w:rPr>
          <w:fldChar w:fldCharType="end"/>
        </w:r>
      </w:hyperlink>
    </w:p>
    <w:p w14:paraId="36B72AA1"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79" w:history="1">
        <w:r w:rsidR="007F2F3E" w:rsidRPr="00820121">
          <w:rPr>
            <w:rStyle w:val="Hyperlink"/>
            <w:noProof/>
          </w:rPr>
          <w:t>Energy Efficiency Revolving Fund</w:t>
        </w:r>
        <w:r w:rsidR="007F2F3E">
          <w:rPr>
            <w:noProof/>
            <w:webHidden/>
          </w:rPr>
          <w:tab/>
        </w:r>
        <w:r w:rsidR="007F2F3E">
          <w:rPr>
            <w:noProof/>
            <w:webHidden/>
          </w:rPr>
          <w:fldChar w:fldCharType="begin"/>
        </w:r>
        <w:r w:rsidR="007F2F3E">
          <w:rPr>
            <w:noProof/>
            <w:webHidden/>
          </w:rPr>
          <w:instrText xml:space="preserve"> PAGEREF _Toc461093979 \h </w:instrText>
        </w:r>
        <w:r w:rsidR="007F2F3E">
          <w:rPr>
            <w:noProof/>
            <w:webHidden/>
          </w:rPr>
        </w:r>
        <w:r w:rsidR="007F2F3E">
          <w:rPr>
            <w:noProof/>
            <w:webHidden/>
          </w:rPr>
          <w:fldChar w:fldCharType="separate"/>
        </w:r>
        <w:r>
          <w:rPr>
            <w:noProof/>
            <w:webHidden/>
          </w:rPr>
          <w:t>54</w:t>
        </w:r>
        <w:r w:rsidR="007F2F3E">
          <w:rPr>
            <w:noProof/>
            <w:webHidden/>
          </w:rPr>
          <w:fldChar w:fldCharType="end"/>
        </w:r>
      </w:hyperlink>
    </w:p>
    <w:p w14:paraId="2BEB234E"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80" w:history="1">
        <w:r w:rsidR="007F2F3E" w:rsidRPr="00820121">
          <w:rPr>
            <w:rStyle w:val="Hyperlink"/>
            <w:noProof/>
          </w:rPr>
          <w:t>Financing Windows or Products</w:t>
        </w:r>
        <w:r w:rsidR="007F2F3E">
          <w:rPr>
            <w:noProof/>
            <w:webHidden/>
          </w:rPr>
          <w:tab/>
        </w:r>
        <w:r w:rsidR="007F2F3E">
          <w:rPr>
            <w:noProof/>
            <w:webHidden/>
          </w:rPr>
          <w:fldChar w:fldCharType="begin"/>
        </w:r>
        <w:r w:rsidR="007F2F3E">
          <w:rPr>
            <w:noProof/>
            <w:webHidden/>
          </w:rPr>
          <w:instrText xml:space="preserve"> PAGEREF _Toc461093980 \h </w:instrText>
        </w:r>
        <w:r w:rsidR="007F2F3E">
          <w:rPr>
            <w:noProof/>
            <w:webHidden/>
          </w:rPr>
        </w:r>
        <w:r w:rsidR="007F2F3E">
          <w:rPr>
            <w:noProof/>
            <w:webHidden/>
          </w:rPr>
          <w:fldChar w:fldCharType="separate"/>
        </w:r>
        <w:r>
          <w:rPr>
            <w:noProof/>
            <w:webHidden/>
          </w:rPr>
          <w:t>54</w:t>
        </w:r>
        <w:r w:rsidR="007F2F3E">
          <w:rPr>
            <w:noProof/>
            <w:webHidden/>
          </w:rPr>
          <w:fldChar w:fldCharType="end"/>
        </w:r>
      </w:hyperlink>
    </w:p>
    <w:p w14:paraId="76B61F61"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81" w:history="1">
        <w:r w:rsidR="007F2F3E" w:rsidRPr="00820121">
          <w:rPr>
            <w:rStyle w:val="Hyperlink"/>
            <w:noProof/>
          </w:rPr>
          <w:t>Risk Guarantee Window</w:t>
        </w:r>
        <w:r w:rsidR="007F2F3E">
          <w:rPr>
            <w:noProof/>
            <w:webHidden/>
          </w:rPr>
          <w:tab/>
        </w:r>
        <w:r w:rsidR="007F2F3E">
          <w:rPr>
            <w:noProof/>
            <w:webHidden/>
          </w:rPr>
          <w:fldChar w:fldCharType="begin"/>
        </w:r>
        <w:r w:rsidR="007F2F3E">
          <w:rPr>
            <w:noProof/>
            <w:webHidden/>
          </w:rPr>
          <w:instrText xml:space="preserve"> PAGEREF _Toc461093981 \h </w:instrText>
        </w:r>
        <w:r w:rsidR="007F2F3E">
          <w:rPr>
            <w:noProof/>
            <w:webHidden/>
          </w:rPr>
        </w:r>
        <w:r w:rsidR="007F2F3E">
          <w:rPr>
            <w:noProof/>
            <w:webHidden/>
          </w:rPr>
          <w:fldChar w:fldCharType="separate"/>
        </w:r>
        <w:r>
          <w:rPr>
            <w:noProof/>
            <w:webHidden/>
          </w:rPr>
          <w:t>55</w:t>
        </w:r>
        <w:r w:rsidR="007F2F3E">
          <w:rPr>
            <w:noProof/>
            <w:webHidden/>
          </w:rPr>
          <w:fldChar w:fldCharType="end"/>
        </w:r>
      </w:hyperlink>
    </w:p>
    <w:p w14:paraId="43DEC758" w14:textId="77777777" w:rsidR="007F2F3E" w:rsidRDefault="00CC6D6F">
      <w:pPr>
        <w:pStyle w:val="TOC3"/>
        <w:tabs>
          <w:tab w:val="right" w:leader="dot" w:pos="9017"/>
        </w:tabs>
        <w:rPr>
          <w:rFonts w:eastAsiaTheme="minorEastAsia" w:cstheme="minorBidi"/>
          <w:i w:val="0"/>
          <w:iCs w:val="0"/>
          <w:noProof/>
          <w:snapToGrid/>
          <w:sz w:val="22"/>
          <w:szCs w:val="22"/>
        </w:rPr>
      </w:pPr>
      <w:hyperlink w:anchor="_Toc461093982" w:history="1">
        <w:r w:rsidR="007F2F3E" w:rsidRPr="00820121">
          <w:rPr>
            <w:rStyle w:val="Hyperlink"/>
            <w:noProof/>
          </w:rPr>
          <w:t>Forfaiting</w:t>
        </w:r>
        <w:r w:rsidR="007F2F3E">
          <w:rPr>
            <w:noProof/>
            <w:webHidden/>
          </w:rPr>
          <w:tab/>
        </w:r>
        <w:r w:rsidR="007F2F3E">
          <w:rPr>
            <w:noProof/>
            <w:webHidden/>
          </w:rPr>
          <w:fldChar w:fldCharType="begin"/>
        </w:r>
        <w:r w:rsidR="007F2F3E">
          <w:rPr>
            <w:noProof/>
            <w:webHidden/>
          </w:rPr>
          <w:instrText xml:space="preserve"> PAGEREF _Toc461093982 \h </w:instrText>
        </w:r>
        <w:r w:rsidR="007F2F3E">
          <w:rPr>
            <w:noProof/>
            <w:webHidden/>
          </w:rPr>
        </w:r>
        <w:r w:rsidR="007F2F3E">
          <w:rPr>
            <w:noProof/>
            <w:webHidden/>
          </w:rPr>
          <w:fldChar w:fldCharType="separate"/>
        </w:r>
        <w:r>
          <w:rPr>
            <w:noProof/>
            <w:webHidden/>
          </w:rPr>
          <w:t>56</w:t>
        </w:r>
        <w:r w:rsidR="007F2F3E">
          <w:rPr>
            <w:noProof/>
            <w:webHidden/>
          </w:rPr>
          <w:fldChar w:fldCharType="end"/>
        </w:r>
      </w:hyperlink>
    </w:p>
    <w:p w14:paraId="54926597"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83" w:history="1">
        <w:r w:rsidR="007F2F3E" w:rsidRPr="00820121">
          <w:rPr>
            <w:rStyle w:val="Hyperlink"/>
            <w:noProof/>
          </w:rPr>
          <w:t>Dedicated EE Credit Lines</w:t>
        </w:r>
        <w:r w:rsidR="007F2F3E">
          <w:rPr>
            <w:noProof/>
            <w:webHidden/>
          </w:rPr>
          <w:tab/>
        </w:r>
        <w:r w:rsidR="007F2F3E">
          <w:rPr>
            <w:noProof/>
            <w:webHidden/>
          </w:rPr>
          <w:fldChar w:fldCharType="begin"/>
        </w:r>
        <w:r w:rsidR="007F2F3E">
          <w:rPr>
            <w:noProof/>
            <w:webHidden/>
          </w:rPr>
          <w:instrText xml:space="preserve"> PAGEREF _Toc461093983 \h </w:instrText>
        </w:r>
        <w:r w:rsidR="007F2F3E">
          <w:rPr>
            <w:noProof/>
            <w:webHidden/>
          </w:rPr>
        </w:r>
        <w:r w:rsidR="007F2F3E">
          <w:rPr>
            <w:noProof/>
            <w:webHidden/>
          </w:rPr>
          <w:fldChar w:fldCharType="separate"/>
        </w:r>
        <w:r>
          <w:rPr>
            <w:noProof/>
            <w:webHidden/>
          </w:rPr>
          <w:t>56</w:t>
        </w:r>
        <w:r w:rsidR="007F2F3E">
          <w:rPr>
            <w:noProof/>
            <w:webHidden/>
          </w:rPr>
          <w:fldChar w:fldCharType="end"/>
        </w:r>
      </w:hyperlink>
    </w:p>
    <w:p w14:paraId="0F503DE8"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84" w:history="1">
        <w:r w:rsidR="007F2F3E" w:rsidRPr="00820121">
          <w:rPr>
            <w:rStyle w:val="Hyperlink"/>
            <w:noProof/>
          </w:rPr>
          <w:t>Risk-Sharing Facility</w:t>
        </w:r>
        <w:r w:rsidR="007F2F3E">
          <w:rPr>
            <w:noProof/>
            <w:webHidden/>
          </w:rPr>
          <w:tab/>
        </w:r>
        <w:r w:rsidR="007F2F3E">
          <w:rPr>
            <w:noProof/>
            <w:webHidden/>
          </w:rPr>
          <w:fldChar w:fldCharType="begin"/>
        </w:r>
        <w:r w:rsidR="007F2F3E">
          <w:rPr>
            <w:noProof/>
            <w:webHidden/>
          </w:rPr>
          <w:instrText xml:space="preserve"> PAGEREF _Toc461093984 \h </w:instrText>
        </w:r>
        <w:r w:rsidR="007F2F3E">
          <w:rPr>
            <w:noProof/>
            <w:webHidden/>
          </w:rPr>
        </w:r>
        <w:r w:rsidR="007F2F3E">
          <w:rPr>
            <w:noProof/>
            <w:webHidden/>
          </w:rPr>
          <w:fldChar w:fldCharType="separate"/>
        </w:r>
        <w:r>
          <w:rPr>
            <w:noProof/>
            <w:webHidden/>
          </w:rPr>
          <w:t>57</w:t>
        </w:r>
        <w:r w:rsidR="007F2F3E">
          <w:rPr>
            <w:noProof/>
            <w:webHidden/>
          </w:rPr>
          <w:fldChar w:fldCharType="end"/>
        </w:r>
      </w:hyperlink>
    </w:p>
    <w:p w14:paraId="14639DEA"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85" w:history="1">
        <w:r w:rsidR="007F2F3E" w:rsidRPr="00820121">
          <w:rPr>
            <w:rStyle w:val="Hyperlink"/>
            <w:noProof/>
          </w:rPr>
          <w:t>Super ESCO</w:t>
        </w:r>
        <w:r w:rsidR="007F2F3E">
          <w:rPr>
            <w:noProof/>
            <w:webHidden/>
          </w:rPr>
          <w:tab/>
        </w:r>
        <w:r w:rsidR="007F2F3E">
          <w:rPr>
            <w:noProof/>
            <w:webHidden/>
          </w:rPr>
          <w:fldChar w:fldCharType="begin"/>
        </w:r>
        <w:r w:rsidR="007F2F3E">
          <w:rPr>
            <w:noProof/>
            <w:webHidden/>
          </w:rPr>
          <w:instrText xml:space="preserve"> PAGEREF _Toc461093985 \h </w:instrText>
        </w:r>
        <w:r w:rsidR="007F2F3E">
          <w:rPr>
            <w:noProof/>
            <w:webHidden/>
          </w:rPr>
        </w:r>
        <w:r w:rsidR="007F2F3E">
          <w:rPr>
            <w:noProof/>
            <w:webHidden/>
          </w:rPr>
          <w:fldChar w:fldCharType="separate"/>
        </w:r>
        <w:r>
          <w:rPr>
            <w:noProof/>
            <w:webHidden/>
          </w:rPr>
          <w:t>58</w:t>
        </w:r>
        <w:r w:rsidR="007F2F3E">
          <w:rPr>
            <w:noProof/>
            <w:webHidden/>
          </w:rPr>
          <w:fldChar w:fldCharType="end"/>
        </w:r>
      </w:hyperlink>
    </w:p>
    <w:p w14:paraId="4CADC910" w14:textId="77777777" w:rsidR="007F2F3E" w:rsidRDefault="00CC6D6F">
      <w:pPr>
        <w:pStyle w:val="TOC2"/>
        <w:tabs>
          <w:tab w:val="right" w:leader="dot" w:pos="9017"/>
        </w:tabs>
        <w:rPr>
          <w:rFonts w:eastAsiaTheme="minorEastAsia" w:cstheme="minorBidi"/>
          <w:smallCaps w:val="0"/>
          <w:noProof/>
          <w:snapToGrid/>
          <w:sz w:val="22"/>
          <w:szCs w:val="22"/>
        </w:rPr>
      </w:pPr>
      <w:hyperlink w:anchor="_Toc461093986" w:history="1">
        <w:r w:rsidR="007F2F3E" w:rsidRPr="00820121">
          <w:rPr>
            <w:rStyle w:val="Hyperlink"/>
            <w:noProof/>
          </w:rPr>
          <w:t>Commercial Financing with ESCOs</w:t>
        </w:r>
        <w:r w:rsidR="007F2F3E">
          <w:rPr>
            <w:noProof/>
            <w:webHidden/>
          </w:rPr>
          <w:tab/>
        </w:r>
        <w:r w:rsidR="007F2F3E">
          <w:rPr>
            <w:noProof/>
            <w:webHidden/>
          </w:rPr>
          <w:fldChar w:fldCharType="begin"/>
        </w:r>
        <w:r w:rsidR="007F2F3E">
          <w:rPr>
            <w:noProof/>
            <w:webHidden/>
          </w:rPr>
          <w:instrText xml:space="preserve"> PAGEREF _Toc461093986 \h </w:instrText>
        </w:r>
        <w:r w:rsidR="007F2F3E">
          <w:rPr>
            <w:noProof/>
            <w:webHidden/>
          </w:rPr>
        </w:r>
        <w:r w:rsidR="007F2F3E">
          <w:rPr>
            <w:noProof/>
            <w:webHidden/>
          </w:rPr>
          <w:fldChar w:fldCharType="separate"/>
        </w:r>
        <w:r>
          <w:rPr>
            <w:noProof/>
            <w:webHidden/>
          </w:rPr>
          <w:t>59</w:t>
        </w:r>
        <w:r w:rsidR="007F2F3E">
          <w:rPr>
            <w:noProof/>
            <w:webHidden/>
          </w:rPr>
          <w:fldChar w:fldCharType="end"/>
        </w:r>
      </w:hyperlink>
    </w:p>
    <w:p w14:paraId="42074759" w14:textId="77777777" w:rsidR="007F2F3E" w:rsidRDefault="00CC6D6F">
      <w:pPr>
        <w:pStyle w:val="TOC1"/>
        <w:tabs>
          <w:tab w:val="right" w:leader="dot" w:pos="9017"/>
        </w:tabs>
        <w:rPr>
          <w:rFonts w:eastAsiaTheme="minorEastAsia" w:cstheme="minorBidi"/>
          <w:b w:val="0"/>
          <w:bCs w:val="0"/>
          <w:caps w:val="0"/>
          <w:noProof/>
          <w:snapToGrid/>
          <w:sz w:val="22"/>
          <w:szCs w:val="22"/>
        </w:rPr>
      </w:pPr>
      <w:hyperlink w:anchor="_Toc461093987" w:history="1">
        <w:r w:rsidR="007F2F3E" w:rsidRPr="00820121">
          <w:rPr>
            <w:rStyle w:val="Hyperlink"/>
            <w:noProof/>
          </w:rPr>
          <w:t>Annex C - Examples of Super ESCOs</w:t>
        </w:r>
        <w:r w:rsidR="007F2F3E">
          <w:rPr>
            <w:noProof/>
            <w:webHidden/>
          </w:rPr>
          <w:tab/>
        </w:r>
        <w:r w:rsidR="007F2F3E">
          <w:rPr>
            <w:noProof/>
            <w:webHidden/>
          </w:rPr>
          <w:fldChar w:fldCharType="begin"/>
        </w:r>
        <w:r w:rsidR="007F2F3E">
          <w:rPr>
            <w:noProof/>
            <w:webHidden/>
          </w:rPr>
          <w:instrText xml:space="preserve"> PAGEREF _Toc461093987 \h </w:instrText>
        </w:r>
        <w:r w:rsidR="007F2F3E">
          <w:rPr>
            <w:noProof/>
            <w:webHidden/>
          </w:rPr>
        </w:r>
        <w:r w:rsidR="007F2F3E">
          <w:rPr>
            <w:noProof/>
            <w:webHidden/>
          </w:rPr>
          <w:fldChar w:fldCharType="separate"/>
        </w:r>
        <w:r>
          <w:rPr>
            <w:noProof/>
            <w:webHidden/>
          </w:rPr>
          <w:t>61</w:t>
        </w:r>
        <w:r w:rsidR="007F2F3E">
          <w:rPr>
            <w:noProof/>
            <w:webHidden/>
          </w:rPr>
          <w:fldChar w:fldCharType="end"/>
        </w:r>
      </w:hyperlink>
    </w:p>
    <w:p w14:paraId="2C4907B0" w14:textId="77777777" w:rsidR="007F2F3E" w:rsidRDefault="00CC6D6F">
      <w:pPr>
        <w:pStyle w:val="TOC1"/>
        <w:tabs>
          <w:tab w:val="right" w:leader="dot" w:pos="9017"/>
        </w:tabs>
        <w:rPr>
          <w:rFonts w:eastAsiaTheme="minorEastAsia" w:cstheme="minorBidi"/>
          <w:b w:val="0"/>
          <w:bCs w:val="0"/>
          <w:caps w:val="0"/>
          <w:noProof/>
          <w:snapToGrid/>
          <w:sz w:val="22"/>
          <w:szCs w:val="22"/>
        </w:rPr>
      </w:pPr>
      <w:hyperlink w:anchor="_Toc461093988" w:history="1">
        <w:r w:rsidR="007F2F3E" w:rsidRPr="00820121">
          <w:rPr>
            <w:rStyle w:val="Hyperlink"/>
            <w:noProof/>
          </w:rPr>
          <w:t>ANNEX D – GEORGIA EE ROUNDTABLE SUMMARY</w:t>
        </w:r>
        <w:r w:rsidR="007F2F3E">
          <w:rPr>
            <w:noProof/>
            <w:webHidden/>
          </w:rPr>
          <w:tab/>
        </w:r>
        <w:r w:rsidR="007F2F3E">
          <w:rPr>
            <w:noProof/>
            <w:webHidden/>
          </w:rPr>
          <w:fldChar w:fldCharType="begin"/>
        </w:r>
        <w:r w:rsidR="007F2F3E">
          <w:rPr>
            <w:noProof/>
            <w:webHidden/>
          </w:rPr>
          <w:instrText xml:space="preserve"> PAGEREF _Toc461093988 \h </w:instrText>
        </w:r>
        <w:r w:rsidR="007F2F3E">
          <w:rPr>
            <w:noProof/>
            <w:webHidden/>
          </w:rPr>
        </w:r>
        <w:r w:rsidR="007F2F3E">
          <w:rPr>
            <w:noProof/>
            <w:webHidden/>
          </w:rPr>
          <w:fldChar w:fldCharType="separate"/>
        </w:r>
        <w:r>
          <w:rPr>
            <w:noProof/>
            <w:webHidden/>
          </w:rPr>
          <w:t>63</w:t>
        </w:r>
        <w:r w:rsidR="007F2F3E">
          <w:rPr>
            <w:noProof/>
            <w:webHidden/>
          </w:rPr>
          <w:fldChar w:fldCharType="end"/>
        </w:r>
      </w:hyperlink>
    </w:p>
    <w:p w14:paraId="57CE672D" w14:textId="77777777" w:rsidR="00630DC0" w:rsidRDefault="008F60D8" w:rsidP="00535413">
      <w:pPr>
        <w:jc w:val="center"/>
        <w:rPr>
          <w:b/>
          <w:sz w:val="28"/>
          <w:szCs w:val="28"/>
        </w:rPr>
      </w:pPr>
      <w:r>
        <w:rPr>
          <w:rFonts w:asciiTheme="minorHAnsi" w:hAnsiTheme="minorHAnsi"/>
          <w:bCs/>
          <w:i/>
          <w:iCs/>
          <w:caps/>
          <w:sz w:val="28"/>
          <w:szCs w:val="28"/>
        </w:rPr>
        <w:fldChar w:fldCharType="end"/>
      </w:r>
    </w:p>
    <w:p w14:paraId="2458FEB1" w14:textId="77777777" w:rsidR="0020074E" w:rsidRPr="001E7725" w:rsidRDefault="0020074E" w:rsidP="001E7725">
      <w:pPr>
        <w:rPr>
          <w:sz w:val="28"/>
          <w:szCs w:val="28"/>
        </w:rPr>
        <w:sectPr w:rsidR="0020074E" w:rsidRPr="001E7725" w:rsidSect="00AB127C">
          <w:headerReference w:type="even" r:id="rId15"/>
          <w:headerReference w:type="default" r:id="rId16"/>
          <w:footerReference w:type="default" r:id="rId17"/>
          <w:headerReference w:type="first" r:id="rId18"/>
          <w:endnotePr>
            <w:numFmt w:val="decimal"/>
          </w:endnotePr>
          <w:pgSz w:w="11907" w:h="16840" w:code="9"/>
          <w:pgMar w:top="1440" w:right="1440" w:bottom="720" w:left="1440" w:header="720" w:footer="720" w:gutter="0"/>
          <w:pgNumType w:fmt="lowerRoman" w:start="1"/>
          <w:cols w:space="720"/>
          <w:noEndnote/>
        </w:sectPr>
      </w:pPr>
    </w:p>
    <w:p w14:paraId="052FA1DF" w14:textId="77777777" w:rsidR="008F26A2" w:rsidRDefault="008F26A2" w:rsidP="008F26A2">
      <w:pPr>
        <w:pStyle w:val="Heading1"/>
      </w:pPr>
      <w:bookmarkStart w:id="1" w:name="_Toc461093894"/>
      <w:r>
        <w:lastRenderedPageBreak/>
        <w:t>acknowledgements</w:t>
      </w:r>
      <w:bookmarkEnd w:id="1"/>
    </w:p>
    <w:p w14:paraId="0F61AC20" w14:textId="77777777" w:rsidR="008F26A2" w:rsidRPr="008F26A2" w:rsidRDefault="008F26A2" w:rsidP="008F26A2"/>
    <w:p w14:paraId="3114FF5F" w14:textId="77777777" w:rsidR="008F26A2" w:rsidRPr="001209BA" w:rsidRDefault="008F26A2" w:rsidP="008F26A2">
      <w:pPr>
        <w:rPr>
          <w:szCs w:val="24"/>
        </w:rPr>
      </w:pPr>
      <w:r w:rsidRPr="001209BA">
        <w:rPr>
          <w:szCs w:val="24"/>
        </w:rPr>
        <w:t>This report presents a summary of the main findings from the activity “</w:t>
      </w:r>
      <w:r>
        <w:rPr>
          <w:szCs w:val="24"/>
        </w:rPr>
        <w:t xml:space="preserve">Energy Efficiency Option Papers for the Public Sector in Georgia, Kosovo and </w:t>
      </w:r>
      <w:r w:rsidRPr="001209BA">
        <w:rPr>
          <w:szCs w:val="24"/>
        </w:rPr>
        <w:t xml:space="preserve">Turkey,” which was financed by the Energy Sector Management Assistance Program (ESMAP) </w:t>
      </w:r>
      <w:r w:rsidR="00E0180D">
        <w:rPr>
          <w:szCs w:val="24"/>
        </w:rPr>
        <w:t>and</w:t>
      </w:r>
      <w:r w:rsidRPr="001209BA">
        <w:rPr>
          <w:szCs w:val="24"/>
        </w:rPr>
        <w:t xml:space="preserve"> the World Bank’s Europe and Central Asia Region.</w:t>
      </w:r>
    </w:p>
    <w:p w14:paraId="0D95BEC0" w14:textId="77777777" w:rsidR="008F26A2" w:rsidRPr="001209BA" w:rsidRDefault="008F26A2" w:rsidP="008F26A2">
      <w:pPr>
        <w:rPr>
          <w:szCs w:val="24"/>
        </w:rPr>
      </w:pPr>
      <w:r w:rsidRPr="001209BA">
        <w:rPr>
          <w:szCs w:val="24"/>
        </w:rPr>
        <w:t xml:space="preserve">The team was led by Jas Singh (Senior Energy Specialist and Task Team Leader) and included Dilip Limaye (Lead Consultant), </w:t>
      </w:r>
      <w:r>
        <w:rPr>
          <w:szCs w:val="24"/>
        </w:rPr>
        <w:t xml:space="preserve">Joseph Melitauri (Senior Operations Officer), Rhedon Begolli (Energy Specialist), </w:t>
      </w:r>
      <w:r w:rsidRPr="001209BA">
        <w:rPr>
          <w:szCs w:val="24"/>
        </w:rPr>
        <w:t>Yasemin Örücü (Energy Specialist)</w:t>
      </w:r>
      <w:r>
        <w:rPr>
          <w:szCs w:val="24"/>
        </w:rPr>
        <w:t>, Aditya Lukas (Junior Professional Officer), Selma Zahirovic (Consultant) and Dardan Velija (Consultant)</w:t>
      </w:r>
      <w:r w:rsidRPr="001209BA">
        <w:rPr>
          <w:szCs w:val="24"/>
        </w:rPr>
        <w:t xml:space="preserve">. The final report was written by Jas Singh and Dilip Limaye. The team would like to acknowledge contributions and valuable feedback provided by </w:t>
      </w:r>
      <w:r>
        <w:rPr>
          <w:szCs w:val="24"/>
        </w:rPr>
        <w:t xml:space="preserve">Feng Liu, </w:t>
      </w:r>
      <w:r w:rsidRPr="001209BA">
        <w:rPr>
          <w:szCs w:val="24"/>
        </w:rPr>
        <w:t xml:space="preserve">Jonathan Sinton, </w:t>
      </w:r>
      <w:r>
        <w:rPr>
          <w:szCs w:val="24"/>
        </w:rPr>
        <w:t xml:space="preserve">Pedzi Makumbe, </w:t>
      </w:r>
      <w:r w:rsidRPr="001209BA">
        <w:rPr>
          <w:szCs w:val="24"/>
        </w:rPr>
        <w:t>Ivan Jaques and Ranjit Lamech.</w:t>
      </w:r>
    </w:p>
    <w:p w14:paraId="44C37A0E" w14:textId="77777777" w:rsidR="008F26A2" w:rsidRPr="001209BA" w:rsidRDefault="008F26A2" w:rsidP="008F26A2">
      <w:pPr>
        <w:rPr>
          <w:szCs w:val="24"/>
        </w:rPr>
      </w:pPr>
      <w:r w:rsidRPr="001209BA">
        <w:rPr>
          <w:szCs w:val="24"/>
        </w:rPr>
        <w:t>The team also greatly acknowledges the close cooperation and support from the Ministry of Energy</w:t>
      </w:r>
      <w:r>
        <w:rPr>
          <w:szCs w:val="24"/>
        </w:rPr>
        <w:t xml:space="preserve"> (MOE) and Ministry of Economy and Sustainable Development and, in particular, Mr. </w:t>
      </w:r>
      <w:r>
        <w:t>David Sharikadze, Ms. Marita Arabidze, Ms. Natalia Jamburia, Dr. Irma Kavtaradze, Dr. Nino Lazashvili, and Mr. David Gigineishvili. The team also benefitted from inputs from several other stakeholders, including Mr. George Abulashvili (Energy Efficiency Center), Mr. Tengiz Gogotishvili (Municipal Development Fund of Georgia), Ms. Inga Pkhaladze and Mr. Giorgi Giorgobiani (Winrock International-Georgia)</w:t>
      </w:r>
      <w:r w:rsidRPr="001209BA">
        <w:rPr>
          <w:szCs w:val="24"/>
        </w:rPr>
        <w:t>.</w:t>
      </w:r>
    </w:p>
    <w:p w14:paraId="1A2E4EAB" w14:textId="77777777" w:rsidR="008F26A2" w:rsidRDefault="008F26A2" w:rsidP="008F26A2">
      <w:r w:rsidRPr="001209BA">
        <w:t xml:space="preserve">Inputs were also provided by representatives from </w:t>
      </w:r>
      <w:r>
        <w:t xml:space="preserve">the </w:t>
      </w:r>
      <w:r w:rsidRPr="001209BA">
        <w:t>German development bank</w:t>
      </w:r>
      <w:r w:rsidRPr="001209BA" w:rsidDel="00307525">
        <w:t xml:space="preserve"> </w:t>
      </w:r>
      <w:r w:rsidRPr="001209BA">
        <w:t>KfW</w:t>
      </w:r>
      <w:r>
        <w:t xml:space="preserve">, the Sustainable Development Center Remissia (Remissia), the United States Agency for International Development (USAID) and the </w:t>
      </w:r>
      <w:r w:rsidRPr="00096D63">
        <w:rPr>
          <w:lang w:val="de-DE"/>
        </w:rPr>
        <w:t>Deutsche Gesellschaft f</w:t>
      </w:r>
      <w:r>
        <w:rPr>
          <w:lang w:val="de-DE"/>
        </w:rPr>
        <w:t>ü</w:t>
      </w:r>
      <w:r w:rsidRPr="00096D63">
        <w:rPr>
          <w:lang w:val="de-DE"/>
        </w:rPr>
        <w:t>r Internationale Zusammenarbeit</w:t>
      </w:r>
      <w:r>
        <w:t xml:space="preserve"> (GiZ).</w:t>
      </w:r>
    </w:p>
    <w:p w14:paraId="7D8CB8F4" w14:textId="77777777" w:rsidR="008F26A2" w:rsidRPr="001209BA" w:rsidRDefault="008F26A2" w:rsidP="008F26A2">
      <w:r w:rsidRPr="001209BA">
        <w:t xml:space="preserve">A Roundtable discussion was also held on </w:t>
      </w:r>
      <w:r>
        <w:t>April</w:t>
      </w:r>
      <w:r w:rsidR="00F82AB7">
        <w:t xml:space="preserve"> 28,</w:t>
      </w:r>
      <w:r>
        <w:t xml:space="preserve"> </w:t>
      </w:r>
      <w:r w:rsidRPr="001209BA">
        <w:t>201</w:t>
      </w:r>
      <w:r>
        <w:t>6</w:t>
      </w:r>
      <w:r w:rsidRPr="001209BA">
        <w:t xml:space="preserve"> at M</w:t>
      </w:r>
      <w:r>
        <w:t>OE</w:t>
      </w:r>
      <w:r w:rsidRPr="001209BA">
        <w:t xml:space="preserve"> to discuss some of the report’s findings and recommendations.</w:t>
      </w:r>
    </w:p>
    <w:p w14:paraId="1AA069BF" w14:textId="77777777" w:rsidR="008F26A2" w:rsidRDefault="008F26A2" w:rsidP="008F26A2"/>
    <w:p w14:paraId="170576AB" w14:textId="77777777" w:rsidR="008F26A2" w:rsidRDefault="008F26A2" w:rsidP="008F26A2">
      <w:pPr>
        <w:sectPr w:rsidR="008F26A2" w:rsidSect="008F26A2">
          <w:headerReference w:type="even" r:id="rId19"/>
          <w:footerReference w:type="default" r:id="rId20"/>
          <w:headerReference w:type="first" r:id="rId21"/>
          <w:endnotePr>
            <w:numFmt w:val="decimal"/>
          </w:endnotePr>
          <w:pgSz w:w="11907" w:h="16840" w:code="9"/>
          <w:pgMar w:top="1440" w:right="1440" w:bottom="1440" w:left="1440" w:header="720" w:footer="720" w:gutter="0"/>
          <w:pgNumType w:fmt="lowerRoman"/>
          <w:cols w:space="720"/>
          <w:noEndnote/>
        </w:sectPr>
      </w:pPr>
    </w:p>
    <w:p w14:paraId="47A62D07" w14:textId="77777777" w:rsidR="008F26A2" w:rsidRDefault="008F26A2" w:rsidP="008F26A2">
      <w:pPr>
        <w:pStyle w:val="Heading1"/>
      </w:pPr>
      <w:bookmarkStart w:id="2" w:name="_Toc461093895"/>
      <w:r>
        <w:t>Executive Summary</w:t>
      </w:r>
      <w:bookmarkEnd w:id="2"/>
    </w:p>
    <w:p w14:paraId="4D1A3424" w14:textId="77777777" w:rsidR="008F26A2" w:rsidRPr="008F26A2" w:rsidRDefault="008F26A2" w:rsidP="008F26A2"/>
    <w:p w14:paraId="014F37AD" w14:textId="77777777" w:rsidR="008F26A2" w:rsidRPr="008D7408" w:rsidRDefault="008F26A2" w:rsidP="008F26A2">
      <w:pPr>
        <w:spacing w:before="240"/>
        <w:rPr>
          <w:b/>
          <w:i/>
          <w:sz w:val="28"/>
        </w:rPr>
      </w:pPr>
      <w:r w:rsidRPr="008D7408">
        <w:rPr>
          <w:b/>
          <w:i/>
          <w:sz w:val="28"/>
        </w:rPr>
        <w:t>Why Energy Efficiency is Important for Georgia</w:t>
      </w:r>
    </w:p>
    <w:p w14:paraId="57179F38" w14:textId="77777777" w:rsidR="008F26A2" w:rsidRDefault="00F82AB7" w:rsidP="008F26A2">
      <w:r>
        <w:t>E</w:t>
      </w:r>
      <w:r w:rsidRPr="00F82AB7">
        <w:t>nergy efficiency (EE) should be a critical component of Georgia’s energy strategy to sustain its economic growth while meeting its global commitments for climate change mitigation and environmental sustainability</w:t>
      </w:r>
      <w:r>
        <w:t xml:space="preserve"> because of its </w:t>
      </w:r>
      <w:r w:rsidR="008F26A2">
        <w:t>high dependence on imports of natural gas and electricity, particularly in the winter heating season</w:t>
      </w:r>
      <w:r>
        <w:t>.</w:t>
      </w:r>
      <w:r w:rsidR="008F26A2" w:rsidRPr="008D7408">
        <w:t xml:space="preserve"> </w:t>
      </w:r>
      <w:r w:rsidR="008F26A2">
        <w:t>Georgia’s energy intensity, its energy use per unit of GDP, is about three times higher than that of</w:t>
      </w:r>
      <w:r w:rsidR="00C229E8">
        <w:t xml:space="preserve"> the Organization</w:t>
      </w:r>
      <w:r w:rsidR="007A5889">
        <w:t xml:space="preserve"> for</w:t>
      </w:r>
      <w:r w:rsidR="008F26A2">
        <w:t xml:space="preserve"> </w:t>
      </w:r>
      <w:r w:rsidR="003A4893">
        <w:t>Economic Cooperation and Development (</w:t>
      </w:r>
      <w:r w:rsidR="008F26A2">
        <w:t>OECD</w:t>
      </w:r>
      <w:r w:rsidR="003A4893">
        <w:t>)</w:t>
      </w:r>
      <w:r w:rsidR="008F26A2">
        <w:t xml:space="preserve"> countries, showing substantial potential for EE improvement. Further, Georgia’s energy use per capita is about one-fifth of OECD </w:t>
      </w:r>
      <w:r w:rsidR="00140404">
        <w:t>countries and</w:t>
      </w:r>
      <w:r w:rsidR="008F26A2">
        <w:t xml:space="preserve"> is likely to increase further as incomes rise.</w:t>
      </w:r>
    </w:p>
    <w:p w14:paraId="40440A1A" w14:textId="77777777" w:rsidR="008F26A2" w:rsidRPr="008D7408" w:rsidRDefault="008F26A2" w:rsidP="008F26A2">
      <w:pPr>
        <w:spacing w:before="240"/>
        <w:rPr>
          <w:b/>
          <w:i/>
          <w:sz w:val="28"/>
        </w:rPr>
      </w:pPr>
      <w:r w:rsidRPr="008D7408">
        <w:rPr>
          <w:b/>
          <w:i/>
          <w:sz w:val="28"/>
        </w:rPr>
        <w:t>EE Potential in Public Buildings</w:t>
      </w:r>
    </w:p>
    <w:p w14:paraId="0D4455D3" w14:textId="77777777" w:rsidR="008F26A2" w:rsidRDefault="008F26A2" w:rsidP="008F26A2">
      <w:r>
        <w:t xml:space="preserve">The public sector in Georgia (which includes central government and municipal buildings </w:t>
      </w:r>
      <w:r w:rsidR="00140404">
        <w:t xml:space="preserve">as well as </w:t>
      </w:r>
      <w:r>
        <w:t>facilities</w:t>
      </w:r>
      <w:r w:rsidR="00140404">
        <w:t xml:space="preserve"> and</w:t>
      </w:r>
      <w:r>
        <w:t xml:space="preserve"> street lighting) is a large user of energy. While there is no centralized database of public buildings or energy use, some data exists from city-level Sustainable Energy Action Plans (SEAPs) prepared under the European Covenant of Mayors partnership. Based on these figures and extrapolated on a national-level, the public building sector includes an estimated 2,000 public buildings, of which about 48 percent are schools and kindergartens. Cost effective investments in EE can be made to reduce energy use in these buildings by 30</w:t>
      </w:r>
      <w:r w:rsidR="003A4893">
        <w:t xml:space="preserve"> to </w:t>
      </w:r>
      <w:r>
        <w:t>40 percent. This would require an estimated €</w:t>
      </w:r>
      <w:r w:rsidR="00B77916">
        <w:t>15</w:t>
      </w:r>
      <w:r>
        <w:t xml:space="preserve">0 million in investment, lead to some </w:t>
      </w:r>
      <w:r w:rsidR="00B77916">
        <w:t>2</w:t>
      </w:r>
      <w:r>
        <w:t>,</w:t>
      </w:r>
      <w:r w:rsidR="00B77916">
        <w:t>2</w:t>
      </w:r>
      <w:r>
        <w:t>00 GWh of equipment lifetime energy savings</w:t>
      </w:r>
      <w:r w:rsidR="00465559">
        <w:t>,</w:t>
      </w:r>
      <w:r w:rsidR="00B77916">
        <w:t xml:space="preserve"> 1</w:t>
      </w:r>
      <w:r>
        <w:t>.</w:t>
      </w:r>
      <w:r w:rsidR="00B77916">
        <w:t>1</w:t>
      </w:r>
      <w:r>
        <w:t xml:space="preserve"> million tons of </w:t>
      </w:r>
      <w:r w:rsidR="00465559">
        <w:t>greenhouse gas (</w:t>
      </w:r>
      <w:r>
        <w:t>GHG</w:t>
      </w:r>
      <w:r w:rsidR="00465559">
        <w:t>)</w:t>
      </w:r>
      <w:r>
        <w:t xml:space="preserve"> reduction and create about 1,</w:t>
      </w:r>
      <w:r w:rsidR="00B77916">
        <w:t>6</w:t>
      </w:r>
      <w:r>
        <w:t xml:space="preserve">00 green jobs. Georgia also has a draft </w:t>
      </w:r>
      <w:r w:rsidR="00140404" w:rsidRPr="00140404">
        <w:t>National Energy Efficiency Action Plan (NEEAP)</w:t>
      </w:r>
      <w:r>
        <w:t xml:space="preserve"> which includes EE measures in the public buildings sector.</w:t>
      </w:r>
    </w:p>
    <w:p w14:paraId="119D32FB" w14:textId="77777777" w:rsidR="008F26A2" w:rsidRPr="008D7408" w:rsidRDefault="008F26A2" w:rsidP="008F26A2">
      <w:pPr>
        <w:spacing w:before="240"/>
        <w:rPr>
          <w:b/>
          <w:i/>
          <w:sz w:val="28"/>
        </w:rPr>
      </w:pPr>
      <w:r>
        <w:rPr>
          <w:b/>
          <w:i/>
          <w:sz w:val="28"/>
        </w:rPr>
        <w:t xml:space="preserve">Global Experience with Financing EE </w:t>
      </w:r>
      <w:r w:rsidRPr="008D7408">
        <w:rPr>
          <w:b/>
          <w:i/>
          <w:sz w:val="28"/>
        </w:rPr>
        <w:t>in Public Buildings</w:t>
      </w:r>
    </w:p>
    <w:p w14:paraId="56B98AEB" w14:textId="77777777" w:rsidR="008F26A2" w:rsidRDefault="008F26A2" w:rsidP="008F26A2">
      <w:pPr>
        <w:spacing w:after="60"/>
      </w:pPr>
      <w:r w:rsidRPr="00121368">
        <w:rPr>
          <w:u w:val="single"/>
        </w:rPr>
        <w:t>Barriers</w:t>
      </w:r>
      <w:r>
        <w:t>. Despite the economic viability of EE, numerous barriers often prevent it from happening on its own. These can include:</w:t>
      </w:r>
    </w:p>
    <w:p w14:paraId="27133B01" w14:textId="77777777" w:rsidR="008F26A2" w:rsidRPr="008F26A2" w:rsidRDefault="008F26A2" w:rsidP="008F26A2">
      <w:pPr>
        <w:pStyle w:val="ListParagraph"/>
        <w:widowControl w:val="0"/>
        <w:numPr>
          <w:ilvl w:val="0"/>
          <w:numId w:val="47"/>
        </w:numPr>
        <w:spacing w:before="60"/>
        <w:contextualSpacing/>
        <w:rPr>
          <w:rFonts w:ascii="Times New Roman" w:hAnsi="Times New Roman" w:cs="Times New Roman"/>
          <w:sz w:val="24"/>
        </w:rPr>
      </w:pPr>
      <w:r w:rsidRPr="008F26A2">
        <w:rPr>
          <w:rFonts w:ascii="Times New Roman" w:hAnsi="Times New Roman" w:cs="Times New Roman"/>
          <w:i/>
          <w:sz w:val="24"/>
        </w:rPr>
        <w:t>policy and regulatory barriers</w:t>
      </w:r>
      <w:r w:rsidRPr="008F26A2">
        <w:rPr>
          <w:rFonts w:ascii="Times New Roman" w:hAnsi="Times New Roman" w:cs="Times New Roman"/>
          <w:sz w:val="24"/>
        </w:rPr>
        <w:t>, such as budgetary and borrowing limitations, restrictive budgeting procedures, public procurement rules, low energy tariffs and lack of building and construction codes and enforcement;</w:t>
      </w:r>
    </w:p>
    <w:p w14:paraId="27CB62D7" w14:textId="77777777" w:rsidR="008F26A2" w:rsidRPr="008F26A2" w:rsidRDefault="008F26A2" w:rsidP="008F26A2">
      <w:pPr>
        <w:pStyle w:val="ListParagraph"/>
        <w:widowControl w:val="0"/>
        <w:numPr>
          <w:ilvl w:val="0"/>
          <w:numId w:val="47"/>
        </w:numPr>
        <w:spacing w:before="60"/>
        <w:contextualSpacing/>
        <w:rPr>
          <w:rFonts w:ascii="Times New Roman" w:hAnsi="Times New Roman" w:cs="Times New Roman"/>
          <w:sz w:val="24"/>
        </w:rPr>
      </w:pPr>
      <w:r w:rsidRPr="008F26A2">
        <w:rPr>
          <w:rFonts w:ascii="Times New Roman" w:hAnsi="Times New Roman" w:cs="Times New Roman"/>
          <w:i/>
          <w:sz w:val="24"/>
        </w:rPr>
        <w:t>underdeveloped market conditions</w:t>
      </w:r>
      <w:r w:rsidRPr="008F26A2">
        <w:rPr>
          <w:rFonts w:ascii="Times New Roman" w:hAnsi="Times New Roman" w:cs="Times New Roman"/>
          <w:sz w:val="24"/>
        </w:rPr>
        <w:t>, including limited demand for EE goods and services, high project development costs, limited experience and capabilities of EE service providers and a lack of commercial financing;</w:t>
      </w:r>
    </w:p>
    <w:p w14:paraId="409BA4E7" w14:textId="77777777" w:rsidR="008F26A2" w:rsidRPr="008F26A2" w:rsidRDefault="008F26A2" w:rsidP="008F26A2">
      <w:pPr>
        <w:pStyle w:val="ListParagraph"/>
        <w:widowControl w:val="0"/>
        <w:numPr>
          <w:ilvl w:val="0"/>
          <w:numId w:val="47"/>
        </w:numPr>
        <w:spacing w:before="60"/>
        <w:contextualSpacing/>
        <w:rPr>
          <w:rFonts w:ascii="Times New Roman" w:hAnsi="Times New Roman" w:cs="Times New Roman"/>
          <w:sz w:val="24"/>
        </w:rPr>
      </w:pPr>
      <w:r w:rsidRPr="008F26A2">
        <w:rPr>
          <w:rFonts w:ascii="Times New Roman" w:hAnsi="Times New Roman" w:cs="Times New Roman"/>
          <w:i/>
          <w:sz w:val="24"/>
        </w:rPr>
        <w:t>institutional constraints</w:t>
      </w:r>
      <w:r w:rsidRPr="008F26A2">
        <w:rPr>
          <w:rFonts w:ascii="Times New Roman" w:hAnsi="Times New Roman" w:cs="Times New Roman"/>
          <w:sz w:val="24"/>
        </w:rPr>
        <w:t>, such as limited incentives of public agencies to invest in EE, limited awareness of and knowledge about EE opportunities, lack of credible data, low service levels, lack of implementation capacity, etc.; and</w:t>
      </w:r>
    </w:p>
    <w:p w14:paraId="2E1200BE" w14:textId="77777777" w:rsidR="008F26A2" w:rsidRPr="008F26A2" w:rsidRDefault="008F26A2" w:rsidP="008F26A2">
      <w:pPr>
        <w:pStyle w:val="ListParagraph"/>
        <w:widowControl w:val="0"/>
        <w:numPr>
          <w:ilvl w:val="0"/>
          <w:numId w:val="47"/>
        </w:numPr>
        <w:spacing w:before="60"/>
        <w:contextualSpacing/>
        <w:rPr>
          <w:rFonts w:ascii="Times New Roman" w:hAnsi="Times New Roman" w:cs="Times New Roman"/>
          <w:sz w:val="24"/>
        </w:rPr>
      </w:pPr>
      <w:r w:rsidRPr="008F26A2">
        <w:rPr>
          <w:rFonts w:ascii="Times New Roman" w:hAnsi="Times New Roman" w:cs="Times New Roman"/>
          <w:i/>
          <w:sz w:val="24"/>
        </w:rPr>
        <w:t>a lack of commercial financing</w:t>
      </w:r>
      <w:r w:rsidRPr="008F26A2">
        <w:rPr>
          <w:rFonts w:ascii="Times New Roman" w:hAnsi="Times New Roman" w:cs="Times New Roman"/>
          <w:sz w:val="24"/>
        </w:rPr>
        <w:t>, including unattractive financing terms, overcollateralization, high transaction costs</w:t>
      </w:r>
      <w:r w:rsidR="00C95F2A">
        <w:rPr>
          <w:rFonts w:ascii="Times New Roman" w:hAnsi="Times New Roman" w:cs="Times New Roman"/>
          <w:sz w:val="24"/>
        </w:rPr>
        <w:t>,</w:t>
      </w:r>
      <w:r w:rsidRPr="008F26A2">
        <w:rPr>
          <w:rFonts w:ascii="Times New Roman" w:hAnsi="Times New Roman" w:cs="Times New Roman"/>
          <w:sz w:val="24"/>
        </w:rPr>
        <w:t xml:space="preserve"> and informational and behavioral biases among financiers.</w:t>
      </w:r>
    </w:p>
    <w:p w14:paraId="03B3562A" w14:textId="77777777" w:rsidR="008F26A2" w:rsidRDefault="008F26A2" w:rsidP="008F26A2">
      <w:r w:rsidRPr="00E35690">
        <w:rPr>
          <w:u w:val="single"/>
        </w:rPr>
        <w:t>Financing models</w:t>
      </w:r>
      <w:r>
        <w:t xml:space="preserve">. There are a number of financing models that countries have used to support public EE programs. These range from budget financing or grants to advanced project or energy service company (ESCO) financing. Selecting the most suitable option depends on a number of factors, including the current legislative and regulatory conditions, market maturity, state of the local EE service industry, and technical and financial capacity of public agencies to undertake EE. </w:t>
      </w:r>
      <w:r w:rsidRPr="00103B15">
        <w:t xml:space="preserve">Once the </w:t>
      </w:r>
      <w:r>
        <w:t xml:space="preserve">option is </w:t>
      </w:r>
      <w:r w:rsidRPr="00103B15">
        <w:t xml:space="preserve">selected, </w:t>
      </w:r>
      <w:r>
        <w:t xml:space="preserve">it must then be </w:t>
      </w:r>
      <w:r w:rsidRPr="00103B15">
        <w:t>carefully designed to suit the local market characteristics</w:t>
      </w:r>
      <w:r>
        <w:t>.</w:t>
      </w:r>
      <w:r w:rsidRPr="00103B15">
        <w:t xml:space="preserve"> </w:t>
      </w:r>
      <w:r>
        <w:t xml:space="preserve">Consideration should also be given for mechanisms capable of serving multiple market segments (e.g., central government agencies, creditworthy municipalities with implementation capacity, creditworthy municipalities without implementation capacity and non-creditworthy municipalities). </w:t>
      </w:r>
      <w:r w:rsidRPr="00103B15">
        <w:t>Over time, as local markets evolve, the goal should be to move up the ladder to more commercial financing mechanisms.</w:t>
      </w:r>
    </w:p>
    <w:p w14:paraId="11FD3445" w14:textId="77777777" w:rsidR="008F26A2" w:rsidRPr="00E35690" w:rsidRDefault="008F26A2" w:rsidP="008F26A2">
      <w:pPr>
        <w:keepNext/>
        <w:spacing w:before="240" w:after="0"/>
        <w:rPr>
          <w:b/>
        </w:rPr>
      </w:pPr>
      <w:r w:rsidRPr="00E35690">
        <w:rPr>
          <w:b/>
        </w:rPr>
        <w:t xml:space="preserve">Figure ES1. Georgian Options for Financing Public EE </w:t>
      </w:r>
    </w:p>
    <w:p w14:paraId="39CAF895" w14:textId="77777777" w:rsidR="008F26A2" w:rsidRDefault="008F26A2" w:rsidP="008F26A2">
      <w:pPr>
        <w:spacing w:before="40" w:after="180"/>
      </w:pPr>
      <w:r w:rsidRPr="002D672B">
        <w:rPr>
          <w:noProof/>
        </w:rPr>
        <w:drawing>
          <wp:inline distT="0" distB="0" distL="0" distR="0" wp14:anchorId="37CEB7DC" wp14:editId="10704EDD">
            <wp:extent cx="4978400" cy="2911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8798" cy="2923700"/>
                    </a:xfrm>
                    <a:prstGeom prst="rect">
                      <a:avLst/>
                    </a:prstGeom>
                    <a:noFill/>
                    <a:ln>
                      <a:noFill/>
                    </a:ln>
                  </pic:spPr>
                </pic:pic>
              </a:graphicData>
            </a:graphic>
          </wp:inline>
        </w:drawing>
      </w:r>
    </w:p>
    <w:p w14:paraId="3AAF4AD7" w14:textId="77777777" w:rsidR="008F26A2" w:rsidRPr="008D7408" w:rsidRDefault="008F26A2" w:rsidP="008F26A2">
      <w:pPr>
        <w:spacing w:before="240"/>
        <w:rPr>
          <w:b/>
          <w:i/>
          <w:sz w:val="28"/>
        </w:rPr>
      </w:pPr>
      <w:r>
        <w:rPr>
          <w:b/>
          <w:i/>
          <w:sz w:val="28"/>
        </w:rPr>
        <w:t>Options for Financing Public EE in Georgia</w:t>
      </w:r>
    </w:p>
    <w:p w14:paraId="71D6E45B" w14:textId="77777777" w:rsidR="008F26A2" w:rsidRDefault="008F26A2" w:rsidP="008F26A2">
      <w:pPr>
        <w:spacing w:after="60"/>
      </w:pPr>
      <w:r>
        <w:t>For a country such as Georgia that has limited implementation experience, and an underdeveloped EE service/ESCO market, financing mechanisms in the middle rungs of the ladder were deemed more appropriate. (However, utility on-bill financing was not deemed viable because the local distribution companies do not have the regulatory authority, capacity or interest in offering such services at present.) Based on the analysis conducted, three appropriate models were identified for Georgia. These include:</w:t>
      </w:r>
    </w:p>
    <w:p w14:paraId="5C03777C" w14:textId="77777777" w:rsidR="008F26A2" w:rsidRPr="008F26A2" w:rsidRDefault="008F26A2" w:rsidP="008F26A2">
      <w:pPr>
        <w:pStyle w:val="ListParagraph"/>
        <w:widowControl w:val="0"/>
        <w:numPr>
          <w:ilvl w:val="0"/>
          <w:numId w:val="46"/>
        </w:numPr>
        <w:spacing w:before="60"/>
        <w:contextualSpacing/>
        <w:rPr>
          <w:rFonts w:ascii="Times New Roman" w:hAnsi="Times New Roman" w:cs="Times New Roman"/>
          <w:sz w:val="24"/>
          <w:szCs w:val="24"/>
        </w:rPr>
      </w:pPr>
      <w:r w:rsidRPr="008F26A2">
        <w:rPr>
          <w:rFonts w:ascii="Times New Roman" w:hAnsi="Times New Roman" w:cs="Times New Roman"/>
          <w:i/>
          <w:sz w:val="24"/>
          <w:szCs w:val="24"/>
        </w:rPr>
        <w:t>Budget financing with capital recovery</w:t>
      </w:r>
      <w:r w:rsidRPr="008F26A2">
        <w:rPr>
          <w:rFonts w:ascii="Times New Roman" w:hAnsi="Times New Roman" w:cs="Times New Roman"/>
          <w:sz w:val="24"/>
          <w:szCs w:val="24"/>
        </w:rPr>
        <w:t xml:space="preserve">. Under this option, the Ministry of Finance (MOF), or </w:t>
      </w:r>
      <w:r w:rsidR="003A4893">
        <w:rPr>
          <w:rFonts w:ascii="Times New Roman" w:hAnsi="Times New Roman" w:cs="Times New Roman"/>
          <w:sz w:val="24"/>
          <w:szCs w:val="24"/>
        </w:rPr>
        <w:t xml:space="preserve">another </w:t>
      </w:r>
      <w:r w:rsidRPr="008F26A2">
        <w:rPr>
          <w:rFonts w:ascii="Times New Roman" w:hAnsi="Times New Roman" w:cs="Times New Roman"/>
          <w:sz w:val="24"/>
          <w:szCs w:val="24"/>
        </w:rPr>
        <w:t>parent budgeting agency, provides budgetary resources necessary for an EE investment and then recovers the investment by reducing future budgetary outlays (thus capturing the energy cost savings). This is also known as the ‘budget capture method’. This can work for central and municipal entities and, since there is almost no risk of nonpayment, this can work for municipalities without credit histories as well.</w:t>
      </w:r>
    </w:p>
    <w:p w14:paraId="0C0BB6C7" w14:textId="77777777" w:rsidR="008F26A2" w:rsidRPr="008F26A2" w:rsidRDefault="008F26A2" w:rsidP="008F26A2">
      <w:pPr>
        <w:pStyle w:val="ListParagraph"/>
        <w:widowControl w:val="0"/>
        <w:numPr>
          <w:ilvl w:val="0"/>
          <w:numId w:val="46"/>
        </w:numPr>
        <w:spacing w:before="240"/>
        <w:contextualSpacing/>
        <w:rPr>
          <w:rFonts w:ascii="Times New Roman" w:hAnsi="Times New Roman" w:cs="Times New Roman"/>
          <w:sz w:val="24"/>
          <w:szCs w:val="24"/>
        </w:rPr>
      </w:pPr>
      <w:r w:rsidRPr="008F26A2">
        <w:rPr>
          <w:rFonts w:ascii="Times New Roman" w:hAnsi="Times New Roman" w:cs="Times New Roman"/>
          <w:i/>
          <w:sz w:val="24"/>
          <w:szCs w:val="24"/>
        </w:rPr>
        <w:t>Energy efficiency revolving fund</w:t>
      </w:r>
      <w:r w:rsidR="003C5F03">
        <w:rPr>
          <w:rFonts w:ascii="Times New Roman" w:hAnsi="Times New Roman" w:cs="Times New Roman"/>
          <w:i/>
          <w:sz w:val="24"/>
          <w:szCs w:val="24"/>
        </w:rPr>
        <w:t xml:space="preserve"> (EERF)</w:t>
      </w:r>
      <w:r w:rsidRPr="008F26A2">
        <w:rPr>
          <w:rFonts w:ascii="Times New Roman" w:hAnsi="Times New Roman" w:cs="Times New Roman"/>
          <w:sz w:val="24"/>
          <w:szCs w:val="24"/>
        </w:rPr>
        <w:t>. An independent financing institution, called an EE revolving fund or EERF, is created using public funds to provide financing to public sector EE projects. Since both the borrower and lender are publicly</w:t>
      </w:r>
      <w:r w:rsidR="00571C41">
        <w:rPr>
          <w:rFonts w:ascii="Times New Roman" w:hAnsi="Times New Roman" w:cs="Times New Roman"/>
          <w:sz w:val="24"/>
          <w:szCs w:val="24"/>
        </w:rPr>
        <w:t>-</w:t>
      </w:r>
      <w:r w:rsidRPr="008F26A2">
        <w:rPr>
          <w:rFonts w:ascii="Times New Roman" w:hAnsi="Times New Roman" w:cs="Times New Roman"/>
          <w:sz w:val="24"/>
          <w:szCs w:val="24"/>
        </w:rPr>
        <w:t>owned, such funds may often offer lower-cost financing with longer tenors (repayment periods) and less-stringent security requirements than typical commercial loans. As loans are repaid from energy cost savings, they can be redeployed to new projects, thereby revolving over time.</w:t>
      </w:r>
    </w:p>
    <w:p w14:paraId="386FA4E5" w14:textId="77777777" w:rsidR="008F26A2" w:rsidRPr="008F26A2" w:rsidRDefault="008F26A2" w:rsidP="008F26A2">
      <w:pPr>
        <w:pStyle w:val="ListParagraph"/>
        <w:widowControl w:val="0"/>
        <w:numPr>
          <w:ilvl w:val="0"/>
          <w:numId w:val="46"/>
        </w:numPr>
        <w:spacing w:before="240"/>
        <w:contextualSpacing/>
        <w:rPr>
          <w:rFonts w:ascii="Times New Roman" w:hAnsi="Times New Roman" w:cs="Times New Roman"/>
          <w:sz w:val="24"/>
          <w:szCs w:val="24"/>
        </w:rPr>
      </w:pPr>
      <w:r w:rsidRPr="008F26A2">
        <w:rPr>
          <w:rFonts w:ascii="Times New Roman" w:hAnsi="Times New Roman" w:cs="Times New Roman"/>
          <w:i/>
          <w:sz w:val="24"/>
          <w:szCs w:val="24"/>
        </w:rPr>
        <w:t>Public ESCO</w:t>
      </w:r>
      <w:r w:rsidRPr="008F26A2">
        <w:rPr>
          <w:rFonts w:ascii="Times New Roman" w:hAnsi="Times New Roman" w:cs="Times New Roman"/>
          <w:sz w:val="24"/>
          <w:szCs w:val="24"/>
        </w:rPr>
        <w:t>. E</w:t>
      </w:r>
      <w:r w:rsidRPr="008F26A2">
        <w:rPr>
          <w:rFonts w:ascii="Times New Roman" w:hAnsi="Times New Roman" w:cs="Times New Roman"/>
          <w:bCs/>
          <w:sz w:val="24"/>
          <w:szCs w:val="24"/>
        </w:rPr>
        <w:t xml:space="preserve">stablished by the government, a public (or super) ESCO functions as an ESCO for the public sector market, entering into energy performance contracts and outsourcing actual project implementation to small, private ESCOs and other EE service providers. </w:t>
      </w:r>
      <w:r w:rsidRPr="008F26A2">
        <w:rPr>
          <w:rFonts w:ascii="Times New Roman" w:hAnsi="Times New Roman" w:cs="Times New Roman"/>
          <w:sz w:val="24"/>
          <w:szCs w:val="24"/>
        </w:rPr>
        <w:t>A primary function of the public ESCO is to facilitate access to project financing by developing relationships with local or international financial institutions</w:t>
      </w:r>
      <w:r w:rsidR="006C217B">
        <w:rPr>
          <w:rFonts w:ascii="Times New Roman" w:hAnsi="Times New Roman" w:cs="Times New Roman"/>
          <w:sz w:val="24"/>
          <w:szCs w:val="24"/>
        </w:rPr>
        <w:t xml:space="preserve"> </w:t>
      </w:r>
      <w:r w:rsidR="00571C41">
        <w:rPr>
          <w:rFonts w:ascii="Times New Roman" w:hAnsi="Times New Roman" w:cs="Times New Roman"/>
          <w:sz w:val="24"/>
          <w:szCs w:val="24"/>
        </w:rPr>
        <w:t>(IFI</w:t>
      </w:r>
      <w:r w:rsidR="002F7227">
        <w:rPr>
          <w:rFonts w:ascii="Times New Roman" w:hAnsi="Times New Roman" w:cs="Times New Roman"/>
          <w:sz w:val="24"/>
          <w:szCs w:val="24"/>
        </w:rPr>
        <w:t>s</w:t>
      </w:r>
      <w:r w:rsidR="00571C41">
        <w:rPr>
          <w:rFonts w:ascii="Times New Roman" w:hAnsi="Times New Roman" w:cs="Times New Roman"/>
          <w:sz w:val="24"/>
          <w:szCs w:val="24"/>
        </w:rPr>
        <w:t>)</w:t>
      </w:r>
      <w:r w:rsidRPr="008F26A2">
        <w:rPr>
          <w:rFonts w:ascii="Times New Roman" w:hAnsi="Times New Roman" w:cs="Times New Roman"/>
          <w:sz w:val="24"/>
          <w:szCs w:val="24"/>
        </w:rPr>
        <w:t>. The public ESCO may also provide credit or risk guarantees for ESCO projects, or act as a leasing or financing company to provide ESCOs and/or customers with EE equipment on lease or on benefit-sharing terms.</w:t>
      </w:r>
    </w:p>
    <w:p w14:paraId="2E15AC4D" w14:textId="77777777" w:rsidR="008F26A2" w:rsidRDefault="008F26A2" w:rsidP="008F26A2">
      <w:pPr>
        <w:spacing w:after="240"/>
        <w:rPr>
          <w:bCs/>
        </w:rPr>
      </w:pPr>
      <w:r w:rsidRPr="008F26A2">
        <w:rPr>
          <w:bCs/>
          <w:szCs w:val="24"/>
          <w:u w:val="single"/>
        </w:rPr>
        <w:t>ESAs</w:t>
      </w:r>
      <w:r w:rsidRPr="008F26A2">
        <w:rPr>
          <w:bCs/>
          <w:szCs w:val="24"/>
        </w:rPr>
        <w:t xml:space="preserve">. </w:t>
      </w:r>
      <w:r w:rsidR="00C95F2A">
        <w:rPr>
          <w:bCs/>
          <w:szCs w:val="24"/>
        </w:rPr>
        <w:t>E</w:t>
      </w:r>
      <w:r w:rsidR="00C95F2A" w:rsidRPr="00C95F2A">
        <w:rPr>
          <w:bCs/>
          <w:szCs w:val="24"/>
        </w:rPr>
        <w:t>nergy service agreements (ESAs)</w:t>
      </w:r>
      <w:r w:rsidR="00C95F2A">
        <w:rPr>
          <w:bCs/>
          <w:szCs w:val="24"/>
        </w:rPr>
        <w:t xml:space="preserve"> are</w:t>
      </w:r>
      <w:r w:rsidR="00571C41">
        <w:rPr>
          <w:bCs/>
          <w:szCs w:val="24"/>
        </w:rPr>
        <w:t xml:space="preserve"> a</w:t>
      </w:r>
      <w:r w:rsidR="00C95F2A" w:rsidRPr="008F26A2">
        <w:rPr>
          <w:bCs/>
          <w:szCs w:val="24"/>
        </w:rPr>
        <w:t xml:space="preserve"> </w:t>
      </w:r>
      <w:r w:rsidRPr="008F26A2">
        <w:rPr>
          <w:bCs/>
          <w:szCs w:val="24"/>
        </w:rPr>
        <w:t xml:space="preserve">more recent product that some EERFs have now begun offering, in </w:t>
      </w:r>
      <w:r w:rsidR="00364319" w:rsidRPr="008F26A2">
        <w:rPr>
          <w:bCs/>
          <w:szCs w:val="24"/>
        </w:rPr>
        <w:t>addition</w:t>
      </w:r>
      <w:r w:rsidR="00364319">
        <w:rPr>
          <w:bCs/>
          <w:szCs w:val="24"/>
        </w:rPr>
        <w:t xml:space="preserve"> </w:t>
      </w:r>
      <w:r w:rsidRPr="008F26A2">
        <w:rPr>
          <w:bCs/>
          <w:szCs w:val="24"/>
        </w:rPr>
        <w:t>to</w:t>
      </w:r>
      <w:r>
        <w:rPr>
          <w:bCs/>
        </w:rPr>
        <w:t xml:space="preserve"> traditional loans</w:t>
      </w:r>
      <w:r w:rsidR="00364319">
        <w:rPr>
          <w:bCs/>
        </w:rPr>
        <w:t>.</w:t>
      </w:r>
      <w:r>
        <w:rPr>
          <w:bCs/>
        </w:rPr>
        <w:t xml:space="preserve"> </w:t>
      </w:r>
      <w:r w:rsidR="00364319">
        <w:rPr>
          <w:bCs/>
        </w:rPr>
        <w:t xml:space="preserve">They </w:t>
      </w:r>
      <w:r>
        <w:rPr>
          <w:bCs/>
        </w:rPr>
        <w:t>can be very useful for public agencies that typically lack capacity to borrow funds and implement EE projects. (See Box ES1.)</w:t>
      </w:r>
    </w:p>
    <w:p w14:paraId="107FC7EA" w14:textId="77777777" w:rsidR="008F26A2" w:rsidRPr="008F26A2" w:rsidRDefault="008F26A2" w:rsidP="008F26A2">
      <w:pPr>
        <w:pBdr>
          <w:top w:val="single" w:sz="4" w:space="1" w:color="auto"/>
          <w:left w:val="single" w:sz="4" w:space="0" w:color="auto"/>
          <w:bottom w:val="single" w:sz="4" w:space="1" w:color="auto"/>
          <w:right w:val="single" w:sz="4" w:space="4" w:color="auto"/>
        </w:pBdr>
        <w:spacing w:before="60"/>
        <w:ind w:left="86"/>
        <w:jc w:val="center"/>
        <w:rPr>
          <w:rFonts w:ascii="Calibri" w:hAnsi="Calibri"/>
          <w:b/>
          <w:sz w:val="22"/>
        </w:rPr>
      </w:pPr>
      <w:r w:rsidRPr="008F26A2">
        <w:rPr>
          <w:noProof/>
          <w:sz w:val="20"/>
          <w:szCs w:val="19"/>
        </w:rPr>
        <mc:AlternateContent>
          <mc:Choice Requires="wps">
            <w:drawing>
              <wp:anchor distT="0" distB="0" distL="114300" distR="114300" simplePos="0" relativeHeight="251671552" behindDoc="0" locked="0" layoutInCell="1" allowOverlap="1" wp14:anchorId="3F8E22E4" wp14:editId="05E3B9D9">
                <wp:simplePos x="0" y="0"/>
                <wp:positionH relativeFrom="column">
                  <wp:posOffset>5801995</wp:posOffset>
                </wp:positionH>
                <wp:positionV relativeFrom="paragraph">
                  <wp:posOffset>62230</wp:posOffset>
                </wp:positionV>
                <wp:extent cx="0" cy="2373630"/>
                <wp:effectExtent l="0" t="0" r="19050" b="26670"/>
                <wp:wrapNone/>
                <wp:docPr id="12" name="Straight Connector 12"/>
                <wp:cNvGraphicFramePr/>
                <a:graphic xmlns:a="http://schemas.openxmlformats.org/drawingml/2006/main">
                  <a:graphicData uri="http://schemas.microsoft.com/office/word/2010/wordprocessingShape">
                    <wps:wsp>
                      <wps:cNvCnPr/>
                      <wps:spPr>
                        <a:xfrm flipH="1">
                          <a:off x="0" y="0"/>
                          <a:ext cx="0" cy="23736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C97E4D" id="Straight Connector 12" o:spid="_x0000_s1026" style="position:absolute;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6.85pt,4.9pt" to="456.85pt,1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" strokecolor="black [3213]" strokeweight=".5pt"/>
            </w:pict>
          </mc:Fallback>
        </mc:AlternateContent>
      </w:r>
      <w:r w:rsidRPr="008F26A2">
        <w:rPr>
          <w:rFonts w:ascii="Calibri" w:hAnsi="Calibri"/>
          <w:b/>
          <w:sz w:val="22"/>
        </w:rPr>
        <w:t>Box ES1. Energy Service Agreements</w:t>
      </w:r>
    </w:p>
    <w:p w14:paraId="1125097E" w14:textId="77777777" w:rsidR="008F26A2" w:rsidRPr="008F26A2" w:rsidRDefault="008F26A2" w:rsidP="008F26A2">
      <w:pPr>
        <w:pBdr>
          <w:top w:val="single" w:sz="4" w:space="1" w:color="auto"/>
          <w:left w:val="single" w:sz="4" w:space="0" w:color="auto"/>
          <w:bottom w:val="single" w:sz="4" w:space="1" w:color="auto"/>
          <w:right w:val="single" w:sz="4" w:space="4" w:color="auto"/>
        </w:pBdr>
        <w:spacing w:before="60" w:after="60"/>
        <w:ind w:left="86"/>
        <w:rPr>
          <w:sz w:val="21"/>
          <w:szCs w:val="21"/>
        </w:rPr>
      </w:pPr>
      <w:r w:rsidRPr="008F26A2">
        <w:rPr>
          <w:noProof/>
          <w:sz w:val="21"/>
          <w:szCs w:val="21"/>
        </w:rPr>
        <w:drawing>
          <wp:anchor distT="0" distB="0" distL="114300" distR="114300" simplePos="0" relativeHeight="251672576" behindDoc="1" locked="0" layoutInCell="1" allowOverlap="1" wp14:anchorId="2968D917" wp14:editId="3AAE0FBF">
            <wp:simplePos x="0" y="0"/>
            <wp:positionH relativeFrom="column">
              <wp:posOffset>2662555</wp:posOffset>
            </wp:positionH>
            <wp:positionV relativeFrom="paragraph">
              <wp:posOffset>24130</wp:posOffset>
            </wp:positionV>
            <wp:extent cx="3108325" cy="1803400"/>
            <wp:effectExtent l="0" t="0" r="0" b="6350"/>
            <wp:wrapTight wrapText="bothSides">
              <wp:wrapPolygon edited="0">
                <wp:start x="0" y="0"/>
                <wp:lineTo x="0" y="21448"/>
                <wp:lineTo x="21446" y="21448"/>
                <wp:lineTo x="214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8325" cy="1803400"/>
                    </a:xfrm>
                    <a:prstGeom prst="rect">
                      <a:avLst/>
                    </a:prstGeom>
                  </pic:spPr>
                </pic:pic>
              </a:graphicData>
            </a:graphic>
            <wp14:sizeRelH relativeFrom="margin">
              <wp14:pctWidth>0</wp14:pctWidth>
            </wp14:sizeRelH>
            <wp14:sizeRelV relativeFrom="margin">
              <wp14:pctHeight>0</wp14:pctHeight>
            </wp14:sizeRelV>
          </wp:anchor>
        </w:drawing>
      </w:r>
      <w:r w:rsidRPr="008F26A2">
        <w:rPr>
          <w:sz w:val="21"/>
          <w:szCs w:val="21"/>
        </w:rPr>
        <w:t>Under an ESA, the financier (an EERF, in this case) offers a full package of services to identify, finance, procure, implement</w:t>
      </w:r>
      <w:r w:rsidR="00364319">
        <w:rPr>
          <w:sz w:val="21"/>
          <w:szCs w:val="21"/>
        </w:rPr>
        <w:t>,</w:t>
      </w:r>
      <w:r w:rsidRPr="008F26A2">
        <w:rPr>
          <w:sz w:val="21"/>
          <w:szCs w:val="21"/>
        </w:rPr>
        <w:t xml:space="preserve"> and monitor EE projects for clients. The client is only asked to pay what it is currently paying for energy </w:t>
      </w:r>
      <w:r w:rsidR="00364319">
        <w:rPr>
          <w:sz w:val="21"/>
          <w:szCs w:val="21"/>
        </w:rPr>
        <w:t>(</w:t>
      </w:r>
      <w:r w:rsidRPr="008F26A2">
        <w:rPr>
          <w:sz w:val="21"/>
          <w:szCs w:val="21"/>
        </w:rPr>
        <w:t xml:space="preserve">i.e., its </w:t>
      </w:r>
      <w:r w:rsidRPr="008F26A2">
        <w:rPr>
          <w:i/>
          <w:sz w:val="21"/>
          <w:szCs w:val="21"/>
        </w:rPr>
        <w:t>baseline energy costs</w:t>
      </w:r>
      <w:r w:rsidR="00364319">
        <w:rPr>
          <w:i/>
          <w:sz w:val="21"/>
          <w:szCs w:val="21"/>
        </w:rPr>
        <w:t>)</w:t>
      </w:r>
      <w:r w:rsidRPr="008F26A2">
        <w:rPr>
          <w:sz w:val="21"/>
          <w:szCs w:val="21"/>
        </w:rPr>
        <w:t xml:space="preserve">, from which the financier </w:t>
      </w:r>
      <w:r w:rsidR="00F5555C">
        <w:rPr>
          <w:sz w:val="21"/>
          <w:szCs w:val="21"/>
        </w:rPr>
        <w:t>makes</w:t>
      </w:r>
      <w:r w:rsidRPr="008F26A2">
        <w:rPr>
          <w:sz w:val="21"/>
          <w:szCs w:val="21"/>
        </w:rPr>
        <w:t xml:space="preserve"> the new (lower) energy payments and recover</w:t>
      </w:r>
      <w:r w:rsidR="00F5555C">
        <w:rPr>
          <w:sz w:val="21"/>
          <w:szCs w:val="21"/>
        </w:rPr>
        <w:t>s</w:t>
      </w:r>
      <w:r w:rsidRPr="008F26A2">
        <w:rPr>
          <w:sz w:val="21"/>
          <w:szCs w:val="21"/>
        </w:rPr>
        <w:t xml:space="preserve"> its investment cost and associated fees until the contract period ends.</w:t>
      </w:r>
    </w:p>
    <w:p w14:paraId="54E9E410" w14:textId="77777777" w:rsidR="008F26A2" w:rsidRPr="008F26A2" w:rsidRDefault="008F26A2" w:rsidP="008F26A2">
      <w:pPr>
        <w:pBdr>
          <w:top w:val="single" w:sz="4" w:space="1" w:color="auto"/>
          <w:left w:val="single" w:sz="4" w:space="0" w:color="auto"/>
          <w:bottom w:val="single" w:sz="4" w:space="1" w:color="auto"/>
          <w:right w:val="single" w:sz="4" w:space="4" w:color="auto"/>
        </w:pBdr>
        <w:spacing w:before="80" w:after="60"/>
        <w:ind w:left="86"/>
        <w:rPr>
          <w:sz w:val="21"/>
          <w:szCs w:val="21"/>
        </w:rPr>
      </w:pPr>
      <w:r w:rsidRPr="008F26A2">
        <w:rPr>
          <w:sz w:val="21"/>
          <w:szCs w:val="21"/>
        </w:rPr>
        <w:t>The figure on the right illustrates the basic idea of a client’s cash flows under the ESA, with payments equal to their baseline energy bill. This allows them to maintain a constant cash flow while retaining their energy cost savings for the duration of the ESA. In some cases, the contract duration is fixed; in other cases, the contract is terminated after an agreed level of payment has been made, which encourages the client to save more energy.</w:t>
      </w:r>
    </w:p>
    <w:p w14:paraId="2BDF29FB" w14:textId="77777777" w:rsidR="008F26A2" w:rsidRPr="008F26A2" w:rsidRDefault="008F26A2" w:rsidP="008F26A2">
      <w:pPr>
        <w:pBdr>
          <w:top w:val="single" w:sz="4" w:space="1" w:color="auto"/>
          <w:left w:val="single" w:sz="4" w:space="0" w:color="auto"/>
          <w:bottom w:val="single" w:sz="4" w:space="1" w:color="auto"/>
          <w:right w:val="single" w:sz="4" w:space="4" w:color="auto"/>
        </w:pBdr>
        <w:spacing w:before="80" w:after="60"/>
        <w:ind w:left="86"/>
        <w:rPr>
          <w:sz w:val="21"/>
          <w:szCs w:val="21"/>
        </w:rPr>
      </w:pPr>
      <w:r w:rsidRPr="008F26A2">
        <w:rPr>
          <w:sz w:val="21"/>
          <w:szCs w:val="21"/>
        </w:rPr>
        <w:t>For public clients, ESAs are generally not viewed as debt, but rather long-term service contracts, thereby allowing financing of central government entities that are typically not allowed to borrow, and municipalities that may have already reached their debt limits or otherwise have borrowing restrictions. This provides a dual advantage to the client of being relatively simple to implement with very little risk. It also helps ensure that the public client is able to retain the energy cost savings for the duration of the ESA.</w:t>
      </w:r>
    </w:p>
    <w:p w14:paraId="2B5A58CD" w14:textId="77777777" w:rsidR="008F26A2" w:rsidRPr="008D7408" w:rsidRDefault="008F26A2" w:rsidP="008F26A2">
      <w:pPr>
        <w:spacing w:before="240"/>
        <w:rPr>
          <w:b/>
          <w:i/>
          <w:sz w:val="28"/>
        </w:rPr>
      </w:pPr>
      <w:r>
        <w:rPr>
          <w:b/>
          <w:i/>
          <w:sz w:val="28"/>
        </w:rPr>
        <w:t>Recommendations</w:t>
      </w:r>
    </w:p>
    <w:p w14:paraId="440D896A" w14:textId="77777777" w:rsidR="008F26A2" w:rsidRDefault="008F26A2" w:rsidP="008F26A2">
      <w:r>
        <w:t>Regardless of the option selected, the Government of Georgia</w:t>
      </w:r>
      <w:r w:rsidR="00F5555C">
        <w:t xml:space="preserve"> (GOG)</w:t>
      </w:r>
      <w:r>
        <w:t xml:space="preserve"> will need to identify the potential sources of financing, implement the needed legislative and regulatory changes, build implementation capacity and leverage private sector participation. Because each of the proposed models have advantages and limitations, </w:t>
      </w:r>
      <w:r w:rsidR="00F5555C">
        <w:t xml:space="preserve">GOG will </w:t>
      </w:r>
      <w:r w:rsidR="005B4D00">
        <w:t>need</w:t>
      </w:r>
      <w:r>
        <w:t xml:space="preserve"> to consult with the relevant stakeholders</w:t>
      </w:r>
      <w:r w:rsidR="00F5555C">
        <w:t xml:space="preserve"> before </w:t>
      </w:r>
      <w:r>
        <w:t>select</w:t>
      </w:r>
      <w:r w:rsidR="00F5555C">
        <w:t>ing</w:t>
      </w:r>
      <w:r>
        <w:t xml:space="preserve"> the most appropriate model. The next steps would include </w:t>
      </w:r>
      <w:r w:rsidR="00F5555C">
        <w:t xml:space="preserve">developing </w:t>
      </w:r>
      <w:r>
        <w:t>the detailed design and implementation plans for the selected option.</w:t>
      </w:r>
    </w:p>
    <w:p w14:paraId="565D7249" w14:textId="77777777" w:rsidR="008F26A2" w:rsidRDefault="00FD342B" w:rsidP="008F26A2">
      <w:pPr>
        <w:spacing w:after="60"/>
      </w:pPr>
      <w:r>
        <w:t>Based on</w:t>
      </w:r>
      <w:r w:rsidR="008F26A2">
        <w:t xml:space="preserve"> the analysis and </w:t>
      </w:r>
      <w:r>
        <w:t xml:space="preserve">current </w:t>
      </w:r>
      <w:r w:rsidR="008F26A2">
        <w:t xml:space="preserve">state of the Georgia market, </w:t>
      </w:r>
      <w:r w:rsidR="008F26A2" w:rsidRPr="00DB5E0E">
        <w:rPr>
          <w:i/>
        </w:rPr>
        <w:t>the World Bank recommends creating a dedicated Georgian EERF (</w:t>
      </w:r>
      <w:r w:rsidR="006C217B">
        <w:rPr>
          <w:i/>
        </w:rPr>
        <w:t>“</w:t>
      </w:r>
      <w:r w:rsidR="008F26A2" w:rsidRPr="00DB5E0E">
        <w:rPr>
          <w:i/>
        </w:rPr>
        <w:t>GEERF</w:t>
      </w:r>
      <w:r w:rsidR="006C217B">
        <w:rPr>
          <w:i/>
        </w:rPr>
        <w:t>”</w:t>
      </w:r>
      <w:r w:rsidR="008F26A2" w:rsidRPr="00DB5E0E">
        <w:rPr>
          <w:i/>
        </w:rPr>
        <w:t>) for the public sector</w:t>
      </w:r>
      <w:r w:rsidR="008F26A2">
        <w:t xml:space="preserve">. </w:t>
      </w:r>
      <w:r w:rsidR="008F26A2" w:rsidRPr="00EE6F74">
        <w:t xml:space="preserve">While it would be preferred for the GEERF to be established as a new, independent entity, it </w:t>
      </w:r>
      <w:r w:rsidR="00571C41" w:rsidRPr="006C217B">
        <w:t xml:space="preserve">should be </w:t>
      </w:r>
      <w:r w:rsidR="008F26A2" w:rsidRPr="00EE6F74">
        <w:t xml:space="preserve">noted that the Government is reluctant to create a new institution at this </w:t>
      </w:r>
      <w:r w:rsidR="008F26A2" w:rsidRPr="00DA6BF5">
        <w:t>time.</w:t>
      </w:r>
      <w:r w:rsidR="008F26A2">
        <w:t xml:space="preserve"> </w:t>
      </w:r>
      <w:r w:rsidR="003004B2">
        <w:t>T</w:t>
      </w:r>
      <w:r w:rsidR="008F26A2">
        <w:t>he GEERF could be managed by an existing entity, such as the Municipal Development Fund</w:t>
      </w:r>
      <w:r w:rsidR="00571C41">
        <w:t xml:space="preserve"> (MDF)</w:t>
      </w:r>
      <w:r w:rsidR="008F26A2">
        <w:t xml:space="preserve"> or the Georgia Energy Development Fund, </w:t>
      </w:r>
      <w:r w:rsidR="006C217B">
        <w:t>and transition to</w:t>
      </w:r>
      <w:r w:rsidR="008F26A2">
        <w:t xml:space="preserve"> an independent Fund</w:t>
      </w:r>
      <w:r w:rsidR="006C217B">
        <w:t xml:space="preserve"> at a future date</w:t>
      </w:r>
      <w:r w:rsidR="008F26A2">
        <w:t>.</w:t>
      </w:r>
    </w:p>
    <w:p w14:paraId="59F63EFF" w14:textId="77777777" w:rsidR="008F26A2" w:rsidRPr="009E48C0" w:rsidRDefault="008F26A2" w:rsidP="008F26A2">
      <w:pPr>
        <w:spacing w:after="60"/>
      </w:pPr>
      <w:r>
        <w:t xml:space="preserve">Establishment of the GEERF </w:t>
      </w:r>
      <w:r w:rsidRPr="006D6F72">
        <w:t>c</w:t>
      </w:r>
      <w:r>
        <w:t>an</w:t>
      </w:r>
      <w:r w:rsidRPr="006D6F72">
        <w:t xml:space="preserve"> help </w:t>
      </w:r>
      <w:r>
        <w:t xml:space="preserve">the government </w:t>
      </w:r>
      <w:r w:rsidRPr="006D6F72">
        <w:t xml:space="preserve">meet </w:t>
      </w:r>
      <w:r>
        <w:t xml:space="preserve">its </w:t>
      </w:r>
      <w:r w:rsidRPr="006D6F72">
        <w:t>national EE targets</w:t>
      </w:r>
      <w:r>
        <w:t xml:space="preserve"> under the NEEAP while providing </w:t>
      </w:r>
      <w:r w:rsidRPr="006D6F72">
        <w:rPr>
          <w:bCs/>
          <w:iCs/>
        </w:rPr>
        <w:t xml:space="preserve">significant co-benefits, </w:t>
      </w:r>
      <w:r w:rsidRPr="006D6F72">
        <w:t>including</w:t>
      </w:r>
      <w:r w:rsidRPr="006D6F72">
        <w:rPr>
          <w:bCs/>
          <w:iCs/>
        </w:rPr>
        <w:t xml:space="preserve"> </w:t>
      </w:r>
      <w:r w:rsidRPr="006D6F72">
        <w:t>reduced energy imports and public energy costs, improved comfort levels,</w:t>
      </w:r>
      <w:r w:rsidRPr="009E48C0">
        <w:t xml:space="preserve"> refurbished public building stock, creation of </w:t>
      </w:r>
      <w:r>
        <w:t xml:space="preserve">an ESCO industry and new </w:t>
      </w:r>
      <w:r w:rsidRPr="009E48C0">
        <w:t xml:space="preserve">jobs, </w:t>
      </w:r>
      <w:r>
        <w:t xml:space="preserve">and </w:t>
      </w:r>
      <w:r w:rsidRPr="009E48C0">
        <w:t>reduced GHG emissions</w:t>
      </w:r>
      <w:r>
        <w:t>. GEERF</w:t>
      </w:r>
      <w:r w:rsidRPr="009E48C0">
        <w:t xml:space="preserve"> will be </w:t>
      </w:r>
      <w:r w:rsidRPr="009E48C0">
        <w:rPr>
          <w:bCs/>
          <w:iCs/>
        </w:rPr>
        <w:t>sustainable</w:t>
      </w:r>
      <w:r>
        <w:rPr>
          <w:bCs/>
          <w:iCs/>
        </w:rPr>
        <w:t>,</w:t>
      </w:r>
      <w:r w:rsidRPr="009E48C0">
        <w:rPr>
          <w:bCs/>
          <w:iCs/>
        </w:rPr>
        <w:t xml:space="preserve"> </w:t>
      </w:r>
      <w:r>
        <w:rPr>
          <w:bCs/>
          <w:iCs/>
        </w:rPr>
        <w:t xml:space="preserve">since </w:t>
      </w:r>
      <w:r w:rsidRPr="009E48C0">
        <w:t xml:space="preserve">no recurring Government budget </w:t>
      </w:r>
      <w:r>
        <w:t xml:space="preserve">will be </w:t>
      </w:r>
      <w:r w:rsidRPr="009E48C0">
        <w:t>needed</w:t>
      </w:r>
      <w:r>
        <w:t>,</w:t>
      </w:r>
      <w:r w:rsidRPr="009E48C0">
        <w:t xml:space="preserve"> and </w:t>
      </w:r>
      <w:r w:rsidRPr="009E48C0">
        <w:rPr>
          <w:bCs/>
          <w:iCs/>
        </w:rPr>
        <w:t xml:space="preserve">operate on a revolving basis for </w:t>
      </w:r>
      <w:r w:rsidR="007C14CC">
        <w:rPr>
          <w:bCs/>
          <w:iCs/>
        </w:rPr>
        <w:t>more than</w:t>
      </w:r>
      <w:r w:rsidR="003004B2">
        <w:rPr>
          <w:bCs/>
          <w:iCs/>
        </w:rPr>
        <w:t xml:space="preserve"> </w:t>
      </w:r>
      <w:r w:rsidRPr="009E48C0">
        <w:rPr>
          <w:bCs/>
          <w:iCs/>
        </w:rPr>
        <w:t>20</w:t>
      </w:r>
      <w:r w:rsidR="007C14CC">
        <w:rPr>
          <w:bCs/>
          <w:iCs/>
        </w:rPr>
        <w:t xml:space="preserve"> </w:t>
      </w:r>
      <w:r w:rsidRPr="009E48C0">
        <w:rPr>
          <w:bCs/>
          <w:iCs/>
        </w:rPr>
        <w:t>years</w:t>
      </w:r>
      <w:r>
        <w:rPr>
          <w:bCs/>
          <w:iCs/>
        </w:rPr>
        <w:t xml:space="preserve">. It </w:t>
      </w:r>
      <w:r w:rsidRPr="009E48C0">
        <w:t xml:space="preserve">can provide </w:t>
      </w:r>
      <w:r>
        <w:t xml:space="preserve">the </w:t>
      </w:r>
      <w:r w:rsidRPr="009E48C0">
        <w:rPr>
          <w:bCs/>
          <w:iCs/>
        </w:rPr>
        <w:t xml:space="preserve">basis for extension or replication </w:t>
      </w:r>
      <w:r w:rsidRPr="009E48C0">
        <w:t xml:space="preserve">to other municipal sectors (e.g., </w:t>
      </w:r>
      <w:r>
        <w:t xml:space="preserve">street </w:t>
      </w:r>
      <w:r w:rsidRPr="009E48C0">
        <w:t>lighting, water</w:t>
      </w:r>
      <w:r>
        <w:t xml:space="preserve"> pumping, etc.</w:t>
      </w:r>
      <w:r w:rsidRPr="009E48C0">
        <w:t>)</w:t>
      </w:r>
      <w:r>
        <w:t>. Other advantages include:</w:t>
      </w:r>
    </w:p>
    <w:p w14:paraId="56DBACBA" w14:textId="77777777" w:rsidR="008F26A2" w:rsidRPr="00BC17E0" w:rsidRDefault="007C14CC" w:rsidP="008F26A2">
      <w:pPr>
        <w:pStyle w:val="Bulleted"/>
        <w:spacing w:before="20" w:after="20"/>
      </w:pPr>
      <w:r>
        <w:t xml:space="preserve">The </w:t>
      </w:r>
      <w:r w:rsidR="008F26A2">
        <w:t>GEERF will represent</w:t>
      </w:r>
      <w:r w:rsidR="008F26A2" w:rsidRPr="00BC17E0">
        <w:t xml:space="preserve"> the interests of all the relevant stakeholders (including various Ministries and private sector stakeholders)</w:t>
      </w:r>
      <w:r>
        <w:t>.</w:t>
      </w:r>
    </w:p>
    <w:p w14:paraId="447E5195" w14:textId="77777777" w:rsidR="008F26A2" w:rsidRPr="00BC17E0" w:rsidRDefault="008F26A2" w:rsidP="008F26A2">
      <w:pPr>
        <w:pStyle w:val="Bulleted"/>
        <w:spacing w:before="20" w:after="20"/>
      </w:pPr>
      <w:r w:rsidRPr="00BC17E0">
        <w:t>Fund management can be independent and thus avoid political influence.</w:t>
      </w:r>
    </w:p>
    <w:p w14:paraId="3D0C9E31" w14:textId="77777777" w:rsidR="008F26A2" w:rsidRPr="00BC17E0" w:rsidRDefault="007C14CC" w:rsidP="008F26A2">
      <w:pPr>
        <w:pStyle w:val="Bulleted"/>
        <w:spacing w:before="20" w:after="20"/>
      </w:pPr>
      <w:r>
        <w:t xml:space="preserve">The </w:t>
      </w:r>
      <w:r w:rsidR="008F26A2">
        <w:t xml:space="preserve">GEERF can allow pooling of government and </w:t>
      </w:r>
      <w:r w:rsidR="008F26A2" w:rsidRPr="00BC17E0">
        <w:t>donor funds to avoid parallel initiatives</w:t>
      </w:r>
      <w:r>
        <w:t>.</w:t>
      </w:r>
    </w:p>
    <w:p w14:paraId="281D8835" w14:textId="77777777" w:rsidR="008F26A2" w:rsidRPr="00BC17E0" w:rsidRDefault="008F26A2" w:rsidP="008F26A2">
      <w:pPr>
        <w:pStyle w:val="Bulleted"/>
        <w:spacing w:before="20" w:after="20"/>
      </w:pPr>
      <w:r w:rsidRPr="00BC17E0">
        <w:t>The Board can select a highly qualified management team</w:t>
      </w:r>
      <w:r w:rsidR="007C14CC">
        <w:t>.</w:t>
      </w:r>
      <w:r w:rsidRPr="00BC17E0">
        <w:t xml:space="preserve"> </w:t>
      </w:r>
    </w:p>
    <w:p w14:paraId="0FFF1AE5" w14:textId="77777777" w:rsidR="008F26A2" w:rsidRPr="00BC17E0" w:rsidRDefault="008F26A2" w:rsidP="008F26A2">
      <w:pPr>
        <w:pStyle w:val="Bulleted"/>
        <w:spacing w:before="20" w:after="20"/>
      </w:pPr>
      <w:r w:rsidRPr="00BC17E0">
        <w:t>Fund management staff would be long-term and could be compensated at market-based levels</w:t>
      </w:r>
      <w:r w:rsidR="007C14CC">
        <w:t>.</w:t>
      </w:r>
    </w:p>
    <w:p w14:paraId="48B77B2A" w14:textId="77777777" w:rsidR="008F26A2" w:rsidRPr="00BC17E0" w:rsidRDefault="008F26A2" w:rsidP="008F26A2">
      <w:pPr>
        <w:pStyle w:val="Bulleted"/>
        <w:spacing w:before="20" w:after="20"/>
      </w:pPr>
      <w:r w:rsidRPr="00BC17E0">
        <w:t>The Fund may not have to comply with government procurement rules and bureaucratic procedures.</w:t>
      </w:r>
    </w:p>
    <w:p w14:paraId="41FCC809" w14:textId="77777777" w:rsidR="008F26A2" w:rsidRPr="00BC17E0" w:rsidRDefault="008F26A2" w:rsidP="008F26A2">
      <w:pPr>
        <w:pStyle w:val="Bulleted"/>
        <w:spacing w:before="20" w:after="20"/>
      </w:pPr>
      <w:r>
        <w:t>It can</w:t>
      </w:r>
      <w:r w:rsidRPr="00BC17E0">
        <w:t xml:space="preserve"> operate with more flexibility and faster decision-making than a government agency.</w:t>
      </w:r>
    </w:p>
    <w:p w14:paraId="1992C994" w14:textId="77777777" w:rsidR="008F26A2" w:rsidRDefault="008F26A2" w:rsidP="008F26A2">
      <w:r w:rsidRPr="00B96295">
        <w:rPr>
          <w:u w:val="single"/>
        </w:rPr>
        <w:t>Capi</w:t>
      </w:r>
      <w:r>
        <w:rPr>
          <w:u w:val="single"/>
        </w:rPr>
        <w:t>t</w:t>
      </w:r>
      <w:r w:rsidRPr="00B96295">
        <w:rPr>
          <w:u w:val="single"/>
        </w:rPr>
        <w:t>alization of</w:t>
      </w:r>
      <w:r w:rsidR="007C14CC">
        <w:rPr>
          <w:u w:val="single"/>
        </w:rPr>
        <w:t xml:space="preserve"> </w:t>
      </w:r>
      <w:r w:rsidR="00F02E2C">
        <w:rPr>
          <w:u w:val="single"/>
        </w:rPr>
        <w:t>t</w:t>
      </w:r>
      <w:r w:rsidR="007C14CC">
        <w:rPr>
          <w:u w:val="single"/>
        </w:rPr>
        <w:t xml:space="preserve">he </w:t>
      </w:r>
      <w:r w:rsidRPr="00B96295">
        <w:rPr>
          <w:u w:val="single"/>
        </w:rPr>
        <w:t>GEERF</w:t>
      </w:r>
      <w:r>
        <w:t>. The Fund could be capitalized with equity of €</w:t>
      </w:r>
      <w:r w:rsidRPr="00C21E1F">
        <w:t>10</w:t>
      </w:r>
      <w:r>
        <w:t xml:space="preserve"> </w:t>
      </w:r>
      <w:r w:rsidRPr="00C21E1F">
        <w:t>m</w:t>
      </w:r>
      <w:r>
        <w:t>illion</w:t>
      </w:r>
      <w:r w:rsidR="006C5BB0">
        <w:t xml:space="preserve"> – </w:t>
      </w:r>
      <w:r>
        <w:t>from the Green Climate Fund (GCF), Global Environment Facility (GEF),</w:t>
      </w:r>
      <w:r w:rsidR="006C5BB0">
        <w:t xml:space="preserve"> </w:t>
      </w:r>
      <w:r w:rsidR="003004B2">
        <w:t xml:space="preserve">government </w:t>
      </w:r>
      <w:r>
        <w:t xml:space="preserve">contributions, and other </w:t>
      </w:r>
      <w:r w:rsidRPr="00C21E1F">
        <w:t>donors</w:t>
      </w:r>
      <w:r w:rsidR="006C5BB0">
        <w:t xml:space="preserve"> – </w:t>
      </w:r>
      <w:r>
        <w:t xml:space="preserve">with €25 </w:t>
      </w:r>
      <w:r w:rsidRPr="00C21E1F">
        <w:t>m</w:t>
      </w:r>
      <w:r>
        <w:t>illion</w:t>
      </w:r>
      <w:r w:rsidRPr="00C21E1F">
        <w:t xml:space="preserve"> </w:t>
      </w:r>
      <w:r>
        <w:t>in c</w:t>
      </w:r>
      <w:r w:rsidRPr="00C21E1F">
        <w:t xml:space="preserve">oncessional debt </w:t>
      </w:r>
      <w:r>
        <w:t>financing from IFI and GCF loans.</w:t>
      </w:r>
      <w:r w:rsidRPr="00B96295">
        <w:t xml:space="preserve"> </w:t>
      </w:r>
      <w:r>
        <w:t>Assuming adequate deal flow and operations, it would likely require a recapitalization of about €20 million in Year 6.</w:t>
      </w:r>
    </w:p>
    <w:p w14:paraId="2F4BF11B" w14:textId="77777777" w:rsidR="008F26A2" w:rsidRDefault="008F26A2" w:rsidP="008F26A2">
      <w:pPr>
        <w:spacing w:after="60"/>
      </w:pPr>
      <w:r w:rsidRPr="00DB5E0E">
        <w:rPr>
          <w:u w:val="single"/>
        </w:rPr>
        <w:t>Results</w:t>
      </w:r>
      <w:r>
        <w:t>. It is projected that the GEERF would make investments in EE projects of about €5.0 million in Years 1 and 2, increasing to €6.0 million per year from Years 3 through 5, and €7.0 million from Years 6 to 15. The GEERF would be likely to breakeven in terms of covering its administrative and overhead costs and fees from its revenues from Year 3 onward. Over a 15-year period, other impacts could include:</w:t>
      </w:r>
    </w:p>
    <w:p w14:paraId="0F6D7772" w14:textId="77777777" w:rsidR="008F26A2" w:rsidRDefault="008F26A2" w:rsidP="008F26A2">
      <w:pPr>
        <w:pStyle w:val="Bulleted"/>
        <w:spacing w:before="20" w:after="20"/>
      </w:pPr>
      <w:r>
        <w:t xml:space="preserve">Cumulative project investments by Year 15 </w:t>
      </w:r>
      <w:r w:rsidR="007C14CC">
        <w:t xml:space="preserve">– </w:t>
      </w:r>
      <w:r>
        <w:t>€98 million</w:t>
      </w:r>
      <w:r w:rsidR="003004B2">
        <w:t>.</w:t>
      </w:r>
    </w:p>
    <w:p w14:paraId="758C13B2" w14:textId="77777777" w:rsidR="008F26A2" w:rsidRDefault="008F26A2" w:rsidP="008F26A2">
      <w:pPr>
        <w:pStyle w:val="Bulleted"/>
        <w:spacing w:before="20" w:after="20"/>
      </w:pPr>
      <w:r>
        <w:t xml:space="preserve">Annual government budget savings by Year 15 </w:t>
      </w:r>
      <w:r w:rsidR="007C14CC">
        <w:t xml:space="preserve">– </w:t>
      </w:r>
      <w:r>
        <w:t>about €14 million</w:t>
      </w:r>
      <w:r w:rsidR="003004B2">
        <w:t>.</w:t>
      </w:r>
    </w:p>
    <w:p w14:paraId="19DC9837" w14:textId="77777777" w:rsidR="008F26A2" w:rsidRDefault="008F26A2" w:rsidP="008F26A2">
      <w:pPr>
        <w:pStyle w:val="Bulleted"/>
        <w:spacing w:before="20" w:after="20"/>
      </w:pPr>
      <w:r>
        <w:t>Lifetime energy savings</w:t>
      </w:r>
      <w:r w:rsidR="007C14CC">
        <w:t xml:space="preserve"> – </w:t>
      </w:r>
      <w:r>
        <w:t>2,198 GWh</w:t>
      </w:r>
      <w:r w:rsidR="003004B2">
        <w:t>.</w:t>
      </w:r>
    </w:p>
    <w:p w14:paraId="3EC835E5" w14:textId="77777777" w:rsidR="008F26A2" w:rsidRDefault="008F26A2" w:rsidP="008F26A2">
      <w:pPr>
        <w:pStyle w:val="Bulleted"/>
        <w:spacing w:before="20" w:after="20"/>
      </w:pPr>
      <w:r>
        <w:t>Lifetime GHG reductions</w:t>
      </w:r>
      <w:r w:rsidR="00111D50">
        <w:t xml:space="preserve"> – </w:t>
      </w:r>
      <w:r>
        <w:t>1.1 million</w:t>
      </w:r>
      <w:r w:rsidR="007C14CC">
        <w:t xml:space="preserve"> </w:t>
      </w:r>
      <w:r>
        <w:t>tons of CO</w:t>
      </w:r>
      <w:r w:rsidRPr="001A187D">
        <w:rPr>
          <w:vertAlign w:val="subscript"/>
        </w:rPr>
        <w:t>2</w:t>
      </w:r>
      <w:r>
        <w:t>e</w:t>
      </w:r>
      <w:r w:rsidR="003004B2">
        <w:t>.</w:t>
      </w:r>
    </w:p>
    <w:p w14:paraId="21C869B6" w14:textId="77777777" w:rsidR="008F26A2" w:rsidRDefault="008F26A2" w:rsidP="008F26A2">
      <w:pPr>
        <w:pStyle w:val="Bulleted"/>
        <w:spacing w:before="20" w:after="20"/>
      </w:pPr>
      <w:r>
        <w:t xml:space="preserve">Increase in green employment </w:t>
      </w:r>
      <w:r w:rsidR="00111D50">
        <w:t xml:space="preserve">– </w:t>
      </w:r>
      <w:r>
        <w:t>1,600 jobs</w:t>
      </w:r>
      <w:r w:rsidR="003004B2">
        <w:t>.</w:t>
      </w:r>
    </w:p>
    <w:p w14:paraId="208C2497" w14:textId="77777777" w:rsidR="008F26A2" w:rsidRDefault="008F26A2" w:rsidP="008F26A2">
      <w:pPr>
        <w:pStyle w:val="Bulleted"/>
        <w:numPr>
          <w:ilvl w:val="0"/>
          <w:numId w:val="0"/>
        </w:numPr>
        <w:spacing w:before="120" w:after="120"/>
      </w:pPr>
      <w:r>
        <w:rPr>
          <w:u w:val="single"/>
        </w:rPr>
        <w:t>Next steps</w:t>
      </w:r>
      <w:r>
        <w:t>. The most critical next step is for</w:t>
      </w:r>
      <w:r w:rsidR="00111D50">
        <w:t xml:space="preserve"> the </w:t>
      </w:r>
      <w:r w:rsidR="003004B2">
        <w:t>GOG</w:t>
      </w:r>
      <w:r>
        <w:t xml:space="preserve"> to make a decision regarding the most suitable option and institutional set-up for the proposed financing program. </w:t>
      </w:r>
      <w:r w:rsidR="00350341">
        <w:t>Subsequent</w:t>
      </w:r>
      <w:r>
        <w:t xml:space="preserve"> steps include adopting the necessary legislative framework to establish the Fund, mobilizing the required financing, developing the governance structure and operating procedures, preparing the investment and staffing plan</w:t>
      </w:r>
      <w:r w:rsidR="00350341">
        <w:t>,</w:t>
      </w:r>
      <w:r>
        <w:t xml:space="preserve"> and identifying a pipeline of potential projects.</w:t>
      </w:r>
    </w:p>
    <w:p w14:paraId="3B64748C" w14:textId="77777777" w:rsidR="008F26A2" w:rsidRDefault="008F26A2" w:rsidP="008F26A2"/>
    <w:p w14:paraId="17D7E179" w14:textId="77777777" w:rsidR="008F26A2" w:rsidRDefault="008F26A2">
      <w:pPr>
        <w:widowControl/>
        <w:spacing w:before="0" w:after="0"/>
        <w:jc w:val="left"/>
        <w:sectPr w:rsidR="008F26A2" w:rsidSect="00D05090">
          <w:endnotePr>
            <w:numFmt w:val="decimal"/>
          </w:endnotePr>
          <w:pgSz w:w="11907" w:h="16840" w:code="9"/>
          <w:pgMar w:top="1440" w:right="1440" w:bottom="1440" w:left="1440" w:header="720" w:footer="720" w:gutter="0"/>
          <w:pgNumType w:start="1"/>
          <w:cols w:space="720"/>
          <w:noEndnote/>
        </w:sectPr>
      </w:pPr>
    </w:p>
    <w:p w14:paraId="4FF1A4CA" w14:textId="77777777" w:rsidR="008F26A2" w:rsidRDefault="008F26A2" w:rsidP="006C217B">
      <w:pPr>
        <w:pStyle w:val="Heading1"/>
        <w:jc w:val="both"/>
      </w:pPr>
    </w:p>
    <w:p w14:paraId="044BBE51" w14:textId="77777777" w:rsidR="00813027" w:rsidRDefault="00813027" w:rsidP="00813027">
      <w:pPr>
        <w:pStyle w:val="Heading1"/>
      </w:pPr>
      <w:bookmarkStart w:id="3" w:name="_Toc461093896"/>
      <w:r>
        <w:t>Section 1 - Introduction</w:t>
      </w:r>
      <w:bookmarkEnd w:id="3"/>
    </w:p>
    <w:p w14:paraId="68D0D03D" w14:textId="77777777" w:rsidR="00862B5D" w:rsidRDefault="00862B5D" w:rsidP="00862B5D">
      <w:pPr>
        <w:pStyle w:val="Heading2"/>
      </w:pPr>
      <w:bookmarkStart w:id="4" w:name="_Toc461093897"/>
      <w:r w:rsidRPr="00165DF7">
        <w:t>Importance of</w:t>
      </w:r>
      <w:r>
        <w:t xml:space="preserve"> Energy Efficiency i</w:t>
      </w:r>
      <w:r w:rsidRPr="00165DF7">
        <w:t xml:space="preserve">n </w:t>
      </w:r>
      <w:r w:rsidR="00E95011">
        <w:t>Georgia</w:t>
      </w:r>
      <w:bookmarkEnd w:id="4"/>
    </w:p>
    <w:p w14:paraId="2DD19173" w14:textId="77777777" w:rsidR="000C52FF" w:rsidRDefault="000C52FF" w:rsidP="00115FE3">
      <w:r w:rsidRPr="00E64609">
        <w:t xml:space="preserve">Energy efficiency (EE) is critical </w:t>
      </w:r>
      <w:r>
        <w:t xml:space="preserve">for </w:t>
      </w:r>
      <w:r w:rsidR="00664DF4">
        <w:t xml:space="preserve">Georgia </w:t>
      </w:r>
      <w:r>
        <w:t>to sustain its economic growth while meeting its global commitments for climate change mitigation and environmental sustainability</w:t>
      </w:r>
      <w:r w:rsidR="00664DF4">
        <w:t xml:space="preserve">. Georgia </w:t>
      </w:r>
      <w:r w:rsidR="004A44CC">
        <w:t xml:space="preserve">has a high dependence on </w:t>
      </w:r>
      <w:r>
        <w:t xml:space="preserve">imports </w:t>
      </w:r>
      <w:r w:rsidR="004A44CC">
        <w:t>of natural gas and electricity (EEC 2014)</w:t>
      </w:r>
      <w:r>
        <w:t xml:space="preserve">, </w:t>
      </w:r>
      <w:r w:rsidR="004A44CC">
        <w:t xml:space="preserve">particularly in the winter heating season. </w:t>
      </w:r>
      <w:r>
        <w:t>At current trends, continued growth in electricity demand is projected to deplete the power reserve margins within the next five years.</w:t>
      </w:r>
    </w:p>
    <w:p w14:paraId="5BC5A1B9" w14:textId="77777777" w:rsidR="00115FE3" w:rsidRDefault="000C52FF" w:rsidP="00115FE3">
      <w:r>
        <w:t>Figure 1.1 shows a comparison of the energy intensity</w:t>
      </w:r>
      <w:r>
        <w:rPr>
          <w:rStyle w:val="FootnoteReference"/>
        </w:rPr>
        <w:footnoteReference w:id="1"/>
      </w:r>
      <w:r>
        <w:t xml:space="preserve"> of </w:t>
      </w:r>
      <w:r w:rsidR="00E95011">
        <w:t>Georgia</w:t>
      </w:r>
      <w:r>
        <w:t xml:space="preserve"> relative to many other countries in the </w:t>
      </w:r>
      <w:r w:rsidR="00E95011">
        <w:t xml:space="preserve">Caucasus, </w:t>
      </w:r>
      <w:r>
        <w:t>Western Balkans</w:t>
      </w:r>
      <w:r w:rsidR="00E95011">
        <w:t>, and the European Union</w:t>
      </w:r>
      <w:r w:rsidR="007D6DD3">
        <w:t xml:space="preserve"> (EU)</w:t>
      </w:r>
      <w:r w:rsidR="00E95011">
        <w:t>. At 0.</w:t>
      </w:r>
      <w:r w:rsidR="00753966">
        <w:t>40</w:t>
      </w:r>
      <w:r>
        <w:t xml:space="preserve"> tpes/000 US$ GDP, the energy intensity of </w:t>
      </w:r>
      <w:r w:rsidR="00E95011">
        <w:t>Georgia</w:t>
      </w:r>
      <w:r>
        <w:t xml:space="preserve"> compares favorably with </w:t>
      </w:r>
      <w:r w:rsidR="00E95011">
        <w:t>some</w:t>
      </w:r>
      <w:r>
        <w:t xml:space="preserve"> of its neighboring countries </w:t>
      </w:r>
      <w:r w:rsidR="00E95011">
        <w:t xml:space="preserve">such as Armenia, Azerbaijan, Kosovo and Bulgaria, </w:t>
      </w:r>
      <w:r w:rsidR="000C4AF6">
        <w:t>but it is</w:t>
      </w:r>
      <w:r>
        <w:t xml:space="preserve"> </w:t>
      </w:r>
      <w:r w:rsidR="00753966">
        <w:t xml:space="preserve">three times </w:t>
      </w:r>
      <w:r>
        <w:t xml:space="preserve">higher than that of OECD countries (0.13) and </w:t>
      </w:r>
      <w:r w:rsidR="00753966">
        <w:t xml:space="preserve">over four times higher than </w:t>
      </w:r>
      <w:r>
        <w:t>EU co</w:t>
      </w:r>
      <w:r w:rsidR="00753966">
        <w:t xml:space="preserve">untries such as Denmark, Italy and </w:t>
      </w:r>
      <w:r>
        <w:t>Germany (0.07 to 0.10)</w:t>
      </w:r>
      <w:r w:rsidR="00753966">
        <w:t>.</w:t>
      </w:r>
      <w:r w:rsidRPr="008C2996">
        <w:rPr>
          <w:rStyle w:val="FootnoteReference"/>
        </w:rPr>
        <w:footnoteReference w:id="2"/>
      </w:r>
      <w:r>
        <w:t xml:space="preserve"> </w:t>
      </w:r>
      <w:r w:rsidR="00753966">
        <w:t xml:space="preserve">It has </w:t>
      </w:r>
      <w:r w:rsidR="00753966" w:rsidRPr="00A91F7F">
        <w:t xml:space="preserve">been </w:t>
      </w:r>
      <w:r w:rsidRPr="00A91F7F">
        <w:t>rising</w:t>
      </w:r>
      <w:r w:rsidR="00F50F28">
        <w:t xml:space="preserve"> –</w:t>
      </w:r>
      <w:r w:rsidR="00350341" w:rsidRPr="0064616B">
        <w:t xml:space="preserve"> </w:t>
      </w:r>
      <w:r w:rsidRPr="00A91F7F">
        <w:t xml:space="preserve">by </w:t>
      </w:r>
      <w:r w:rsidR="00664DF4" w:rsidRPr="0064616B">
        <w:t>about 5</w:t>
      </w:r>
      <w:r w:rsidRPr="0064616B">
        <w:t xml:space="preserve"> percent from 20</w:t>
      </w:r>
      <w:r w:rsidR="00664DF4" w:rsidRPr="00CB0131">
        <w:t>1</w:t>
      </w:r>
      <w:r w:rsidRPr="00CB0131">
        <w:t>0 to 201</w:t>
      </w:r>
      <w:r w:rsidR="00664DF4" w:rsidRPr="00A777FD">
        <w:t>2</w:t>
      </w:r>
      <w:r w:rsidR="00F50F28">
        <w:t xml:space="preserve"> – </w:t>
      </w:r>
      <w:r w:rsidR="00664DF4" w:rsidRPr="00A91F7F">
        <w:t>while OECD</w:t>
      </w:r>
      <w:r w:rsidRPr="0064616B">
        <w:t xml:space="preserve"> countries have declined by </w:t>
      </w:r>
      <w:r w:rsidR="00664DF4" w:rsidRPr="0064616B">
        <w:t>about 9</w:t>
      </w:r>
      <w:r w:rsidRPr="00CB0131">
        <w:t xml:space="preserve"> p</w:t>
      </w:r>
      <w:r w:rsidRPr="00A777FD">
        <w:t>ercent</w:t>
      </w:r>
      <w:r>
        <w:t xml:space="preserve"> over the same period. </w:t>
      </w:r>
      <w:r w:rsidR="00664DF4">
        <w:t xml:space="preserve">The </w:t>
      </w:r>
      <w:r>
        <w:t>energy use per</w:t>
      </w:r>
      <w:r w:rsidR="001005B1">
        <w:t xml:space="preserve"> capita in </w:t>
      </w:r>
      <w:r w:rsidR="00664DF4">
        <w:t xml:space="preserve">Georgia is 0.87 which is only about one-fifth of the </w:t>
      </w:r>
      <w:r w:rsidR="00664DF4" w:rsidRPr="00E35631">
        <w:t>average of OECD countries</w:t>
      </w:r>
      <w:r w:rsidR="00664DF4">
        <w:t>. As the per capita energy use</w:t>
      </w:r>
      <w:r w:rsidR="001005B1">
        <w:t xml:space="preserve"> rises</w:t>
      </w:r>
      <w:r w:rsidR="00664DF4">
        <w:t xml:space="preserve">, </w:t>
      </w:r>
      <w:r>
        <w:t>its energy intensity is expected to continue to grow</w:t>
      </w:r>
      <w:r w:rsidR="001005B1">
        <w:t xml:space="preserve"> (see Figure 1.2)</w:t>
      </w:r>
      <w:r>
        <w:t xml:space="preserve">. </w:t>
      </w:r>
    </w:p>
    <w:p w14:paraId="47DA11D8" w14:textId="77777777" w:rsidR="00862B5D" w:rsidRDefault="00862B5D" w:rsidP="007D6DD3">
      <w:pPr>
        <w:pStyle w:val="FiguresandTables"/>
        <w:spacing w:after="40"/>
      </w:pPr>
      <w:r>
        <w:t>Fi</w:t>
      </w:r>
      <w:r w:rsidR="00E95011">
        <w:t>gure 1.1 – Energy Intensity of Georgia</w:t>
      </w:r>
      <w:r>
        <w:t xml:space="preserve"> and Other Countries</w:t>
      </w:r>
    </w:p>
    <w:p w14:paraId="13EB6AEE" w14:textId="77777777" w:rsidR="00862B5D" w:rsidRDefault="00E95011" w:rsidP="007D6DD3">
      <w:pPr>
        <w:spacing w:before="60" w:after="60"/>
        <w:jc w:val="center"/>
      </w:pPr>
      <w:r w:rsidRPr="00E95011">
        <w:rPr>
          <w:noProof/>
        </w:rPr>
        <w:drawing>
          <wp:inline distT="0" distB="0" distL="0" distR="0" wp14:anchorId="56E39D33" wp14:editId="234CEAED">
            <wp:extent cx="5086350" cy="3390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6350" cy="3390900"/>
                    </a:xfrm>
                    <a:prstGeom prst="rect">
                      <a:avLst/>
                    </a:prstGeom>
                    <a:noFill/>
                    <a:ln>
                      <a:noFill/>
                    </a:ln>
                  </pic:spPr>
                </pic:pic>
              </a:graphicData>
            </a:graphic>
          </wp:inline>
        </w:drawing>
      </w:r>
    </w:p>
    <w:p w14:paraId="4971EFAC" w14:textId="77777777" w:rsidR="00862B5D" w:rsidRPr="004F3B43" w:rsidRDefault="00862B5D" w:rsidP="007D6DD3">
      <w:pPr>
        <w:spacing w:before="60"/>
        <w:rPr>
          <w:i/>
          <w:sz w:val="22"/>
          <w:szCs w:val="22"/>
        </w:rPr>
      </w:pPr>
      <w:r>
        <w:tab/>
        <w:t xml:space="preserve">    </w:t>
      </w:r>
      <w:r w:rsidRPr="004F3B43">
        <w:rPr>
          <w:i/>
          <w:sz w:val="22"/>
          <w:szCs w:val="22"/>
        </w:rPr>
        <w:t>Source: IEA 2015</w:t>
      </w:r>
    </w:p>
    <w:p w14:paraId="330470B4" w14:textId="77777777" w:rsidR="001005B1" w:rsidRDefault="001005B1" w:rsidP="007D6DD3">
      <w:pPr>
        <w:pStyle w:val="FiguresandTables"/>
        <w:keepNext/>
        <w:spacing w:after="60"/>
      </w:pPr>
      <w:r>
        <w:t>Figure 1.2 – Energy</w:t>
      </w:r>
      <w:r w:rsidR="00664DF4">
        <w:t xml:space="preserve"> Consumption per Capita – Georgia</w:t>
      </w:r>
      <w:r>
        <w:t xml:space="preserve"> vs. OECD</w:t>
      </w:r>
    </w:p>
    <w:p w14:paraId="4C646D5A" w14:textId="77777777" w:rsidR="001005B1" w:rsidRDefault="00664DF4" w:rsidP="007D6DD3">
      <w:pPr>
        <w:pStyle w:val="FiguresandTables"/>
        <w:spacing w:before="60" w:after="60"/>
      </w:pPr>
      <w:r w:rsidRPr="00664DF4">
        <w:rPr>
          <w:noProof/>
        </w:rPr>
        <w:drawing>
          <wp:inline distT="0" distB="0" distL="0" distR="0" wp14:anchorId="4CF0B0F3" wp14:editId="4687A9D1">
            <wp:extent cx="2641600" cy="2260500"/>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8796" cy="2266657"/>
                    </a:xfrm>
                    <a:prstGeom prst="rect">
                      <a:avLst/>
                    </a:prstGeom>
                    <a:noFill/>
                    <a:ln>
                      <a:noFill/>
                    </a:ln>
                  </pic:spPr>
                </pic:pic>
              </a:graphicData>
            </a:graphic>
          </wp:inline>
        </w:drawing>
      </w:r>
    </w:p>
    <w:p w14:paraId="43C3E5DE" w14:textId="77777777" w:rsidR="001005B1" w:rsidRDefault="001005B1" w:rsidP="007D6DD3">
      <w:pPr>
        <w:spacing w:before="60"/>
        <w:ind w:left="2160" w:firstLine="720"/>
      </w:pPr>
      <w:r w:rsidRPr="004F3B43">
        <w:rPr>
          <w:i/>
          <w:sz w:val="22"/>
          <w:szCs w:val="22"/>
        </w:rPr>
        <w:t>Source: IEA 2015</w:t>
      </w:r>
    </w:p>
    <w:p w14:paraId="4D565D20" w14:textId="77777777" w:rsidR="00862B5D" w:rsidRDefault="00862B5D" w:rsidP="00547C42">
      <w:r>
        <w:t>The r</w:t>
      </w:r>
      <w:r w:rsidR="004A44CC">
        <w:t>elatively high energy intensity</w:t>
      </w:r>
      <w:r>
        <w:t xml:space="preserve"> </w:t>
      </w:r>
      <w:r w:rsidR="004A44CC">
        <w:t xml:space="preserve">in Georgia </w:t>
      </w:r>
      <w:r w:rsidR="001005B1">
        <w:t xml:space="preserve">and the potential increase </w:t>
      </w:r>
      <w:r w:rsidR="004A44CC">
        <w:t xml:space="preserve">in energy needs to support </w:t>
      </w:r>
      <w:r w:rsidR="001005B1">
        <w:t xml:space="preserve">economic growth </w:t>
      </w:r>
      <w:r>
        <w:t>points out the need for improv</w:t>
      </w:r>
      <w:r w:rsidR="001005B1">
        <w:t xml:space="preserve">ing </w:t>
      </w:r>
      <w:r w:rsidR="005F0B12">
        <w:t>EE</w:t>
      </w:r>
      <w:r w:rsidR="00731405">
        <w:t xml:space="preserve">. </w:t>
      </w:r>
      <w:r w:rsidR="004A44CC">
        <w:t>Georgia</w:t>
      </w:r>
      <w:r w:rsidR="00731405">
        <w:t xml:space="preserve"> has recently signed the EU Association Agreement and has applied for </w:t>
      </w:r>
      <w:r w:rsidR="000D6990">
        <w:t xml:space="preserve">full </w:t>
      </w:r>
      <w:r w:rsidR="00731405">
        <w:t xml:space="preserve">membership in the Energy Community. To meet the requirements of the EU and the Energy Community, Georgia needs to commit to improve </w:t>
      </w:r>
      <w:r w:rsidR="007D6DD3">
        <w:t>EE</w:t>
      </w:r>
      <w:r w:rsidR="00731405">
        <w:t>.</w:t>
      </w:r>
      <w:r w:rsidR="00E20BE5">
        <w:t xml:space="preserve"> </w:t>
      </w:r>
    </w:p>
    <w:p w14:paraId="053F688C" w14:textId="77777777" w:rsidR="000979DA" w:rsidRDefault="00BF0B50" w:rsidP="00547C42">
      <w:r>
        <w:t xml:space="preserve">The public sector in Georgia (which includes central government and municipal buildings and facilities) is a large user of energy. </w:t>
      </w:r>
      <w:r w:rsidR="00196F18">
        <w:t>There is v</w:t>
      </w:r>
      <w:r w:rsidR="008027C6" w:rsidRPr="00196F18">
        <w:t xml:space="preserve">ery limited data on </w:t>
      </w:r>
      <w:r w:rsidR="00196F18">
        <w:t xml:space="preserve">the number of </w:t>
      </w:r>
      <w:r w:rsidR="008027C6" w:rsidRPr="00196F18">
        <w:t>public sector buildings and faciliti</w:t>
      </w:r>
      <w:r w:rsidR="00196F18">
        <w:t xml:space="preserve">es and their energy consumption. Some data has been compiled in the Sustainable </w:t>
      </w:r>
      <w:r w:rsidR="000979DA">
        <w:t xml:space="preserve">Energy </w:t>
      </w:r>
      <w:r w:rsidR="00196F18">
        <w:t xml:space="preserve">Action Plans </w:t>
      </w:r>
      <w:r w:rsidR="003252B6">
        <w:t>(SEAPs)</w:t>
      </w:r>
      <w:r w:rsidR="006C217B">
        <w:t xml:space="preserve"> </w:t>
      </w:r>
      <w:r w:rsidR="00196F18">
        <w:t xml:space="preserve">of </w:t>
      </w:r>
      <w:r w:rsidR="006C217B">
        <w:t xml:space="preserve">seven major </w:t>
      </w:r>
      <w:r w:rsidR="00196F18">
        <w:t xml:space="preserve">cities. Energy </w:t>
      </w:r>
      <w:r w:rsidR="000979DA">
        <w:t>use in the public sector is increasing</w:t>
      </w:r>
      <w:r w:rsidR="00196F18">
        <w:t xml:space="preserve"> (Tbilisi 2011)</w:t>
      </w:r>
      <w:r w:rsidR="000979DA">
        <w:t>. Figure 1.3 shows a projection of energy use in public buildings in Tbilisi.</w:t>
      </w:r>
      <w:r w:rsidR="00196F18">
        <w:t xml:space="preserve"> Therefore, EE improvement in public buildings is </w:t>
      </w:r>
      <w:r w:rsidR="00E07536">
        <w:t xml:space="preserve">very important. </w:t>
      </w:r>
    </w:p>
    <w:p w14:paraId="6C9A871E" w14:textId="77777777" w:rsidR="00BF0B50" w:rsidRDefault="000979DA" w:rsidP="007D6DD3">
      <w:pPr>
        <w:pStyle w:val="FiguresandTables"/>
        <w:spacing w:before="180" w:after="60"/>
      </w:pPr>
      <w:r>
        <w:t xml:space="preserve"> Figure </w:t>
      </w:r>
      <w:r w:rsidR="003252B6">
        <w:t>1.3</w:t>
      </w:r>
      <w:r>
        <w:t xml:space="preserve"> – Projected Energy Use in Public Buildings in Tbilisi</w:t>
      </w:r>
    </w:p>
    <w:p w14:paraId="7F3E75F1" w14:textId="77777777" w:rsidR="000979DA" w:rsidRDefault="000979DA" w:rsidP="007D6DD3">
      <w:pPr>
        <w:pStyle w:val="FiguresandTables"/>
        <w:spacing w:before="60" w:after="60"/>
      </w:pPr>
      <w:r w:rsidRPr="000979DA">
        <w:rPr>
          <w:noProof/>
        </w:rPr>
        <w:drawing>
          <wp:inline distT="0" distB="0" distL="0" distR="0" wp14:anchorId="3A2ACBB8" wp14:editId="16D61B47">
            <wp:extent cx="3657600" cy="2621749"/>
            <wp:effectExtent l="0" t="0" r="0" b="762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a:stretch>
                      <a:fillRect/>
                    </a:stretch>
                  </pic:blipFill>
                  <pic:spPr>
                    <a:xfrm>
                      <a:off x="0" y="0"/>
                      <a:ext cx="3657600" cy="2621749"/>
                    </a:xfrm>
                    <a:prstGeom prst="rect">
                      <a:avLst/>
                    </a:prstGeom>
                  </pic:spPr>
                </pic:pic>
              </a:graphicData>
            </a:graphic>
          </wp:inline>
        </w:drawing>
      </w:r>
    </w:p>
    <w:p w14:paraId="1A3F9C0F" w14:textId="77777777" w:rsidR="00196F18" w:rsidRDefault="00196F18" w:rsidP="007D6DD3">
      <w:pPr>
        <w:spacing w:before="60"/>
        <w:rPr>
          <w:i/>
          <w:sz w:val="22"/>
          <w:szCs w:val="22"/>
        </w:rPr>
      </w:pPr>
      <w:r>
        <w:tab/>
      </w:r>
      <w:r>
        <w:tab/>
      </w:r>
      <w:r>
        <w:tab/>
      </w:r>
      <w:r>
        <w:rPr>
          <w:i/>
          <w:sz w:val="22"/>
          <w:szCs w:val="22"/>
        </w:rPr>
        <w:t xml:space="preserve">Source: </w:t>
      </w:r>
      <w:r w:rsidRPr="00196F18">
        <w:rPr>
          <w:i/>
          <w:sz w:val="22"/>
          <w:szCs w:val="22"/>
        </w:rPr>
        <w:t>Tbilisi 2011</w:t>
      </w:r>
    </w:p>
    <w:p w14:paraId="1552A885" w14:textId="77777777" w:rsidR="00A943D9" w:rsidRPr="00196F18" w:rsidRDefault="00A943D9" w:rsidP="00A943D9">
      <w:r>
        <w:t>The public sector, by implementing EE projects, can lead by example while helping to catalyze markets for EE goods and services. Common ownership and public financing facilitates potential bundling of smaller projects, thus lowering purchasing and implementation costs and implementing at a larger scale. And, a scaled-up public sector program can create jobs, fostering a sustainable local ESCO industry—as show</w:t>
      </w:r>
      <w:r w:rsidR="003252B6">
        <w:t>n</w:t>
      </w:r>
      <w:r>
        <w:t xml:space="preserve"> in other countries such as Canada, Germany, Japan, the Republic of Korea and the United States (World Bank 2014b). Therefore, a national-scale program to improve EE in public buildings in Georgia could be developed with the Government and IFI partners to realize such benefits.</w:t>
      </w:r>
    </w:p>
    <w:p w14:paraId="1F17AB38" w14:textId="77777777" w:rsidR="00862B5D" w:rsidRDefault="00862B5D" w:rsidP="00862B5D">
      <w:pPr>
        <w:pStyle w:val="Heading2"/>
      </w:pPr>
      <w:bookmarkStart w:id="5" w:name="_Toc461093898"/>
      <w:r>
        <w:t>Government Initiatives</w:t>
      </w:r>
      <w:bookmarkEnd w:id="5"/>
    </w:p>
    <w:p w14:paraId="6A103FF5" w14:textId="77777777" w:rsidR="00731405" w:rsidRDefault="00731405" w:rsidP="00731405">
      <w:pPr>
        <w:rPr>
          <w:snapToGrid/>
          <w:szCs w:val="24"/>
        </w:rPr>
      </w:pPr>
      <w:r w:rsidRPr="00731405">
        <w:rPr>
          <w:szCs w:val="24"/>
        </w:rPr>
        <w:t xml:space="preserve">With technical assistance from </w:t>
      </w:r>
      <w:r w:rsidR="002420F5" w:rsidRPr="00BB3617">
        <w:t xml:space="preserve">European Bank for Reconstruction and Development </w:t>
      </w:r>
      <w:r w:rsidR="002420F5">
        <w:t>(</w:t>
      </w:r>
      <w:r w:rsidRPr="00731405">
        <w:rPr>
          <w:szCs w:val="24"/>
        </w:rPr>
        <w:t>EBRD</w:t>
      </w:r>
      <w:r w:rsidR="002420F5">
        <w:rPr>
          <w:szCs w:val="24"/>
        </w:rPr>
        <w:t>)</w:t>
      </w:r>
      <w:r w:rsidRPr="00731405">
        <w:rPr>
          <w:szCs w:val="24"/>
        </w:rPr>
        <w:t xml:space="preserve">, </w:t>
      </w:r>
      <w:r w:rsidR="003252B6">
        <w:rPr>
          <w:szCs w:val="24"/>
        </w:rPr>
        <w:t xml:space="preserve">the </w:t>
      </w:r>
      <w:r w:rsidR="00726262">
        <w:rPr>
          <w:szCs w:val="24"/>
        </w:rPr>
        <w:t>GOG</w:t>
      </w:r>
      <w:r>
        <w:rPr>
          <w:szCs w:val="24"/>
        </w:rPr>
        <w:t xml:space="preserve"> </w:t>
      </w:r>
      <w:r w:rsidRPr="00731405">
        <w:rPr>
          <w:szCs w:val="24"/>
        </w:rPr>
        <w:t xml:space="preserve">has initiated the development of the </w:t>
      </w:r>
      <w:r w:rsidR="007D6DD3">
        <w:rPr>
          <w:szCs w:val="24"/>
        </w:rPr>
        <w:t>NEEAP</w:t>
      </w:r>
      <w:r w:rsidR="00726262" w:rsidRPr="00731405">
        <w:rPr>
          <w:szCs w:val="24"/>
        </w:rPr>
        <w:t xml:space="preserve">, </w:t>
      </w:r>
      <w:r w:rsidRPr="00731405">
        <w:rPr>
          <w:szCs w:val="24"/>
        </w:rPr>
        <w:t xml:space="preserve">which is expected to be completed in June 2016. The NEEAP focuses on </w:t>
      </w:r>
      <w:r>
        <w:rPr>
          <w:szCs w:val="24"/>
        </w:rPr>
        <w:t xml:space="preserve">the </w:t>
      </w:r>
      <w:r w:rsidRPr="00731405">
        <w:rPr>
          <w:snapToGrid/>
          <w:szCs w:val="24"/>
        </w:rPr>
        <w:t xml:space="preserve">implementation from 2017 </w:t>
      </w:r>
      <w:r>
        <w:rPr>
          <w:snapToGrid/>
          <w:szCs w:val="24"/>
        </w:rPr>
        <w:t>to</w:t>
      </w:r>
      <w:r w:rsidRPr="00731405">
        <w:rPr>
          <w:snapToGrid/>
          <w:szCs w:val="24"/>
        </w:rPr>
        <w:t xml:space="preserve"> 2019, with indicative targets </w:t>
      </w:r>
      <w:r>
        <w:rPr>
          <w:snapToGrid/>
          <w:szCs w:val="24"/>
        </w:rPr>
        <w:t xml:space="preserve">to be </w:t>
      </w:r>
      <w:r w:rsidRPr="00731405">
        <w:rPr>
          <w:snapToGrid/>
          <w:szCs w:val="24"/>
        </w:rPr>
        <w:t>set for 2020, 2025 and 2030</w:t>
      </w:r>
      <w:r>
        <w:rPr>
          <w:snapToGrid/>
          <w:szCs w:val="24"/>
        </w:rPr>
        <w:t xml:space="preserve">. The initial NEEAP efforts </w:t>
      </w:r>
      <w:r w:rsidR="000D6990">
        <w:rPr>
          <w:snapToGrid/>
          <w:szCs w:val="24"/>
        </w:rPr>
        <w:t>have identified that, to meet the NEEAP targets, Georgia will need assistance in the following areas (Arabidze 2016):</w:t>
      </w:r>
    </w:p>
    <w:p w14:paraId="0C729830" w14:textId="77777777" w:rsidR="000D6990" w:rsidRPr="000D6990" w:rsidRDefault="000D6990" w:rsidP="000D6990">
      <w:pPr>
        <w:pStyle w:val="Bulleted"/>
        <w:rPr>
          <w:snapToGrid/>
        </w:rPr>
      </w:pPr>
      <w:r w:rsidRPr="000D6990">
        <w:rPr>
          <w:snapToGrid/>
        </w:rPr>
        <w:t xml:space="preserve">Access to finance and targeted investment to unlock </w:t>
      </w:r>
      <w:r w:rsidR="006B13A6">
        <w:rPr>
          <w:snapToGrid/>
        </w:rPr>
        <w:t xml:space="preserve">EE </w:t>
      </w:r>
      <w:r w:rsidRPr="000D6990">
        <w:rPr>
          <w:snapToGrid/>
        </w:rPr>
        <w:t xml:space="preserve">potential </w:t>
      </w:r>
    </w:p>
    <w:p w14:paraId="2345186B" w14:textId="77777777" w:rsidR="000D6990" w:rsidRPr="000D6990" w:rsidRDefault="000D6990" w:rsidP="000D6990">
      <w:pPr>
        <w:pStyle w:val="Bulleted"/>
        <w:rPr>
          <w:rFonts w:cs="Calibri"/>
          <w:snapToGrid/>
        </w:rPr>
      </w:pPr>
      <w:r w:rsidRPr="000D6990">
        <w:rPr>
          <w:rFonts w:cs="Calibri"/>
          <w:snapToGrid/>
        </w:rPr>
        <w:t xml:space="preserve">Technical assistance in capacity building (industry and building sector) </w:t>
      </w:r>
    </w:p>
    <w:p w14:paraId="2CC69671" w14:textId="77777777" w:rsidR="0058094C" w:rsidRDefault="000D6990" w:rsidP="000D6990">
      <w:pPr>
        <w:pStyle w:val="Bulleted"/>
        <w:rPr>
          <w:rFonts w:cs="Calibri"/>
          <w:snapToGrid/>
        </w:rPr>
      </w:pPr>
      <w:r w:rsidRPr="000D6990">
        <w:rPr>
          <w:rFonts w:cs="Calibri"/>
          <w:snapToGrid/>
        </w:rPr>
        <w:t>Technical assistance in legislative and program development</w:t>
      </w:r>
    </w:p>
    <w:p w14:paraId="59863129" w14:textId="77777777" w:rsidR="000D6990" w:rsidRPr="000D6990" w:rsidRDefault="0058094C" w:rsidP="000D6990">
      <w:pPr>
        <w:pStyle w:val="Bulleted"/>
        <w:rPr>
          <w:rFonts w:cs="Calibri"/>
          <w:snapToGrid/>
        </w:rPr>
      </w:pPr>
      <w:r>
        <w:rPr>
          <w:rFonts w:cs="Calibri"/>
          <w:snapToGrid/>
        </w:rPr>
        <w:t>Support to collect, analyze and maintain energy consumption data, including a registry for public buildings</w:t>
      </w:r>
      <w:r w:rsidR="000D6990" w:rsidRPr="000D6990">
        <w:rPr>
          <w:rFonts w:cs="Calibri"/>
          <w:snapToGrid/>
        </w:rPr>
        <w:t xml:space="preserve"> </w:t>
      </w:r>
    </w:p>
    <w:p w14:paraId="0C18D002" w14:textId="77777777" w:rsidR="00196F18" w:rsidRDefault="000D6990" w:rsidP="000D6990">
      <w:pPr>
        <w:pStyle w:val="Bulleted"/>
        <w:rPr>
          <w:rFonts w:cs="Calibri"/>
          <w:snapToGrid/>
        </w:rPr>
      </w:pPr>
      <w:r w:rsidRPr="000D6990">
        <w:rPr>
          <w:rFonts w:cs="Calibri"/>
          <w:snapToGrid/>
        </w:rPr>
        <w:t>Grants</w:t>
      </w:r>
      <w:r w:rsidR="0058094C">
        <w:rPr>
          <w:rFonts w:cs="Calibri"/>
          <w:snapToGrid/>
        </w:rPr>
        <w:t xml:space="preserve"> to support incentive schemes</w:t>
      </w:r>
    </w:p>
    <w:p w14:paraId="2EF09599" w14:textId="77777777" w:rsidR="000D6990" w:rsidRPr="000D6990" w:rsidRDefault="00196F18" w:rsidP="00196F18">
      <w:pPr>
        <w:rPr>
          <w:snapToGrid/>
        </w:rPr>
      </w:pPr>
      <w:r>
        <w:rPr>
          <w:snapToGrid/>
        </w:rPr>
        <w:t xml:space="preserve">The NEEAP has identified efficiency improvement and </w:t>
      </w:r>
      <w:r w:rsidRPr="00196F18">
        <w:rPr>
          <w:snapToGrid/>
        </w:rPr>
        <w:t>renovation of public buildings and facilities</w:t>
      </w:r>
      <w:r>
        <w:rPr>
          <w:snapToGrid/>
        </w:rPr>
        <w:t xml:space="preserve"> as an important target.</w:t>
      </w:r>
      <w:r w:rsidR="000D6990" w:rsidRPr="000D6990">
        <w:rPr>
          <w:snapToGrid/>
        </w:rPr>
        <w:t xml:space="preserve"> </w:t>
      </w:r>
    </w:p>
    <w:p w14:paraId="5EA7E340" w14:textId="77777777" w:rsidR="000D6990" w:rsidRDefault="000D6990" w:rsidP="000D6990">
      <w:pPr>
        <w:rPr>
          <w:snapToGrid/>
        </w:rPr>
      </w:pPr>
      <w:r>
        <w:rPr>
          <w:snapToGrid/>
        </w:rPr>
        <w:t xml:space="preserve">Efforts have also been initiated to draft a national energy efficiency law </w:t>
      </w:r>
      <w:r w:rsidRPr="000D6990">
        <w:t>(Tsurtsumia 2016</w:t>
      </w:r>
      <w:r w:rsidRPr="000D6990">
        <w:rPr>
          <w:b/>
          <w:bCs/>
          <w:snapToGrid/>
          <w:sz w:val="20"/>
        </w:rPr>
        <w:t>)</w:t>
      </w:r>
      <w:r>
        <w:rPr>
          <w:snapToGrid/>
        </w:rPr>
        <w:t>, which is expected to</w:t>
      </w:r>
      <w:r w:rsidRPr="00A511D7">
        <w:rPr>
          <w:sz w:val="18"/>
          <w:szCs w:val="18"/>
        </w:rPr>
        <w:t xml:space="preserve"> </w:t>
      </w:r>
      <w:r w:rsidRPr="000D6990">
        <w:t>reflect the requirements of the EU energy efficiency directives</w:t>
      </w:r>
      <w:r>
        <w:rPr>
          <w:snapToGrid/>
        </w:rPr>
        <w:t xml:space="preserve">. </w:t>
      </w:r>
      <w:r w:rsidR="00E07536">
        <w:rPr>
          <w:snapToGrid/>
        </w:rPr>
        <w:t>It is anticipated that the EE law would include some provisions for EE improvement in public buildings.</w:t>
      </w:r>
    </w:p>
    <w:p w14:paraId="69C5F1D4" w14:textId="77777777" w:rsidR="00E07536" w:rsidRPr="00E07536" w:rsidRDefault="00E07536" w:rsidP="00E07536">
      <w:r>
        <w:rPr>
          <w:snapToGrid/>
        </w:rPr>
        <w:t xml:space="preserve">Ten cities in Georgia have initiated the development of </w:t>
      </w:r>
      <w:r>
        <w:t>SEAPs.</w:t>
      </w:r>
      <w:r>
        <w:rPr>
          <w:rStyle w:val="FootnoteReference"/>
          <w:szCs w:val="24"/>
        </w:rPr>
        <w:footnoteReference w:id="3"/>
      </w:r>
      <w:r>
        <w:t xml:space="preserve"> Some of the completed SEAPs</w:t>
      </w:r>
      <w:r w:rsidR="008027C6" w:rsidRPr="00E07536">
        <w:t xml:space="preserve"> have</w:t>
      </w:r>
      <w:r>
        <w:t xml:space="preserve"> </w:t>
      </w:r>
      <w:r w:rsidRPr="00E07536">
        <w:t xml:space="preserve">provided data on </w:t>
      </w:r>
      <w:r w:rsidR="003252B6">
        <w:t xml:space="preserve">a </w:t>
      </w:r>
      <w:r w:rsidRPr="00E07536">
        <w:t>number of</w:t>
      </w:r>
      <w:r>
        <w:t xml:space="preserve"> </w:t>
      </w:r>
      <w:r w:rsidRPr="00E07536">
        <w:t xml:space="preserve">public buildings </w:t>
      </w:r>
      <w:r w:rsidR="007D6DD3">
        <w:t>and</w:t>
      </w:r>
      <w:r w:rsidRPr="00E07536">
        <w:t xml:space="preserve"> floor space</w:t>
      </w:r>
      <w:r>
        <w:t xml:space="preserve">. </w:t>
      </w:r>
      <w:r w:rsidR="007D6DD3">
        <w:t xml:space="preserve">Other </w:t>
      </w:r>
      <w:r>
        <w:t xml:space="preserve">SEAPs include energy audits of public buildings that have provided information on energy use and energy savings potential. To some extent, the calculation of </w:t>
      </w:r>
      <w:r w:rsidR="008027C6" w:rsidRPr="00E07536">
        <w:t>CO</w:t>
      </w:r>
      <w:r w:rsidR="008027C6" w:rsidRPr="00E07536">
        <w:rPr>
          <w:vertAlign w:val="subscript"/>
        </w:rPr>
        <w:t xml:space="preserve">2 </w:t>
      </w:r>
      <w:r w:rsidR="008027C6" w:rsidRPr="00E07536">
        <w:t xml:space="preserve">reduction </w:t>
      </w:r>
      <w:r>
        <w:t xml:space="preserve">potential from the SEAPs provides </w:t>
      </w:r>
      <w:r w:rsidRPr="00E07536">
        <w:t>an indication of energy sav</w:t>
      </w:r>
      <w:r>
        <w:t xml:space="preserve">ings </w:t>
      </w:r>
      <w:r w:rsidRPr="00E07536">
        <w:t>potential</w:t>
      </w:r>
      <w:r>
        <w:t>. The information from the SEAPs points out that there is a large potential for EE improvement in public buildings. Estimates of suc</w:t>
      </w:r>
      <w:r w:rsidR="00B52F45">
        <w:t>h</w:t>
      </w:r>
      <w:r>
        <w:t xml:space="preserve"> potential are provided in Section </w:t>
      </w:r>
      <w:r w:rsidR="00B52F45">
        <w:t>2</w:t>
      </w:r>
      <w:r>
        <w:t xml:space="preserve"> of this report.</w:t>
      </w:r>
    </w:p>
    <w:p w14:paraId="69DB3B36" w14:textId="77777777" w:rsidR="00862B5D" w:rsidRPr="00C20DD8" w:rsidRDefault="00862B5D" w:rsidP="00862B5D">
      <w:pPr>
        <w:pStyle w:val="Heading2"/>
      </w:pPr>
      <w:bookmarkStart w:id="6" w:name="_Toc461093899"/>
      <w:r>
        <w:t xml:space="preserve">World Bank Experience </w:t>
      </w:r>
      <w:r w:rsidR="00B2013F">
        <w:t>with Public Sector EE</w:t>
      </w:r>
      <w:bookmarkEnd w:id="6"/>
      <w:r w:rsidR="00B2013F">
        <w:t xml:space="preserve"> </w:t>
      </w:r>
    </w:p>
    <w:p w14:paraId="1A7B87B9" w14:textId="77777777" w:rsidR="00862B5D" w:rsidRDefault="00862B5D" w:rsidP="00862B5D">
      <w:r>
        <w:t xml:space="preserve">Since 2007, the World Bank Group has provided about US$10 billion in financing for EE globally. Within the Europe and Central Asia region, the World Bank has financed about </w:t>
      </w:r>
      <w:r w:rsidR="007D6DD3">
        <w:t xml:space="preserve">US$4 billion for EE and </w:t>
      </w:r>
      <w:r>
        <w:t>US$500 million in public building</w:t>
      </w:r>
      <w:r w:rsidR="007D6DD3">
        <w:t xml:space="preserve"> EE</w:t>
      </w:r>
      <w:r>
        <w:t xml:space="preserve">. Such projects have generally led to </w:t>
      </w:r>
      <w:r w:rsidR="00DA6BF5">
        <w:t>a</w:t>
      </w:r>
      <w:r w:rsidR="00D216DC">
        <w:t xml:space="preserve"> </w:t>
      </w:r>
      <w:r w:rsidRPr="00DA6BF5">
        <w:t>25</w:t>
      </w:r>
      <w:r w:rsidR="00D216DC" w:rsidRPr="006C217B">
        <w:t xml:space="preserve"> </w:t>
      </w:r>
      <w:r w:rsidR="00DA6BF5" w:rsidRPr="006C217B">
        <w:t>to</w:t>
      </w:r>
      <w:r w:rsidR="003252B6" w:rsidRPr="006C217B">
        <w:t xml:space="preserve"> </w:t>
      </w:r>
      <w:r w:rsidRPr="00DA6BF5">
        <w:t>40</w:t>
      </w:r>
      <w:r>
        <w:t xml:space="preserve"> percent energy savings with simple payback periods of less than 8</w:t>
      </w:r>
      <w:r w:rsidR="003252B6">
        <w:t xml:space="preserve"> to</w:t>
      </w:r>
      <w:r>
        <w:t>10 years, substantial co-benefits (e.g., improved indoor comfort, better air quality</w:t>
      </w:r>
      <w:r w:rsidR="003252B6">
        <w:t>,</w:t>
      </w:r>
      <w:r>
        <w:t xml:space="preserve"> and health), and increased public awareness. Repayments have been extremely good, with a demonstrated willingness for public building administrators to co-finance such investments. </w:t>
      </w:r>
    </w:p>
    <w:p w14:paraId="1012766A" w14:textId="77777777" w:rsidR="00862B5D" w:rsidRPr="00CA09E4" w:rsidRDefault="00862B5D" w:rsidP="00862B5D">
      <w:pPr>
        <w:rPr>
          <w:rFonts w:cs="Arial"/>
        </w:rPr>
      </w:pPr>
      <w:r w:rsidRPr="007C2844">
        <w:t xml:space="preserve">Despite attractive payback periods and energy savings potential, EE financing in the public sector is plagued by a number of market </w:t>
      </w:r>
      <w:r w:rsidR="000C52FF">
        <w:t>barriers</w:t>
      </w:r>
      <w:r w:rsidRPr="007C2844">
        <w:t xml:space="preserve">. </w:t>
      </w:r>
      <w:r>
        <w:t xml:space="preserve">Perhaps the most critical gaps are the </w:t>
      </w:r>
      <w:r w:rsidRPr="00CA09E4">
        <w:t xml:space="preserve">lack of </w:t>
      </w:r>
      <w:r>
        <w:t xml:space="preserve">suitable and </w:t>
      </w:r>
      <w:r w:rsidRPr="00CA09E4">
        <w:t xml:space="preserve">sustainable financing mechanisms, along with supporting institutional structures for </w:t>
      </w:r>
      <w:r>
        <w:t xml:space="preserve">public building </w:t>
      </w:r>
      <w:r w:rsidRPr="00CA09E4">
        <w:t xml:space="preserve">programs to be implemented at scale. </w:t>
      </w:r>
      <w:r w:rsidRPr="00CA09E4">
        <w:rPr>
          <w:rFonts w:cs="Arial"/>
        </w:rPr>
        <w:t>The creation of a national-level program, with access to financing, technical assistance</w:t>
      </w:r>
      <w:r>
        <w:rPr>
          <w:rFonts w:cs="Arial"/>
        </w:rPr>
        <w:t xml:space="preserve"> (TA)</w:t>
      </w:r>
      <w:r w:rsidRPr="00CA09E4">
        <w:rPr>
          <w:rFonts w:cs="Arial"/>
        </w:rPr>
        <w:t xml:space="preserve">, specialized ESCO procurement schemes with standardized audit/contracts, specialized ESCO windows, etc. could substantially unlock </w:t>
      </w:r>
      <w:r w:rsidR="000C52FF">
        <w:rPr>
          <w:rFonts w:cs="Arial"/>
        </w:rPr>
        <w:t xml:space="preserve">the </w:t>
      </w:r>
      <w:r w:rsidR="007D6DD3">
        <w:rPr>
          <w:rFonts w:cs="Arial"/>
        </w:rPr>
        <w:t xml:space="preserve">EE </w:t>
      </w:r>
      <w:r w:rsidR="000C52FF">
        <w:rPr>
          <w:rFonts w:cs="Arial"/>
        </w:rPr>
        <w:t xml:space="preserve">potential of </w:t>
      </w:r>
      <w:r w:rsidRPr="00CA09E4">
        <w:rPr>
          <w:rFonts w:cs="Arial"/>
        </w:rPr>
        <w:t>this sector.</w:t>
      </w:r>
    </w:p>
    <w:p w14:paraId="2F556872" w14:textId="77777777" w:rsidR="00813027" w:rsidRDefault="00813027" w:rsidP="00813027">
      <w:pPr>
        <w:pStyle w:val="Heading2"/>
      </w:pPr>
      <w:bookmarkStart w:id="7" w:name="_Toc461093900"/>
      <w:r>
        <w:t>Project Objectives</w:t>
      </w:r>
      <w:bookmarkEnd w:id="7"/>
    </w:p>
    <w:p w14:paraId="7A94B022" w14:textId="77777777" w:rsidR="00997445" w:rsidRDefault="00997445" w:rsidP="00997445">
      <w:r>
        <w:t xml:space="preserve">The primary objective of this project is to identify options that can address the barriers </w:t>
      </w:r>
      <w:r w:rsidR="000304E5">
        <w:t>to financing and help scale</w:t>
      </w:r>
      <w:r w:rsidR="00144B47">
        <w:t>-</w:t>
      </w:r>
      <w:r w:rsidR="000304E5">
        <w:t xml:space="preserve">up </w:t>
      </w:r>
      <w:r>
        <w:t xml:space="preserve">EE implementation in </w:t>
      </w:r>
      <w:r w:rsidR="00BA222F">
        <w:t xml:space="preserve">public </w:t>
      </w:r>
      <w:r w:rsidR="00B2013F">
        <w:t xml:space="preserve">buildings in </w:t>
      </w:r>
      <w:r w:rsidR="00BA222F">
        <w:t>Georgia</w:t>
      </w:r>
      <w:r w:rsidR="00B2013F">
        <w:t>.</w:t>
      </w:r>
      <w:r w:rsidR="000304E5">
        <w:t xml:space="preserve"> Specifically, the project is designed to:</w:t>
      </w:r>
    </w:p>
    <w:p w14:paraId="3535F692" w14:textId="77777777" w:rsidR="000304E5" w:rsidRDefault="000304E5" w:rsidP="000304E5">
      <w:pPr>
        <w:pStyle w:val="Bulleted"/>
      </w:pPr>
      <w:r>
        <w:t xml:space="preserve">Review existing information </w:t>
      </w:r>
      <w:r w:rsidR="00B2013F">
        <w:t>on energy consumption in</w:t>
      </w:r>
      <w:r>
        <w:t xml:space="preserve"> </w:t>
      </w:r>
      <w:r w:rsidR="00BA222F">
        <w:t xml:space="preserve">public </w:t>
      </w:r>
      <w:r w:rsidR="00B2013F">
        <w:t xml:space="preserve">buildings </w:t>
      </w:r>
      <w:r>
        <w:t>and assess energy savings opportunities in this sector</w:t>
      </w:r>
      <w:r w:rsidR="00B2013F">
        <w:t>.</w:t>
      </w:r>
    </w:p>
    <w:p w14:paraId="7241205E" w14:textId="77777777" w:rsidR="000304E5" w:rsidRDefault="000304E5" w:rsidP="000304E5">
      <w:pPr>
        <w:pStyle w:val="Bulleted"/>
      </w:pPr>
      <w:r>
        <w:t xml:space="preserve">Document the existing legislative and regulatory framework for facilitating EE projects in </w:t>
      </w:r>
      <w:r w:rsidR="00BA222F">
        <w:t xml:space="preserve">public </w:t>
      </w:r>
      <w:r w:rsidR="00B2013F">
        <w:t>buildings.</w:t>
      </w:r>
    </w:p>
    <w:p w14:paraId="4783B47A" w14:textId="77777777" w:rsidR="000304E5" w:rsidRDefault="000304E5" w:rsidP="000304E5">
      <w:pPr>
        <w:pStyle w:val="Bulleted"/>
      </w:pPr>
      <w:r>
        <w:t>Identify the major barriers to EE financing in</w:t>
      </w:r>
      <w:r w:rsidR="00CC1AC2">
        <w:t xml:space="preserve"> the public sector</w:t>
      </w:r>
      <w:r w:rsidR="00B2013F">
        <w:t>.</w:t>
      </w:r>
      <w:r w:rsidR="00CC1AC2">
        <w:t xml:space="preserve"> </w:t>
      </w:r>
    </w:p>
    <w:p w14:paraId="22AF8FC1" w14:textId="77777777" w:rsidR="000304E5" w:rsidRDefault="00630DC0" w:rsidP="000304E5">
      <w:pPr>
        <w:pStyle w:val="Bulleted"/>
      </w:pPr>
      <w:r>
        <w:t>Review international experience with financing options for public sector EE implementation</w:t>
      </w:r>
      <w:r w:rsidR="00B2013F">
        <w:t>.</w:t>
      </w:r>
    </w:p>
    <w:p w14:paraId="442A9403" w14:textId="77777777" w:rsidR="00630DC0" w:rsidRDefault="00630DC0" w:rsidP="000304E5">
      <w:pPr>
        <w:pStyle w:val="Bulleted"/>
      </w:pPr>
      <w:r>
        <w:t xml:space="preserve">Identify attractive options for </w:t>
      </w:r>
      <w:r w:rsidR="00B2013F">
        <w:t xml:space="preserve">EE implementation in </w:t>
      </w:r>
      <w:r w:rsidR="00BA222F">
        <w:t>public buildings in Georgia.</w:t>
      </w:r>
    </w:p>
    <w:p w14:paraId="307D1A12" w14:textId="77777777" w:rsidR="00630DC0" w:rsidRDefault="00630DC0" w:rsidP="000304E5">
      <w:pPr>
        <w:pStyle w:val="Bulleted"/>
      </w:pPr>
      <w:r>
        <w:t>Conduct a comparative assessment of the advantages and limitations of the options</w:t>
      </w:r>
      <w:r w:rsidR="00BA222F">
        <w:t>.</w:t>
      </w:r>
    </w:p>
    <w:p w14:paraId="4A5DFC5B" w14:textId="77777777" w:rsidR="00630DC0" w:rsidRDefault="00630DC0" w:rsidP="000304E5">
      <w:pPr>
        <w:pStyle w:val="Bulleted"/>
      </w:pPr>
      <w:r>
        <w:t>Define the steps for selection and implementation.</w:t>
      </w:r>
    </w:p>
    <w:p w14:paraId="12A70468" w14:textId="77777777" w:rsidR="00DE375A" w:rsidRDefault="00DE375A" w:rsidP="00813027">
      <w:pPr>
        <w:pStyle w:val="Heading2"/>
      </w:pPr>
      <w:bookmarkStart w:id="8" w:name="_Toc461093901"/>
      <w:r>
        <w:t>Summary of Approach</w:t>
      </w:r>
      <w:bookmarkEnd w:id="8"/>
    </w:p>
    <w:p w14:paraId="2C60B8FD" w14:textId="77777777" w:rsidR="00DE375A" w:rsidRDefault="00DE375A" w:rsidP="00DE375A">
      <w:r>
        <w:t>The project consisted of the following activities:</w:t>
      </w:r>
    </w:p>
    <w:p w14:paraId="15A58606" w14:textId="77777777" w:rsidR="00DE375A" w:rsidRPr="00871924" w:rsidRDefault="00DE375A" w:rsidP="00CC5E5F">
      <w:pPr>
        <w:pStyle w:val="Bulleted"/>
        <w:numPr>
          <w:ilvl w:val="0"/>
          <w:numId w:val="34"/>
        </w:numPr>
        <w:rPr>
          <w:bCs/>
        </w:rPr>
      </w:pPr>
      <w:r>
        <w:t xml:space="preserve">Inception Mission and </w:t>
      </w:r>
      <w:r w:rsidR="00144B47">
        <w:t>r</w:t>
      </w:r>
      <w:r>
        <w:t>eview of current situation</w:t>
      </w:r>
      <w:r w:rsidR="00144B47">
        <w:t>;</w:t>
      </w:r>
      <w:r>
        <w:rPr>
          <w:bCs/>
        </w:rPr>
        <w:t xml:space="preserve"> </w:t>
      </w:r>
    </w:p>
    <w:p w14:paraId="0A134BEE" w14:textId="77777777" w:rsidR="00DE375A" w:rsidRPr="00DE375A" w:rsidRDefault="00DE375A" w:rsidP="00CC5E5F">
      <w:pPr>
        <w:pStyle w:val="Bulleted"/>
        <w:numPr>
          <w:ilvl w:val="0"/>
          <w:numId w:val="34"/>
        </w:numPr>
        <w:rPr>
          <w:bCs/>
        </w:rPr>
      </w:pPr>
      <w:r>
        <w:t xml:space="preserve">Development </w:t>
      </w:r>
      <w:r w:rsidR="004D7DD1">
        <w:t xml:space="preserve">of a </w:t>
      </w:r>
      <w:r>
        <w:t>long list of financing options based on international experience with public sector EE financing</w:t>
      </w:r>
      <w:r w:rsidR="00BA222F">
        <w:t xml:space="preserve"> and implementation</w:t>
      </w:r>
      <w:r w:rsidR="00144B47">
        <w:t>;</w:t>
      </w:r>
    </w:p>
    <w:p w14:paraId="2154A255" w14:textId="77777777" w:rsidR="00DE375A" w:rsidRPr="00DE375A" w:rsidRDefault="00DE375A" w:rsidP="00CC5E5F">
      <w:pPr>
        <w:pStyle w:val="Bulleted"/>
        <w:numPr>
          <w:ilvl w:val="0"/>
          <w:numId w:val="34"/>
        </w:numPr>
        <w:rPr>
          <w:bCs/>
        </w:rPr>
      </w:pPr>
      <w:r>
        <w:t xml:space="preserve">Assessment of the options in the context of </w:t>
      </w:r>
      <w:r w:rsidR="00BA222F">
        <w:t>Georgia</w:t>
      </w:r>
      <w:r w:rsidR="00144B47">
        <w:t>;</w:t>
      </w:r>
    </w:p>
    <w:p w14:paraId="46E46B8C" w14:textId="77777777" w:rsidR="00DE375A" w:rsidRPr="00DE375A" w:rsidRDefault="00DE375A" w:rsidP="00CC5E5F">
      <w:pPr>
        <w:pStyle w:val="Bulleted"/>
        <w:numPr>
          <w:ilvl w:val="0"/>
          <w:numId w:val="34"/>
        </w:numPr>
        <w:rPr>
          <w:bCs/>
        </w:rPr>
      </w:pPr>
      <w:r>
        <w:t>Selection of a short list of three options</w:t>
      </w:r>
      <w:r w:rsidR="00144B47">
        <w:t>;</w:t>
      </w:r>
    </w:p>
    <w:p w14:paraId="43FEBD70" w14:textId="77777777" w:rsidR="00DE375A" w:rsidRPr="00DE375A" w:rsidRDefault="00DE375A" w:rsidP="00CC5E5F">
      <w:pPr>
        <w:pStyle w:val="Bulleted"/>
        <w:numPr>
          <w:ilvl w:val="0"/>
          <w:numId w:val="34"/>
        </w:numPr>
        <w:rPr>
          <w:bCs/>
        </w:rPr>
      </w:pPr>
      <w:r>
        <w:t>Assessment of the selected options</w:t>
      </w:r>
      <w:r w:rsidR="00144B47">
        <w:t>; and</w:t>
      </w:r>
      <w:r>
        <w:t xml:space="preserve"> </w:t>
      </w:r>
    </w:p>
    <w:p w14:paraId="1EB65AE4" w14:textId="77777777" w:rsidR="00DE375A" w:rsidRPr="00DE375A" w:rsidRDefault="00DE375A" w:rsidP="00CC5E5F">
      <w:pPr>
        <w:pStyle w:val="Bulleted"/>
        <w:numPr>
          <w:ilvl w:val="0"/>
          <w:numId w:val="34"/>
        </w:numPr>
        <w:rPr>
          <w:bCs/>
        </w:rPr>
      </w:pPr>
      <w:r>
        <w:t xml:space="preserve">Preparation of </w:t>
      </w:r>
      <w:r w:rsidR="007D6DD3">
        <w:t>a final</w:t>
      </w:r>
      <w:r>
        <w:t xml:space="preserve"> report</w:t>
      </w:r>
      <w:r w:rsidR="00B2013F">
        <w:t>.</w:t>
      </w:r>
    </w:p>
    <w:p w14:paraId="54C99134" w14:textId="77777777" w:rsidR="00DE375A" w:rsidRPr="00DE375A" w:rsidRDefault="00DE375A" w:rsidP="00DE375A">
      <w:r>
        <w:t>Th</w:t>
      </w:r>
      <w:r w:rsidR="007F0647">
        <w:t>is report was</w:t>
      </w:r>
      <w:r>
        <w:t xml:space="preserve"> </w:t>
      </w:r>
      <w:r w:rsidR="007F0647">
        <w:t xml:space="preserve">presented and </w:t>
      </w:r>
      <w:r>
        <w:t>discussed at a</w:t>
      </w:r>
      <w:r w:rsidR="00DB60B8">
        <w:t>n EE</w:t>
      </w:r>
      <w:r>
        <w:t xml:space="preserve"> </w:t>
      </w:r>
      <w:r w:rsidR="006A16F1">
        <w:t xml:space="preserve">Roundtable </w:t>
      </w:r>
      <w:r>
        <w:t xml:space="preserve">in </w:t>
      </w:r>
      <w:r w:rsidR="00BA222F">
        <w:t xml:space="preserve">Tbilisi </w:t>
      </w:r>
      <w:r w:rsidR="005F0B12">
        <w:t>o</w:t>
      </w:r>
      <w:r w:rsidR="007F0647">
        <w:t xml:space="preserve">n April </w:t>
      </w:r>
      <w:r w:rsidR="00B32A1F">
        <w:t>28</w:t>
      </w:r>
      <w:r w:rsidR="005F0B12">
        <w:t xml:space="preserve">, </w:t>
      </w:r>
      <w:r w:rsidR="007F0647">
        <w:t xml:space="preserve">2016 </w:t>
      </w:r>
      <w:r>
        <w:t xml:space="preserve">in order to define the steps for moving forward with the detailed design and implementation of </w:t>
      </w:r>
      <w:r w:rsidR="001832F3">
        <w:t>t</w:t>
      </w:r>
      <w:r>
        <w:t>he preferred fin</w:t>
      </w:r>
      <w:r w:rsidR="00B2013F">
        <w:t>ancing</w:t>
      </w:r>
      <w:r>
        <w:t xml:space="preserve"> </w:t>
      </w:r>
      <w:r w:rsidR="00B2013F">
        <w:t>option.</w:t>
      </w:r>
      <w:r w:rsidR="006A16F1">
        <w:t xml:space="preserve"> A summary of the results of this Roundtable is provided in Annex D.</w:t>
      </w:r>
    </w:p>
    <w:p w14:paraId="53D45074" w14:textId="77777777" w:rsidR="00813027" w:rsidRDefault="00813027" w:rsidP="00813027">
      <w:pPr>
        <w:pStyle w:val="Heading2"/>
      </w:pPr>
      <w:bookmarkStart w:id="9" w:name="_Toc461093902"/>
      <w:r>
        <w:t>Outline of This Report</w:t>
      </w:r>
      <w:bookmarkEnd w:id="9"/>
    </w:p>
    <w:p w14:paraId="131F66CF" w14:textId="77777777" w:rsidR="00C958B4" w:rsidRDefault="00C958B4" w:rsidP="00C958B4">
      <w:r>
        <w:t xml:space="preserve">Section 2 provides a summary of the country context, including the legislative and regulatory framework, energy consumption characteristics of central government buildings, and </w:t>
      </w:r>
      <w:r w:rsidR="00B32A1F">
        <w:t xml:space="preserve">estimates of </w:t>
      </w:r>
      <w:r>
        <w:t>potential for energy savings and investments needed.</w:t>
      </w:r>
    </w:p>
    <w:p w14:paraId="36B7BF8F" w14:textId="77777777" w:rsidR="00FE4258" w:rsidRDefault="00FE4258" w:rsidP="00C958B4">
      <w:r>
        <w:t xml:space="preserve">Section 3 summarizes the barriers to financing EE in the public sector in </w:t>
      </w:r>
      <w:r w:rsidR="00B32A1F">
        <w:t>Georgia</w:t>
      </w:r>
      <w:r>
        <w:t>, including legal and regulatory barriers, lack of access to commercial financing, institutional barriers, and limited implementation capacity.</w:t>
      </w:r>
    </w:p>
    <w:p w14:paraId="423C98CE" w14:textId="77777777" w:rsidR="00FE4258" w:rsidRDefault="00FE4258" w:rsidP="00C958B4">
      <w:r>
        <w:t>Section 4 provides information on international experience with financing public sector EE projects. It includes a review of six financing mechanism</w:t>
      </w:r>
      <w:r w:rsidR="004D7DD1">
        <w:t xml:space="preserve">s: </w:t>
      </w:r>
      <w:r>
        <w:t>budget financing, EE revolving funds, dedicated EE credit lines, r</w:t>
      </w:r>
      <w:r w:rsidR="00144B47">
        <w:t>i</w:t>
      </w:r>
      <w:r>
        <w:t>sk</w:t>
      </w:r>
      <w:r w:rsidR="00144B47">
        <w:t>-</w:t>
      </w:r>
      <w:r>
        <w:t xml:space="preserve">sharing programs, public or super ESCO, and commercial financing with ESCOs and performance contracting. It also presents a comparative assessment of the key characteristics of these financing options. </w:t>
      </w:r>
    </w:p>
    <w:p w14:paraId="29BEF818" w14:textId="77777777" w:rsidR="00FE4258" w:rsidRDefault="00FE4258" w:rsidP="00C958B4">
      <w:r>
        <w:t xml:space="preserve">Section 5 identifies the </w:t>
      </w:r>
      <w:r w:rsidR="004D7DD1">
        <w:t xml:space="preserve">three </w:t>
      </w:r>
      <w:r>
        <w:t xml:space="preserve">options considered appropriate for implementation in </w:t>
      </w:r>
      <w:r w:rsidR="00B32A1F">
        <w:t>Georgia</w:t>
      </w:r>
      <w:r>
        <w:t xml:space="preserve"> </w:t>
      </w:r>
      <w:r w:rsidR="00EE522A" w:rsidRPr="00E93132">
        <w:t>—</w:t>
      </w:r>
      <w:r>
        <w:t xml:space="preserve"> budget financing, </w:t>
      </w:r>
      <w:r w:rsidR="00DA6BF5">
        <w:t>EERFs</w:t>
      </w:r>
      <w:r>
        <w:t>, and public or super ESCO</w:t>
      </w:r>
      <w:r w:rsidR="0064616B" w:rsidRPr="0064616B">
        <w:t>—</w:t>
      </w:r>
      <w:r>
        <w:t xml:space="preserve">and provides detailed information on each. It also presents information on the potential role of international financial institutions in providing complementary financial and </w:t>
      </w:r>
      <w:r w:rsidR="00144B47">
        <w:t>TA</w:t>
      </w:r>
      <w:r>
        <w:t>.</w:t>
      </w:r>
    </w:p>
    <w:p w14:paraId="1E4081B8" w14:textId="77777777" w:rsidR="00FE4258" w:rsidRDefault="00F36E6E" w:rsidP="00C958B4">
      <w:r>
        <w:t xml:space="preserve">Section 6 summarizes the advantages and limitations of the three financing options and </w:t>
      </w:r>
      <w:r w:rsidR="00DE375A">
        <w:t>provides guidance on moving forward with the recommended option</w:t>
      </w:r>
      <w:r w:rsidR="004D7DD1">
        <w:t>,</w:t>
      </w:r>
      <w:r w:rsidR="00DE375A">
        <w:t xml:space="preserve"> the EE revolving fund. A road map for implementing the EERF is included.</w:t>
      </w:r>
      <w:r>
        <w:t xml:space="preserve"> </w:t>
      </w:r>
    </w:p>
    <w:p w14:paraId="2BBD30E2" w14:textId="77777777" w:rsidR="007F0647" w:rsidRDefault="007F0647">
      <w:pPr>
        <w:widowControl/>
        <w:spacing w:before="0" w:after="0"/>
        <w:jc w:val="left"/>
        <w:rPr>
          <w:rFonts w:ascii="Times New Roman Bold" w:hAnsi="Times New Roman Bold"/>
          <w:b/>
          <w:color w:val="002060"/>
          <w:sz w:val="28"/>
        </w:rPr>
      </w:pPr>
      <w:r>
        <w:br w:type="page"/>
      </w:r>
    </w:p>
    <w:p w14:paraId="14091B0E" w14:textId="77777777" w:rsidR="00E52706" w:rsidRDefault="00E52706" w:rsidP="00CC5E5F">
      <w:pPr>
        <w:pStyle w:val="Heading1"/>
      </w:pPr>
    </w:p>
    <w:p w14:paraId="3C5FB078" w14:textId="77777777" w:rsidR="00665A84" w:rsidRDefault="00630DC0" w:rsidP="00CC5E5F">
      <w:pPr>
        <w:pStyle w:val="Heading1"/>
      </w:pPr>
      <w:bookmarkStart w:id="10" w:name="_Toc461093903"/>
      <w:r>
        <w:t>SECTION 2 - Country Context</w:t>
      </w:r>
      <w:bookmarkEnd w:id="10"/>
    </w:p>
    <w:p w14:paraId="3E01B0E7" w14:textId="77777777" w:rsidR="00630DC0" w:rsidRDefault="00C958B4" w:rsidP="00C607D7">
      <w:pPr>
        <w:pStyle w:val="Heading2"/>
        <w:tabs>
          <w:tab w:val="left" w:pos="3240"/>
        </w:tabs>
      </w:pPr>
      <w:bookmarkStart w:id="11" w:name="_Toc461093904"/>
      <w:r>
        <w:t>Legislative and R</w:t>
      </w:r>
      <w:r w:rsidR="00630DC0">
        <w:t xml:space="preserve">egulatory </w:t>
      </w:r>
      <w:r>
        <w:t>F</w:t>
      </w:r>
      <w:r w:rsidR="00630DC0">
        <w:t>ramework</w:t>
      </w:r>
      <w:bookmarkEnd w:id="11"/>
    </w:p>
    <w:p w14:paraId="61EC686E" w14:textId="77777777" w:rsidR="00CC5E5F" w:rsidRDefault="00CC5E5F" w:rsidP="00CC5E5F">
      <w:pPr>
        <w:rPr>
          <w:szCs w:val="24"/>
        </w:rPr>
      </w:pPr>
      <w:r w:rsidRPr="00290716">
        <w:rPr>
          <w:szCs w:val="24"/>
        </w:rPr>
        <w:t>Georgia does not have</w:t>
      </w:r>
      <w:r>
        <w:rPr>
          <w:szCs w:val="24"/>
        </w:rPr>
        <w:t xml:space="preserve"> any</w:t>
      </w:r>
      <w:r w:rsidRPr="00290716">
        <w:rPr>
          <w:szCs w:val="24"/>
        </w:rPr>
        <w:t xml:space="preserve"> primary or secondary legislation on </w:t>
      </w:r>
      <w:r w:rsidR="00FC66F0">
        <w:rPr>
          <w:szCs w:val="24"/>
        </w:rPr>
        <w:t>EE</w:t>
      </w:r>
      <w:r w:rsidRPr="00290716">
        <w:rPr>
          <w:szCs w:val="24"/>
        </w:rPr>
        <w:t xml:space="preserve">. </w:t>
      </w:r>
      <w:r w:rsidR="001552E9">
        <w:rPr>
          <w:szCs w:val="24"/>
        </w:rPr>
        <w:t xml:space="preserve">However, a number of efforts are currently underway with respect </w:t>
      </w:r>
      <w:r w:rsidR="00042A6D">
        <w:rPr>
          <w:szCs w:val="24"/>
        </w:rPr>
        <w:t xml:space="preserve">to the </w:t>
      </w:r>
      <w:r w:rsidRPr="00290716">
        <w:rPr>
          <w:szCs w:val="24"/>
        </w:rPr>
        <w:t xml:space="preserve">development of </w:t>
      </w:r>
      <w:r w:rsidR="00042A6D">
        <w:rPr>
          <w:szCs w:val="24"/>
        </w:rPr>
        <w:t xml:space="preserve">a </w:t>
      </w:r>
      <w:r w:rsidRPr="00290716">
        <w:rPr>
          <w:szCs w:val="24"/>
        </w:rPr>
        <w:t xml:space="preserve">national </w:t>
      </w:r>
      <w:r w:rsidR="001C2537">
        <w:rPr>
          <w:szCs w:val="24"/>
        </w:rPr>
        <w:t>EE</w:t>
      </w:r>
      <w:r w:rsidRPr="00290716">
        <w:rPr>
          <w:szCs w:val="24"/>
        </w:rPr>
        <w:t xml:space="preserve"> policy and legislation</w:t>
      </w:r>
      <w:r w:rsidR="00042A6D">
        <w:rPr>
          <w:szCs w:val="24"/>
        </w:rPr>
        <w:t xml:space="preserve"> framework</w:t>
      </w:r>
      <w:r w:rsidRPr="00290716">
        <w:rPr>
          <w:szCs w:val="24"/>
        </w:rPr>
        <w:t xml:space="preserve">: </w:t>
      </w:r>
    </w:p>
    <w:p w14:paraId="456F2DFC" w14:textId="77777777" w:rsidR="001552E9" w:rsidRDefault="001552E9" w:rsidP="001552E9">
      <w:pPr>
        <w:pStyle w:val="ListParagraph"/>
        <w:numPr>
          <w:ilvl w:val="0"/>
          <w:numId w:val="39"/>
        </w:numPr>
        <w:spacing w:before="0" w:after="20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290716">
        <w:rPr>
          <w:rFonts w:ascii="Times New Roman" w:eastAsia="Times New Roman" w:hAnsi="Times New Roman" w:cs="Times New Roman"/>
          <w:sz w:val="24"/>
          <w:szCs w:val="24"/>
        </w:rPr>
        <w:t>raft Energy Efficiency Law</w:t>
      </w:r>
      <w:r w:rsidRPr="00290716">
        <w:rPr>
          <w:vertAlign w:val="superscript"/>
        </w:rPr>
        <w:footnoteReference w:id="4"/>
      </w:r>
    </w:p>
    <w:p w14:paraId="5543F736" w14:textId="77777777" w:rsidR="001552E9" w:rsidRDefault="001552E9" w:rsidP="001552E9">
      <w:pPr>
        <w:pStyle w:val="ListParagraph"/>
        <w:numPr>
          <w:ilvl w:val="0"/>
          <w:numId w:val="39"/>
        </w:numPr>
        <w:spacing w:before="0" w:after="200" w:line="276" w:lineRule="auto"/>
        <w:contextualSpacing/>
        <w:rPr>
          <w:rFonts w:ascii="Times New Roman" w:eastAsia="Times New Roman" w:hAnsi="Times New Roman" w:cs="Times New Roman"/>
          <w:sz w:val="24"/>
          <w:szCs w:val="24"/>
        </w:rPr>
      </w:pPr>
      <w:r w:rsidRPr="00290716">
        <w:rPr>
          <w:rFonts w:ascii="Times New Roman" w:eastAsia="Times New Roman" w:hAnsi="Times New Roman" w:cs="Times New Roman"/>
          <w:sz w:val="24"/>
          <w:szCs w:val="24"/>
          <w:u w:val="single"/>
        </w:rPr>
        <w:t xml:space="preserve">Draft </w:t>
      </w:r>
      <w:r w:rsidR="009952BD">
        <w:rPr>
          <w:rFonts w:ascii="Times New Roman" w:eastAsia="Times New Roman" w:hAnsi="Times New Roman" w:cs="Times New Roman"/>
          <w:sz w:val="24"/>
          <w:szCs w:val="24"/>
          <w:u w:val="single"/>
        </w:rPr>
        <w:t xml:space="preserve">Spatial Planning and </w:t>
      </w:r>
      <w:r w:rsidRPr="00290716">
        <w:rPr>
          <w:rFonts w:ascii="Times New Roman" w:eastAsia="Times New Roman" w:hAnsi="Times New Roman" w:cs="Times New Roman"/>
          <w:sz w:val="24"/>
          <w:szCs w:val="24"/>
          <w:u w:val="single"/>
        </w:rPr>
        <w:t>Construction Code</w:t>
      </w:r>
      <w:r w:rsidRPr="00290716">
        <w:rPr>
          <w:vertAlign w:val="superscript"/>
        </w:rPr>
        <w:footnoteReference w:id="5"/>
      </w:r>
      <w:r w:rsidRPr="00290716">
        <w:rPr>
          <w:rFonts w:ascii="Times New Roman" w:eastAsia="Times New Roman" w:hAnsi="Times New Roman" w:cs="Times New Roman"/>
          <w:sz w:val="24"/>
          <w:szCs w:val="24"/>
        </w:rPr>
        <w:t xml:space="preserve"> </w:t>
      </w:r>
    </w:p>
    <w:p w14:paraId="2B6FA437" w14:textId="77777777" w:rsidR="001552E9" w:rsidRPr="00290716" w:rsidRDefault="001552E9" w:rsidP="001552E9">
      <w:pPr>
        <w:pStyle w:val="ListParagraph"/>
        <w:numPr>
          <w:ilvl w:val="0"/>
          <w:numId w:val="39"/>
        </w:numPr>
        <w:spacing w:before="0" w:after="200" w:line="276" w:lineRule="auto"/>
        <w:contextualSpacing/>
        <w:rPr>
          <w:rFonts w:ascii="Times New Roman" w:eastAsia="Times New Roman" w:hAnsi="Times New Roman" w:cs="Times New Roman"/>
          <w:sz w:val="24"/>
          <w:szCs w:val="24"/>
        </w:rPr>
      </w:pPr>
      <w:r w:rsidRPr="00290716">
        <w:rPr>
          <w:rFonts w:ascii="Times New Roman" w:eastAsia="Times New Roman" w:hAnsi="Times New Roman" w:cs="Times New Roman"/>
          <w:sz w:val="24"/>
          <w:szCs w:val="24"/>
          <w:u w:val="single"/>
        </w:rPr>
        <w:t>Code on Environmental Assessment</w:t>
      </w:r>
      <w:r w:rsidRPr="002907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290716">
        <w:rPr>
          <w:rFonts w:ascii="Times New Roman" w:eastAsia="Times New Roman" w:hAnsi="Times New Roman" w:cs="Times New Roman"/>
          <w:sz w:val="24"/>
          <w:szCs w:val="24"/>
        </w:rPr>
        <w:t>expected to come into effect on 1 January 2017</w:t>
      </w:r>
      <w:r>
        <w:rPr>
          <w:rFonts w:ascii="Times New Roman" w:eastAsia="Times New Roman" w:hAnsi="Times New Roman" w:cs="Times New Roman"/>
          <w:sz w:val="24"/>
          <w:szCs w:val="24"/>
        </w:rPr>
        <w:t>)</w:t>
      </w:r>
      <w:r w:rsidR="0064616B">
        <w:rPr>
          <w:rFonts w:ascii="Times New Roman" w:eastAsia="Times New Roman" w:hAnsi="Times New Roman" w:cs="Times New Roman"/>
          <w:sz w:val="24"/>
          <w:szCs w:val="24"/>
        </w:rPr>
        <w:t>.</w:t>
      </w:r>
      <w:r w:rsidRPr="00290716">
        <w:rPr>
          <w:vertAlign w:val="superscript"/>
        </w:rPr>
        <w:footnoteReference w:id="6"/>
      </w:r>
      <w:r w:rsidRPr="00290716">
        <w:rPr>
          <w:rFonts w:ascii="Times New Roman" w:eastAsia="Times New Roman" w:hAnsi="Times New Roman" w:cs="Times New Roman"/>
          <w:sz w:val="24"/>
          <w:szCs w:val="24"/>
        </w:rPr>
        <w:t xml:space="preserve"> </w:t>
      </w:r>
    </w:p>
    <w:p w14:paraId="74FBA466" w14:textId="77777777" w:rsidR="00CC5E5F" w:rsidRPr="00290716" w:rsidRDefault="00CC5E5F" w:rsidP="00CC5E5F">
      <w:pPr>
        <w:rPr>
          <w:szCs w:val="24"/>
        </w:rPr>
      </w:pPr>
      <w:r w:rsidRPr="00290716">
        <w:rPr>
          <w:szCs w:val="24"/>
        </w:rPr>
        <w:t xml:space="preserve">The activities </w:t>
      </w:r>
      <w:r w:rsidR="001552E9">
        <w:rPr>
          <w:szCs w:val="24"/>
        </w:rPr>
        <w:t xml:space="preserve">related to </w:t>
      </w:r>
      <w:r w:rsidRPr="00290716">
        <w:rPr>
          <w:szCs w:val="24"/>
        </w:rPr>
        <w:t>prepar</w:t>
      </w:r>
      <w:r w:rsidR="001552E9">
        <w:rPr>
          <w:szCs w:val="24"/>
        </w:rPr>
        <w:t xml:space="preserve">ation of </w:t>
      </w:r>
      <w:r w:rsidRPr="00290716">
        <w:rPr>
          <w:szCs w:val="24"/>
        </w:rPr>
        <w:t>a Draft Construction Code have been ongoing for a decade.</w:t>
      </w:r>
      <w:r w:rsidRPr="00290716">
        <w:rPr>
          <w:szCs w:val="24"/>
          <w:vertAlign w:val="superscript"/>
        </w:rPr>
        <w:footnoteReference w:id="7"/>
      </w:r>
      <w:r w:rsidRPr="00290716">
        <w:rPr>
          <w:szCs w:val="24"/>
        </w:rPr>
        <w:t xml:space="preserve"> </w:t>
      </w:r>
      <w:r w:rsidR="001552E9">
        <w:rPr>
          <w:szCs w:val="24"/>
        </w:rPr>
        <w:t>T</w:t>
      </w:r>
      <w:r w:rsidRPr="00290716">
        <w:rPr>
          <w:szCs w:val="24"/>
        </w:rPr>
        <w:t xml:space="preserve">here were several initiatives aiming at development of new codes which encompassed different international standards (e.g. </w:t>
      </w:r>
      <w:r>
        <w:rPr>
          <w:szCs w:val="24"/>
        </w:rPr>
        <w:t xml:space="preserve">International </w:t>
      </w:r>
      <w:r w:rsidRPr="00290716">
        <w:rPr>
          <w:szCs w:val="24"/>
        </w:rPr>
        <w:t>B</w:t>
      </w:r>
      <w:r>
        <w:rPr>
          <w:szCs w:val="24"/>
        </w:rPr>
        <w:t xml:space="preserve">uilding </w:t>
      </w:r>
      <w:r w:rsidRPr="00290716">
        <w:rPr>
          <w:szCs w:val="24"/>
        </w:rPr>
        <w:t>C</w:t>
      </w:r>
      <w:r>
        <w:rPr>
          <w:szCs w:val="24"/>
        </w:rPr>
        <w:t xml:space="preserve">odes </w:t>
      </w:r>
      <w:r w:rsidRPr="00290716">
        <w:rPr>
          <w:szCs w:val="24"/>
        </w:rPr>
        <w:t>and Eurocodes) and were supported by different (international) organizations. It is important to note that the terms “building codes” and “construction codes” can be used in Georgia to denote a wider scope of regulatory subjects than technical standards for building design and construction, while the technical standards for building design and construction are known as “SNIPPs”.</w:t>
      </w:r>
      <w:r w:rsidRPr="00290716">
        <w:rPr>
          <w:szCs w:val="24"/>
          <w:vertAlign w:val="superscript"/>
        </w:rPr>
        <w:footnoteReference w:id="8"/>
      </w:r>
      <w:r w:rsidRPr="00290716">
        <w:rPr>
          <w:szCs w:val="24"/>
        </w:rPr>
        <w:t xml:space="preserve"> This adds a degree of uncertainty with regard to</w:t>
      </w:r>
      <w:r w:rsidR="004D7DD1">
        <w:rPr>
          <w:szCs w:val="24"/>
        </w:rPr>
        <w:t xml:space="preserve"> the</w:t>
      </w:r>
      <w:r w:rsidRPr="00290716">
        <w:rPr>
          <w:szCs w:val="24"/>
        </w:rPr>
        <w:t xml:space="preserve"> type, and possibly </w:t>
      </w:r>
      <w:r w:rsidR="004D7DD1">
        <w:rPr>
          <w:szCs w:val="24"/>
        </w:rPr>
        <w:t>the</w:t>
      </w:r>
      <w:r w:rsidR="004D7DD1" w:rsidRPr="00290716">
        <w:rPr>
          <w:szCs w:val="24"/>
        </w:rPr>
        <w:t xml:space="preserve"> </w:t>
      </w:r>
      <w:r w:rsidRPr="00290716">
        <w:rPr>
          <w:szCs w:val="24"/>
        </w:rPr>
        <w:t>number, of codes that are awaiting ratification.</w:t>
      </w:r>
    </w:p>
    <w:p w14:paraId="74DED5C3" w14:textId="77777777" w:rsidR="00CC5E5F" w:rsidRPr="003274D2" w:rsidRDefault="004D7DD1" w:rsidP="00CC5E5F">
      <w:pPr>
        <w:rPr>
          <w:bCs/>
          <w:sz w:val="16"/>
          <w:szCs w:val="16"/>
        </w:rPr>
      </w:pPr>
      <w:r>
        <w:rPr>
          <w:szCs w:val="24"/>
        </w:rPr>
        <w:t>The Government has prepared a</w:t>
      </w:r>
      <w:r w:rsidRPr="00290716">
        <w:rPr>
          <w:szCs w:val="24"/>
        </w:rPr>
        <w:t xml:space="preserve"> </w:t>
      </w:r>
      <w:r w:rsidR="00CC5E5F" w:rsidRPr="00290716">
        <w:rPr>
          <w:szCs w:val="24"/>
        </w:rPr>
        <w:t xml:space="preserve">draft of the new construction code which is expected to address </w:t>
      </w:r>
      <w:r w:rsidR="001C2537">
        <w:rPr>
          <w:szCs w:val="24"/>
        </w:rPr>
        <w:t>EE</w:t>
      </w:r>
      <w:r w:rsidR="00CC5E5F" w:rsidRPr="00290716">
        <w:rPr>
          <w:szCs w:val="24"/>
        </w:rPr>
        <w:t>.</w:t>
      </w:r>
      <w:r w:rsidR="00CC5E5F" w:rsidRPr="00290716">
        <w:rPr>
          <w:szCs w:val="24"/>
          <w:vertAlign w:val="superscript"/>
        </w:rPr>
        <w:footnoteReference w:id="9"/>
      </w:r>
      <w:r w:rsidR="00CC5E5F" w:rsidRPr="00290716">
        <w:rPr>
          <w:szCs w:val="24"/>
        </w:rPr>
        <w:t xml:space="preserve"> Acc</w:t>
      </w:r>
      <w:r>
        <w:rPr>
          <w:szCs w:val="24"/>
        </w:rPr>
        <w:t>ording</w:t>
      </w:r>
      <w:r w:rsidR="00CC5E5F" w:rsidRPr="00290716">
        <w:rPr>
          <w:szCs w:val="24"/>
        </w:rPr>
        <w:t xml:space="preserve"> to government announcements, </w:t>
      </w:r>
      <w:r w:rsidR="000A1875">
        <w:rPr>
          <w:szCs w:val="24"/>
        </w:rPr>
        <w:t>it</w:t>
      </w:r>
      <w:r w:rsidR="00CC5E5F" w:rsidRPr="00290716">
        <w:rPr>
          <w:szCs w:val="24"/>
        </w:rPr>
        <w:t xml:space="preserve"> will reflect the best European experience, and address quality of construction materials, rules of issuing the construction permits</w:t>
      </w:r>
      <w:r w:rsidR="000A1875">
        <w:rPr>
          <w:szCs w:val="24"/>
        </w:rPr>
        <w:t>,</w:t>
      </w:r>
      <w:r w:rsidR="00CC5E5F" w:rsidRPr="00290716">
        <w:rPr>
          <w:szCs w:val="24"/>
        </w:rPr>
        <w:t xml:space="preserve"> and supervision.</w:t>
      </w:r>
      <w:r w:rsidR="00CC5E5F">
        <w:rPr>
          <w:szCs w:val="24"/>
        </w:rPr>
        <w:t xml:space="preserve"> </w:t>
      </w:r>
    </w:p>
    <w:p w14:paraId="23BB8BA8" w14:textId="77777777" w:rsidR="00CC5E5F" w:rsidRDefault="00CC5E5F" w:rsidP="00CC5E5F">
      <w:pPr>
        <w:rPr>
          <w:szCs w:val="24"/>
        </w:rPr>
      </w:pPr>
      <w:r w:rsidRPr="003274D2">
        <w:rPr>
          <w:szCs w:val="24"/>
        </w:rPr>
        <w:t>The Ministry of Economy and Sustain</w:t>
      </w:r>
      <w:r w:rsidRPr="00290716">
        <w:rPr>
          <w:szCs w:val="24"/>
        </w:rPr>
        <w:t>able Development of Georgi</w:t>
      </w:r>
      <w:r>
        <w:rPr>
          <w:szCs w:val="24"/>
        </w:rPr>
        <w:t>a</w:t>
      </w:r>
      <w:r w:rsidR="00CB0131">
        <w:rPr>
          <w:szCs w:val="24"/>
        </w:rPr>
        <w:t xml:space="preserve"> </w:t>
      </w:r>
      <w:r w:rsidR="00CB0131" w:rsidRPr="00CB0131">
        <w:rPr>
          <w:szCs w:val="24"/>
        </w:rPr>
        <w:t>(MoESD)</w:t>
      </w:r>
      <w:r>
        <w:rPr>
          <w:szCs w:val="24"/>
        </w:rPr>
        <w:t xml:space="preserve"> has created the draft version </w:t>
      </w:r>
      <w:r w:rsidRPr="00290716">
        <w:rPr>
          <w:szCs w:val="24"/>
        </w:rPr>
        <w:t xml:space="preserve">of the following Eurocodes: </w:t>
      </w:r>
    </w:p>
    <w:p w14:paraId="6CE98292" w14:textId="77777777" w:rsidR="00CC5E5F" w:rsidRDefault="00CC5E5F" w:rsidP="00CC5E5F">
      <w:pPr>
        <w:pStyle w:val="ListParagraph"/>
        <w:numPr>
          <w:ilvl w:val="0"/>
          <w:numId w:val="41"/>
        </w:numPr>
        <w:spacing w:before="0" w:after="200" w:line="276" w:lineRule="auto"/>
        <w:contextualSpacing/>
        <w:rPr>
          <w:rFonts w:ascii="Times New Roman" w:eastAsia="Times New Roman" w:hAnsi="Times New Roman" w:cs="Times New Roman"/>
          <w:sz w:val="24"/>
          <w:szCs w:val="24"/>
        </w:rPr>
      </w:pPr>
      <w:r w:rsidRPr="00290716">
        <w:rPr>
          <w:rFonts w:ascii="Times New Roman" w:eastAsia="Times New Roman" w:hAnsi="Times New Roman" w:cs="Times New Roman"/>
          <w:sz w:val="24"/>
          <w:szCs w:val="24"/>
        </w:rPr>
        <w:t>Basis of Structural Design</w:t>
      </w:r>
    </w:p>
    <w:p w14:paraId="5543135F" w14:textId="77777777" w:rsidR="00CC5E5F" w:rsidRDefault="00CC5E5F" w:rsidP="00CC5E5F">
      <w:pPr>
        <w:pStyle w:val="ListParagraph"/>
        <w:numPr>
          <w:ilvl w:val="0"/>
          <w:numId w:val="41"/>
        </w:numPr>
        <w:spacing w:before="0" w:after="200" w:line="276" w:lineRule="auto"/>
        <w:contextualSpacing/>
        <w:rPr>
          <w:rFonts w:ascii="Times New Roman" w:eastAsia="Times New Roman" w:hAnsi="Times New Roman" w:cs="Times New Roman"/>
          <w:sz w:val="24"/>
          <w:szCs w:val="24"/>
        </w:rPr>
      </w:pPr>
      <w:r w:rsidRPr="00290716">
        <w:rPr>
          <w:rFonts w:ascii="Times New Roman" w:eastAsia="Times New Roman" w:hAnsi="Times New Roman" w:cs="Times New Roman"/>
          <w:sz w:val="24"/>
          <w:szCs w:val="24"/>
        </w:rPr>
        <w:t>Actions on Structures</w:t>
      </w:r>
    </w:p>
    <w:p w14:paraId="094B18EE" w14:textId="77777777" w:rsidR="00CC5E5F" w:rsidRDefault="00CC5E5F" w:rsidP="00CC5E5F">
      <w:pPr>
        <w:pStyle w:val="ListParagraph"/>
        <w:numPr>
          <w:ilvl w:val="0"/>
          <w:numId w:val="41"/>
        </w:numPr>
        <w:spacing w:before="0" w:after="200" w:line="276" w:lineRule="auto"/>
        <w:contextualSpacing/>
        <w:rPr>
          <w:rFonts w:ascii="Times New Roman" w:eastAsia="Times New Roman" w:hAnsi="Times New Roman" w:cs="Times New Roman"/>
          <w:sz w:val="24"/>
          <w:szCs w:val="24"/>
        </w:rPr>
      </w:pPr>
      <w:r w:rsidRPr="00290716">
        <w:rPr>
          <w:rFonts w:ascii="Times New Roman" w:eastAsia="Times New Roman" w:hAnsi="Times New Roman" w:cs="Times New Roman"/>
          <w:sz w:val="24"/>
          <w:szCs w:val="24"/>
        </w:rPr>
        <w:t>Design of Concrete Structures</w:t>
      </w:r>
    </w:p>
    <w:p w14:paraId="210807C7" w14:textId="77777777" w:rsidR="00CC5E5F" w:rsidRDefault="00CC5E5F" w:rsidP="00CC5E5F">
      <w:pPr>
        <w:pStyle w:val="ListParagraph"/>
        <w:numPr>
          <w:ilvl w:val="0"/>
          <w:numId w:val="41"/>
        </w:numPr>
        <w:spacing w:before="0" w:after="200" w:line="276" w:lineRule="auto"/>
        <w:contextualSpacing/>
        <w:rPr>
          <w:rFonts w:ascii="Times New Roman" w:eastAsia="Times New Roman" w:hAnsi="Times New Roman" w:cs="Times New Roman"/>
          <w:sz w:val="24"/>
          <w:szCs w:val="24"/>
        </w:rPr>
      </w:pPr>
      <w:r w:rsidRPr="00290716">
        <w:rPr>
          <w:rFonts w:ascii="Times New Roman" w:eastAsia="Times New Roman" w:hAnsi="Times New Roman" w:cs="Times New Roman"/>
          <w:sz w:val="24"/>
          <w:szCs w:val="24"/>
        </w:rPr>
        <w:t>Geotechnical Design</w:t>
      </w:r>
    </w:p>
    <w:p w14:paraId="4C1F224D" w14:textId="77777777" w:rsidR="00CC5E5F" w:rsidRPr="00586605" w:rsidRDefault="00CC5E5F" w:rsidP="00FC66F0">
      <w:pPr>
        <w:pStyle w:val="ListParagraph"/>
        <w:numPr>
          <w:ilvl w:val="0"/>
          <w:numId w:val="41"/>
        </w:numPr>
        <w:spacing w:before="0" w:line="276" w:lineRule="auto"/>
        <w:contextualSpacing/>
        <w:rPr>
          <w:rFonts w:ascii="Times New Roman" w:eastAsia="Times New Roman" w:hAnsi="Times New Roman" w:cs="Times New Roman"/>
          <w:sz w:val="24"/>
          <w:szCs w:val="24"/>
        </w:rPr>
      </w:pPr>
      <w:r w:rsidRPr="00290716">
        <w:rPr>
          <w:rFonts w:ascii="Times New Roman" w:eastAsia="Times New Roman" w:hAnsi="Times New Roman" w:cs="Times New Roman"/>
          <w:sz w:val="24"/>
          <w:szCs w:val="24"/>
        </w:rPr>
        <w:t xml:space="preserve">Design of Structures for Earthquake Resistance. </w:t>
      </w:r>
      <w:r w:rsidRPr="00586605">
        <w:rPr>
          <w:rFonts w:eastAsia="Times New Roman" w:cs="Times New Roman"/>
        </w:rPr>
        <w:t> </w:t>
      </w:r>
    </w:p>
    <w:p w14:paraId="6173C8F9" w14:textId="77777777" w:rsidR="00955C18" w:rsidRDefault="006B13A6" w:rsidP="00210143">
      <w:pPr>
        <w:spacing w:after="60"/>
        <w:rPr>
          <w:rFonts w:eastAsia="Calibri"/>
        </w:rPr>
      </w:pPr>
      <w:r w:rsidRPr="00E53A67">
        <w:rPr>
          <w:rFonts w:eastAsia="Calibri"/>
        </w:rPr>
        <w:t xml:space="preserve"> “Support to Energy Efficiency and Sustainable Energy in Georgia, 2015-2019</w:t>
      </w:r>
      <w:r w:rsidR="000A1875">
        <w:rPr>
          <w:rFonts w:eastAsia="Calibri"/>
        </w:rPr>
        <w:t>,</w:t>
      </w:r>
      <w:r w:rsidRPr="00E53A67">
        <w:rPr>
          <w:rFonts w:eastAsia="Calibri"/>
        </w:rPr>
        <w:t xml:space="preserve">” </w:t>
      </w:r>
      <w:r w:rsidR="000A1875">
        <w:rPr>
          <w:rFonts w:eastAsia="Calibri"/>
        </w:rPr>
        <w:t xml:space="preserve">a new project </w:t>
      </w:r>
      <w:r w:rsidRPr="00E53A67">
        <w:rPr>
          <w:rFonts w:eastAsia="Calibri"/>
        </w:rPr>
        <w:t>launched</w:t>
      </w:r>
      <w:r>
        <w:rPr>
          <w:rFonts w:eastAsia="Calibri"/>
        </w:rPr>
        <w:t xml:space="preserve"> in June 2016 </w:t>
      </w:r>
      <w:r w:rsidR="000A1875">
        <w:rPr>
          <w:rFonts w:eastAsia="Calibri"/>
        </w:rPr>
        <w:t xml:space="preserve">and </w:t>
      </w:r>
      <w:r w:rsidRPr="00E53A67">
        <w:rPr>
          <w:rFonts w:eastAsia="Calibri"/>
        </w:rPr>
        <w:t>supported by D</w:t>
      </w:r>
      <w:r w:rsidR="00955C18">
        <w:rPr>
          <w:rFonts w:eastAsia="Calibri"/>
        </w:rPr>
        <w:t>ANIDA</w:t>
      </w:r>
      <w:r w:rsidR="000A1875">
        <w:rPr>
          <w:rFonts w:eastAsia="Calibri"/>
        </w:rPr>
        <w:t>,</w:t>
      </w:r>
      <w:r w:rsidRPr="00E53A67">
        <w:rPr>
          <w:rFonts w:eastAsia="Calibri"/>
        </w:rPr>
        <w:t xml:space="preserve"> </w:t>
      </w:r>
      <w:r w:rsidR="00955C18">
        <w:rPr>
          <w:rFonts w:eastAsia="Calibri"/>
        </w:rPr>
        <w:t xml:space="preserve">will provide assistance to </w:t>
      </w:r>
      <w:r w:rsidR="0038764C">
        <w:rPr>
          <w:rFonts w:eastAsia="Calibri"/>
        </w:rPr>
        <w:t xml:space="preserve">the </w:t>
      </w:r>
      <w:r w:rsidR="00955C18">
        <w:rPr>
          <w:rFonts w:eastAsia="Calibri"/>
        </w:rPr>
        <w:t>GOG</w:t>
      </w:r>
      <w:r w:rsidRPr="00E53A67">
        <w:rPr>
          <w:rFonts w:eastAsia="Calibri"/>
        </w:rPr>
        <w:t xml:space="preserve"> </w:t>
      </w:r>
      <w:r w:rsidR="00955C18">
        <w:rPr>
          <w:rFonts w:eastAsia="Calibri"/>
        </w:rPr>
        <w:t>for</w:t>
      </w:r>
      <w:r w:rsidRPr="00E53A67">
        <w:rPr>
          <w:rFonts w:eastAsia="Calibri"/>
        </w:rPr>
        <w:t>:</w:t>
      </w:r>
    </w:p>
    <w:p w14:paraId="31F1F2F7" w14:textId="77777777" w:rsidR="006B13A6" w:rsidRPr="00E53A67" w:rsidRDefault="006B13A6" w:rsidP="00FC66F0">
      <w:pPr>
        <w:pStyle w:val="Bulleted"/>
        <w:spacing w:before="40" w:after="40"/>
        <w:rPr>
          <w:rFonts w:eastAsia="Calibri"/>
        </w:rPr>
      </w:pPr>
      <w:r w:rsidRPr="00E53A67">
        <w:rPr>
          <w:rFonts w:eastAsia="Calibri"/>
        </w:rPr>
        <w:t xml:space="preserve">Formulation of New National Energy Efficiency Building Code to support introduction of minimum </w:t>
      </w:r>
      <w:r w:rsidR="00FC66F0">
        <w:rPr>
          <w:rFonts w:eastAsia="Calibri"/>
        </w:rPr>
        <w:t>EE</w:t>
      </w:r>
      <w:r w:rsidRPr="00E53A67">
        <w:rPr>
          <w:rFonts w:eastAsia="Calibri"/>
        </w:rPr>
        <w:t xml:space="preserve"> requirements in public buildings</w:t>
      </w:r>
      <w:r w:rsidR="0038764C">
        <w:rPr>
          <w:rFonts w:eastAsia="Calibri"/>
        </w:rPr>
        <w:t>.</w:t>
      </w:r>
    </w:p>
    <w:p w14:paraId="2A02C6E6" w14:textId="77777777" w:rsidR="006B13A6" w:rsidRPr="00E53A67" w:rsidRDefault="00955C18" w:rsidP="00FC66F0">
      <w:pPr>
        <w:pStyle w:val="Bulleted"/>
        <w:spacing w:before="40" w:after="40"/>
        <w:rPr>
          <w:rFonts w:eastAsia="Calibri"/>
        </w:rPr>
      </w:pPr>
      <w:r>
        <w:rPr>
          <w:rFonts w:eastAsia="Calibri"/>
        </w:rPr>
        <w:t>Labeling of energy related</w:t>
      </w:r>
      <w:r w:rsidR="006B13A6">
        <w:rPr>
          <w:rFonts w:eastAsia="Calibri"/>
        </w:rPr>
        <w:t xml:space="preserve"> </w:t>
      </w:r>
      <w:r>
        <w:rPr>
          <w:rFonts w:eastAsia="Calibri"/>
        </w:rPr>
        <w:t>products</w:t>
      </w:r>
      <w:r w:rsidR="0038764C">
        <w:rPr>
          <w:rFonts w:eastAsia="Calibri"/>
        </w:rPr>
        <w:t>.</w:t>
      </w:r>
      <w:r>
        <w:rPr>
          <w:rFonts w:eastAsia="Calibri"/>
        </w:rPr>
        <w:t xml:space="preserve"> </w:t>
      </w:r>
    </w:p>
    <w:p w14:paraId="47951EE0" w14:textId="77777777" w:rsidR="00955C18" w:rsidRDefault="00955C18" w:rsidP="00FC66F0">
      <w:pPr>
        <w:pStyle w:val="Bulleted"/>
        <w:spacing w:before="40" w:after="40"/>
        <w:rPr>
          <w:rFonts w:eastAsia="Calibri"/>
        </w:rPr>
      </w:pPr>
      <w:r w:rsidRPr="00955C18">
        <w:rPr>
          <w:rFonts w:eastAsia="Calibri"/>
        </w:rPr>
        <w:t>Development of met</w:t>
      </w:r>
      <w:r w:rsidR="006B13A6" w:rsidRPr="00955C18">
        <w:rPr>
          <w:rFonts w:eastAsia="Calibri"/>
        </w:rPr>
        <w:t>hodolo</w:t>
      </w:r>
      <w:r>
        <w:rPr>
          <w:rFonts w:eastAsia="Calibri"/>
        </w:rPr>
        <w:t>gy for monitoring and reporting</w:t>
      </w:r>
      <w:r w:rsidR="0038764C">
        <w:rPr>
          <w:rFonts w:eastAsia="Calibri"/>
        </w:rPr>
        <w:t>.</w:t>
      </w:r>
    </w:p>
    <w:p w14:paraId="3ECE4F7E" w14:textId="77777777" w:rsidR="006B13A6" w:rsidRPr="00955C18" w:rsidRDefault="00955C18" w:rsidP="00FC66F0">
      <w:pPr>
        <w:pStyle w:val="Bulleted"/>
        <w:spacing w:before="40" w:after="40"/>
        <w:rPr>
          <w:rFonts w:eastAsia="Calibri"/>
        </w:rPr>
      </w:pPr>
      <w:r>
        <w:rPr>
          <w:rFonts w:eastAsia="Calibri"/>
        </w:rPr>
        <w:t>Development of na</w:t>
      </w:r>
      <w:r w:rsidR="006B13A6" w:rsidRPr="00955C18">
        <w:rPr>
          <w:rFonts w:eastAsia="Calibri"/>
        </w:rPr>
        <w:t>tional grid co</w:t>
      </w:r>
      <w:r>
        <w:rPr>
          <w:rFonts w:eastAsia="Calibri"/>
        </w:rPr>
        <w:t>de regulation and standards to</w:t>
      </w:r>
      <w:r w:rsidR="006B13A6" w:rsidRPr="00955C18">
        <w:rPr>
          <w:rFonts w:eastAsia="Calibri"/>
        </w:rPr>
        <w:t xml:space="preserve"> enable electricity from </w:t>
      </w:r>
      <w:r>
        <w:rPr>
          <w:rFonts w:eastAsia="Calibri"/>
        </w:rPr>
        <w:t>RE</w:t>
      </w:r>
      <w:r w:rsidR="006B13A6" w:rsidRPr="00955C18">
        <w:rPr>
          <w:rFonts w:eastAsia="Calibri"/>
        </w:rPr>
        <w:t xml:space="preserve"> sources to feed into the national power grid. </w:t>
      </w:r>
    </w:p>
    <w:p w14:paraId="0BCC5FA1" w14:textId="77777777" w:rsidR="00CC5E5F" w:rsidRDefault="00CC5E5F" w:rsidP="00CC5E5F">
      <w:pPr>
        <w:pStyle w:val="Heading2"/>
      </w:pPr>
      <w:bookmarkStart w:id="12" w:name="_Toc461093905"/>
      <w:r w:rsidRPr="00056D8B">
        <w:t xml:space="preserve">International </w:t>
      </w:r>
      <w:r>
        <w:t>S</w:t>
      </w:r>
      <w:r w:rsidRPr="00056D8B">
        <w:t xml:space="preserve">tandards and </w:t>
      </w:r>
      <w:r>
        <w:t>I</w:t>
      </w:r>
      <w:r w:rsidRPr="00056D8B">
        <w:t>nitiatives</w:t>
      </w:r>
      <w:bookmarkEnd w:id="12"/>
      <w:r w:rsidRPr="00056D8B">
        <w:t xml:space="preserve"> </w:t>
      </w:r>
    </w:p>
    <w:p w14:paraId="3A7D6893" w14:textId="77777777" w:rsidR="00C6290F" w:rsidRPr="00C6290F" w:rsidRDefault="00C6290F" w:rsidP="00C6290F">
      <w:r>
        <w:t xml:space="preserve">The </w:t>
      </w:r>
      <w:r w:rsidR="0038764C">
        <w:t>GOG</w:t>
      </w:r>
      <w:r>
        <w:t xml:space="preserve"> has signed the following international agreements:</w:t>
      </w:r>
    </w:p>
    <w:p w14:paraId="78219502" w14:textId="77777777" w:rsidR="00CC5E5F" w:rsidRPr="005945D5" w:rsidRDefault="00CC5E5F" w:rsidP="00CC5E5F">
      <w:pPr>
        <w:pStyle w:val="ListParagraph"/>
        <w:numPr>
          <w:ilvl w:val="0"/>
          <w:numId w:val="37"/>
        </w:numPr>
        <w:spacing w:before="0" w:after="0"/>
        <w:contextualSpacing/>
        <w:rPr>
          <w:rFonts w:ascii="Times New Roman" w:eastAsia="Times New Roman" w:hAnsi="Times New Roman" w:cs="Times New Roman"/>
          <w:sz w:val="24"/>
          <w:szCs w:val="24"/>
        </w:rPr>
      </w:pPr>
      <w:r w:rsidRPr="005945D5">
        <w:rPr>
          <w:rFonts w:ascii="Times New Roman" w:eastAsia="Times New Roman" w:hAnsi="Times New Roman" w:cs="Times New Roman"/>
          <w:i/>
          <w:sz w:val="24"/>
          <w:szCs w:val="24"/>
        </w:rPr>
        <w:t>European Energy Charter</w:t>
      </w:r>
      <w:r>
        <w:rPr>
          <w:rFonts w:ascii="Times New Roman" w:eastAsia="Times New Roman" w:hAnsi="Times New Roman" w:cs="Times New Roman"/>
          <w:sz w:val="24"/>
          <w:szCs w:val="24"/>
        </w:rPr>
        <w:t xml:space="preserve"> - signed on December</w:t>
      </w:r>
      <w:r w:rsidR="00FC2288">
        <w:rPr>
          <w:rFonts w:ascii="Times New Roman" w:eastAsia="Times New Roman" w:hAnsi="Times New Roman" w:cs="Times New Roman"/>
          <w:sz w:val="24"/>
          <w:szCs w:val="24"/>
        </w:rPr>
        <w:t xml:space="preserve"> 17,</w:t>
      </w:r>
      <w:r>
        <w:rPr>
          <w:rFonts w:ascii="Times New Roman" w:eastAsia="Times New Roman" w:hAnsi="Times New Roman" w:cs="Times New Roman"/>
          <w:sz w:val="24"/>
          <w:szCs w:val="24"/>
        </w:rPr>
        <w:t xml:space="preserve"> 1991</w:t>
      </w:r>
      <w:r w:rsidR="0064616B">
        <w:rPr>
          <w:rFonts w:ascii="Times New Roman" w:eastAsia="Times New Roman" w:hAnsi="Times New Roman" w:cs="Times New Roman"/>
          <w:sz w:val="24"/>
          <w:szCs w:val="24"/>
        </w:rPr>
        <w:t>.</w:t>
      </w:r>
    </w:p>
    <w:p w14:paraId="3B5E641D" w14:textId="77777777" w:rsidR="00CC5E5F" w:rsidRPr="005945D5" w:rsidRDefault="00CC5E5F" w:rsidP="00FC2288">
      <w:pPr>
        <w:pStyle w:val="ListParagraph"/>
        <w:numPr>
          <w:ilvl w:val="0"/>
          <w:numId w:val="38"/>
        </w:numPr>
        <w:spacing w:before="0" w:after="0"/>
        <w:contextualSpacing/>
        <w:rPr>
          <w:rFonts w:ascii="Times New Roman" w:eastAsia="Times New Roman" w:hAnsi="Times New Roman" w:cs="Times New Roman"/>
          <w:sz w:val="24"/>
          <w:szCs w:val="24"/>
        </w:rPr>
      </w:pPr>
      <w:r w:rsidRPr="005945D5">
        <w:rPr>
          <w:rFonts w:ascii="Times New Roman" w:eastAsia="Times New Roman" w:hAnsi="Times New Roman" w:cs="Times New Roman"/>
          <w:i/>
          <w:sz w:val="24"/>
          <w:szCs w:val="24"/>
        </w:rPr>
        <w:t>Energy Charter Treaty</w:t>
      </w:r>
      <w:r w:rsidRPr="005945D5">
        <w:rPr>
          <w:rFonts w:ascii="Times New Roman" w:eastAsia="Times New Roman" w:hAnsi="Times New Roman" w:cs="Times New Roman"/>
          <w:sz w:val="24"/>
          <w:szCs w:val="24"/>
        </w:rPr>
        <w:t xml:space="preserve"> (ECT) - signed on </w:t>
      </w:r>
      <w:r w:rsidR="00FC2288">
        <w:rPr>
          <w:rFonts w:ascii="Times New Roman" w:eastAsia="Times New Roman" w:hAnsi="Times New Roman" w:cs="Times New Roman"/>
          <w:sz w:val="24"/>
          <w:szCs w:val="24"/>
        </w:rPr>
        <w:t>December 17, 1994</w:t>
      </w:r>
      <w:r w:rsidRPr="005945D5">
        <w:rPr>
          <w:rFonts w:ascii="Times New Roman" w:eastAsia="Times New Roman" w:hAnsi="Times New Roman" w:cs="Times New Roman"/>
          <w:sz w:val="24"/>
          <w:szCs w:val="24"/>
        </w:rPr>
        <w:t>, ratified on February</w:t>
      </w:r>
      <w:r w:rsidR="00FC2288">
        <w:rPr>
          <w:rFonts w:ascii="Times New Roman" w:eastAsia="Times New Roman" w:hAnsi="Times New Roman" w:cs="Times New Roman"/>
          <w:sz w:val="24"/>
          <w:szCs w:val="24"/>
        </w:rPr>
        <w:t xml:space="preserve"> 22,</w:t>
      </w:r>
      <w:r w:rsidRPr="005945D5">
        <w:rPr>
          <w:rFonts w:ascii="Times New Roman" w:eastAsia="Times New Roman" w:hAnsi="Times New Roman" w:cs="Times New Roman"/>
          <w:sz w:val="24"/>
          <w:szCs w:val="24"/>
        </w:rPr>
        <w:t xml:space="preserve"> 1995, deposited on July</w:t>
      </w:r>
      <w:r w:rsidR="00FC2288">
        <w:rPr>
          <w:rFonts w:ascii="Times New Roman" w:eastAsia="Times New Roman" w:hAnsi="Times New Roman" w:cs="Times New Roman"/>
          <w:sz w:val="24"/>
          <w:szCs w:val="24"/>
        </w:rPr>
        <w:t xml:space="preserve"> 12,</w:t>
      </w:r>
      <w:r w:rsidRPr="005945D5">
        <w:rPr>
          <w:rFonts w:ascii="Times New Roman" w:eastAsia="Times New Roman" w:hAnsi="Times New Roman" w:cs="Times New Roman"/>
          <w:sz w:val="24"/>
          <w:szCs w:val="24"/>
        </w:rPr>
        <w:t xml:space="preserve"> 1995, entered into force on April</w:t>
      </w:r>
      <w:r w:rsidR="00FC2288">
        <w:rPr>
          <w:rFonts w:ascii="Times New Roman" w:eastAsia="Times New Roman" w:hAnsi="Times New Roman" w:cs="Times New Roman"/>
          <w:sz w:val="24"/>
          <w:szCs w:val="24"/>
        </w:rPr>
        <w:t xml:space="preserve"> 16,</w:t>
      </w:r>
      <w:r w:rsidRPr="005945D5">
        <w:rPr>
          <w:rFonts w:ascii="Times New Roman" w:eastAsia="Times New Roman" w:hAnsi="Times New Roman" w:cs="Times New Roman"/>
          <w:sz w:val="24"/>
          <w:szCs w:val="24"/>
        </w:rPr>
        <w:t xml:space="preserve"> 1998</w:t>
      </w:r>
      <w:r w:rsidR="0064616B">
        <w:rPr>
          <w:rFonts w:ascii="Times New Roman" w:eastAsia="Times New Roman" w:hAnsi="Times New Roman" w:cs="Times New Roman"/>
          <w:sz w:val="24"/>
          <w:szCs w:val="24"/>
        </w:rPr>
        <w:t>.</w:t>
      </w:r>
    </w:p>
    <w:p w14:paraId="2F338613" w14:textId="77777777" w:rsidR="00CC5E5F" w:rsidRPr="005945D5" w:rsidRDefault="00CC5E5F" w:rsidP="00CC5E5F">
      <w:pPr>
        <w:pStyle w:val="ListParagraph"/>
        <w:numPr>
          <w:ilvl w:val="0"/>
          <w:numId w:val="37"/>
        </w:numPr>
        <w:spacing w:before="0" w:after="0"/>
        <w:contextualSpacing/>
        <w:rPr>
          <w:rFonts w:ascii="Times New Roman" w:eastAsia="Times New Roman" w:hAnsi="Times New Roman" w:cs="Times New Roman"/>
          <w:b/>
          <w:sz w:val="24"/>
          <w:szCs w:val="24"/>
        </w:rPr>
      </w:pPr>
      <w:r w:rsidRPr="005945D5">
        <w:rPr>
          <w:rFonts w:ascii="Times New Roman" w:eastAsia="Times New Roman" w:hAnsi="Times New Roman" w:cs="Times New Roman"/>
          <w:i/>
          <w:sz w:val="24"/>
          <w:szCs w:val="24"/>
        </w:rPr>
        <w:t>Protocol on Energy Efficiency and Related Environmental Aspects</w:t>
      </w:r>
      <w:r w:rsidRPr="005945D5">
        <w:rPr>
          <w:rFonts w:ascii="Times New Roman" w:eastAsia="Times New Roman" w:hAnsi="Times New Roman" w:cs="Times New Roman"/>
          <w:sz w:val="24"/>
          <w:szCs w:val="24"/>
        </w:rPr>
        <w:t xml:space="preserve"> (PEEREA) - signed on December</w:t>
      </w:r>
      <w:r w:rsidR="00FC2288">
        <w:rPr>
          <w:rFonts w:ascii="Times New Roman" w:eastAsia="Times New Roman" w:hAnsi="Times New Roman" w:cs="Times New Roman"/>
          <w:sz w:val="24"/>
          <w:szCs w:val="24"/>
        </w:rPr>
        <w:t xml:space="preserve"> 17,</w:t>
      </w:r>
      <w:r w:rsidRPr="005945D5">
        <w:rPr>
          <w:rFonts w:ascii="Times New Roman" w:eastAsia="Times New Roman" w:hAnsi="Times New Roman" w:cs="Times New Roman"/>
          <w:sz w:val="24"/>
          <w:szCs w:val="24"/>
        </w:rPr>
        <w:t xml:space="preserve"> 1994, ratified on</w:t>
      </w:r>
      <w:r w:rsidR="0038764C">
        <w:rPr>
          <w:rFonts w:ascii="Times New Roman" w:eastAsia="Times New Roman" w:hAnsi="Times New Roman" w:cs="Times New Roman"/>
          <w:sz w:val="24"/>
          <w:szCs w:val="24"/>
        </w:rPr>
        <w:t xml:space="preserve"> </w:t>
      </w:r>
      <w:r w:rsidRPr="005945D5">
        <w:rPr>
          <w:rFonts w:ascii="Times New Roman" w:eastAsia="Times New Roman" w:hAnsi="Times New Roman" w:cs="Times New Roman"/>
          <w:sz w:val="24"/>
          <w:szCs w:val="24"/>
        </w:rPr>
        <w:t xml:space="preserve">December </w:t>
      </w:r>
      <w:r w:rsidR="0038764C">
        <w:rPr>
          <w:rFonts w:ascii="Times New Roman" w:eastAsia="Times New Roman" w:hAnsi="Times New Roman" w:cs="Times New Roman"/>
          <w:sz w:val="24"/>
          <w:szCs w:val="24"/>
        </w:rPr>
        <w:t xml:space="preserve">9, </w:t>
      </w:r>
      <w:r w:rsidRPr="005945D5">
        <w:rPr>
          <w:rFonts w:ascii="Times New Roman" w:eastAsia="Times New Roman" w:hAnsi="Times New Roman" w:cs="Times New Roman"/>
          <w:sz w:val="24"/>
          <w:szCs w:val="24"/>
        </w:rPr>
        <w:t>2004</w:t>
      </w:r>
      <w:r w:rsidR="0064616B">
        <w:rPr>
          <w:rFonts w:ascii="Times New Roman" w:eastAsia="Times New Roman" w:hAnsi="Times New Roman" w:cs="Times New Roman"/>
          <w:sz w:val="24"/>
          <w:szCs w:val="24"/>
        </w:rPr>
        <w:t>.</w:t>
      </w:r>
    </w:p>
    <w:p w14:paraId="66AB6310" w14:textId="77777777" w:rsidR="00CC5E5F" w:rsidRPr="005945D5" w:rsidRDefault="00CC5E5F" w:rsidP="00CC5E5F">
      <w:pPr>
        <w:pStyle w:val="ListParagraph"/>
        <w:numPr>
          <w:ilvl w:val="0"/>
          <w:numId w:val="38"/>
        </w:numPr>
        <w:spacing w:before="0" w:after="0"/>
        <w:contextualSpacing/>
        <w:rPr>
          <w:rFonts w:ascii="Times New Roman" w:eastAsia="Times New Roman" w:hAnsi="Times New Roman" w:cs="Times New Roman"/>
          <w:sz w:val="24"/>
          <w:szCs w:val="24"/>
        </w:rPr>
      </w:pPr>
      <w:r w:rsidRPr="005945D5">
        <w:rPr>
          <w:rFonts w:ascii="Times New Roman" w:eastAsia="Times New Roman" w:hAnsi="Times New Roman" w:cs="Times New Roman"/>
          <w:i/>
          <w:sz w:val="24"/>
          <w:szCs w:val="24"/>
        </w:rPr>
        <w:t>International Energy Charter</w:t>
      </w:r>
      <w:r w:rsidRPr="005945D5">
        <w:rPr>
          <w:rFonts w:ascii="Times New Roman" w:eastAsia="Times New Roman" w:hAnsi="Times New Roman" w:cs="Times New Roman"/>
          <w:sz w:val="24"/>
          <w:szCs w:val="24"/>
        </w:rPr>
        <w:t xml:space="preserve"> - signed on May</w:t>
      </w:r>
      <w:r w:rsidR="00FC2288">
        <w:rPr>
          <w:rFonts w:ascii="Times New Roman" w:eastAsia="Times New Roman" w:hAnsi="Times New Roman" w:cs="Times New Roman"/>
          <w:sz w:val="24"/>
          <w:szCs w:val="24"/>
        </w:rPr>
        <w:t xml:space="preserve"> 20,</w:t>
      </w:r>
      <w:r w:rsidRPr="005945D5">
        <w:rPr>
          <w:rFonts w:ascii="Times New Roman" w:eastAsia="Times New Roman" w:hAnsi="Times New Roman" w:cs="Times New Roman"/>
          <w:sz w:val="24"/>
          <w:szCs w:val="24"/>
        </w:rPr>
        <w:t xml:space="preserve"> 2015</w:t>
      </w:r>
      <w:r w:rsidR="0064616B">
        <w:rPr>
          <w:rFonts w:ascii="Times New Roman" w:eastAsia="Times New Roman" w:hAnsi="Times New Roman" w:cs="Times New Roman"/>
          <w:sz w:val="24"/>
          <w:szCs w:val="24"/>
        </w:rPr>
        <w:t>.</w:t>
      </w:r>
      <w:r w:rsidRPr="005945D5">
        <w:rPr>
          <w:rFonts w:ascii="Times New Roman" w:eastAsia="Times New Roman" w:hAnsi="Times New Roman" w:cs="Times New Roman"/>
          <w:sz w:val="24"/>
          <w:szCs w:val="24"/>
          <w:u w:val="single"/>
        </w:rPr>
        <w:t xml:space="preserve"> </w:t>
      </w:r>
    </w:p>
    <w:p w14:paraId="580446AF" w14:textId="77777777" w:rsidR="00CC5E5F" w:rsidRPr="005945D5" w:rsidRDefault="00CC5E5F" w:rsidP="00CC5E5F">
      <w:pPr>
        <w:pStyle w:val="ListParagraph"/>
        <w:numPr>
          <w:ilvl w:val="0"/>
          <w:numId w:val="35"/>
        </w:numPr>
        <w:spacing w:before="0" w:after="0" w:line="0" w:lineRule="atLeast"/>
        <w:contextualSpacing/>
        <w:rPr>
          <w:rFonts w:ascii="Times New Roman" w:eastAsia="Times New Roman" w:hAnsi="Times New Roman" w:cs="Times New Roman"/>
          <w:bCs/>
          <w:sz w:val="24"/>
          <w:szCs w:val="24"/>
          <w:u w:val="single"/>
        </w:rPr>
      </w:pPr>
      <w:r w:rsidRPr="005945D5">
        <w:rPr>
          <w:rFonts w:ascii="Times New Roman" w:eastAsia="Times New Roman" w:hAnsi="Times New Roman" w:cs="Times New Roman"/>
          <w:bCs/>
          <w:i/>
          <w:sz w:val="24"/>
          <w:szCs w:val="24"/>
        </w:rPr>
        <w:t>Framework Convention on Climate Change and Kyoto Protocol</w:t>
      </w:r>
      <w:r w:rsidRPr="005945D5">
        <w:rPr>
          <w:rFonts w:ascii="Times New Roman" w:eastAsia="Times New Roman" w:hAnsi="Times New Roman" w:cs="Times New Roman"/>
          <w:bCs/>
          <w:sz w:val="24"/>
          <w:szCs w:val="24"/>
        </w:rPr>
        <w:t xml:space="preserve"> - ratified in 1999, the Protocol entered into force Feb</w:t>
      </w:r>
      <w:r w:rsidR="0038764C">
        <w:rPr>
          <w:rFonts w:ascii="Times New Roman" w:eastAsia="Times New Roman" w:hAnsi="Times New Roman" w:cs="Times New Roman"/>
          <w:bCs/>
          <w:sz w:val="24"/>
          <w:szCs w:val="24"/>
        </w:rPr>
        <w:t>ruary</w:t>
      </w:r>
      <w:r w:rsidR="00FC2288">
        <w:rPr>
          <w:rFonts w:ascii="Times New Roman" w:eastAsia="Times New Roman" w:hAnsi="Times New Roman" w:cs="Times New Roman"/>
          <w:bCs/>
          <w:sz w:val="24"/>
          <w:szCs w:val="24"/>
        </w:rPr>
        <w:t xml:space="preserve"> 16,</w:t>
      </w:r>
      <w:r w:rsidRPr="005945D5">
        <w:rPr>
          <w:rFonts w:ascii="Times New Roman" w:eastAsia="Times New Roman" w:hAnsi="Times New Roman" w:cs="Times New Roman"/>
          <w:bCs/>
          <w:sz w:val="24"/>
          <w:szCs w:val="24"/>
        </w:rPr>
        <w:t xml:space="preserve"> 2005</w:t>
      </w:r>
      <w:r w:rsidR="0064616B">
        <w:rPr>
          <w:rFonts w:ascii="Times New Roman" w:eastAsia="Times New Roman" w:hAnsi="Times New Roman" w:cs="Times New Roman"/>
          <w:bCs/>
          <w:sz w:val="24"/>
          <w:szCs w:val="24"/>
        </w:rPr>
        <w:t>.</w:t>
      </w:r>
    </w:p>
    <w:p w14:paraId="37189AAA" w14:textId="77777777" w:rsidR="00CC5E5F" w:rsidRPr="005945D5" w:rsidRDefault="00CC5E5F" w:rsidP="00CC5E5F">
      <w:pPr>
        <w:pStyle w:val="ListParagraph"/>
        <w:numPr>
          <w:ilvl w:val="0"/>
          <w:numId w:val="35"/>
        </w:numPr>
        <w:spacing w:before="0" w:after="0" w:line="0" w:lineRule="atLeast"/>
        <w:contextualSpacing/>
        <w:rPr>
          <w:rFonts w:ascii="Times New Roman" w:eastAsia="Times New Roman" w:hAnsi="Times New Roman" w:cs="Times New Roman"/>
          <w:bCs/>
          <w:sz w:val="24"/>
          <w:szCs w:val="24"/>
        </w:rPr>
      </w:pPr>
      <w:r w:rsidRPr="005945D5">
        <w:rPr>
          <w:rFonts w:ascii="Times New Roman" w:eastAsia="Times New Roman" w:hAnsi="Times New Roman" w:cs="Times New Roman"/>
          <w:bCs/>
          <w:i/>
          <w:sz w:val="24"/>
          <w:szCs w:val="24"/>
        </w:rPr>
        <w:t>Covenant of Mayors</w:t>
      </w:r>
      <w:r w:rsidRPr="005945D5">
        <w:rPr>
          <w:rFonts w:ascii="Times New Roman" w:eastAsia="Times New Roman" w:hAnsi="Times New Roman" w:cs="Times New Roman"/>
          <w:bCs/>
          <w:sz w:val="24"/>
          <w:szCs w:val="24"/>
        </w:rPr>
        <w:t xml:space="preserve"> (CoM)</w:t>
      </w:r>
      <w:r w:rsidR="00C6290F">
        <w:rPr>
          <w:rFonts w:ascii="Times New Roman" w:eastAsia="Times New Roman" w:hAnsi="Times New Roman" w:cs="Times New Roman"/>
          <w:bCs/>
          <w:sz w:val="24"/>
          <w:szCs w:val="24"/>
        </w:rPr>
        <w:t>,</w:t>
      </w:r>
      <w:r w:rsidRPr="005945D5">
        <w:rPr>
          <w:rFonts w:ascii="Times New Roman" w:eastAsia="Times New Roman" w:hAnsi="Times New Roman" w:cs="Times New Roman"/>
          <w:bCs/>
          <w:sz w:val="24"/>
          <w:szCs w:val="24"/>
        </w:rPr>
        <w:t xml:space="preserve"> 2010</w:t>
      </w:r>
      <w:r w:rsidR="0064616B">
        <w:rPr>
          <w:rFonts w:ascii="Times New Roman" w:eastAsia="Times New Roman" w:hAnsi="Times New Roman" w:cs="Times New Roman"/>
          <w:bCs/>
          <w:sz w:val="24"/>
          <w:szCs w:val="24"/>
        </w:rPr>
        <w:t>.</w:t>
      </w:r>
      <w:r w:rsidRPr="005945D5">
        <w:rPr>
          <w:rFonts w:ascii="Times New Roman" w:eastAsia="Times New Roman" w:hAnsi="Times New Roman" w:cs="Times New Roman"/>
          <w:bCs/>
          <w:sz w:val="24"/>
          <w:szCs w:val="24"/>
        </w:rPr>
        <w:t xml:space="preserve"> </w:t>
      </w:r>
    </w:p>
    <w:p w14:paraId="45F24599" w14:textId="77777777" w:rsidR="00CC5E5F" w:rsidRDefault="00CC5E5F" w:rsidP="00CC5E5F">
      <w:pPr>
        <w:pStyle w:val="ListParagraph"/>
        <w:numPr>
          <w:ilvl w:val="0"/>
          <w:numId w:val="35"/>
        </w:numPr>
        <w:spacing w:before="0" w:after="0" w:line="0" w:lineRule="atLeast"/>
        <w:contextualSpacing/>
        <w:rPr>
          <w:rFonts w:ascii="Times New Roman" w:eastAsia="Times New Roman" w:hAnsi="Times New Roman" w:cs="Times New Roman"/>
          <w:bCs/>
          <w:sz w:val="24"/>
          <w:szCs w:val="24"/>
        </w:rPr>
      </w:pPr>
      <w:r w:rsidRPr="005945D5">
        <w:rPr>
          <w:rFonts w:ascii="Times New Roman" w:eastAsia="Times New Roman" w:hAnsi="Times New Roman" w:cs="Times New Roman"/>
          <w:bCs/>
          <w:sz w:val="24"/>
          <w:szCs w:val="24"/>
        </w:rPr>
        <w:t>Energy Performance in Buildings Directive (EPBD) 2010/31/EU</w:t>
      </w:r>
      <w:r w:rsidR="0064616B">
        <w:rPr>
          <w:rFonts w:ascii="Times New Roman" w:eastAsia="Times New Roman" w:hAnsi="Times New Roman" w:cs="Times New Roman"/>
          <w:bCs/>
          <w:sz w:val="24"/>
          <w:szCs w:val="24"/>
        </w:rPr>
        <w:t>.</w:t>
      </w:r>
      <w:r w:rsidRPr="005945D5">
        <w:rPr>
          <w:rFonts w:ascii="Times New Roman" w:eastAsia="Times New Roman" w:hAnsi="Times New Roman" w:cs="Times New Roman"/>
          <w:bCs/>
          <w:sz w:val="24"/>
          <w:szCs w:val="24"/>
        </w:rPr>
        <w:t xml:space="preserve"> </w:t>
      </w:r>
    </w:p>
    <w:p w14:paraId="7A64D040" w14:textId="77777777" w:rsidR="00EC6251" w:rsidRDefault="00EC6251" w:rsidP="00CC5E5F">
      <w:pPr>
        <w:pStyle w:val="ListParagraph"/>
        <w:numPr>
          <w:ilvl w:val="0"/>
          <w:numId w:val="35"/>
        </w:numPr>
        <w:spacing w:before="0" w:after="0" w:line="0" w:lineRule="atLeast"/>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Energy Efficiency Directive (EED) 2012/27/EU</w:t>
      </w:r>
      <w:r w:rsidR="0064616B">
        <w:rPr>
          <w:rFonts w:ascii="Times New Roman" w:eastAsia="Times New Roman" w:hAnsi="Times New Roman" w:cs="Times New Roman"/>
          <w:bCs/>
          <w:sz w:val="24"/>
          <w:szCs w:val="24"/>
        </w:rPr>
        <w:t>.</w:t>
      </w:r>
    </w:p>
    <w:p w14:paraId="08962702" w14:textId="77777777" w:rsidR="00EC6251" w:rsidRPr="005945D5" w:rsidRDefault="00EC6251" w:rsidP="00CC5E5F">
      <w:pPr>
        <w:pStyle w:val="ListParagraph"/>
        <w:numPr>
          <w:ilvl w:val="0"/>
          <w:numId w:val="35"/>
        </w:numPr>
        <w:spacing w:before="0" w:after="0" w:line="0" w:lineRule="atLeast"/>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Energy Labeling Directive 2010/30/EU</w:t>
      </w:r>
      <w:r w:rsidR="0064616B">
        <w:rPr>
          <w:rFonts w:ascii="Times New Roman" w:eastAsia="Times New Roman" w:hAnsi="Times New Roman" w:cs="Times New Roman"/>
          <w:bCs/>
          <w:sz w:val="24"/>
          <w:szCs w:val="24"/>
        </w:rPr>
        <w:t>.</w:t>
      </w:r>
    </w:p>
    <w:p w14:paraId="03631FAB" w14:textId="77777777" w:rsidR="00CC5E5F" w:rsidRPr="00A46093" w:rsidRDefault="00CC5E5F" w:rsidP="00CC5E5F">
      <w:pPr>
        <w:pStyle w:val="ListParagraph"/>
        <w:numPr>
          <w:ilvl w:val="0"/>
          <w:numId w:val="35"/>
        </w:numPr>
        <w:spacing w:before="0" w:after="0" w:line="0" w:lineRule="atLeast"/>
        <w:contextualSpacing/>
        <w:rPr>
          <w:rFonts w:ascii="Times New Roman" w:eastAsia="Times New Roman" w:hAnsi="Times New Roman" w:cs="Times New Roman"/>
          <w:bCs/>
          <w:sz w:val="24"/>
          <w:szCs w:val="24"/>
        </w:rPr>
      </w:pPr>
      <w:r w:rsidRPr="005945D5">
        <w:rPr>
          <w:rFonts w:ascii="Times New Roman" w:eastAsia="Times New Roman" w:hAnsi="Times New Roman" w:cs="Times New Roman"/>
          <w:bCs/>
          <w:i/>
          <w:sz w:val="24"/>
          <w:szCs w:val="24"/>
        </w:rPr>
        <w:t>Global Network for Resource Efficient and Cleaner Production</w:t>
      </w:r>
      <w:r w:rsidRPr="005945D5">
        <w:rPr>
          <w:rFonts w:ascii="Times New Roman" w:eastAsia="Times New Roman" w:hAnsi="Times New Roman" w:cs="Times New Roman"/>
          <w:bCs/>
          <w:sz w:val="24"/>
          <w:szCs w:val="24"/>
        </w:rPr>
        <w:t xml:space="preserve"> (RECPnet) </w:t>
      </w:r>
      <w:r>
        <w:rPr>
          <w:rFonts w:ascii="Times New Roman" w:eastAsia="Times New Roman" w:hAnsi="Times New Roman" w:cs="Times New Roman"/>
          <w:bCs/>
          <w:sz w:val="24"/>
          <w:szCs w:val="24"/>
        </w:rPr>
        <w:t>–</w:t>
      </w:r>
      <w:r w:rsidRPr="005945D5">
        <w:rPr>
          <w:rFonts w:ascii="Times New Roman" w:eastAsia="Times New Roman" w:hAnsi="Times New Roman" w:cs="Times New Roman"/>
          <w:bCs/>
          <w:sz w:val="24"/>
          <w:szCs w:val="24"/>
        </w:rPr>
        <w:t xml:space="preserve"> Georgia</w:t>
      </w:r>
      <w:r>
        <w:rPr>
          <w:rFonts w:ascii="Times New Roman" w:eastAsia="Times New Roman" w:hAnsi="Times New Roman" w:cs="Times New Roman"/>
          <w:bCs/>
          <w:sz w:val="24"/>
          <w:szCs w:val="24"/>
        </w:rPr>
        <w:t xml:space="preserve"> became an</w:t>
      </w:r>
      <w:r w:rsidRPr="005945D5">
        <w:rPr>
          <w:rFonts w:ascii="Times New Roman" w:eastAsia="Times New Roman" w:hAnsi="Times New Roman" w:cs="Times New Roman"/>
          <w:bCs/>
          <w:sz w:val="24"/>
          <w:szCs w:val="24"/>
        </w:rPr>
        <w:t xml:space="preserve"> Observer </w:t>
      </w:r>
      <w:r>
        <w:rPr>
          <w:rFonts w:ascii="Times New Roman" w:eastAsia="Times New Roman" w:hAnsi="Times New Roman" w:cs="Times New Roman"/>
          <w:bCs/>
          <w:sz w:val="24"/>
          <w:szCs w:val="24"/>
        </w:rPr>
        <w:t>M</w:t>
      </w:r>
      <w:r w:rsidRPr="005945D5">
        <w:rPr>
          <w:rFonts w:ascii="Times New Roman" w:eastAsia="Times New Roman" w:hAnsi="Times New Roman" w:cs="Times New Roman"/>
          <w:bCs/>
          <w:sz w:val="24"/>
          <w:szCs w:val="24"/>
        </w:rPr>
        <w:t>ember in December 2015</w:t>
      </w:r>
      <w:r w:rsidR="00C6290F">
        <w:rPr>
          <w:rFonts w:ascii="Times New Roman" w:eastAsia="Times New Roman" w:hAnsi="Times New Roman" w:cs="Times New Roman"/>
          <w:bCs/>
          <w:sz w:val="24"/>
          <w:szCs w:val="24"/>
        </w:rPr>
        <w:t>.</w:t>
      </w:r>
    </w:p>
    <w:p w14:paraId="0CC28F7B" w14:textId="77777777" w:rsidR="00DD34F2" w:rsidRDefault="00DD34F2" w:rsidP="00C6290F">
      <w:pPr>
        <w:pStyle w:val="Heading2"/>
      </w:pPr>
      <w:bookmarkStart w:id="13" w:name="_Toc461093906"/>
      <w:r>
        <w:t>Energy Efficiency Responsibilities</w:t>
      </w:r>
      <w:bookmarkEnd w:id="13"/>
    </w:p>
    <w:p w14:paraId="1F07298B" w14:textId="77777777" w:rsidR="00DD34F2" w:rsidRDefault="00FC2288" w:rsidP="00DD34F2">
      <w:r>
        <w:t xml:space="preserve">A number of ministries share </w:t>
      </w:r>
      <w:r w:rsidR="00DD34F2">
        <w:t xml:space="preserve">responsibilities related to policy development and implementation of </w:t>
      </w:r>
      <w:r w:rsidR="00FC66F0">
        <w:t>EE</w:t>
      </w:r>
      <w:r w:rsidR="00DD34F2">
        <w:t xml:space="preserve">. </w:t>
      </w:r>
    </w:p>
    <w:p w14:paraId="70D17463" w14:textId="77777777" w:rsidR="00DD34F2" w:rsidRDefault="00DD34F2" w:rsidP="00DD34F2">
      <w:pPr>
        <w:rPr>
          <w:szCs w:val="24"/>
        </w:rPr>
      </w:pPr>
      <w:r w:rsidRPr="00DD34F2">
        <w:rPr>
          <w:b/>
          <w:bCs/>
          <w:i/>
          <w:szCs w:val="24"/>
        </w:rPr>
        <w:t>The Ministry of Energy (MOE)</w:t>
      </w:r>
      <w:r w:rsidRPr="0022782C">
        <w:rPr>
          <w:bCs/>
          <w:szCs w:val="24"/>
        </w:rPr>
        <w:t xml:space="preserve"> </w:t>
      </w:r>
      <w:r w:rsidRPr="0022782C">
        <w:rPr>
          <w:szCs w:val="24"/>
        </w:rPr>
        <w:t>has primary responsibility over</w:t>
      </w:r>
      <w:r>
        <w:rPr>
          <w:szCs w:val="24"/>
        </w:rPr>
        <w:t xml:space="preserve"> policy in the energy sector. MO</w:t>
      </w:r>
      <w:r w:rsidRPr="0022782C">
        <w:rPr>
          <w:szCs w:val="24"/>
        </w:rPr>
        <w:t>E is in charge of drafting the national energy policy and submitting it to the Parliament for approval, and for developing and implementing short-, medium- and long-term strategies and priorities for the power sector of the country. MOE participates in the Energy C</w:t>
      </w:r>
      <w:r w:rsidR="00FC66F0">
        <w:rPr>
          <w:szCs w:val="24"/>
        </w:rPr>
        <w:t>ommunity</w:t>
      </w:r>
      <w:r w:rsidRPr="0022782C">
        <w:rPr>
          <w:szCs w:val="24"/>
        </w:rPr>
        <w:t xml:space="preserve"> Secretariat (ECS) </w:t>
      </w:r>
      <w:r w:rsidR="00FC66F0">
        <w:rPr>
          <w:szCs w:val="24"/>
        </w:rPr>
        <w:t>EE</w:t>
      </w:r>
      <w:r w:rsidRPr="0022782C">
        <w:rPr>
          <w:szCs w:val="24"/>
        </w:rPr>
        <w:t xml:space="preserve"> </w:t>
      </w:r>
      <w:r w:rsidR="00FC66F0">
        <w:rPr>
          <w:szCs w:val="24"/>
        </w:rPr>
        <w:t xml:space="preserve">coordination group </w:t>
      </w:r>
      <w:r w:rsidRPr="0022782C">
        <w:rPr>
          <w:szCs w:val="24"/>
        </w:rPr>
        <w:t xml:space="preserve">meetings as </w:t>
      </w:r>
      <w:r w:rsidR="00955C18">
        <w:rPr>
          <w:szCs w:val="24"/>
        </w:rPr>
        <w:t xml:space="preserve">a candidate country, </w:t>
      </w:r>
      <w:r w:rsidR="002364B9">
        <w:rPr>
          <w:szCs w:val="24"/>
        </w:rPr>
        <w:t>with the goal of</w:t>
      </w:r>
      <w:r w:rsidRPr="0022782C">
        <w:rPr>
          <w:szCs w:val="24"/>
        </w:rPr>
        <w:t xml:space="preserve"> full member</w:t>
      </w:r>
      <w:r w:rsidR="002364B9">
        <w:rPr>
          <w:szCs w:val="24"/>
        </w:rPr>
        <w:t>ship</w:t>
      </w:r>
      <w:r w:rsidRPr="0022782C">
        <w:rPr>
          <w:szCs w:val="24"/>
        </w:rPr>
        <w:t xml:space="preserve">. </w:t>
      </w:r>
    </w:p>
    <w:p w14:paraId="2E6AF154" w14:textId="77777777" w:rsidR="00DD34F2" w:rsidRDefault="00DD34F2" w:rsidP="00DD34F2">
      <w:pPr>
        <w:rPr>
          <w:szCs w:val="24"/>
        </w:rPr>
      </w:pPr>
      <w:r w:rsidRPr="00DD34F2">
        <w:rPr>
          <w:b/>
          <w:i/>
          <w:szCs w:val="24"/>
        </w:rPr>
        <w:t>The Ministry of Economy and Sustainable Development (M</w:t>
      </w:r>
      <w:r w:rsidR="00A43310">
        <w:rPr>
          <w:b/>
          <w:i/>
          <w:szCs w:val="24"/>
        </w:rPr>
        <w:t>o</w:t>
      </w:r>
      <w:r w:rsidRPr="00DD34F2">
        <w:rPr>
          <w:b/>
          <w:i/>
          <w:szCs w:val="24"/>
        </w:rPr>
        <w:t>ESD)</w:t>
      </w:r>
      <w:r>
        <w:rPr>
          <w:szCs w:val="24"/>
        </w:rPr>
        <w:t xml:space="preserve">, through its </w:t>
      </w:r>
      <w:r w:rsidRPr="002E14A9">
        <w:rPr>
          <w:szCs w:val="24"/>
        </w:rPr>
        <w:t xml:space="preserve">Spatial Planning &amp; Construction Policy Department, is responsible for defining, </w:t>
      </w:r>
      <w:r w:rsidR="002364B9" w:rsidRPr="002E14A9">
        <w:rPr>
          <w:szCs w:val="24"/>
        </w:rPr>
        <w:t>implement</w:t>
      </w:r>
      <w:r w:rsidR="002364B9">
        <w:rPr>
          <w:szCs w:val="24"/>
        </w:rPr>
        <w:t>ing</w:t>
      </w:r>
      <w:r w:rsidRPr="002E14A9">
        <w:rPr>
          <w:szCs w:val="24"/>
        </w:rPr>
        <w:t xml:space="preserve">, </w:t>
      </w:r>
      <w:r w:rsidR="002364B9" w:rsidRPr="002E14A9">
        <w:rPr>
          <w:szCs w:val="24"/>
        </w:rPr>
        <w:t>coordinati</w:t>
      </w:r>
      <w:r w:rsidR="002364B9">
        <w:rPr>
          <w:szCs w:val="24"/>
        </w:rPr>
        <w:t>ng</w:t>
      </w:r>
      <w:r w:rsidRPr="002E14A9">
        <w:rPr>
          <w:szCs w:val="24"/>
        </w:rPr>
        <w:t>, managing and mon</w:t>
      </w:r>
      <w:r>
        <w:rPr>
          <w:szCs w:val="24"/>
        </w:rPr>
        <w:t>itoring policy in the field of s</w:t>
      </w:r>
      <w:r w:rsidRPr="002E14A9">
        <w:rPr>
          <w:szCs w:val="24"/>
        </w:rPr>
        <w:t xml:space="preserve">patial </w:t>
      </w:r>
      <w:r>
        <w:rPr>
          <w:szCs w:val="24"/>
        </w:rPr>
        <w:t>p</w:t>
      </w:r>
      <w:r w:rsidRPr="002E14A9">
        <w:rPr>
          <w:szCs w:val="24"/>
        </w:rPr>
        <w:t>lanning an</w:t>
      </w:r>
      <w:r>
        <w:rPr>
          <w:szCs w:val="24"/>
        </w:rPr>
        <w:t>d c</w:t>
      </w:r>
      <w:r w:rsidRPr="002E14A9">
        <w:rPr>
          <w:szCs w:val="24"/>
        </w:rPr>
        <w:t xml:space="preserve">onstruction </w:t>
      </w:r>
      <w:r w:rsidR="0038764C">
        <w:rPr>
          <w:szCs w:val="24"/>
        </w:rPr>
        <w:t>a</w:t>
      </w:r>
      <w:r w:rsidRPr="002E14A9">
        <w:rPr>
          <w:szCs w:val="24"/>
        </w:rPr>
        <w:t xml:space="preserve">ctivities. Within </w:t>
      </w:r>
      <w:r>
        <w:rPr>
          <w:szCs w:val="24"/>
        </w:rPr>
        <w:t xml:space="preserve">this </w:t>
      </w:r>
      <w:r w:rsidRPr="002E14A9">
        <w:rPr>
          <w:szCs w:val="24"/>
        </w:rPr>
        <w:t>Ministry, the Technical and Construction Supervision Agency</w:t>
      </w:r>
      <w:r w:rsidR="0038764C">
        <w:rPr>
          <w:szCs w:val="24"/>
        </w:rPr>
        <w:t xml:space="preserve"> </w:t>
      </w:r>
      <w:r w:rsidRPr="002E14A9">
        <w:rPr>
          <w:szCs w:val="24"/>
        </w:rPr>
        <w:t>is responsible for issuing special construction permits and related supervision of the buildings and public infrastructure in the highest risk category</w:t>
      </w:r>
      <w:r>
        <w:rPr>
          <w:szCs w:val="24"/>
        </w:rPr>
        <w:t>.</w:t>
      </w:r>
      <w:r w:rsidRPr="002E14A9">
        <w:rPr>
          <w:szCs w:val="24"/>
        </w:rPr>
        <w:t xml:space="preserve"> </w:t>
      </w:r>
    </w:p>
    <w:p w14:paraId="57B8E4A1" w14:textId="77777777" w:rsidR="00DD34F2" w:rsidRDefault="00DD34F2" w:rsidP="00DD34F2">
      <w:r w:rsidRPr="00DD34F2">
        <w:rPr>
          <w:b/>
          <w:i/>
        </w:rPr>
        <w:t>The Ministry of Environment and Natural Resources Protection</w:t>
      </w:r>
      <w:r>
        <w:rPr>
          <w:b/>
          <w:i/>
        </w:rPr>
        <w:t xml:space="preserve"> (MENRP)</w:t>
      </w:r>
      <w:r>
        <w:rPr>
          <w:b/>
        </w:rPr>
        <w:t xml:space="preserve"> </w:t>
      </w:r>
      <w:r w:rsidRPr="00DD34F2">
        <w:t xml:space="preserve">is </w:t>
      </w:r>
      <w:r>
        <w:t>the l</w:t>
      </w:r>
      <w:r w:rsidRPr="002E14A9">
        <w:t>ead</w:t>
      </w:r>
      <w:r>
        <w:t xml:space="preserve"> </w:t>
      </w:r>
      <w:r w:rsidR="00B52F45">
        <w:t>agency for</w:t>
      </w:r>
      <w:r w:rsidRPr="002E14A9">
        <w:t xml:space="preserve"> </w:t>
      </w:r>
      <w:r w:rsidR="0038764C">
        <w:t xml:space="preserve">the </w:t>
      </w:r>
      <w:r w:rsidRPr="002E14A9">
        <w:t>introduction of Strategic Environmental Assessment (SEA), and the Government counterpart for the Global Network for Resource Efficient and Cleaner Production (RECPNet)</w:t>
      </w:r>
      <w:r>
        <w:t xml:space="preserve">, and RECP demonstration program </w:t>
      </w:r>
      <w:r w:rsidRPr="00D911C2">
        <w:t>“Greening Economies in the E</w:t>
      </w:r>
      <w:r>
        <w:t>uropean Union’s Eastern Neighbo</w:t>
      </w:r>
      <w:r w:rsidRPr="00D911C2">
        <w:t>rhood”</w:t>
      </w:r>
      <w:r w:rsidR="00FC66F0">
        <w:t>.</w:t>
      </w:r>
      <w:r w:rsidRPr="00D911C2">
        <w:t xml:space="preserve"> </w:t>
      </w:r>
    </w:p>
    <w:p w14:paraId="6B27C868" w14:textId="77777777" w:rsidR="0064446C" w:rsidRPr="00DD34F2" w:rsidRDefault="00DD34F2" w:rsidP="0064446C">
      <w:r w:rsidRPr="00DD34F2">
        <w:rPr>
          <w:b/>
          <w:i/>
          <w:szCs w:val="24"/>
        </w:rPr>
        <w:t>The Ministry of Regional Development and Infrastructure (MRDI)</w:t>
      </w:r>
      <w:r w:rsidRPr="002E14A9">
        <w:rPr>
          <w:b/>
          <w:szCs w:val="24"/>
        </w:rPr>
        <w:t xml:space="preserve"> </w:t>
      </w:r>
      <w:r w:rsidRPr="002E14A9">
        <w:rPr>
          <w:szCs w:val="24"/>
        </w:rPr>
        <w:t xml:space="preserve">is </w:t>
      </w:r>
      <w:r w:rsidR="0064446C">
        <w:rPr>
          <w:szCs w:val="24"/>
        </w:rPr>
        <w:t>responsible for the development of international and secondary roads, water supply systems</w:t>
      </w:r>
      <w:r w:rsidR="0038764C">
        <w:rPr>
          <w:szCs w:val="24"/>
        </w:rPr>
        <w:t>,</w:t>
      </w:r>
      <w:r w:rsidR="0064446C">
        <w:rPr>
          <w:szCs w:val="24"/>
        </w:rPr>
        <w:t xml:space="preserve"> and other regional and municipal infrastructure. MRDI is </w:t>
      </w:r>
      <w:r w:rsidRPr="002E14A9">
        <w:rPr>
          <w:szCs w:val="24"/>
        </w:rPr>
        <w:t xml:space="preserve">currently planning about 189 km of new highways in Georgia, to be financed by JICA, ADB and the </w:t>
      </w:r>
      <w:r w:rsidR="0038764C">
        <w:rPr>
          <w:szCs w:val="24"/>
        </w:rPr>
        <w:t xml:space="preserve">World </w:t>
      </w:r>
      <w:r w:rsidRPr="002E14A9">
        <w:rPr>
          <w:szCs w:val="24"/>
        </w:rPr>
        <w:t xml:space="preserve">Bank. They are planning to install LEDs </w:t>
      </w:r>
      <w:r>
        <w:rPr>
          <w:szCs w:val="24"/>
        </w:rPr>
        <w:t xml:space="preserve">in </w:t>
      </w:r>
      <w:r w:rsidRPr="002E14A9">
        <w:rPr>
          <w:szCs w:val="24"/>
        </w:rPr>
        <w:t xml:space="preserve">all of </w:t>
      </w:r>
      <w:r>
        <w:rPr>
          <w:szCs w:val="24"/>
        </w:rPr>
        <w:t>these.</w:t>
      </w:r>
      <w:r w:rsidR="0064446C">
        <w:rPr>
          <w:szCs w:val="24"/>
        </w:rPr>
        <w:t xml:space="preserve"> MRDI is home to the </w:t>
      </w:r>
      <w:r w:rsidR="0064446C" w:rsidRPr="0064446C">
        <w:rPr>
          <w:b/>
          <w:i/>
          <w:szCs w:val="24"/>
        </w:rPr>
        <w:t>Municipal Development Fund</w:t>
      </w:r>
      <w:r w:rsidR="0064446C" w:rsidRPr="0064446C">
        <w:rPr>
          <w:szCs w:val="24"/>
        </w:rPr>
        <w:t xml:space="preserve"> </w:t>
      </w:r>
      <w:r w:rsidR="0064446C" w:rsidRPr="00F8782E">
        <w:rPr>
          <w:rFonts w:cs="Calibri"/>
          <w:b/>
          <w:i/>
          <w:szCs w:val="22"/>
          <w:lang w:val="en-GB" w:eastAsia="de-DE"/>
        </w:rPr>
        <w:t>(MDF</w:t>
      </w:r>
      <w:r w:rsidR="0064446C">
        <w:rPr>
          <w:rFonts w:cs="Calibri"/>
          <w:b/>
          <w:i/>
          <w:szCs w:val="22"/>
          <w:lang w:val="en-GB" w:eastAsia="de-DE"/>
        </w:rPr>
        <w:t>)</w:t>
      </w:r>
      <w:r w:rsidR="0064446C" w:rsidRPr="00580FF5">
        <w:rPr>
          <w:rFonts w:cs="Calibri"/>
          <w:szCs w:val="22"/>
          <w:lang w:val="en-GB" w:eastAsia="de-DE"/>
        </w:rPr>
        <w:t>, established in 1997</w:t>
      </w:r>
      <w:r w:rsidR="0064446C">
        <w:rPr>
          <w:rFonts w:cs="Calibri"/>
          <w:szCs w:val="22"/>
          <w:lang w:val="en-GB" w:eastAsia="de-DE"/>
        </w:rPr>
        <w:t xml:space="preserve"> as</w:t>
      </w:r>
      <w:r w:rsidR="0064446C" w:rsidRPr="00580FF5">
        <w:rPr>
          <w:rFonts w:cs="Calibri"/>
          <w:szCs w:val="22"/>
          <w:lang w:val="en-GB" w:eastAsia="de-DE"/>
        </w:rPr>
        <w:t xml:space="preserve"> a public entity</w:t>
      </w:r>
      <w:r w:rsidR="0064446C">
        <w:rPr>
          <w:rFonts w:cs="Calibri"/>
          <w:szCs w:val="22"/>
          <w:lang w:val="en-GB" w:eastAsia="de-DE"/>
        </w:rPr>
        <w:t xml:space="preserve"> whose objective is to </w:t>
      </w:r>
      <w:r w:rsidR="0064446C" w:rsidRPr="00580FF5">
        <w:rPr>
          <w:rFonts w:cs="Calibri"/>
          <w:lang w:val="en-GB"/>
        </w:rPr>
        <w:t>strengthen institutional and financial capacity of local government units.</w:t>
      </w:r>
      <w:r w:rsidR="0064446C">
        <w:rPr>
          <w:rStyle w:val="FootnoteReference"/>
          <w:rFonts w:cs="Calibri"/>
          <w:lang w:val="en-GB"/>
        </w:rPr>
        <w:footnoteReference w:id="10"/>
      </w:r>
      <w:r w:rsidR="0064446C">
        <w:rPr>
          <w:rFonts w:cs="Calibri"/>
          <w:lang w:val="en-GB"/>
        </w:rPr>
        <w:t xml:space="preserve"> </w:t>
      </w:r>
      <w:r w:rsidR="0064446C" w:rsidRPr="00580FF5">
        <w:rPr>
          <w:rFonts w:cs="Calibri"/>
          <w:szCs w:val="22"/>
          <w:lang w:val="en-GB" w:eastAsia="de-DE"/>
        </w:rPr>
        <w:t xml:space="preserve">The MDF cooperates with many of the major international donors for climate and development finance, including the World Bank, EBRD, ADB, KfW, </w:t>
      </w:r>
      <w:r w:rsidR="00121F19" w:rsidRPr="00121F19">
        <w:rPr>
          <w:rFonts w:cs="Calibri"/>
          <w:szCs w:val="22"/>
          <w:lang w:val="en-GB" w:eastAsia="de-DE"/>
        </w:rPr>
        <w:t>United States Agency for International Development (USAID)</w:t>
      </w:r>
      <w:r w:rsidR="0064446C" w:rsidRPr="00580FF5">
        <w:rPr>
          <w:rFonts w:cs="Calibri"/>
          <w:szCs w:val="22"/>
          <w:lang w:val="en-GB" w:eastAsia="de-DE"/>
        </w:rPr>
        <w:t xml:space="preserve">, UNDP, </w:t>
      </w:r>
      <w:r w:rsidR="00121F19" w:rsidRPr="00121F19">
        <w:rPr>
          <w:rFonts w:cs="Calibri"/>
          <w:szCs w:val="22"/>
          <w:lang w:val="en-GB" w:eastAsia="de-DE"/>
        </w:rPr>
        <w:t>Swedish International Development Agency (SIDA)</w:t>
      </w:r>
      <w:r w:rsidR="0064446C" w:rsidRPr="00580FF5">
        <w:rPr>
          <w:rFonts w:cs="Calibri"/>
          <w:szCs w:val="22"/>
          <w:lang w:val="en-GB" w:eastAsia="de-DE"/>
        </w:rPr>
        <w:t>, as well as a number of national governments.</w:t>
      </w:r>
      <w:r w:rsidR="0064446C">
        <w:rPr>
          <w:rFonts w:cs="Calibri"/>
          <w:szCs w:val="22"/>
          <w:lang w:val="en-GB" w:eastAsia="de-DE"/>
        </w:rPr>
        <w:t xml:space="preserve"> MDF has</w:t>
      </w:r>
      <w:r w:rsidR="0064446C" w:rsidRPr="00580FF5">
        <w:rPr>
          <w:rFonts w:cs="Calibri"/>
          <w:szCs w:val="22"/>
          <w:lang w:val="en-GB"/>
        </w:rPr>
        <w:t xml:space="preserve"> implemented </w:t>
      </w:r>
      <w:r w:rsidR="00594D82">
        <w:rPr>
          <w:rFonts w:cs="Calibri"/>
          <w:szCs w:val="22"/>
          <w:lang w:val="en-GB"/>
        </w:rPr>
        <w:t>15</w:t>
      </w:r>
      <w:r w:rsidR="00594D82" w:rsidRPr="00580FF5">
        <w:rPr>
          <w:rFonts w:cs="Calibri"/>
          <w:szCs w:val="22"/>
          <w:lang w:val="en-GB"/>
        </w:rPr>
        <w:t xml:space="preserve"> </w:t>
      </w:r>
      <w:r w:rsidR="0064446C" w:rsidRPr="00580FF5">
        <w:rPr>
          <w:rFonts w:cs="Calibri"/>
          <w:szCs w:val="22"/>
          <w:lang w:val="en-GB"/>
        </w:rPr>
        <w:t>projects in the building sector since 2013, including renovations of municipal buildings</w:t>
      </w:r>
      <w:r w:rsidR="0064446C">
        <w:rPr>
          <w:rFonts w:cs="Calibri"/>
          <w:szCs w:val="22"/>
          <w:lang w:val="en-GB"/>
        </w:rPr>
        <w:t xml:space="preserve">, and renovated a few street lighting systems. </w:t>
      </w:r>
    </w:p>
    <w:p w14:paraId="70402867" w14:textId="77777777" w:rsidR="00DD34F2" w:rsidRDefault="00DD34F2" w:rsidP="00DD34F2">
      <w:pPr>
        <w:rPr>
          <w:szCs w:val="24"/>
        </w:rPr>
      </w:pPr>
      <w:r w:rsidRPr="00DD34F2">
        <w:rPr>
          <w:b/>
          <w:i/>
          <w:szCs w:val="24"/>
        </w:rPr>
        <w:t>The Energy Efficiency Center (EEC)</w:t>
      </w:r>
      <w:r>
        <w:rPr>
          <w:b/>
          <w:i/>
          <w:szCs w:val="24"/>
        </w:rPr>
        <w:t xml:space="preserve">, </w:t>
      </w:r>
      <w:r w:rsidRPr="00DD34F2">
        <w:rPr>
          <w:szCs w:val="24"/>
        </w:rPr>
        <w:t>c</w:t>
      </w:r>
      <w:r w:rsidRPr="002E14A9">
        <w:rPr>
          <w:szCs w:val="24"/>
        </w:rPr>
        <w:t>reated in 1998 by the EU,</w:t>
      </w:r>
      <w:r w:rsidR="00F8782E" w:rsidRPr="00F8782E">
        <w:rPr>
          <w:rStyle w:val="FootnoteReference"/>
          <w:szCs w:val="24"/>
        </w:rPr>
        <w:t xml:space="preserve"> </w:t>
      </w:r>
      <w:r w:rsidR="00F8782E" w:rsidRPr="00DD34F2">
        <w:rPr>
          <w:rStyle w:val="FootnoteReference"/>
          <w:szCs w:val="24"/>
        </w:rPr>
        <w:footnoteReference w:id="11"/>
      </w:r>
      <w:r w:rsidRPr="002E14A9">
        <w:rPr>
          <w:szCs w:val="24"/>
        </w:rPr>
        <w:t xml:space="preserve"> the EEC is a leading NGO in Georgia dedicated to promotion of energy efficiency and renewable energy policies though policy development and public awareness </w:t>
      </w:r>
      <w:r w:rsidRPr="0042634A">
        <w:rPr>
          <w:szCs w:val="24"/>
        </w:rPr>
        <w:t xml:space="preserve">activities. </w:t>
      </w:r>
      <w:r w:rsidRPr="00F85DC3">
        <w:rPr>
          <w:szCs w:val="24"/>
        </w:rPr>
        <w:t xml:space="preserve">EEC is </w:t>
      </w:r>
      <w:r>
        <w:rPr>
          <w:szCs w:val="24"/>
        </w:rPr>
        <w:t xml:space="preserve">a member of several international organizations, including </w:t>
      </w:r>
      <w:r w:rsidR="00594D82">
        <w:rPr>
          <w:szCs w:val="24"/>
        </w:rPr>
        <w:t xml:space="preserve">the </w:t>
      </w:r>
      <w:r w:rsidRPr="0042634A">
        <w:rPr>
          <w:szCs w:val="24"/>
        </w:rPr>
        <w:t>European Council for an Energy-Efficient Economy (ECEEE)</w:t>
      </w:r>
      <w:r>
        <w:rPr>
          <w:szCs w:val="24"/>
        </w:rPr>
        <w:t xml:space="preserve"> and is a</w:t>
      </w:r>
      <w:r w:rsidRPr="00F85DC3">
        <w:rPr>
          <w:szCs w:val="24"/>
        </w:rPr>
        <w:t xml:space="preserve"> supporter of </w:t>
      </w:r>
      <w:r w:rsidR="00594D82">
        <w:rPr>
          <w:szCs w:val="24"/>
        </w:rPr>
        <w:t>the CoM</w:t>
      </w:r>
      <w:r>
        <w:rPr>
          <w:szCs w:val="24"/>
        </w:rPr>
        <w:t xml:space="preserve">. Since its </w:t>
      </w:r>
      <w:r w:rsidRPr="0042634A">
        <w:rPr>
          <w:szCs w:val="24"/>
        </w:rPr>
        <w:t xml:space="preserve">establishment, </w:t>
      </w:r>
      <w:r>
        <w:rPr>
          <w:szCs w:val="24"/>
        </w:rPr>
        <w:t>EEC has</w:t>
      </w:r>
      <w:r w:rsidRPr="0042634A">
        <w:rPr>
          <w:szCs w:val="24"/>
        </w:rPr>
        <w:t xml:space="preserve"> been the main local partner for donor-funded </w:t>
      </w:r>
      <w:r w:rsidR="00594D82">
        <w:rPr>
          <w:szCs w:val="24"/>
        </w:rPr>
        <w:t>TA</w:t>
      </w:r>
      <w:r w:rsidRPr="0042634A">
        <w:rPr>
          <w:szCs w:val="24"/>
        </w:rPr>
        <w:t xml:space="preserve"> projects and frequently work</w:t>
      </w:r>
      <w:r w:rsidR="002364B9">
        <w:rPr>
          <w:szCs w:val="24"/>
        </w:rPr>
        <w:t>s</w:t>
      </w:r>
      <w:r w:rsidRPr="0042634A">
        <w:rPr>
          <w:szCs w:val="24"/>
        </w:rPr>
        <w:t xml:space="preserve"> with </w:t>
      </w:r>
      <w:r w:rsidR="00594D82">
        <w:rPr>
          <w:szCs w:val="24"/>
        </w:rPr>
        <w:t>the g</w:t>
      </w:r>
      <w:r w:rsidRPr="0042634A">
        <w:rPr>
          <w:szCs w:val="24"/>
        </w:rPr>
        <w:t>overnment and the private sector.</w:t>
      </w:r>
      <w:r w:rsidRPr="002E14A9">
        <w:rPr>
          <w:szCs w:val="24"/>
        </w:rPr>
        <w:t xml:space="preserve"> </w:t>
      </w:r>
      <w:r w:rsidR="00F8782E">
        <w:rPr>
          <w:szCs w:val="24"/>
        </w:rPr>
        <w:t>EEC is a major contributor to the development of the NEEAP.</w:t>
      </w:r>
    </w:p>
    <w:p w14:paraId="685AE38A" w14:textId="77777777" w:rsidR="00C6290F" w:rsidRPr="00650B0F" w:rsidRDefault="00C6290F" w:rsidP="00C6290F">
      <w:pPr>
        <w:pStyle w:val="Heading2"/>
        <w:rPr>
          <w:strike/>
          <w:sz w:val="20"/>
        </w:rPr>
      </w:pPr>
      <w:bookmarkStart w:id="14" w:name="_Toc461093907"/>
      <w:r>
        <w:t>Activities Related to Energy Efficiency</w:t>
      </w:r>
      <w:bookmarkEnd w:id="14"/>
      <w:r w:rsidRPr="00381D80">
        <w:t xml:space="preserve"> </w:t>
      </w:r>
    </w:p>
    <w:p w14:paraId="01D8032C" w14:textId="77777777" w:rsidR="00C6290F" w:rsidRPr="00650B0F" w:rsidRDefault="00C6290F" w:rsidP="00C6290F">
      <w:pPr>
        <w:rPr>
          <w:szCs w:val="24"/>
        </w:rPr>
      </w:pPr>
      <w:r w:rsidRPr="008C5427">
        <w:rPr>
          <w:szCs w:val="24"/>
        </w:rPr>
        <w:t xml:space="preserve">Georgia </w:t>
      </w:r>
      <w:r w:rsidR="002364B9">
        <w:rPr>
          <w:szCs w:val="24"/>
        </w:rPr>
        <w:t>has not yet</w:t>
      </w:r>
      <w:r w:rsidRPr="008C5427">
        <w:rPr>
          <w:szCs w:val="24"/>
        </w:rPr>
        <w:t xml:space="preserve"> formulated </w:t>
      </w:r>
      <w:r w:rsidR="002364B9">
        <w:rPr>
          <w:szCs w:val="24"/>
        </w:rPr>
        <w:t xml:space="preserve">an </w:t>
      </w:r>
      <w:r w:rsidR="001C2537">
        <w:rPr>
          <w:szCs w:val="24"/>
        </w:rPr>
        <w:t>EE</w:t>
      </w:r>
      <w:r w:rsidRPr="008C5427">
        <w:rPr>
          <w:szCs w:val="24"/>
        </w:rPr>
        <w:t xml:space="preserve"> policy</w:t>
      </w:r>
      <w:r>
        <w:rPr>
          <w:szCs w:val="24"/>
        </w:rPr>
        <w:t xml:space="preserve">. </w:t>
      </w:r>
      <w:r w:rsidRPr="00F1370D">
        <w:rPr>
          <w:rFonts w:eastAsia="Calibri"/>
          <w:color w:val="000000"/>
          <w:szCs w:val="24"/>
        </w:rPr>
        <w:t>The current energy sector policies and measures remain hydro</w:t>
      </w:r>
      <w:r w:rsidR="001C2537">
        <w:rPr>
          <w:rFonts w:eastAsia="Calibri"/>
          <w:color w:val="000000"/>
          <w:szCs w:val="24"/>
        </w:rPr>
        <w:t>-</w:t>
      </w:r>
      <w:r w:rsidRPr="00F1370D">
        <w:rPr>
          <w:rFonts w:eastAsia="Calibri"/>
          <w:color w:val="000000"/>
          <w:szCs w:val="24"/>
        </w:rPr>
        <w:t xml:space="preserve">centered as evidenced by energy sector priorities of </w:t>
      </w:r>
      <w:r w:rsidR="00594D82">
        <w:rPr>
          <w:rFonts w:eastAsia="Calibri"/>
          <w:color w:val="000000"/>
          <w:szCs w:val="24"/>
        </w:rPr>
        <w:t xml:space="preserve">the </w:t>
      </w:r>
      <w:r w:rsidR="002364B9">
        <w:rPr>
          <w:rFonts w:eastAsia="Calibri"/>
          <w:color w:val="000000"/>
          <w:szCs w:val="24"/>
        </w:rPr>
        <w:t>GOG</w:t>
      </w:r>
      <w:r w:rsidRPr="00F1370D">
        <w:rPr>
          <w:rFonts w:eastAsia="Calibri"/>
          <w:color w:val="000000"/>
          <w:szCs w:val="24"/>
        </w:rPr>
        <w:t xml:space="preserve"> for 2009-2012</w:t>
      </w:r>
      <w:r>
        <w:rPr>
          <w:rFonts w:eastAsia="Calibri"/>
          <w:color w:val="000000"/>
          <w:szCs w:val="24"/>
        </w:rPr>
        <w:t xml:space="preserve"> set out in the “Basic Data and </w:t>
      </w:r>
      <w:r w:rsidRPr="00F1370D">
        <w:rPr>
          <w:rFonts w:eastAsia="Calibri"/>
          <w:color w:val="000000"/>
          <w:szCs w:val="24"/>
        </w:rPr>
        <w:t>Directions for 2009-2012”</w:t>
      </w:r>
      <w:r w:rsidRPr="00F1370D">
        <w:rPr>
          <w:rFonts w:eastAsia="Calibri"/>
          <w:color w:val="000000"/>
          <w:szCs w:val="24"/>
          <w:vertAlign w:val="superscript"/>
        </w:rPr>
        <w:footnoteReference w:id="12"/>
      </w:r>
      <w:r>
        <w:rPr>
          <w:rFonts w:eastAsia="Calibri"/>
          <w:color w:val="000000"/>
          <w:szCs w:val="24"/>
        </w:rPr>
        <w:t xml:space="preserve"> </w:t>
      </w:r>
      <w:r w:rsidRPr="00F1370D">
        <w:rPr>
          <w:rFonts w:eastAsia="Calibri"/>
          <w:color w:val="000000"/>
          <w:szCs w:val="24"/>
        </w:rPr>
        <w:t xml:space="preserve">However, </w:t>
      </w:r>
      <w:r>
        <w:rPr>
          <w:rFonts w:eastAsia="Calibri"/>
          <w:color w:val="000000"/>
          <w:szCs w:val="24"/>
        </w:rPr>
        <w:t>a</w:t>
      </w:r>
      <w:r w:rsidRPr="00F1370D">
        <w:rPr>
          <w:rFonts w:eastAsia="Calibri"/>
          <w:color w:val="000000"/>
          <w:szCs w:val="24"/>
        </w:rPr>
        <w:t xml:space="preserve">ccording to </w:t>
      </w:r>
      <w:r w:rsidR="001B791E">
        <w:rPr>
          <w:rFonts w:eastAsia="Calibri"/>
          <w:color w:val="000000"/>
          <w:szCs w:val="24"/>
        </w:rPr>
        <w:t>MOE</w:t>
      </w:r>
      <w:r w:rsidR="001C2537">
        <w:rPr>
          <w:rFonts w:eastAsia="Calibri"/>
          <w:color w:val="000000"/>
          <w:szCs w:val="24"/>
        </w:rPr>
        <w:t>,</w:t>
      </w:r>
      <w:r w:rsidRPr="00F1370D">
        <w:rPr>
          <w:rFonts w:eastAsia="Calibri"/>
          <w:color w:val="000000"/>
          <w:szCs w:val="24"/>
        </w:rPr>
        <w:t xml:space="preserve"> </w:t>
      </w:r>
      <w:r>
        <w:rPr>
          <w:rFonts w:eastAsia="Calibri"/>
          <w:color w:val="000000"/>
          <w:szCs w:val="24"/>
        </w:rPr>
        <w:t>several</w:t>
      </w:r>
      <w:r w:rsidRPr="00F1370D">
        <w:rPr>
          <w:rFonts w:eastAsia="Calibri"/>
          <w:color w:val="000000"/>
          <w:szCs w:val="24"/>
        </w:rPr>
        <w:t xml:space="preserve"> documents that will define Georgia’s </w:t>
      </w:r>
      <w:r w:rsidR="001C2537">
        <w:rPr>
          <w:rFonts w:eastAsia="Calibri"/>
          <w:color w:val="000000"/>
          <w:szCs w:val="24"/>
        </w:rPr>
        <w:t>EE</w:t>
      </w:r>
      <w:r w:rsidRPr="00F1370D">
        <w:rPr>
          <w:rFonts w:eastAsia="Calibri"/>
          <w:color w:val="000000"/>
          <w:szCs w:val="24"/>
        </w:rPr>
        <w:t xml:space="preserve"> policy are forthcoming</w:t>
      </w:r>
      <w:r w:rsidR="00955C18">
        <w:rPr>
          <w:rStyle w:val="FootnoteReference"/>
          <w:rFonts w:eastAsia="Calibri"/>
          <w:color w:val="000000"/>
          <w:szCs w:val="24"/>
        </w:rPr>
        <w:footnoteReference w:id="13"/>
      </w:r>
      <w:r>
        <w:rPr>
          <w:rFonts w:eastAsia="Calibri"/>
          <w:color w:val="000000"/>
          <w:szCs w:val="24"/>
        </w:rPr>
        <w:t xml:space="preserve"> and t</w:t>
      </w:r>
      <w:r w:rsidRPr="00F1370D">
        <w:rPr>
          <w:rFonts w:eastAsia="Calibri"/>
          <w:color w:val="000000"/>
          <w:szCs w:val="24"/>
        </w:rPr>
        <w:t xml:space="preserve">he next </w:t>
      </w:r>
      <w:r>
        <w:rPr>
          <w:rFonts w:eastAsia="Calibri"/>
          <w:color w:val="000000"/>
          <w:szCs w:val="24"/>
        </w:rPr>
        <w:t>n</w:t>
      </w:r>
      <w:r w:rsidRPr="00F1370D">
        <w:rPr>
          <w:rFonts w:eastAsia="Calibri"/>
          <w:color w:val="000000"/>
          <w:szCs w:val="24"/>
        </w:rPr>
        <w:t xml:space="preserve">ational </w:t>
      </w:r>
      <w:r>
        <w:rPr>
          <w:rFonts w:eastAsia="Calibri"/>
          <w:color w:val="000000"/>
          <w:szCs w:val="24"/>
        </w:rPr>
        <w:t>e</w:t>
      </w:r>
      <w:r w:rsidRPr="00F1370D">
        <w:rPr>
          <w:rFonts w:eastAsia="Calibri"/>
          <w:color w:val="000000"/>
          <w:szCs w:val="24"/>
        </w:rPr>
        <w:t xml:space="preserve">nergy </w:t>
      </w:r>
      <w:r>
        <w:rPr>
          <w:rFonts w:eastAsia="Calibri"/>
          <w:color w:val="000000"/>
          <w:szCs w:val="24"/>
        </w:rPr>
        <w:t>s</w:t>
      </w:r>
      <w:r w:rsidRPr="00F1370D">
        <w:rPr>
          <w:rFonts w:eastAsia="Calibri"/>
          <w:color w:val="000000"/>
          <w:szCs w:val="24"/>
        </w:rPr>
        <w:t>trategy</w:t>
      </w:r>
      <w:r w:rsidR="00594D82">
        <w:rPr>
          <w:rFonts w:eastAsia="Calibri"/>
          <w:color w:val="000000"/>
          <w:szCs w:val="24"/>
        </w:rPr>
        <w:t xml:space="preserve"> </w:t>
      </w:r>
      <w:r>
        <w:rPr>
          <w:rFonts w:eastAsia="Calibri"/>
          <w:color w:val="000000"/>
          <w:szCs w:val="24"/>
        </w:rPr>
        <w:t xml:space="preserve">will </w:t>
      </w:r>
      <w:r w:rsidRPr="00F1370D">
        <w:rPr>
          <w:rFonts w:eastAsia="Calibri"/>
          <w:color w:val="000000"/>
          <w:szCs w:val="24"/>
        </w:rPr>
        <w:t>includ</w:t>
      </w:r>
      <w:r>
        <w:rPr>
          <w:rFonts w:eastAsia="Calibri"/>
          <w:color w:val="000000"/>
          <w:szCs w:val="24"/>
        </w:rPr>
        <w:t>e</w:t>
      </w:r>
      <w:r w:rsidRPr="00F1370D">
        <w:rPr>
          <w:rFonts w:eastAsia="Calibri"/>
          <w:color w:val="000000"/>
          <w:szCs w:val="24"/>
        </w:rPr>
        <w:t xml:space="preserve"> </w:t>
      </w:r>
      <w:r w:rsidR="001C2537">
        <w:rPr>
          <w:rFonts w:eastAsia="Calibri"/>
          <w:color w:val="000000"/>
          <w:szCs w:val="24"/>
        </w:rPr>
        <w:t>EE</w:t>
      </w:r>
      <w:r w:rsidRPr="00F1370D">
        <w:rPr>
          <w:rFonts w:eastAsia="Calibri"/>
          <w:color w:val="000000"/>
          <w:szCs w:val="24"/>
        </w:rPr>
        <w:t xml:space="preserve"> </w:t>
      </w:r>
      <w:r>
        <w:rPr>
          <w:rFonts w:eastAsia="Calibri"/>
          <w:color w:val="000000"/>
          <w:szCs w:val="24"/>
        </w:rPr>
        <w:t>policy.</w:t>
      </w:r>
      <w:r w:rsidRPr="00F1370D">
        <w:rPr>
          <w:rFonts w:eastAsia="Calibri"/>
          <w:color w:val="000000"/>
          <w:szCs w:val="24"/>
          <w:vertAlign w:val="superscript"/>
        </w:rPr>
        <w:footnoteReference w:id="14"/>
      </w:r>
      <w:r w:rsidRPr="00F1370D">
        <w:rPr>
          <w:rFonts w:eastAsia="Calibri"/>
          <w:color w:val="000000"/>
          <w:szCs w:val="24"/>
        </w:rPr>
        <w:t xml:space="preserve"> </w:t>
      </w:r>
      <w:r w:rsidRPr="00650B0F">
        <w:rPr>
          <w:szCs w:val="24"/>
        </w:rPr>
        <w:t xml:space="preserve">The engagement with the international institutions and obligations arising from international treaties suggest that the policy development process will proceed in </w:t>
      </w:r>
      <w:r w:rsidR="00121F19">
        <w:rPr>
          <w:szCs w:val="24"/>
        </w:rPr>
        <w:t>coordination</w:t>
      </w:r>
      <w:r w:rsidR="00121F19" w:rsidRPr="00650B0F">
        <w:rPr>
          <w:szCs w:val="24"/>
        </w:rPr>
        <w:t xml:space="preserve"> </w:t>
      </w:r>
      <w:r w:rsidRPr="00650B0F">
        <w:rPr>
          <w:szCs w:val="24"/>
        </w:rPr>
        <w:t xml:space="preserve">with international standards and EU recommendations. </w:t>
      </w:r>
    </w:p>
    <w:p w14:paraId="56FE60E3" w14:textId="77777777" w:rsidR="00690C9C" w:rsidRDefault="00C6290F" w:rsidP="00690C9C">
      <w:pPr>
        <w:pStyle w:val="Heading3"/>
      </w:pPr>
      <w:bookmarkStart w:id="15" w:name="_Toc461093908"/>
      <w:r w:rsidRPr="00690C9C">
        <w:rPr>
          <w:rFonts w:eastAsiaTheme="minorHAnsi"/>
        </w:rPr>
        <w:t>National Energy Efficiency Action Plan (NEEAP)</w:t>
      </w:r>
      <w:bookmarkEnd w:id="15"/>
      <w:r w:rsidRPr="008C5427">
        <w:t xml:space="preserve"> </w:t>
      </w:r>
    </w:p>
    <w:p w14:paraId="77D7BD41" w14:textId="77777777" w:rsidR="00E106E9" w:rsidRDefault="00C6290F" w:rsidP="00E106E9">
      <w:pPr>
        <w:rPr>
          <w:snapToGrid/>
        </w:rPr>
      </w:pPr>
      <w:r w:rsidRPr="00982D88">
        <w:rPr>
          <w:szCs w:val="24"/>
        </w:rPr>
        <w:t xml:space="preserve">Georgia is currently carrying out preparatory activities for its first NEEAP which should be finalized by the </w:t>
      </w:r>
      <w:r w:rsidR="00955C18">
        <w:rPr>
          <w:szCs w:val="24"/>
        </w:rPr>
        <w:t>Fall</w:t>
      </w:r>
      <w:r w:rsidRPr="00982D88">
        <w:rPr>
          <w:szCs w:val="24"/>
        </w:rPr>
        <w:t xml:space="preserve"> 2016</w:t>
      </w:r>
      <w:r w:rsidR="00690C9C" w:rsidRPr="00982D88">
        <w:rPr>
          <w:szCs w:val="24"/>
        </w:rPr>
        <w:t xml:space="preserve"> </w:t>
      </w:r>
      <w:r w:rsidR="00690C9C" w:rsidRPr="00982D88">
        <w:rPr>
          <w:snapToGrid/>
          <w:szCs w:val="24"/>
        </w:rPr>
        <w:t>(Arabidze 2016</w:t>
      </w:r>
      <w:r w:rsidR="00E106E9" w:rsidRPr="00982D88">
        <w:rPr>
          <w:snapToGrid/>
          <w:szCs w:val="24"/>
        </w:rPr>
        <w:t>a</w:t>
      </w:r>
      <w:r w:rsidR="00690C9C" w:rsidRPr="00982D88">
        <w:rPr>
          <w:snapToGrid/>
          <w:szCs w:val="24"/>
        </w:rPr>
        <w:t>)</w:t>
      </w:r>
      <w:r w:rsidR="00690C9C" w:rsidRPr="00982D88">
        <w:rPr>
          <w:szCs w:val="24"/>
        </w:rPr>
        <w:t>.</w:t>
      </w:r>
      <w:r w:rsidRPr="00982D88">
        <w:rPr>
          <w:szCs w:val="24"/>
        </w:rPr>
        <w:t xml:space="preserve"> </w:t>
      </w:r>
      <w:r w:rsidR="00982D88" w:rsidRPr="00982D88">
        <w:rPr>
          <w:szCs w:val="24"/>
        </w:rPr>
        <w:t xml:space="preserve">This effort is led by the </w:t>
      </w:r>
      <w:r w:rsidR="00121F19">
        <w:rPr>
          <w:szCs w:val="24"/>
        </w:rPr>
        <w:t>MOE</w:t>
      </w:r>
      <w:r w:rsidR="00982D88" w:rsidRPr="00982D88">
        <w:rPr>
          <w:szCs w:val="24"/>
        </w:rPr>
        <w:t xml:space="preserve"> with </w:t>
      </w:r>
      <w:r w:rsidR="00594D82">
        <w:rPr>
          <w:szCs w:val="24"/>
        </w:rPr>
        <w:t>TA</w:t>
      </w:r>
      <w:r w:rsidR="00982D88" w:rsidRPr="00982D88">
        <w:rPr>
          <w:snapToGrid/>
          <w:szCs w:val="24"/>
        </w:rPr>
        <w:t xml:space="preserve"> </w:t>
      </w:r>
      <w:r w:rsidR="00982D88" w:rsidRPr="00982D88">
        <w:rPr>
          <w:szCs w:val="24"/>
        </w:rPr>
        <w:t>from</w:t>
      </w:r>
      <w:r w:rsidR="00982D88" w:rsidRPr="00982D88">
        <w:rPr>
          <w:snapToGrid/>
          <w:szCs w:val="24"/>
        </w:rPr>
        <w:t xml:space="preserve"> </w:t>
      </w:r>
      <w:r w:rsidR="00982D88" w:rsidRPr="00982D88">
        <w:rPr>
          <w:bCs/>
          <w:snapToGrid/>
          <w:szCs w:val="24"/>
        </w:rPr>
        <w:t>EBRD</w:t>
      </w:r>
      <w:r w:rsidR="00982D88" w:rsidRPr="00982D88">
        <w:rPr>
          <w:b/>
          <w:bCs/>
          <w:snapToGrid/>
          <w:szCs w:val="24"/>
        </w:rPr>
        <w:t xml:space="preserve"> </w:t>
      </w:r>
      <w:r w:rsidR="00982D88" w:rsidRPr="00982D88">
        <w:rPr>
          <w:snapToGrid/>
          <w:szCs w:val="24"/>
        </w:rPr>
        <w:t xml:space="preserve">and financial support </w:t>
      </w:r>
      <w:r w:rsidR="00982D88" w:rsidRPr="00982D88">
        <w:rPr>
          <w:szCs w:val="24"/>
        </w:rPr>
        <w:t>from</w:t>
      </w:r>
      <w:r w:rsidR="00982D88" w:rsidRPr="00982D88">
        <w:rPr>
          <w:snapToGrid/>
          <w:szCs w:val="24"/>
        </w:rPr>
        <w:t xml:space="preserve"> </w:t>
      </w:r>
      <w:r w:rsidR="00982D88" w:rsidRPr="00982D88">
        <w:rPr>
          <w:bCs/>
          <w:snapToGrid/>
          <w:szCs w:val="24"/>
        </w:rPr>
        <w:t>SIDA</w:t>
      </w:r>
      <w:r w:rsidR="00982D88" w:rsidRPr="00982D88">
        <w:rPr>
          <w:snapToGrid/>
          <w:szCs w:val="24"/>
        </w:rPr>
        <w:t xml:space="preserve">. </w:t>
      </w:r>
      <w:r w:rsidR="00E106E9">
        <w:t>The NEEAP includes f</w:t>
      </w:r>
      <w:r w:rsidR="00E106E9" w:rsidRPr="00E106E9">
        <w:rPr>
          <w:snapToGrid/>
        </w:rPr>
        <w:t xml:space="preserve">inancing schemes for setting up an </w:t>
      </w:r>
      <w:r w:rsidR="001C2537">
        <w:rPr>
          <w:bCs/>
          <w:snapToGrid/>
        </w:rPr>
        <w:t>EE</w:t>
      </w:r>
      <w:r w:rsidR="00E106E9" w:rsidRPr="00E106E9">
        <w:rPr>
          <w:bCs/>
          <w:snapToGrid/>
        </w:rPr>
        <w:t xml:space="preserve"> </w:t>
      </w:r>
      <w:r w:rsidR="00982D88">
        <w:rPr>
          <w:bCs/>
          <w:snapToGrid/>
        </w:rPr>
        <w:t>f</w:t>
      </w:r>
      <w:r w:rsidR="00E106E9" w:rsidRPr="00E106E9">
        <w:rPr>
          <w:bCs/>
          <w:snapToGrid/>
        </w:rPr>
        <w:t>und</w:t>
      </w:r>
      <w:r w:rsidR="00E106E9">
        <w:rPr>
          <w:snapToGrid/>
        </w:rPr>
        <w:t xml:space="preserve">, </w:t>
      </w:r>
      <w:r w:rsidR="00E106E9" w:rsidRPr="00E106E9">
        <w:rPr>
          <w:snapToGrid/>
        </w:rPr>
        <w:t xml:space="preserve">introduction of </w:t>
      </w:r>
      <w:r w:rsidR="00E106E9" w:rsidRPr="00E106E9">
        <w:rPr>
          <w:bCs/>
          <w:snapToGrid/>
        </w:rPr>
        <w:t>energy audits and management systems</w:t>
      </w:r>
      <w:r w:rsidR="00E106E9">
        <w:rPr>
          <w:b/>
          <w:bCs/>
          <w:snapToGrid/>
        </w:rPr>
        <w:t xml:space="preserve">, </w:t>
      </w:r>
      <w:r w:rsidR="00E106E9" w:rsidRPr="00E106E9">
        <w:rPr>
          <w:bCs/>
          <w:snapToGrid/>
        </w:rPr>
        <w:t>boiler inspections</w:t>
      </w:r>
      <w:r w:rsidR="00E106E9" w:rsidRPr="00E106E9">
        <w:rPr>
          <w:b/>
          <w:bCs/>
          <w:snapToGrid/>
        </w:rPr>
        <w:t xml:space="preserve"> </w:t>
      </w:r>
      <w:r w:rsidR="00E106E9">
        <w:rPr>
          <w:snapToGrid/>
        </w:rPr>
        <w:t xml:space="preserve">in the industry sector, </w:t>
      </w:r>
      <w:r w:rsidR="00DD34F2">
        <w:rPr>
          <w:bCs/>
          <w:snapToGrid/>
        </w:rPr>
        <w:t>EPBD t</w:t>
      </w:r>
      <w:r w:rsidR="00E106E9" w:rsidRPr="00E106E9">
        <w:rPr>
          <w:bCs/>
          <w:snapToGrid/>
        </w:rPr>
        <w:t xml:space="preserve">ransposition and </w:t>
      </w:r>
      <w:r w:rsidR="00DD34F2">
        <w:rPr>
          <w:bCs/>
          <w:snapToGrid/>
        </w:rPr>
        <w:t>e</w:t>
      </w:r>
      <w:r w:rsidR="00E106E9" w:rsidRPr="00E106E9">
        <w:rPr>
          <w:bCs/>
          <w:snapToGrid/>
        </w:rPr>
        <w:t>nforcement</w:t>
      </w:r>
      <w:r w:rsidR="00E106E9">
        <w:rPr>
          <w:bCs/>
          <w:snapToGrid/>
        </w:rPr>
        <w:t xml:space="preserve">, </w:t>
      </w:r>
      <w:r w:rsidR="00E106E9" w:rsidRPr="00E106E9">
        <w:rPr>
          <w:bCs/>
          <w:snapToGrid/>
        </w:rPr>
        <w:t>mandatory labeling</w:t>
      </w:r>
      <w:r w:rsidR="00E106E9" w:rsidRPr="00E106E9">
        <w:rPr>
          <w:b/>
          <w:bCs/>
          <w:snapToGrid/>
        </w:rPr>
        <w:t xml:space="preserve"> </w:t>
      </w:r>
      <w:r w:rsidR="00E106E9" w:rsidRPr="00E106E9">
        <w:rPr>
          <w:snapToGrid/>
        </w:rPr>
        <w:t>for electrical home-appliances</w:t>
      </w:r>
      <w:r w:rsidR="00E106E9">
        <w:rPr>
          <w:snapToGrid/>
        </w:rPr>
        <w:t>, and a</w:t>
      </w:r>
      <w:r w:rsidR="00E106E9" w:rsidRPr="00E106E9">
        <w:rPr>
          <w:snapToGrid/>
        </w:rPr>
        <w:t xml:space="preserve">mendment </w:t>
      </w:r>
      <w:r w:rsidR="00E106E9">
        <w:rPr>
          <w:snapToGrid/>
        </w:rPr>
        <w:t>to</w:t>
      </w:r>
      <w:r w:rsidR="00E106E9" w:rsidRPr="00E106E9">
        <w:rPr>
          <w:snapToGrid/>
        </w:rPr>
        <w:t xml:space="preserve"> the law on procurement procedures</w:t>
      </w:r>
      <w:r w:rsidR="00E106E9">
        <w:rPr>
          <w:snapToGrid/>
        </w:rPr>
        <w:t>.</w:t>
      </w:r>
    </w:p>
    <w:p w14:paraId="2A8460D3" w14:textId="77777777" w:rsidR="00E106E9" w:rsidRDefault="00E106E9" w:rsidP="00E106E9">
      <w:pPr>
        <w:rPr>
          <w:snapToGrid/>
        </w:rPr>
      </w:pPr>
      <w:r>
        <w:rPr>
          <w:snapToGrid/>
        </w:rPr>
        <w:t>The NEEAP also includes the following specific measures for public buildings (Arabidze 2016b):</w:t>
      </w:r>
    </w:p>
    <w:p w14:paraId="33833C05" w14:textId="77777777" w:rsidR="00E106E9" w:rsidRDefault="00E106E9" w:rsidP="001C2537">
      <w:pPr>
        <w:pStyle w:val="Bulleted"/>
        <w:spacing w:before="20" w:after="20"/>
        <w:rPr>
          <w:snapToGrid/>
        </w:rPr>
      </w:pPr>
      <w:r w:rsidRPr="00E106E9">
        <w:rPr>
          <w:snapToGrid/>
        </w:rPr>
        <w:t>Develop</w:t>
      </w:r>
      <w:r>
        <w:rPr>
          <w:snapToGrid/>
        </w:rPr>
        <w:t>ment of</w:t>
      </w:r>
      <w:r w:rsidRPr="00E106E9">
        <w:rPr>
          <w:snapToGrid/>
        </w:rPr>
        <w:t xml:space="preserve"> a national </w:t>
      </w:r>
      <w:r w:rsidR="001C2537">
        <w:rPr>
          <w:snapToGrid/>
        </w:rPr>
        <w:t>EE</w:t>
      </w:r>
      <w:r w:rsidRPr="00E106E9">
        <w:rPr>
          <w:snapToGrid/>
        </w:rPr>
        <w:t xml:space="preserve"> information system for </w:t>
      </w:r>
      <w:r w:rsidR="00121F19" w:rsidRPr="00E106E9">
        <w:rPr>
          <w:snapToGrid/>
        </w:rPr>
        <w:t>publicly</w:t>
      </w:r>
      <w:r w:rsidR="00121F19">
        <w:rPr>
          <w:snapToGrid/>
        </w:rPr>
        <w:t>-</w:t>
      </w:r>
      <w:r w:rsidRPr="00E106E9">
        <w:rPr>
          <w:snapToGrid/>
        </w:rPr>
        <w:t>owned</w:t>
      </w:r>
      <w:r>
        <w:rPr>
          <w:snapToGrid/>
        </w:rPr>
        <w:t xml:space="preserve"> buildings and street</w:t>
      </w:r>
      <w:r w:rsidR="001B791E">
        <w:rPr>
          <w:snapToGrid/>
        </w:rPr>
        <w:t xml:space="preserve"> </w:t>
      </w:r>
      <w:r>
        <w:rPr>
          <w:snapToGrid/>
        </w:rPr>
        <w:t>lighting</w:t>
      </w:r>
      <w:r w:rsidR="00121F19">
        <w:rPr>
          <w:snapToGrid/>
        </w:rPr>
        <w:t>.</w:t>
      </w:r>
    </w:p>
    <w:p w14:paraId="4CA25C97" w14:textId="77777777" w:rsidR="00E106E9" w:rsidRPr="00E106E9" w:rsidRDefault="00E106E9" w:rsidP="001C2537">
      <w:pPr>
        <w:pStyle w:val="Bulleted"/>
        <w:spacing w:before="20" w:after="20"/>
        <w:rPr>
          <w:snapToGrid/>
        </w:rPr>
      </w:pPr>
      <w:r>
        <w:rPr>
          <w:snapToGrid/>
        </w:rPr>
        <w:t xml:space="preserve">Improvement </w:t>
      </w:r>
      <w:r w:rsidRPr="00E106E9">
        <w:rPr>
          <w:snapToGrid/>
        </w:rPr>
        <w:t>of the data on the public building stock, lighting, and energy consumption</w:t>
      </w:r>
      <w:r w:rsidR="00121F19">
        <w:rPr>
          <w:snapToGrid/>
        </w:rPr>
        <w:t>.</w:t>
      </w:r>
    </w:p>
    <w:p w14:paraId="0BC6DF5B" w14:textId="77777777" w:rsidR="00E106E9" w:rsidRPr="00E106E9" w:rsidRDefault="00E106E9" w:rsidP="001C2537">
      <w:pPr>
        <w:pStyle w:val="Bulleted"/>
        <w:spacing w:before="20" w:after="20"/>
        <w:rPr>
          <w:rFonts w:cs="Calibri"/>
          <w:snapToGrid/>
          <w:szCs w:val="24"/>
        </w:rPr>
      </w:pPr>
      <w:r w:rsidRPr="00E106E9">
        <w:rPr>
          <w:rFonts w:cs="Calibri"/>
          <w:snapToGrid/>
        </w:rPr>
        <w:t>Pilot project</w:t>
      </w:r>
      <w:r>
        <w:rPr>
          <w:rFonts w:cs="Calibri"/>
          <w:snapToGrid/>
        </w:rPr>
        <w:t>s</w:t>
      </w:r>
      <w:r w:rsidRPr="00E106E9">
        <w:rPr>
          <w:rFonts w:cs="Calibri"/>
          <w:snapToGrid/>
        </w:rPr>
        <w:t xml:space="preserve"> for low</w:t>
      </w:r>
      <w:r w:rsidR="00594D82">
        <w:rPr>
          <w:rFonts w:cs="Calibri"/>
          <w:snapToGrid/>
        </w:rPr>
        <w:t>-</w:t>
      </w:r>
      <w:r w:rsidRPr="00E106E9">
        <w:rPr>
          <w:rFonts w:cs="Calibri"/>
          <w:snapToGrid/>
        </w:rPr>
        <w:t xml:space="preserve">energy public sector buildings </w:t>
      </w:r>
      <w:r>
        <w:rPr>
          <w:rFonts w:cs="Calibri"/>
          <w:snapToGrid/>
        </w:rPr>
        <w:t xml:space="preserve">and </w:t>
      </w:r>
      <w:r w:rsidRPr="00E106E9">
        <w:rPr>
          <w:rFonts w:cs="Calibri"/>
          <w:snapToGrid/>
          <w:szCs w:val="24"/>
        </w:rPr>
        <w:t>renovation of administrative building</w:t>
      </w:r>
      <w:r w:rsidR="00594D82">
        <w:rPr>
          <w:rFonts w:cs="Calibri"/>
          <w:snapToGrid/>
          <w:szCs w:val="24"/>
        </w:rPr>
        <w:t>s</w:t>
      </w:r>
      <w:r w:rsidRPr="00E106E9">
        <w:rPr>
          <w:rFonts w:cs="Calibri"/>
          <w:snapToGrid/>
          <w:szCs w:val="24"/>
        </w:rPr>
        <w:t xml:space="preserve"> to demonstrate the potential costs and benefits</w:t>
      </w:r>
      <w:r w:rsidR="00121F19">
        <w:rPr>
          <w:rFonts w:cs="Calibri"/>
          <w:snapToGrid/>
          <w:szCs w:val="24"/>
        </w:rPr>
        <w:t>.</w:t>
      </w:r>
    </w:p>
    <w:p w14:paraId="67735902" w14:textId="77777777" w:rsidR="00E106E9" w:rsidRPr="00E106E9" w:rsidRDefault="00E106E9" w:rsidP="001C2537">
      <w:pPr>
        <w:pStyle w:val="Bulleted"/>
        <w:spacing w:before="20" w:after="20"/>
        <w:rPr>
          <w:rFonts w:cs="Calibri"/>
          <w:snapToGrid/>
        </w:rPr>
      </w:pPr>
      <w:r w:rsidRPr="00E106E9">
        <w:rPr>
          <w:rFonts w:cs="Calibri"/>
          <w:snapToGrid/>
        </w:rPr>
        <w:t>Efficient lighting systems in public buildings</w:t>
      </w:r>
      <w:r w:rsidR="00121F19">
        <w:rPr>
          <w:rFonts w:cs="Calibri"/>
          <w:snapToGrid/>
        </w:rPr>
        <w:t>.</w:t>
      </w:r>
      <w:r w:rsidR="001E7725">
        <w:rPr>
          <w:rStyle w:val="FootnoteReference"/>
          <w:rFonts w:cs="Calibri"/>
          <w:snapToGrid/>
        </w:rPr>
        <w:footnoteReference w:id="15"/>
      </w:r>
      <w:r w:rsidRPr="00E106E9">
        <w:rPr>
          <w:rFonts w:cs="Calibri"/>
          <w:snapToGrid/>
        </w:rPr>
        <w:t xml:space="preserve"> </w:t>
      </w:r>
    </w:p>
    <w:p w14:paraId="4F2A8F59" w14:textId="77777777" w:rsidR="00E106E9" w:rsidRPr="00E106E9" w:rsidRDefault="00E106E9" w:rsidP="001C2537">
      <w:pPr>
        <w:pStyle w:val="Bulleted"/>
        <w:spacing w:before="20" w:after="20"/>
        <w:rPr>
          <w:snapToGrid/>
        </w:rPr>
      </w:pPr>
      <w:r w:rsidRPr="00E106E9">
        <w:rPr>
          <w:snapToGrid/>
        </w:rPr>
        <w:t xml:space="preserve">Improvement of the </w:t>
      </w:r>
      <w:r w:rsidR="001C2537">
        <w:rPr>
          <w:snapToGrid/>
        </w:rPr>
        <w:t>EE</w:t>
      </w:r>
      <w:r w:rsidRPr="00E106E9">
        <w:rPr>
          <w:snapToGrid/>
        </w:rPr>
        <w:t xml:space="preserve"> in central government-owned public bu</w:t>
      </w:r>
      <w:r w:rsidR="00982D88">
        <w:rPr>
          <w:snapToGrid/>
        </w:rPr>
        <w:t>ildings</w:t>
      </w:r>
      <w:r w:rsidR="00121F19">
        <w:rPr>
          <w:snapToGrid/>
        </w:rPr>
        <w:t>.</w:t>
      </w:r>
      <w:r w:rsidR="00982D88">
        <w:rPr>
          <w:snapToGrid/>
        </w:rPr>
        <w:t xml:space="preserve"> </w:t>
      </w:r>
    </w:p>
    <w:p w14:paraId="2ECA1935" w14:textId="77777777" w:rsidR="00E106E9" w:rsidRPr="00E106E9" w:rsidRDefault="00E106E9" w:rsidP="001C2537">
      <w:pPr>
        <w:pStyle w:val="Bulleted"/>
        <w:spacing w:before="20" w:after="20"/>
        <w:rPr>
          <w:rFonts w:cs="Calibri"/>
          <w:snapToGrid/>
        </w:rPr>
      </w:pPr>
      <w:r w:rsidRPr="00E106E9">
        <w:rPr>
          <w:rFonts w:cs="Calibri"/>
          <w:snapToGrid/>
        </w:rPr>
        <w:t>Green Procurement on Energy Efficiency</w:t>
      </w:r>
      <w:r w:rsidR="00121F19">
        <w:rPr>
          <w:rFonts w:cs="Calibri"/>
          <w:snapToGrid/>
        </w:rPr>
        <w:t>.</w:t>
      </w:r>
      <w:r w:rsidRPr="00E106E9">
        <w:rPr>
          <w:rFonts w:cs="Calibri"/>
          <w:snapToGrid/>
        </w:rPr>
        <w:t xml:space="preserve"> </w:t>
      </w:r>
    </w:p>
    <w:p w14:paraId="1A35D1DC" w14:textId="77777777" w:rsidR="001C2537" w:rsidRDefault="001C2537" w:rsidP="00690C9C">
      <w:pPr>
        <w:rPr>
          <w:rStyle w:val="Heading3Char"/>
          <w:rFonts w:eastAsiaTheme="minorHAnsi"/>
          <w:szCs w:val="24"/>
        </w:rPr>
      </w:pPr>
    </w:p>
    <w:p w14:paraId="1DC0A2F7" w14:textId="77777777" w:rsidR="00690C9C" w:rsidRDefault="00C6290F" w:rsidP="00690C9C">
      <w:bookmarkStart w:id="16" w:name="_Toc461093909"/>
      <w:r w:rsidRPr="00690C9C">
        <w:rPr>
          <w:rStyle w:val="Heading3Char"/>
          <w:rFonts w:eastAsiaTheme="minorHAnsi"/>
          <w:szCs w:val="24"/>
        </w:rPr>
        <w:t>Low Emission Development Strategy (LEDS)</w:t>
      </w:r>
      <w:bookmarkEnd w:id="16"/>
      <w:r w:rsidRPr="00690C9C">
        <w:t xml:space="preserve"> </w:t>
      </w:r>
    </w:p>
    <w:p w14:paraId="0238A07F" w14:textId="77777777" w:rsidR="00C6290F" w:rsidRDefault="001B791E" w:rsidP="00690C9C">
      <w:pPr>
        <w:rPr>
          <w:szCs w:val="24"/>
        </w:rPr>
      </w:pPr>
      <w:r>
        <w:t>MENRP</w:t>
      </w:r>
      <w:r w:rsidR="00C6290F" w:rsidRPr="00690C9C">
        <w:t xml:space="preserve"> and the Climate Change Office are leading the process of LEDS, which was initiated in 2013. The </w:t>
      </w:r>
      <w:r w:rsidR="00594D82">
        <w:t>S</w:t>
      </w:r>
      <w:r w:rsidR="00C6290F" w:rsidRPr="00690C9C">
        <w:t>trategy is intended to provide a long-term, economy-wide plan for reduction of GHG emissions, and it is expected to be finalized in 2016.</w:t>
      </w:r>
      <w:r w:rsidR="00690C9C">
        <w:t xml:space="preserve"> </w:t>
      </w:r>
      <w:r w:rsidR="00C6290F" w:rsidRPr="00477836">
        <w:rPr>
          <w:szCs w:val="24"/>
        </w:rPr>
        <w:t xml:space="preserve">In order to ensure management of the processes, </w:t>
      </w:r>
      <w:r w:rsidR="00121F19" w:rsidRPr="00121F19">
        <w:rPr>
          <w:szCs w:val="24"/>
        </w:rPr>
        <w:t>USAID</w:t>
      </w:r>
      <w:r w:rsidR="00C6290F" w:rsidRPr="00477836">
        <w:rPr>
          <w:szCs w:val="24"/>
        </w:rPr>
        <w:t xml:space="preserve"> funded the Enhancing Capacity for Low Emission Development Strategies (EC-LEDS) project.</w:t>
      </w:r>
      <w:r w:rsidR="00690C9C" w:rsidRPr="008C5427">
        <w:rPr>
          <w:rStyle w:val="FootnoteReference"/>
          <w:szCs w:val="24"/>
        </w:rPr>
        <w:footnoteReference w:id="16"/>
      </w:r>
      <w:r w:rsidR="00690C9C">
        <w:rPr>
          <w:szCs w:val="24"/>
        </w:rPr>
        <w:t xml:space="preserve"> This </w:t>
      </w:r>
      <w:r w:rsidR="00690C9C" w:rsidRPr="001C2537">
        <w:rPr>
          <w:szCs w:val="24"/>
        </w:rPr>
        <w:t xml:space="preserve">effort </w:t>
      </w:r>
      <w:r w:rsidR="00690C9C" w:rsidRPr="001C2537">
        <w:rPr>
          <w:rStyle w:val="Heading3Char"/>
          <w:rFonts w:ascii="Times New Roman" w:eastAsiaTheme="minorHAnsi" w:hAnsi="Times New Roman" w:cs="Tahoma"/>
          <w:b w:val="0"/>
          <w:snapToGrid/>
          <w:color w:val="auto"/>
          <w:szCs w:val="24"/>
          <w:lang w:bidi="th-TH"/>
        </w:rPr>
        <w:t>is focus</w:t>
      </w:r>
      <w:r w:rsidR="001C2537" w:rsidRPr="001C2537">
        <w:rPr>
          <w:rStyle w:val="Heading3Char"/>
          <w:rFonts w:ascii="Times New Roman" w:eastAsiaTheme="minorHAnsi" w:hAnsi="Times New Roman" w:cs="Tahoma"/>
          <w:b w:val="0"/>
          <w:snapToGrid/>
          <w:color w:val="auto"/>
          <w:szCs w:val="24"/>
          <w:lang w:bidi="th-TH"/>
        </w:rPr>
        <w:t>ed</w:t>
      </w:r>
      <w:r w:rsidR="00690C9C" w:rsidRPr="001C2537">
        <w:rPr>
          <w:rStyle w:val="Heading3Char"/>
          <w:rFonts w:ascii="Times New Roman" w:eastAsiaTheme="minorHAnsi" w:hAnsi="Times New Roman" w:cs="Tahoma"/>
          <w:b w:val="0"/>
          <w:snapToGrid/>
          <w:color w:val="auto"/>
          <w:szCs w:val="24"/>
          <w:lang w:bidi="th-TH"/>
        </w:rPr>
        <w:t xml:space="preserve"> on improving </w:t>
      </w:r>
      <w:r w:rsidR="00594D82">
        <w:rPr>
          <w:szCs w:val="24"/>
        </w:rPr>
        <w:t xml:space="preserve">EE </w:t>
      </w:r>
      <w:r w:rsidR="00C6290F" w:rsidRPr="00481DB3">
        <w:rPr>
          <w:szCs w:val="24"/>
        </w:rPr>
        <w:t xml:space="preserve">in Georgian Municipalities, Green Building Rating and Certification Systems, and Advisory assistance to the national LEDS development process.  </w:t>
      </w:r>
    </w:p>
    <w:p w14:paraId="5171D58B" w14:textId="77777777" w:rsidR="00690C9C" w:rsidRPr="001E2045" w:rsidRDefault="00C6290F" w:rsidP="00690C9C">
      <w:pPr>
        <w:pStyle w:val="Heading3"/>
        <w:rPr>
          <w:b w:val="0"/>
        </w:rPr>
      </w:pPr>
      <w:bookmarkStart w:id="17" w:name="_Toc461093910"/>
      <w:r w:rsidRPr="00690C9C">
        <w:rPr>
          <w:rFonts w:eastAsiaTheme="minorHAnsi"/>
        </w:rPr>
        <w:t>Nationally Appropriate Mitigation Actions (NAMA)</w:t>
      </w:r>
      <w:bookmarkEnd w:id="17"/>
    </w:p>
    <w:p w14:paraId="171A1230" w14:textId="77777777" w:rsidR="00C6290F" w:rsidRPr="00EC1419" w:rsidRDefault="00C6290F" w:rsidP="00690C9C">
      <w:r w:rsidRPr="00EC1419">
        <w:t xml:space="preserve">The </w:t>
      </w:r>
      <w:r w:rsidR="00594D82">
        <w:t>d</w:t>
      </w:r>
      <w:r w:rsidRPr="00EC1419">
        <w:t>evelopment of NAMA started in 2014 when Georgia joined the Mitigation Momentum project</w:t>
      </w:r>
      <w:r w:rsidRPr="008C5427">
        <w:rPr>
          <w:rStyle w:val="FootnoteReference"/>
          <w:szCs w:val="24"/>
        </w:rPr>
        <w:footnoteReference w:id="17"/>
      </w:r>
      <w:r w:rsidRPr="00EC1419">
        <w:t>. NAMAs</w:t>
      </w:r>
      <w:r w:rsidR="00121F19">
        <w:t>,</w:t>
      </w:r>
      <w:r w:rsidRPr="00EC1419">
        <w:t xml:space="preserve"> a part of the LEDS</w:t>
      </w:r>
      <w:r w:rsidR="00121F19">
        <w:t>,</w:t>
      </w:r>
      <w:r w:rsidRPr="00EC1419">
        <w:t xml:space="preserve"> include three components: financial mechanisms, market transformation</w:t>
      </w:r>
      <w:r w:rsidR="00121F19">
        <w:t>,</w:t>
      </w:r>
      <w:r w:rsidRPr="00EC1419">
        <w:t xml:space="preserve"> and outreach. </w:t>
      </w:r>
      <w:r w:rsidR="00594D82">
        <w:t>Energy efficiency</w:t>
      </w:r>
      <w:r w:rsidRPr="00EC1419">
        <w:t xml:space="preserve"> in buildings is one of the key thematic areas under climate change mitigation and local sustainable development</w:t>
      </w:r>
      <w:r w:rsidR="005F75C5">
        <w:t>. A</w:t>
      </w:r>
      <w:r w:rsidRPr="00EC1419">
        <w:t xml:space="preserve"> NAMA proposal </w:t>
      </w:r>
      <w:r w:rsidR="005F75C5">
        <w:t xml:space="preserve">for energy-efficient refurbishment of public buildings has been prepared (Mitigation Momentum 2016). </w:t>
      </w:r>
    </w:p>
    <w:p w14:paraId="5E387A00" w14:textId="77777777" w:rsidR="005F75C5" w:rsidRDefault="00C6290F" w:rsidP="005F75C5">
      <w:pPr>
        <w:pStyle w:val="Heading3"/>
      </w:pPr>
      <w:bookmarkStart w:id="18" w:name="_Toc461093911"/>
      <w:r w:rsidRPr="005F75C5">
        <w:rPr>
          <w:rFonts w:eastAsiaTheme="minorHAnsi"/>
        </w:rPr>
        <w:t>RE/EE Trust Fund</w:t>
      </w:r>
      <w:bookmarkEnd w:id="18"/>
      <w:r w:rsidRPr="008C5427">
        <w:rPr>
          <w:i/>
        </w:rPr>
        <w:t xml:space="preserve"> </w:t>
      </w:r>
    </w:p>
    <w:p w14:paraId="37AD458A" w14:textId="77777777" w:rsidR="00C6290F" w:rsidRPr="00507CAD" w:rsidRDefault="00594D82" w:rsidP="005F75C5">
      <w:pPr>
        <w:rPr>
          <w:i/>
        </w:rPr>
      </w:pPr>
      <w:r>
        <w:t xml:space="preserve">The </w:t>
      </w:r>
      <w:r w:rsidR="00982D88">
        <w:t>GOG plans to establish t</w:t>
      </w:r>
      <w:r w:rsidR="00C6290F" w:rsidRPr="008C5427">
        <w:t xml:space="preserve">he Renewable Energy and Energy Efficiency Technology Development and Promotion Fund as </w:t>
      </w:r>
      <w:r w:rsidR="00982D88">
        <w:t xml:space="preserve">a </w:t>
      </w:r>
      <w:r w:rsidR="00121F19">
        <w:t>t</w:t>
      </w:r>
      <w:r w:rsidR="00121F19" w:rsidRPr="008C5427">
        <w:t xml:space="preserve">rust </w:t>
      </w:r>
      <w:r w:rsidR="00D216DC">
        <w:t>f</w:t>
      </w:r>
      <w:r w:rsidR="00121F19" w:rsidRPr="008C5427">
        <w:t>und</w:t>
      </w:r>
      <w:r w:rsidR="00C6290F" w:rsidRPr="008C5427">
        <w:t>.</w:t>
      </w:r>
      <w:r w:rsidR="00982D88" w:rsidRPr="008C5427">
        <w:rPr>
          <w:rStyle w:val="FootnoteReference"/>
          <w:szCs w:val="24"/>
        </w:rPr>
        <w:footnoteReference w:id="18"/>
      </w:r>
      <w:r w:rsidR="00C6290F" w:rsidRPr="008C5427">
        <w:t xml:space="preserve"> </w:t>
      </w:r>
      <w:r w:rsidR="00CB0131">
        <w:t>Its</w:t>
      </w:r>
      <w:r w:rsidR="00CB0131" w:rsidRPr="008C5427">
        <w:t xml:space="preserve"> </w:t>
      </w:r>
      <w:r w:rsidR="00C6290F" w:rsidRPr="008C5427">
        <w:t xml:space="preserve">establishment is identified as one of the main strategic goals in the Climate Change Strategy of Georgia </w:t>
      </w:r>
      <w:r w:rsidR="00982D88">
        <w:t>–</w:t>
      </w:r>
      <w:r w:rsidR="00C6290F" w:rsidRPr="008C5427">
        <w:t xml:space="preserve"> 2014</w:t>
      </w:r>
      <w:r w:rsidR="00982D88">
        <w:t>.</w:t>
      </w:r>
    </w:p>
    <w:p w14:paraId="0D519C6C" w14:textId="77777777" w:rsidR="00630DC0" w:rsidRDefault="00C958B4" w:rsidP="00C607D7">
      <w:pPr>
        <w:pStyle w:val="Heading2"/>
        <w:tabs>
          <w:tab w:val="left" w:pos="3240"/>
        </w:tabs>
      </w:pPr>
      <w:bookmarkStart w:id="19" w:name="_Toc461093912"/>
      <w:r>
        <w:t>Energy C</w:t>
      </w:r>
      <w:r w:rsidR="00630DC0">
        <w:t xml:space="preserve">onsumption in </w:t>
      </w:r>
      <w:r w:rsidR="00B32A1F">
        <w:t xml:space="preserve">Public </w:t>
      </w:r>
      <w:r>
        <w:t xml:space="preserve">Buildings </w:t>
      </w:r>
      <w:r w:rsidR="005D3123">
        <w:t xml:space="preserve">in </w:t>
      </w:r>
      <w:r w:rsidR="00B32A1F">
        <w:t>Georgia</w:t>
      </w:r>
      <w:bookmarkEnd w:id="19"/>
      <w:r w:rsidR="005D3123">
        <w:t xml:space="preserve"> </w:t>
      </w:r>
    </w:p>
    <w:p w14:paraId="0EEA942F" w14:textId="77777777" w:rsidR="009A0F2C" w:rsidRDefault="009A0F2C" w:rsidP="00210143">
      <w:pPr>
        <w:spacing w:after="60"/>
      </w:pPr>
      <w:r>
        <w:t>The public buildings in Georgia include:</w:t>
      </w:r>
    </w:p>
    <w:p w14:paraId="58438459" w14:textId="77777777" w:rsidR="009A0F2C" w:rsidRDefault="009A0F2C" w:rsidP="00210143">
      <w:pPr>
        <w:pStyle w:val="Bulleted"/>
        <w:spacing w:before="40" w:after="40"/>
        <w:rPr>
          <w:lang w:val="en-GB"/>
        </w:rPr>
      </w:pPr>
      <w:r>
        <w:rPr>
          <w:lang w:val="en-GB"/>
        </w:rPr>
        <w:t>B</w:t>
      </w:r>
      <w:r w:rsidRPr="00086527">
        <w:rPr>
          <w:lang w:val="en-GB"/>
        </w:rPr>
        <w:t xml:space="preserve">uildings belonging to the </w:t>
      </w:r>
      <w:r>
        <w:rPr>
          <w:lang w:val="en-GB"/>
        </w:rPr>
        <w:t>national government (</w:t>
      </w:r>
      <w:r w:rsidRPr="009A0F2C">
        <w:rPr>
          <w:lang w:val="en-GB"/>
        </w:rPr>
        <w:t>state</w:t>
      </w:r>
      <w:r>
        <w:rPr>
          <w:lang w:val="en-GB"/>
        </w:rPr>
        <w:t>) and are in possession of the M</w:t>
      </w:r>
      <w:r w:rsidR="00A43310">
        <w:rPr>
          <w:lang w:val="en-GB"/>
        </w:rPr>
        <w:t>o</w:t>
      </w:r>
      <w:r w:rsidRPr="00086527">
        <w:rPr>
          <w:lang w:val="en-GB"/>
        </w:rPr>
        <w:t xml:space="preserve">ESD of </w:t>
      </w:r>
      <w:r>
        <w:rPr>
          <w:lang w:val="en-GB"/>
        </w:rPr>
        <w:t>Georgia or sectoral Ministries</w:t>
      </w:r>
      <w:r w:rsidR="00CB0131">
        <w:rPr>
          <w:lang w:val="en-GB"/>
        </w:rPr>
        <w:t>.</w:t>
      </w:r>
    </w:p>
    <w:p w14:paraId="313929CB" w14:textId="77777777" w:rsidR="009A0F2C" w:rsidRDefault="009A0F2C" w:rsidP="00210143">
      <w:pPr>
        <w:pStyle w:val="Bulleted"/>
        <w:spacing w:before="40" w:after="40"/>
        <w:rPr>
          <w:lang w:val="en-GB"/>
        </w:rPr>
      </w:pPr>
      <w:r>
        <w:rPr>
          <w:lang w:val="en-GB"/>
        </w:rPr>
        <w:t>B</w:t>
      </w:r>
      <w:r w:rsidRPr="00086527">
        <w:rPr>
          <w:lang w:val="en-GB"/>
        </w:rPr>
        <w:t xml:space="preserve">uildings belonging to the </w:t>
      </w:r>
      <w:r w:rsidRPr="009A0F2C">
        <w:rPr>
          <w:lang w:val="en-GB"/>
        </w:rPr>
        <w:t>Autonomous Republic</w:t>
      </w:r>
      <w:r w:rsidRPr="00086527">
        <w:rPr>
          <w:lang w:val="en-GB"/>
        </w:rPr>
        <w:t xml:space="preserve"> and are in possession of the Ministry of Economy of Autonomous Republic or sectoral Ministries</w:t>
      </w:r>
      <w:r w:rsidR="00CB0131">
        <w:rPr>
          <w:lang w:val="en-GB"/>
        </w:rPr>
        <w:t>.</w:t>
      </w:r>
      <w:r w:rsidRPr="00086527">
        <w:rPr>
          <w:lang w:val="en-GB"/>
        </w:rPr>
        <w:t xml:space="preserve"> </w:t>
      </w:r>
    </w:p>
    <w:p w14:paraId="790513F4" w14:textId="77777777" w:rsidR="009A0F2C" w:rsidRDefault="009A0F2C" w:rsidP="00210143">
      <w:pPr>
        <w:pStyle w:val="Bulleted"/>
        <w:spacing w:before="40" w:after="40"/>
      </w:pPr>
      <w:r>
        <w:rPr>
          <w:lang w:val="en-GB"/>
        </w:rPr>
        <w:t>B</w:t>
      </w:r>
      <w:r w:rsidRPr="00086527">
        <w:rPr>
          <w:lang w:val="en-GB"/>
        </w:rPr>
        <w:t xml:space="preserve">uildings belonging to the </w:t>
      </w:r>
      <w:r w:rsidRPr="009A0F2C">
        <w:rPr>
          <w:lang w:val="en-GB"/>
        </w:rPr>
        <w:t>municipalities</w:t>
      </w:r>
      <w:r w:rsidRPr="00086527">
        <w:rPr>
          <w:lang w:val="en-GB"/>
        </w:rPr>
        <w:t xml:space="preserve"> and are in possession of the municipalities or self-governing cities.</w:t>
      </w:r>
    </w:p>
    <w:p w14:paraId="52DB7538" w14:textId="77777777" w:rsidR="00B37C13" w:rsidRDefault="009A0F2C" w:rsidP="009A0F2C">
      <w:r>
        <w:t>Unfortunately, there is v</w:t>
      </w:r>
      <w:r w:rsidR="005065EB" w:rsidRPr="009A0F2C">
        <w:t xml:space="preserve">ery limited data on </w:t>
      </w:r>
      <w:r>
        <w:t xml:space="preserve">these </w:t>
      </w:r>
      <w:r w:rsidR="005065EB" w:rsidRPr="009A0F2C">
        <w:t>buildings and facilities and their energy consumption</w:t>
      </w:r>
      <w:r>
        <w:t>. Some information on municipal buildings is available from the SEAPs developed by cities.</w:t>
      </w:r>
      <w:r w:rsidR="005065EB" w:rsidRPr="009A0F2C">
        <w:t xml:space="preserve"> </w:t>
      </w:r>
    </w:p>
    <w:p w14:paraId="482CCFAB" w14:textId="77777777" w:rsidR="009A0F2C" w:rsidRDefault="009A0F2C" w:rsidP="009A0F2C">
      <w:pPr>
        <w:pStyle w:val="Heading3"/>
      </w:pPr>
      <w:bookmarkStart w:id="20" w:name="_Toc461093913"/>
      <w:r>
        <w:t>Information from SEAPs</w:t>
      </w:r>
      <w:bookmarkEnd w:id="20"/>
    </w:p>
    <w:p w14:paraId="7A27A34B" w14:textId="77777777" w:rsidR="007616C7" w:rsidRDefault="009A0F2C" w:rsidP="009A0F2C">
      <w:r>
        <w:t xml:space="preserve">The City of Tbilisi has provided information on public buildings in its SEAP. Table 2.1 shows the number of buildings and floor area by building type for municipally-owned and other buildings within the </w:t>
      </w:r>
      <w:r w:rsidR="00D216DC">
        <w:t>city</w:t>
      </w:r>
      <w:r>
        <w:t xml:space="preserve">. This information covers over 1,000 buildings with a total floor area of about one million square meters. However, it does not include any state-owned </w:t>
      </w:r>
      <w:r w:rsidR="007616C7">
        <w:t xml:space="preserve">office or administrative </w:t>
      </w:r>
      <w:r>
        <w:t>buildings in Tbilisi.</w:t>
      </w:r>
      <w:r w:rsidR="007616C7">
        <w:t xml:space="preserve"> </w:t>
      </w:r>
    </w:p>
    <w:p w14:paraId="5DB05BB8" w14:textId="77777777" w:rsidR="007616C7" w:rsidRPr="009A0F2C" w:rsidRDefault="007616C7" w:rsidP="00E50A7B">
      <w:pPr>
        <w:pStyle w:val="FiguresandTables"/>
        <w:spacing w:after="60"/>
      </w:pPr>
      <w:r>
        <w:t>Table 2.1 - Public Building Data from Tbilisi SEAP</w:t>
      </w:r>
    </w:p>
    <w:p w14:paraId="51BB9C33" w14:textId="77777777" w:rsidR="00C607D7" w:rsidRDefault="00C607D7" w:rsidP="009744D9">
      <w:pPr>
        <w:tabs>
          <w:tab w:val="left" w:pos="3240"/>
        </w:tabs>
        <w:spacing w:before="20" w:after="20"/>
        <w:jc w:val="center"/>
        <w:rPr>
          <w:color w:val="FF0000"/>
        </w:rPr>
      </w:pPr>
      <w:r w:rsidRPr="00C607D7">
        <w:rPr>
          <w:noProof/>
        </w:rPr>
        <w:drawing>
          <wp:inline distT="0" distB="0" distL="0" distR="0" wp14:anchorId="1CDD0BA5" wp14:editId="45A2354B">
            <wp:extent cx="4064000" cy="4032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4000" cy="4032250"/>
                    </a:xfrm>
                    <a:prstGeom prst="rect">
                      <a:avLst/>
                    </a:prstGeom>
                    <a:noFill/>
                    <a:ln>
                      <a:noFill/>
                    </a:ln>
                  </pic:spPr>
                </pic:pic>
              </a:graphicData>
            </a:graphic>
          </wp:inline>
        </w:drawing>
      </w:r>
    </w:p>
    <w:p w14:paraId="2564421F" w14:textId="77777777" w:rsidR="007616C7" w:rsidRDefault="007616C7" w:rsidP="009744D9">
      <w:pPr>
        <w:spacing w:before="0" w:after="160"/>
        <w:rPr>
          <w:i/>
          <w:sz w:val="22"/>
          <w:szCs w:val="22"/>
        </w:rPr>
      </w:pPr>
      <w:r>
        <w:tab/>
      </w:r>
      <w:r>
        <w:tab/>
      </w:r>
      <w:r>
        <w:rPr>
          <w:i/>
          <w:sz w:val="22"/>
          <w:szCs w:val="22"/>
        </w:rPr>
        <w:t>Source: USAID 2015</w:t>
      </w:r>
    </w:p>
    <w:p w14:paraId="124960D4" w14:textId="77777777" w:rsidR="007616C7" w:rsidRDefault="007616C7" w:rsidP="007616C7">
      <w:r>
        <w:t xml:space="preserve">Similar information is available from </w:t>
      </w:r>
      <w:r w:rsidR="00D216DC">
        <w:t xml:space="preserve">five </w:t>
      </w:r>
      <w:r>
        <w:t>other SEAPs. Table 2.2 summarizes this information. The total floor space of the buildings from these SEAPs is 1.5 million square meters.</w:t>
      </w:r>
    </w:p>
    <w:p w14:paraId="24145605" w14:textId="77777777" w:rsidR="00E91526" w:rsidRDefault="00E91526" w:rsidP="007616C7">
      <w:r>
        <w:t xml:space="preserve">Some additional information can be obtained from energy audits conducted by USAID as part of the development of the SEAPs. Audit data was available from </w:t>
      </w:r>
      <w:r w:rsidR="00C2484E">
        <w:t>ten</w:t>
      </w:r>
      <w:r>
        <w:t xml:space="preserve"> audits of public buildings (two medical facilities, four kindergartens, and four buildings of Georgia </w:t>
      </w:r>
      <w:r w:rsidR="00C2484E">
        <w:t>T</w:t>
      </w:r>
      <w:r>
        <w:t>echnical University. While this is only a small sample of public buildings, the audits have provided useful information on floor area, energy consumption, energy savings potential and investment requirements, which help the estimation of energy consumption per square meter, percent energy savings, energy cost savings, investment needs per square meter</w:t>
      </w:r>
      <w:r w:rsidR="00C2484E">
        <w:t>,</w:t>
      </w:r>
      <w:r>
        <w:t xml:space="preserve"> and </w:t>
      </w:r>
      <w:r w:rsidR="001E7725">
        <w:t xml:space="preserve">simple </w:t>
      </w:r>
      <w:r>
        <w:t>payback period</w:t>
      </w:r>
      <w:r w:rsidR="001E7725">
        <w:t>s</w:t>
      </w:r>
      <w:r>
        <w:t>. Table 2.3 shows the results.</w:t>
      </w:r>
    </w:p>
    <w:p w14:paraId="3B34CFB7" w14:textId="77777777" w:rsidR="00E91526" w:rsidRDefault="00EC7501" w:rsidP="007616C7">
      <w:r>
        <w:t xml:space="preserve">It should be noted that these audits identified </w:t>
      </w:r>
      <w:r w:rsidR="00E50A7B">
        <w:t>EE</w:t>
      </w:r>
      <w:r>
        <w:t xml:space="preserve"> measures with very low payback</w:t>
      </w:r>
      <w:r w:rsidR="00E50A7B">
        <w:t xml:space="preserve"> period</w:t>
      </w:r>
      <w:r>
        <w:t>s. It is quite likely that deeper retrofits can provide additional savings with higher investment needs and longer paybacks.</w:t>
      </w:r>
    </w:p>
    <w:p w14:paraId="53ED5DD2" w14:textId="77777777" w:rsidR="007F2F3E" w:rsidRDefault="007F2F3E" w:rsidP="007616C7"/>
    <w:p w14:paraId="74116769" w14:textId="77777777" w:rsidR="007616C7" w:rsidRDefault="007616C7" w:rsidP="00E50A7B">
      <w:pPr>
        <w:pStyle w:val="FiguresandTables"/>
        <w:spacing w:after="60"/>
      </w:pPr>
      <w:r>
        <w:t>Table 2.2 – Public Buildings Information from SEAPs</w:t>
      </w:r>
    </w:p>
    <w:p w14:paraId="5AB90F5E" w14:textId="77777777" w:rsidR="003C76EA" w:rsidRPr="003C76EA" w:rsidRDefault="00C607D7" w:rsidP="009744D9">
      <w:pPr>
        <w:tabs>
          <w:tab w:val="left" w:pos="3240"/>
        </w:tabs>
        <w:spacing w:before="20" w:after="20"/>
      </w:pPr>
      <w:r w:rsidRPr="00C607D7">
        <w:rPr>
          <w:noProof/>
        </w:rPr>
        <w:drawing>
          <wp:inline distT="0" distB="0" distL="0" distR="0" wp14:anchorId="35398023" wp14:editId="18949064">
            <wp:extent cx="5731510" cy="42164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146" cy="4218339"/>
                    </a:xfrm>
                    <a:prstGeom prst="rect">
                      <a:avLst/>
                    </a:prstGeom>
                    <a:noFill/>
                    <a:ln>
                      <a:noFill/>
                    </a:ln>
                  </pic:spPr>
                </pic:pic>
              </a:graphicData>
            </a:graphic>
          </wp:inline>
        </w:drawing>
      </w:r>
    </w:p>
    <w:p w14:paraId="088F7C77" w14:textId="77777777" w:rsidR="007B4BC2" w:rsidRDefault="007E2989" w:rsidP="009744D9">
      <w:pPr>
        <w:spacing w:before="0"/>
        <w:rPr>
          <w:i/>
          <w:sz w:val="22"/>
          <w:szCs w:val="22"/>
        </w:rPr>
      </w:pPr>
      <w:r>
        <w:tab/>
      </w:r>
      <w:r>
        <w:rPr>
          <w:i/>
          <w:sz w:val="22"/>
          <w:szCs w:val="22"/>
        </w:rPr>
        <w:t>Source: SEAP reports of the cities</w:t>
      </w:r>
      <w:r w:rsidR="007616C7">
        <w:rPr>
          <w:rStyle w:val="FootnoteReference"/>
          <w:i/>
          <w:szCs w:val="22"/>
        </w:rPr>
        <w:footnoteReference w:id="19"/>
      </w:r>
    </w:p>
    <w:p w14:paraId="03A6A99D" w14:textId="77777777" w:rsidR="00E91526" w:rsidRPr="007E2989" w:rsidRDefault="00E91526" w:rsidP="009744D9">
      <w:pPr>
        <w:pStyle w:val="FiguresandTables"/>
        <w:spacing w:after="20"/>
      </w:pPr>
      <w:r>
        <w:t>Table 2.3 – Summary of Results of Energy Audits</w:t>
      </w:r>
    </w:p>
    <w:p w14:paraId="2BC5B158" w14:textId="77777777" w:rsidR="008B5422" w:rsidRDefault="009F78B7" w:rsidP="009744D9">
      <w:pPr>
        <w:spacing w:before="20" w:after="20"/>
        <w:jc w:val="center"/>
      </w:pPr>
      <w:r w:rsidRPr="009F78B7">
        <w:rPr>
          <w:noProof/>
        </w:rPr>
        <w:drawing>
          <wp:inline distT="0" distB="0" distL="0" distR="0" wp14:anchorId="237FAD7C" wp14:editId="6F6542B0">
            <wp:extent cx="4794250" cy="27940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4250" cy="2794000"/>
                    </a:xfrm>
                    <a:prstGeom prst="rect">
                      <a:avLst/>
                    </a:prstGeom>
                    <a:noFill/>
                    <a:ln>
                      <a:noFill/>
                    </a:ln>
                  </pic:spPr>
                </pic:pic>
              </a:graphicData>
            </a:graphic>
          </wp:inline>
        </w:drawing>
      </w:r>
    </w:p>
    <w:p w14:paraId="5A31577B" w14:textId="77777777" w:rsidR="008B5422" w:rsidRDefault="00E91526" w:rsidP="009744D9">
      <w:pPr>
        <w:spacing w:before="0" w:after="0"/>
        <w:rPr>
          <w:i/>
          <w:sz w:val="22"/>
          <w:szCs w:val="22"/>
        </w:rPr>
      </w:pPr>
      <w:r>
        <w:tab/>
      </w:r>
      <w:r>
        <w:rPr>
          <w:i/>
          <w:sz w:val="22"/>
          <w:szCs w:val="22"/>
        </w:rPr>
        <w:t>Source: Energy Audit Reports provided by Winrock International</w:t>
      </w:r>
    </w:p>
    <w:p w14:paraId="31F5F3B5" w14:textId="77777777" w:rsidR="00F80AE2" w:rsidRDefault="00F80AE2" w:rsidP="00210143">
      <w:pPr>
        <w:spacing w:before="0"/>
        <w:ind w:firstLine="720"/>
        <w:rPr>
          <w:i/>
          <w:sz w:val="22"/>
          <w:szCs w:val="22"/>
        </w:rPr>
      </w:pPr>
      <w:r>
        <w:rPr>
          <w:i/>
          <w:sz w:val="22"/>
          <w:szCs w:val="22"/>
        </w:rPr>
        <w:t>Note: US$1 is equal to about 2.345 Georgian Lari (GEL).</w:t>
      </w:r>
    </w:p>
    <w:p w14:paraId="4393416B" w14:textId="77777777" w:rsidR="00EC7501" w:rsidRDefault="00EC7501" w:rsidP="00EC7501">
      <w:pPr>
        <w:pStyle w:val="Heading2"/>
      </w:pPr>
      <w:bookmarkStart w:id="21" w:name="_Toc461093914"/>
      <w:r>
        <w:t>Estimating Total Floor Area</w:t>
      </w:r>
      <w:bookmarkEnd w:id="21"/>
    </w:p>
    <w:p w14:paraId="03417779" w14:textId="77777777" w:rsidR="00BC1384" w:rsidRDefault="00EC7501" w:rsidP="00EC7501">
      <w:r>
        <w:t xml:space="preserve">The information in Table 2.2 covers six of the larger cities. </w:t>
      </w:r>
      <w:r w:rsidR="00BC1384">
        <w:t>The SEAPs did not develop an exhaustive inventory of all municipal and other public buildings</w:t>
      </w:r>
      <w:r w:rsidR="00BF6521">
        <w:t>.</w:t>
      </w:r>
      <w:r w:rsidR="00BC1384">
        <w:t xml:space="preserve"> These six cities have a total population of 1.7 million or about 40</w:t>
      </w:r>
      <w:r w:rsidR="00D216DC">
        <w:t xml:space="preserve"> percent </w:t>
      </w:r>
      <w:r w:rsidR="00BC1384">
        <w:t xml:space="preserve">of the population of Georgia. </w:t>
      </w:r>
      <w:r w:rsidR="00BF6521">
        <w:t>Since they are the large urban areas, they probably represent 70 to 80</w:t>
      </w:r>
      <w:r w:rsidR="00D216DC">
        <w:t xml:space="preserve"> percent </w:t>
      </w:r>
      <w:r w:rsidR="00BF6521">
        <w:t>of the total floor area.</w:t>
      </w:r>
    </w:p>
    <w:p w14:paraId="01910905" w14:textId="77777777" w:rsidR="00BC1384" w:rsidRDefault="00BF6521" w:rsidP="00EC7501">
      <w:pPr>
        <w:rPr>
          <w:color w:val="000000" w:themeColor="text1"/>
          <w:szCs w:val="24"/>
        </w:rPr>
      </w:pPr>
      <w:r>
        <w:t xml:space="preserve">Also, the SEAPs do not include any State-owned office and administrative buildings. </w:t>
      </w:r>
      <w:r w:rsidR="00BC1384">
        <w:t>According to the information provided in the NAMA proposal (</w:t>
      </w:r>
      <w:r w:rsidR="00BC1384" w:rsidRPr="00BC1384">
        <w:rPr>
          <w:color w:val="000000" w:themeColor="text1"/>
          <w:szCs w:val="24"/>
        </w:rPr>
        <w:t>Mitigation Mome</w:t>
      </w:r>
      <w:r w:rsidR="00BC1384">
        <w:rPr>
          <w:color w:val="000000" w:themeColor="text1"/>
          <w:szCs w:val="24"/>
        </w:rPr>
        <w:t>ntum</w:t>
      </w:r>
      <w:r w:rsidR="00BC1384" w:rsidRPr="00BC1384">
        <w:rPr>
          <w:color w:val="000000" w:themeColor="text1"/>
          <w:szCs w:val="24"/>
        </w:rPr>
        <w:t xml:space="preserve"> 2016</w:t>
      </w:r>
      <w:r w:rsidR="00BC1384">
        <w:rPr>
          <w:color w:val="000000" w:themeColor="text1"/>
          <w:szCs w:val="24"/>
        </w:rPr>
        <w:t>), about 20</w:t>
      </w:r>
      <w:r w:rsidR="00D216DC">
        <w:rPr>
          <w:color w:val="000000" w:themeColor="text1"/>
          <w:szCs w:val="24"/>
        </w:rPr>
        <w:t xml:space="preserve"> percent </w:t>
      </w:r>
      <w:r w:rsidR="00BC1384">
        <w:rPr>
          <w:color w:val="000000" w:themeColor="text1"/>
          <w:szCs w:val="24"/>
        </w:rPr>
        <w:t>of the public buildings are State-owned (see Figure 2.1).</w:t>
      </w:r>
    </w:p>
    <w:p w14:paraId="3413B0CD" w14:textId="77777777" w:rsidR="00BC1384" w:rsidRDefault="00BC1384" w:rsidP="001E7725">
      <w:pPr>
        <w:pStyle w:val="FiguresandTables"/>
        <w:spacing w:after="20"/>
      </w:pPr>
      <w:r>
        <w:t>Figure 2.1 – Ownership of Public Buildings</w:t>
      </w:r>
    </w:p>
    <w:p w14:paraId="72728AD8" w14:textId="77777777" w:rsidR="00BC1384" w:rsidRDefault="00BC1384" w:rsidP="001E7725">
      <w:pPr>
        <w:spacing w:before="40" w:after="40"/>
        <w:jc w:val="center"/>
      </w:pPr>
      <w:r>
        <w:rPr>
          <w:noProof/>
        </w:rPr>
        <w:drawing>
          <wp:inline distT="0" distB="0" distL="0" distR="0" wp14:anchorId="7B7A24C3" wp14:editId="0FBFFCA4">
            <wp:extent cx="3448050" cy="207552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6010" cy="2086335"/>
                    </a:xfrm>
                    <a:prstGeom prst="rect">
                      <a:avLst/>
                    </a:prstGeom>
                    <a:noFill/>
                  </pic:spPr>
                </pic:pic>
              </a:graphicData>
            </a:graphic>
          </wp:inline>
        </w:drawing>
      </w:r>
    </w:p>
    <w:p w14:paraId="2F45807C" w14:textId="77777777" w:rsidR="00BC1384" w:rsidRPr="00BC1384" w:rsidRDefault="00BC1384" w:rsidP="00BC1384"/>
    <w:p w14:paraId="185EE898" w14:textId="77777777" w:rsidR="00EC7501" w:rsidRPr="00EC7501" w:rsidRDefault="00BF6521" w:rsidP="00EC7501">
      <w:r>
        <w:t>Extrapolating the floor area of the six cities, taking into account that (i) the SEAPs did not have an exhaustive list of buildings; (ii) they included only six cities; and (iii) they exclude</w:t>
      </w:r>
      <w:r w:rsidR="00BC1384">
        <w:t xml:space="preserve"> State-owned office and </w:t>
      </w:r>
      <w:r>
        <w:t>administrative buildings, it</w:t>
      </w:r>
      <w:r w:rsidR="00BC1384">
        <w:t xml:space="preserve"> is estimated </w:t>
      </w:r>
      <w:r>
        <w:t xml:space="preserve">that the total floor area of public buildings in Georgia is about 2.25 million square meters. </w:t>
      </w:r>
    </w:p>
    <w:p w14:paraId="0C0DD701" w14:textId="77777777" w:rsidR="004958B0" w:rsidRDefault="004958B0" w:rsidP="00EC7501">
      <w:pPr>
        <w:pStyle w:val="Heading2"/>
      </w:pPr>
      <w:bookmarkStart w:id="22" w:name="_Toc461093915"/>
      <w:r>
        <w:t>Issues Related to Low Comfort Levels and Need for Structural Rehabilitation</w:t>
      </w:r>
      <w:bookmarkEnd w:id="22"/>
    </w:p>
    <w:p w14:paraId="09FDF54B" w14:textId="77777777" w:rsidR="00501BE4" w:rsidRDefault="004958B0" w:rsidP="004958B0">
      <w:r>
        <w:t>Many of the public buildings in Georgia (particularly kindergartens and schools) are underheated and need significant structural rehabilitation. For such buildings, the investment costs and typical payback periods of EE investments may be underestimated</w:t>
      </w:r>
      <w:r w:rsidR="00501BE4">
        <w:t xml:space="preserve"> in the energy audits</w:t>
      </w:r>
      <w:r>
        <w:t xml:space="preserve">. </w:t>
      </w:r>
      <w:r w:rsidR="00501BE4">
        <w:t>Table 2.4 shows the results of estimates by USAID of the need for rehabilitation and the related investment costs.</w:t>
      </w:r>
    </w:p>
    <w:p w14:paraId="6EB7ED00" w14:textId="77777777" w:rsidR="00501BE4" w:rsidRDefault="00501BE4" w:rsidP="009744D9">
      <w:pPr>
        <w:pStyle w:val="FiguresandTables"/>
        <w:spacing w:before="180" w:after="40"/>
      </w:pPr>
      <w:r>
        <w:t xml:space="preserve">Table 2.4 – Estimated </w:t>
      </w:r>
      <w:r w:rsidR="00BD774E">
        <w:t xml:space="preserve">Unit </w:t>
      </w:r>
      <w:r>
        <w:t xml:space="preserve">Investment Needs for </w:t>
      </w:r>
      <w:r w:rsidR="000B36F7">
        <w:t xml:space="preserve">Structural </w:t>
      </w:r>
      <w:r>
        <w:t>Rehabilitation</w:t>
      </w:r>
    </w:p>
    <w:p w14:paraId="210C0007" w14:textId="77777777" w:rsidR="002D672B" w:rsidRDefault="002D672B" w:rsidP="009744D9">
      <w:pPr>
        <w:pStyle w:val="FiguresandTables"/>
        <w:spacing w:before="40" w:after="40"/>
      </w:pPr>
      <w:r w:rsidRPr="002D672B">
        <w:rPr>
          <w:noProof/>
        </w:rPr>
        <w:drawing>
          <wp:inline distT="0" distB="0" distL="0" distR="0" wp14:anchorId="2AF12A80" wp14:editId="0C2C3049">
            <wp:extent cx="3854450" cy="1651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7146" cy="1660722"/>
                    </a:xfrm>
                    <a:prstGeom prst="rect">
                      <a:avLst/>
                    </a:prstGeom>
                    <a:noFill/>
                    <a:ln>
                      <a:noFill/>
                    </a:ln>
                  </pic:spPr>
                </pic:pic>
              </a:graphicData>
            </a:graphic>
          </wp:inline>
        </w:drawing>
      </w:r>
    </w:p>
    <w:p w14:paraId="6469DD17" w14:textId="77777777" w:rsidR="00501BE4" w:rsidRPr="00501BE4" w:rsidRDefault="00501BE4" w:rsidP="001E2045">
      <w:pPr>
        <w:spacing w:before="40"/>
        <w:rPr>
          <w:i/>
          <w:sz w:val="22"/>
          <w:szCs w:val="22"/>
        </w:rPr>
      </w:pPr>
      <w:r>
        <w:tab/>
      </w:r>
      <w:r>
        <w:tab/>
      </w:r>
      <w:r>
        <w:rPr>
          <w:i/>
          <w:sz w:val="22"/>
          <w:szCs w:val="22"/>
        </w:rPr>
        <w:t xml:space="preserve">   Source: USAID 2016</w:t>
      </w:r>
    </w:p>
    <w:p w14:paraId="4C539F4F" w14:textId="77777777" w:rsidR="004958B0" w:rsidRPr="004958B0" w:rsidRDefault="00501BE4" w:rsidP="004958B0">
      <w:r>
        <w:t>The NAMA proposal has estimated even higher costs (€200-300/m</w:t>
      </w:r>
      <w:r w:rsidRPr="00501BE4">
        <w:rPr>
          <w:vertAlign w:val="superscript"/>
        </w:rPr>
        <w:t>2</w:t>
      </w:r>
      <w:r>
        <w:t>) for “deep renovation” of public buildings in Georgia. U</w:t>
      </w:r>
      <w:r w:rsidR="004958B0">
        <w:t xml:space="preserve">nderheating and structural rehabilitation </w:t>
      </w:r>
      <w:r>
        <w:t>are</w:t>
      </w:r>
      <w:r w:rsidR="004958B0">
        <w:t xml:space="preserve"> common in the region</w:t>
      </w:r>
      <w:r>
        <w:t xml:space="preserve">, and some measures to address </w:t>
      </w:r>
      <w:r w:rsidR="00C2484E">
        <w:t xml:space="preserve">this </w:t>
      </w:r>
      <w:r>
        <w:t xml:space="preserve">can be included in </w:t>
      </w:r>
      <w:r w:rsidR="004958B0">
        <w:t>typical EE investments</w:t>
      </w:r>
      <w:r>
        <w:t xml:space="preserve">. However, </w:t>
      </w:r>
      <w:r w:rsidR="004958B0">
        <w:t xml:space="preserve">to recover the full investment cost from </w:t>
      </w:r>
      <w:r>
        <w:t xml:space="preserve">EE </w:t>
      </w:r>
      <w:r w:rsidR="004958B0">
        <w:t>savings</w:t>
      </w:r>
      <w:r>
        <w:t xml:space="preserve">, such investments in structural rehabilitation or upgrading comfort levels need to be limited so that the investment costs can be recovered through energy </w:t>
      </w:r>
      <w:r w:rsidR="00D34328">
        <w:t xml:space="preserve">cost </w:t>
      </w:r>
      <w:r>
        <w:t xml:space="preserve">savings in no more than 10 years. </w:t>
      </w:r>
      <w:r w:rsidR="00D34328">
        <w:t>If not, some budgetary or grant support would be necessary.</w:t>
      </w:r>
    </w:p>
    <w:p w14:paraId="3F137F61" w14:textId="77777777" w:rsidR="00EC7501" w:rsidRDefault="00EC7501" w:rsidP="00EC7501">
      <w:pPr>
        <w:pStyle w:val="Heading2"/>
      </w:pPr>
      <w:bookmarkStart w:id="23" w:name="_Toc461093916"/>
      <w:r>
        <w:t>Estimating Potential Investment Needs</w:t>
      </w:r>
      <w:r w:rsidR="00BF6521">
        <w:t xml:space="preserve"> for Energy Efficiency Improvement</w:t>
      </w:r>
      <w:bookmarkEnd w:id="23"/>
    </w:p>
    <w:p w14:paraId="6A0A725E" w14:textId="77777777" w:rsidR="00BF6521" w:rsidRDefault="00EA08A7" w:rsidP="00BF6521">
      <w:r>
        <w:t xml:space="preserve">International experience </w:t>
      </w:r>
      <w:r w:rsidR="0065180A">
        <w:t>shows</w:t>
      </w:r>
      <w:r>
        <w:t xml:space="preserve"> that the investments needed in the public sector for EE improvement</w:t>
      </w:r>
      <w:r w:rsidR="0065180A">
        <w:t>s</w:t>
      </w:r>
      <w:r>
        <w:t xml:space="preserve"> to provide reasonable comfort levels and allow for some structural rehabilitation are </w:t>
      </w:r>
      <w:r w:rsidR="0065180A">
        <w:t xml:space="preserve">typically </w:t>
      </w:r>
      <w:r>
        <w:t>in the range of €50 to 80 per square meter and typical simple payback</w:t>
      </w:r>
      <w:r w:rsidR="0065180A">
        <w:t xml:space="preserve"> period</w:t>
      </w:r>
      <w:r>
        <w:t>s are in the range of 8 to 10 years.</w:t>
      </w:r>
      <w:r>
        <w:rPr>
          <w:rStyle w:val="FootnoteReference"/>
        </w:rPr>
        <w:footnoteReference w:id="20"/>
      </w:r>
      <w:r>
        <w:t xml:space="preserve"> Assuming a total floor area of 2.5 million square meters, this means the total investment needs for EE improvement </w:t>
      </w:r>
      <w:r w:rsidR="0065180A">
        <w:t>in Georgia c</w:t>
      </w:r>
      <w:r>
        <w:t>ould be in the range of €112 to 180 million. These EE investments are likely to provide annual savings of €15 to 20 million.</w:t>
      </w:r>
      <w:r w:rsidR="00BD774E">
        <w:t xml:space="preserve"> Table 2.5 summarizes these </w:t>
      </w:r>
      <w:r w:rsidR="0065180A">
        <w:t>estimates</w:t>
      </w:r>
      <w:r w:rsidR="00BD774E">
        <w:t>.</w:t>
      </w:r>
    </w:p>
    <w:p w14:paraId="2DD280F4" w14:textId="77777777" w:rsidR="00BD774E" w:rsidRDefault="00BD774E" w:rsidP="00E50A7B">
      <w:pPr>
        <w:pStyle w:val="FiguresandTables"/>
        <w:spacing w:after="60"/>
      </w:pPr>
      <w:r>
        <w:t>Table 2.5 – Estimated Investments Needs and Savings Potential</w:t>
      </w:r>
    </w:p>
    <w:tbl>
      <w:tblPr>
        <w:tblStyle w:val="TableGrid"/>
        <w:tblW w:w="0" w:type="auto"/>
        <w:tblInd w:w="895" w:type="dxa"/>
        <w:tblLook w:val="04A0" w:firstRow="1" w:lastRow="0" w:firstColumn="1" w:lastColumn="0" w:noHBand="0" w:noVBand="1"/>
      </w:tblPr>
      <w:tblGrid>
        <w:gridCol w:w="3598"/>
        <w:gridCol w:w="1892"/>
        <w:gridCol w:w="2070"/>
      </w:tblGrid>
      <w:tr w:rsidR="00BD774E" w:rsidRPr="00BD774E" w14:paraId="181CE900" w14:textId="77777777" w:rsidTr="00B52F45">
        <w:tc>
          <w:tcPr>
            <w:tcW w:w="3598" w:type="dxa"/>
            <w:shd w:val="clear" w:color="auto" w:fill="002060"/>
          </w:tcPr>
          <w:p w14:paraId="7FA9CD54" w14:textId="77777777" w:rsidR="00BD774E" w:rsidRPr="00B52F45" w:rsidRDefault="00B52F45" w:rsidP="00BD774E">
            <w:pPr>
              <w:jc w:val="center"/>
              <w:rPr>
                <w:b/>
                <w:color w:val="FFFFFF" w:themeColor="background1"/>
                <w:sz w:val="22"/>
                <w:szCs w:val="22"/>
              </w:rPr>
            </w:pPr>
            <w:r w:rsidRPr="00B52F45">
              <w:rPr>
                <w:b/>
                <w:color w:val="FFFFFF" w:themeColor="background1"/>
                <w:sz w:val="22"/>
                <w:szCs w:val="22"/>
              </w:rPr>
              <w:t>Investments and Savings</w:t>
            </w:r>
          </w:p>
        </w:tc>
        <w:tc>
          <w:tcPr>
            <w:tcW w:w="1892" w:type="dxa"/>
            <w:shd w:val="clear" w:color="auto" w:fill="002060"/>
          </w:tcPr>
          <w:p w14:paraId="303714AA" w14:textId="77777777" w:rsidR="00BD774E" w:rsidRPr="00B52F45" w:rsidRDefault="00BD774E" w:rsidP="00BD774E">
            <w:pPr>
              <w:jc w:val="center"/>
              <w:rPr>
                <w:b/>
                <w:color w:val="FFFFFF" w:themeColor="background1"/>
                <w:sz w:val="22"/>
                <w:szCs w:val="22"/>
              </w:rPr>
            </w:pPr>
            <w:r w:rsidRPr="00B52F45">
              <w:rPr>
                <w:b/>
                <w:color w:val="FFFFFF" w:themeColor="background1"/>
                <w:sz w:val="22"/>
                <w:szCs w:val="22"/>
              </w:rPr>
              <w:t>Units</w:t>
            </w:r>
          </w:p>
        </w:tc>
        <w:tc>
          <w:tcPr>
            <w:tcW w:w="2070" w:type="dxa"/>
            <w:shd w:val="clear" w:color="auto" w:fill="002060"/>
          </w:tcPr>
          <w:p w14:paraId="4C208F0E" w14:textId="77777777" w:rsidR="00BD774E" w:rsidRPr="00B52F45" w:rsidRDefault="00BD774E" w:rsidP="00BD774E">
            <w:pPr>
              <w:jc w:val="center"/>
              <w:rPr>
                <w:b/>
                <w:color w:val="FFFFFF" w:themeColor="background1"/>
                <w:sz w:val="22"/>
                <w:szCs w:val="22"/>
              </w:rPr>
            </w:pPr>
            <w:r w:rsidRPr="00B52F45">
              <w:rPr>
                <w:b/>
                <w:color w:val="FFFFFF" w:themeColor="background1"/>
                <w:sz w:val="22"/>
                <w:szCs w:val="22"/>
              </w:rPr>
              <w:t>Amount</w:t>
            </w:r>
            <w:r w:rsidR="00B52F45" w:rsidRPr="00B52F45">
              <w:rPr>
                <w:b/>
                <w:color w:val="FFFFFF" w:themeColor="background1"/>
                <w:sz w:val="22"/>
                <w:szCs w:val="22"/>
              </w:rPr>
              <w:t>s</w:t>
            </w:r>
          </w:p>
        </w:tc>
      </w:tr>
      <w:tr w:rsidR="00BD774E" w:rsidRPr="00BD774E" w14:paraId="6C50DE63" w14:textId="77777777" w:rsidTr="00B52F45">
        <w:tc>
          <w:tcPr>
            <w:tcW w:w="3598" w:type="dxa"/>
            <w:shd w:val="clear" w:color="auto" w:fill="DAEEF3" w:themeFill="accent5" w:themeFillTint="33"/>
          </w:tcPr>
          <w:p w14:paraId="28236178" w14:textId="77777777" w:rsidR="00BD774E" w:rsidRPr="00BD774E" w:rsidRDefault="00BD774E" w:rsidP="00BD774E">
            <w:pPr>
              <w:jc w:val="center"/>
              <w:rPr>
                <w:sz w:val="22"/>
                <w:szCs w:val="22"/>
              </w:rPr>
            </w:pPr>
            <w:r w:rsidRPr="00BD774E">
              <w:rPr>
                <w:sz w:val="22"/>
                <w:szCs w:val="22"/>
              </w:rPr>
              <w:t>Estimated Total Floor Area</w:t>
            </w:r>
          </w:p>
        </w:tc>
        <w:tc>
          <w:tcPr>
            <w:tcW w:w="1892" w:type="dxa"/>
            <w:shd w:val="clear" w:color="auto" w:fill="DAEEF3" w:themeFill="accent5" w:themeFillTint="33"/>
          </w:tcPr>
          <w:p w14:paraId="705F0278" w14:textId="77777777" w:rsidR="00BD774E" w:rsidRPr="00BD774E" w:rsidRDefault="00BD774E" w:rsidP="00BD774E">
            <w:pPr>
              <w:jc w:val="center"/>
              <w:rPr>
                <w:sz w:val="22"/>
                <w:szCs w:val="22"/>
              </w:rPr>
            </w:pPr>
            <w:r w:rsidRPr="00BD774E">
              <w:t>m</w:t>
            </w:r>
            <w:r w:rsidRPr="00BD774E">
              <w:rPr>
                <w:vertAlign w:val="superscript"/>
              </w:rPr>
              <w:t>2</w:t>
            </w:r>
          </w:p>
        </w:tc>
        <w:tc>
          <w:tcPr>
            <w:tcW w:w="2070" w:type="dxa"/>
            <w:shd w:val="clear" w:color="auto" w:fill="DAEEF3" w:themeFill="accent5" w:themeFillTint="33"/>
          </w:tcPr>
          <w:p w14:paraId="07EEB98C" w14:textId="77777777" w:rsidR="00BD774E" w:rsidRPr="00BD774E" w:rsidRDefault="00BD774E" w:rsidP="00BD774E">
            <w:pPr>
              <w:jc w:val="center"/>
              <w:rPr>
                <w:sz w:val="22"/>
                <w:szCs w:val="22"/>
              </w:rPr>
            </w:pPr>
            <w:r>
              <w:rPr>
                <w:sz w:val="22"/>
                <w:szCs w:val="22"/>
              </w:rPr>
              <w:t>2.25 million</w:t>
            </w:r>
          </w:p>
        </w:tc>
      </w:tr>
      <w:tr w:rsidR="00BD774E" w:rsidRPr="00BD774E" w14:paraId="0A20DB81" w14:textId="77777777" w:rsidTr="00B52F45">
        <w:tc>
          <w:tcPr>
            <w:tcW w:w="3598" w:type="dxa"/>
            <w:shd w:val="clear" w:color="auto" w:fill="DAEEF3" w:themeFill="accent5" w:themeFillTint="33"/>
          </w:tcPr>
          <w:p w14:paraId="75707472" w14:textId="77777777" w:rsidR="00BD774E" w:rsidRPr="00BD774E" w:rsidRDefault="00BD774E" w:rsidP="00BD774E">
            <w:pPr>
              <w:jc w:val="center"/>
              <w:rPr>
                <w:sz w:val="22"/>
                <w:szCs w:val="22"/>
              </w:rPr>
            </w:pPr>
            <w:r w:rsidRPr="00BD774E">
              <w:rPr>
                <w:sz w:val="22"/>
                <w:szCs w:val="22"/>
              </w:rPr>
              <w:t>Estimated Investment per m</w:t>
            </w:r>
            <w:r w:rsidRPr="00BD774E">
              <w:rPr>
                <w:rFonts w:ascii="Times New Roman Bold" w:hAnsi="Times New Roman Bold"/>
                <w:sz w:val="22"/>
                <w:szCs w:val="22"/>
                <w:vertAlign w:val="superscript"/>
              </w:rPr>
              <w:t>2</w:t>
            </w:r>
          </w:p>
        </w:tc>
        <w:tc>
          <w:tcPr>
            <w:tcW w:w="1892" w:type="dxa"/>
            <w:shd w:val="clear" w:color="auto" w:fill="DAEEF3" w:themeFill="accent5" w:themeFillTint="33"/>
          </w:tcPr>
          <w:p w14:paraId="76303C9C" w14:textId="77777777" w:rsidR="00BD774E" w:rsidRPr="00BD774E" w:rsidRDefault="00BD774E" w:rsidP="00BD774E">
            <w:pPr>
              <w:jc w:val="center"/>
              <w:rPr>
                <w:sz w:val="22"/>
                <w:szCs w:val="22"/>
              </w:rPr>
            </w:pPr>
            <w:r w:rsidRPr="00BD774E">
              <w:t>€/m</w:t>
            </w:r>
            <w:r w:rsidRPr="00BD774E">
              <w:rPr>
                <w:vertAlign w:val="superscript"/>
              </w:rPr>
              <w:t>2</w:t>
            </w:r>
          </w:p>
        </w:tc>
        <w:tc>
          <w:tcPr>
            <w:tcW w:w="2070" w:type="dxa"/>
            <w:shd w:val="clear" w:color="auto" w:fill="DAEEF3" w:themeFill="accent5" w:themeFillTint="33"/>
          </w:tcPr>
          <w:p w14:paraId="33922EF9" w14:textId="77777777" w:rsidR="00BD774E" w:rsidRPr="00BD774E" w:rsidRDefault="00BD774E" w:rsidP="00BD774E">
            <w:pPr>
              <w:jc w:val="center"/>
              <w:rPr>
                <w:sz w:val="22"/>
                <w:szCs w:val="22"/>
              </w:rPr>
            </w:pPr>
            <w:r w:rsidRPr="00BD774E">
              <w:rPr>
                <w:sz w:val="22"/>
                <w:szCs w:val="22"/>
              </w:rPr>
              <w:t>50 - 80</w:t>
            </w:r>
          </w:p>
        </w:tc>
      </w:tr>
      <w:tr w:rsidR="00BD774E" w:rsidRPr="00BD774E" w14:paraId="46B42921" w14:textId="77777777" w:rsidTr="00B52F45">
        <w:tc>
          <w:tcPr>
            <w:tcW w:w="3598" w:type="dxa"/>
            <w:shd w:val="clear" w:color="auto" w:fill="DAEEF3" w:themeFill="accent5" w:themeFillTint="33"/>
          </w:tcPr>
          <w:p w14:paraId="29919D8F" w14:textId="77777777" w:rsidR="00BD774E" w:rsidRPr="00BD774E" w:rsidRDefault="00BD774E" w:rsidP="00BD774E">
            <w:pPr>
              <w:jc w:val="center"/>
              <w:rPr>
                <w:sz w:val="22"/>
                <w:szCs w:val="22"/>
              </w:rPr>
            </w:pPr>
            <w:r>
              <w:rPr>
                <w:sz w:val="22"/>
                <w:szCs w:val="22"/>
              </w:rPr>
              <w:t>Estimated Total Investment Needs</w:t>
            </w:r>
          </w:p>
        </w:tc>
        <w:tc>
          <w:tcPr>
            <w:tcW w:w="1892" w:type="dxa"/>
            <w:shd w:val="clear" w:color="auto" w:fill="DAEEF3" w:themeFill="accent5" w:themeFillTint="33"/>
          </w:tcPr>
          <w:p w14:paraId="52564B8B" w14:textId="77777777" w:rsidR="00BD774E" w:rsidRPr="00BD774E" w:rsidRDefault="00BD774E" w:rsidP="00BD774E">
            <w:pPr>
              <w:jc w:val="center"/>
              <w:rPr>
                <w:sz w:val="22"/>
                <w:szCs w:val="22"/>
              </w:rPr>
            </w:pPr>
            <w:r w:rsidRPr="00BD774E">
              <w:t>€</w:t>
            </w:r>
          </w:p>
        </w:tc>
        <w:tc>
          <w:tcPr>
            <w:tcW w:w="2070" w:type="dxa"/>
            <w:shd w:val="clear" w:color="auto" w:fill="DAEEF3" w:themeFill="accent5" w:themeFillTint="33"/>
          </w:tcPr>
          <w:p w14:paraId="539CF01B" w14:textId="77777777" w:rsidR="00BD774E" w:rsidRPr="00BD774E" w:rsidRDefault="00BD774E" w:rsidP="00BD774E">
            <w:pPr>
              <w:jc w:val="center"/>
              <w:rPr>
                <w:sz w:val="22"/>
                <w:szCs w:val="22"/>
              </w:rPr>
            </w:pPr>
            <w:r>
              <w:rPr>
                <w:sz w:val="22"/>
                <w:szCs w:val="22"/>
              </w:rPr>
              <w:t>112 – 180 million</w:t>
            </w:r>
          </w:p>
        </w:tc>
      </w:tr>
      <w:tr w:rsidR="00BD774E" w:rsidRPr="00BD774E" w14:paraId="212A812A" w14:textId="77777777" w:rsidTr="00B52F45">
        <w:tc>
          <w:tcPr>
            <w:tcW w:w="3598" w:type="dxa"/>
            <w:shd w:val="clear" w:color="auto" w:fill="DAEEF3" w:themeFill="accent5" w:themeFillTint="33"/>
          </w:tcPr>
          <w:p w14:paraId="089AB15B" w14:textId="77777777" w:rsidR="00BD774E" w:rsidRPr="00BD774E" w:rsidRDefault="00BD774E" w:rsidP="00BD774E">
            <w:pPr>
              <w:jc w:val="center"/>
              <w:rPr>
                <w:sz w:val="22"/>
                <w:szCs w:val="22"/>
              </w:rPr>
            </w:pPr>
            <w:r>
              <w:rPr>
                <w:sz w:val="22"/>
                <w:szCs w:val="22"/>
              </w:rPr>
              <w:t>Estimated Simple Paybacks</w:t>
            </w:r>
          </w:p>
        </w:tc>
        <w:tc>
          <w:tcPr>
            <w:tcW w:w="1892" w:type="dxa"/>
            <w:shd w:val="clear" w:color="auto" w:fill="DAEEF3" w:themeFill="accent5" w:themeFillTint="33"/>
          </w:tcPr>
          <w:p w14:paraId="3192A5C9" w14:textId="77777777" w:rsidR="00BD774E" w:rsidRPr="00BD774E" w:rsidRDefault="00BD774E" w:rsidP="00BD774E">
            <w:pPr>
              <w:jc w:val="center"/>
              <w:rPr>
                <w:sz w:val="22"/>
                <w:szCs w:val="22"/>
              </w:rPr>
            </w:pPr>
            <w:r>
              <w:rPr>
                <w:sz w:val="22"/>
                <w:szCs w:val="22"/>
              </w:rPr>
              <w:t>Years</w:t>
            </w:r>
          </w:p>
        </w:tc>
        <w:tc>
          <w:tcPr>
            <w:tcW w:w="2070" w:type="dxa"/>
            <w:shd w:val="clear" w:color="auto" w:fill="DAEEF3" w:themeFill="accent5" w:themeFillTint="33"/>
          </w:tcPr>
          <w:p w14:paraId="61EECC8F" w14:textId="77777777" w:rsidR="00BD774E" w:rsidRPr="00BD774E" w:rsidRDefault="00BD774E" w:rsidP="00BD774E">
            <w:pPr>
              <w:jc w:val="center"/>
              <w:rPr>
                <w:sz w:val="22"/>
                <w:szCs w:val="22"/>
              </w:rPr>
            </w:pPr>
            <w:r>
              <w:rPr>
                <w:sz w:val="22"/>
                <w:szCs w:val="22"/>
              </w:rPr>
              <w:t>8 - 10</w:t>
            </w:r>
          </w:p>
        </w:tc>
      </w:tr>
      <w:tr w:rsidR="00BD774E" w:rsidRPr="00BD774E" w14:paraId="36A2B534" w14:textId="77777777" w:rsidTr="00B52F45">
        <w:tc>
          <w:tcPr>
            <w:tcW w:w="3598" w:type="dxa"/>
            <w:shd w:val="clear" w:color="auto" w:fill="DAEEF3" w:themeFill="accent5" w:themeFillTint="33"/>
          </w:tcPr>
          <w:p w14:paraId="76A9DB5B" w14:textId="77777777" w:rsidR="00BD774E" w:rsidRPr="00BD774E" w:rsidRDefault="00BD774E" w:rsidP="00BD774E">
            <w:pPr>
              <w:jc w:val="center"/>
              <w:rPr>
                <w:sz w:val="22"/>
                <w:szCs w:val="22"/>
              </w:rPr>
            </w:pPr>
            <w:r>
              <w:rPr>
                <w:sz w:val="22"/>
                <w:szCs w:val="22"/>
              </w:rPr>
              <w:t>Estimated Annual Cost Savings</w:t>
            </w:r>
          </w:p>
        </w:tc>
        <w:tc>
          <w:tcPr>
            <w:tcW w:w="1892" w:type="dxa"/>
            <w:shd w:val="clear" w:color="auto" w:fill="DAEEF3" w:themeFill="accent5" w:themeFillTint="33"/>
          </w:tcPr>
          <w:p w14:paraId="6D512D9D" w14:textId="77777777" w:rsidR="00BD774E" w:rsidRPr="00BD774E" w:rsidRDefault="00BD774E" w:rsidP="00BD774E">
            <w:pPr>
              <w:jc w:val="center"/>
              <w:rPr>
                <w:sz w:val="22"/>
                <w:szCs w:val="22"/>
              </w:rPr>
            </w:pPr>
            <w:r w:rsidRPr="00BD774E">
              <w:t>€</w:t>
            </w:r>
          </w:p>
        </w:tc>
        <w:tc>
          <w:tcPr>
            <w:tcW w:w="2070" w:type="dxa"/>
            <w:shd w:val="clear" w:color="auto" w:fill="DAEEF3" w:themeFill="accent5" w:themeFillTint="33"/>
          </w:tcPr>
          <w:p w14:paraId="5E4FCE1A" w14:textId="77777777" w:rsidR="00BD774E" w:rsidRPr="00BD774E" w:rsidRDefault="00BD774E" w:rsidP="00BD774E">
            <w:pPr>
              <w:jc w:val="center"/>
              <w:rPr>
                <w:sz w:val="22"/>
                <w:szCs w:val="22"/>
              </w:rPr>
            </w:pPr>
            <w:r>
              <w:rPr>
                <w:sz w:val="22"/>
                <w:szCs w:val="22"/>
              </w:rPr>
              <w:t>15 – 20 million</w:t>
            </w:r>
          </w:p>
        </w:tc>
      </w:tr>
    </w:tbl>
    <w:p w14:paraId="1B0E6C1A" w14:textId="77777777" w:rsidR="008B5422" w:rsidRDefault="008B5422" w:rsidP="008B5422">
      <w:pPr>
        <w:rPr>
          <w:i/>
          <w:sz w:val="22"/>
          <w:szCs w:val="22"/>
        </w:rPr>
      </w:pPr>
    </w:p>
    <w:p w14:paraId="1355DD9E" w14:textId="77777777" w:rsidR="001A414E" w:rsidRDefault="001A414E">
      <w:pPr>
        <w:widowControl/>
        <w:spacing w:before="0" w:after="0"/>
        <w:jc w:val="left"/>
        <w:rPr>
          <w:i/>
          <w:sz w:val="22"/>
          <w:szCs w:val="22"/>
        </w:rPr>
      </w:pPr>
      <w:r>
        <w:rPr>
          <w:i/>
          <w:sz w:val="22"/>
          <w:szCs w:val="22"/>
        </w:rPr>
        <w:br w:type="page"/>
      </w:r>
    </w:p>
    <w:p w14:paraId="6023A467" w14:textId="77777777" w:rsidR="00630DC0" w:rsidRDefault="00630DC0" w:rsidP="00630DC0">
      <w:pPr>
        <w:pStyle w:val="Heading2"/>
      </w:pPr>
    </w:p>
    <w:p w14:paraId="5266F17D" w14:textId="77777777" w:rsidR="00630DC0" w:rsidRDefault="00630DC0" w:rsidP="00630DC0">
      <w:pPr>
        <w:pStyle w:val="Heading1"/>
      </w:pPr>
      <w:bookmarkStart w:id="24" w:name="_Toc461093917"/>
      <w:r>
        <w:t>SECTION 3 - Barriers to Financing pUBLIC sECTOR EE</w:t>
      </w:r>
      <w:bookmarkEnd w:id="24"/>
    </w:p>
    <w:p w14:paraId="524B1BBB" w14:textId="77777777" w:rsidR="00F07EC6" w:rsidRDefault="00F07EC6" w:rsidP="00F07EC6">
      <w:pPr>
        <w:pStyle w:val="Heading2"/>
      </w:pPr>
      <w:bookmarkStart w:id="25" w:name="_Toc461093918"/>
      <w:r>
        <w:t>Introduction</w:t>
      </w:r>
      <w:bookmarkEnd w:id="25"/>
    </w:p>
    <w:p w14:paraId="2673AE2D" w14:textId="77777777" w:rsidR="00F07EC6" w:rsidRDefault="00DE3AE9" w:rsidP="00F07EC6">
      <w:r>
        <w:t>E</w:t>
      </w:r>
      <w:r w:rsidR="00C2484E">
        <w:t>nergy efficiency</w:t>
      </w:r>
      <w:r w:rsidR="00F07EC6">
        <w:t xml:space="preserve"> investment programs</w:t>
      </w:r>
      <w:r w:rsidR="00F07EC6" w:rsidRPr="00B877E8">
        <w:t xml:space="preserve"> in public institutions are </w:t>
      </w:r>
      <w:r w:rsidR="00F07EC6">
        <w:t xml:space="preserve">notoriously difficult to implement. They are </w:t>
      </w:r>
      <w:r w:rsidR="00F07EC6" w:rsidRPr="00B877E8">
        <w:t xml:space="preserve">impeded by the same barriers that have slowed down </w:t>
      </w:r>
      <w:r w:rsidR="00F07EC6">
        <w:t>EE improvements</w:t>
      </w:r>
      <w:r w:rsidR="00F07EC6" w:rsidRPr="00B877E8">
        <w:t xml:space="preserve"> in other sectors of the economy</w:t>
      </w:r>
      <w:r w:rsidR="00F07EC6">
        <w:t xml:space="preserve">, such as </w:t>
      </w:r>
      <w:r w:rsidR="00F07EC6" w:rsidRPr="00C52CCD">
        <w:t xml:space="preserve">lack of information on </w:t>
      </w:r>
      <w:r w:rsidR="00F07EC6">
        <w:t>EE</w:t>
      </w:r>
      <w:r w:rsidR="00F07EC6" w:rsidRPr="00C52CCD">
        <w:t xml:space="preserve"> potential and benefits, lack of trained personnel</w:t>
      </w:r>
      <w:r w:rsidR="00F07EC6">
        <w:t xml:space="preserve">, </w:t>
      </w:r>
      <w:r w:rsidR="00F07EC6" w:rsidRPr="00C52CCD">
        <w:t>lack of incentives, high transaction costs</w:t>
      </w:r>
      <w:r w:rsidR="00F07EC6">
        <w:t>,</w:t>
      </w:r>
      <w:r w:rsidR="00F07EC6" w:rsidRPr="00C52CCD">
        <w:t xml:space="preserve"> and scarcity of financing.</w:t>
      </w:r>
      <w:r w:rsidR="00F07EC6">
        <w:t xml:space="preserve"> In addition, several barriers specific to the public sector further hold back sustained</w:t>
      </w:r>
      <w:r w:rsidR="00956F89">
        <w:t xml:space="preserve"> EE</w:t>
      </w:r>
      <w:r w:rsidR="00F07EC6">
        <w:t xml:space="preserve"> improvements. Among them are p</w:t>
      </w:r>
      <w:r w:rsidR="00F07EC6" w:rsidRPr="00610D03">
        <w:t>ublic accounting, budgeting and procurement rules</w:t>
      </w:r>
      <w:r w:rsidR="00F07EC6">
        <w:t>, financing constraints, and very limited staff capacity and motivation for identifying and implementing EE measures. Figure 3.1 lists the barriers to EE in the public sector based on international experience.</w:t>
      </w:r>
    </w:p>
    <w:p w14:paraId="3EEDB4A3" w14:textId="77777777" w:rsidR="00F07EC6" w:rsidRDefault="00F07EC6" w:rsidP="00E50A7B">
      <w:pPr>
        <w:pStyle w:val="FiguresandTables"/>
        <w:spacing w:after="60"/>
      </w:pPr>
      <w:r w:rsidRPr="005C5529">
        <w:t xml:space="preserve">Figure </w:t>
      </w:r>
      <w:r>
        <w:t>3.</w:t>
      </w:r>
      <w:r w:rsidRPr="005C5529">
        <w:t>1: Barriers to EE in the Public Sector</w:t>
      </w:r>
    </w:p>
    <w:p w14:paraId="4037A536" w14:textId="77777777" w:rsidR="003C76EA" w:rsidRDefault="003C76EA" w:rsidP="00E50A7B">
      <w:pPr>
        <w:pStyle w:val="FiguresandTables"/>
        <w:spacing w:before="60" w:after="60"/>
      </w:pPr>
      <w:r w:rsidRPr="003C76EA">
        <w:rPr>
          <w:noProof/>
        </w:rPr>
        <w:drawing>
          <wp:inline distT="0" distB="0" distL="0" distR="0" wp14:anchorId="3C8BFA98" wp14:editId="4ECCF687">
            <wp:extent cx="5732145" cy="35452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2145" cy="3545216"/>
                    </a:xfrm>
                    <a:prstGeom prst="rect">
                      <a:avLst/>
                    </a:prstGeom>
                    <a:noFill/>
                    <a:ln>
                      <a:noFill/>
                    </a:ln>
                  </pic:spPr>
                </pic:pic>
              </a:graphicData>
            </a:graphic>
          </wp:inline>
        </w:drawing>
      </w:r>
    </w:p>
    <w:p w14:paraId="31C9D3D9" w14:textId="77777777" w:rsidR="00F07EC6" w:rsidRDefault="00F07EC6" w:rsidP="003C76EA">
      <w:pPr>
        <w:spacing w:before="60"/>
        <w:ind w:firstLine="720"/>
        <w:rPr>
          <w:rFonts w:ascii="Book Antiqua" w:hAnsi="Book Antiqua"/>
          <w:i/>
          <w:sz w:val="20"/>
        </w:rPr>
      </w:pPr>
      <w:r w:rsidRPr="008D64A6">
        <w:rPr>
          <w:rFonts w:ascii="Book Antiqua" w:hAnsi="Book Antiqua"/>
          <w:i/>
          <w:sz w:val="20"/>
        </w:rPr>
        <w:t>Source:</w:t>
      </w:r>
      <w:r w:rsidR="003C76EA">
        <w:rPr>
          <w:rFonts w:ascii="Book Antiqua" w:hAnsi="Book Antiqua"/>
          <w:i/>
          <w:sz w:val="20"/>
        </w:rPr>
        <w:t xml:space="preserve"> Adapted by authors from</w:t>
      </w:r>
      <w:r w:rsidRPr="008D64A6">
        <w:rPr>
          <w:rFonts w:ascii="Book Antiqua" w:hAnsi="Book Antiqua"/>
          <w:i/>
          <w:sz w:val="20"/>
        </w:rPr>
        <w:t xml:space="preserve"> </w:t>
      </w:r>
      <w:r w:rsidR="00D94C40">
        <w:rPr>
          <w:rFonts w:ascii="Book Antiqua" w:hAnsi="Book Antiqua"/>
          <w:i/>
          <w:sz w:val="20"/>
        </w:rPr>
        <w:t>World Bank 201</w:t>
      </w:r>
      <w:r w:rsidR="003C76EA">
        <w:rPr>
          <w:rFonts w:ascii="Book Antiqua" w:hAnsi="Book Antiqua"/>
          <w:i/>
          <w:sz w:val="20"/>
        </w:rPr>
        <w:t>3</w:t>
      </w:r>
      <w:r w:rsidRPr="008D64A6">
        <w:rPr>
          <w:rFonts w:ascii="Book Antiqua" w:hAnsi="Book Antiqua"/>
          <w:i/>
          <w:sz w:val="20"/>
        </w:rPr>
        <w:t>.</w:t>
      </w:r>
    </w:p>
    <w:p w14:paraId="26D0ED65" w14:textId="77777777" w:rsidR="00F07EC6" w:rsidRDefault="00F07EC6" w:rsidP="00F07EC6">
      <w:pPr>
        <w:pStyle w:val="Heading2"/>
      </w:pPr>
      <w:bookmarkStart w:id="26" w:name="_Toc461093919"/>
      <w:r>
        <w:t xml:space="preserve">Barriers to </w:t>
      </w:r>
      <w:r w:rsidR="00221405">
        <w:t>Fina</w:t>
      </w:r>
      <w:r w:rsidR="00274622">
        <w:t xml:space="preserve">ncing Public Sector EE in </w:t>
      </w:r>
      <w:r w:rsidR="00F665D4">
        <w:t>Georgia</w:t>
      </w:r>
      <w:bookmarkEnd w:id="26"/>
    </w:p>
    <w:p w14:paraId="3830130F" w14:textId="77777777" w:rsidR="0022600B" w:rsidRDefault="0022600B" w:rsidP="0022600B">
      <w:r>
        <w:t xml:space="preserve">The barriers to financing public sector EE projects </w:t>
      </w:r>
      <w:r w:rsidR="000A2371">
        <w:t xml:space="preserve">in </w:t>
      </w:r>
      <w:r w:rsidR="00F665D4">
        <w:t>Georgia</w:t>
      </w:r>
      <w:r w:rsidR="000A2371">
        <w:t xml:space="preserve"> </w:t>
      </w:r>
      <w:r>
        <w:t xml:space="preserve">have been summarized below in the </w:t>
      </w:r>
      <w:r w:rsidR="00274622">
        <w:t>following</w:t>
      </w:r>
      <w:r>
        <w:t xml:space="preserve"> categories:</w:t>
      </w:r>
    </w:p>
    <w:p w14:paraId="2757F859" w14:textId="77777777" w:rsidR="0022600B" w:rsidRPr="0022600B" w:rsidRDefault="00365389" w:rsidP="0022600B">
      <w:pPr>
        <w:pStyle w:val="Bulleted"/>
      </w:pPr>
      <w:r>
        <w:t>Policy</w:t>
      </w:r>
      <w:r w:rsidR="0022600B" w:rsidRPr="0022600B">
        <w:t xml:space="preserve"> and regulatory barriers</w:t>
      </w:r>
    </w:p>
    <w:p w14:paraId="74DF3643" w14:textId="77777777" w:rsidR="00365389" w:rsidRDefault="00365389" w:rsidP="0022600B">
      <w:pPr>
        <w:pStyle w:val="Bulleted"/>
      </w:pPr>
      <w:r>
        <w:t>Barriers related to equipment and service providers</w:t>
      </w:r>
    </w:p>
    <w:p w14:paraId="32319091" w14:textId="77777777" w:rsidR="00365389" w:rsidRDefault="00365389" w:rsidP="0022600B">
      <w:pPr>
        <w:pStyle w:val="Bulleted"/>
      </w:pPr>
      <w:r>
        <w:t>Barriers related to end users</w:t>
      </w:r>
    </w:p>
    <w:p w14:paraId="3283D7A1" w14:textId="77777777" w:rsidR="0022600B" w:rsidRPr="0022600B" w:rsidRDefault="0022600B" w:rsidP="0022600B">
      <w:pPr>
        <w:pStyle w:val="Bulleted"/>
      </w:pPr>
      <w:r w:rsidRPr="0022600B">
        <w:t>Lack of access to commercial financing</w:t>
      </w:r>
    </w:p>
    <w:p w14:paraId="06F403DF" w14:textId="77777777" w:rsidR="00274622" w:rsidRDefault="008823F1" w:rsidP="0022600B">
      <w:r>
        <w:t xml:space="preserve">In addition, the public sector has very limited capacity to identify, develop and implement </w:t>
      </w:r>
      <w:r w:rsidR="00E50A7B">
        <w:t>EE</w:t>
      </w:r>
      <w:r>
        <w:t xml:space="preserve"> projects.</w:t>
      </w:r>
    </w:p>
    <w:p w14:paraId="5A454752" w14:textId="77777777" w:rsidR="00630DC0" w:rsidRDefault="00E03AF5" w:rsidP="00E03AF5">
      <w:pPr>
        <w:pStyle w:val="Heading3"/>
      </w:pPr>
      <w:bookmarkStart w:id="27" w:name="_Toc461093920"/>
      <w:r>
        <w:t>Policy</w:t>
      </w:r>
      <w:r w:rsidR="00630DC0">
        <w:t xml:space="preserve"> a</w:t>
      </w:r>
      <w:r w:rsidR="00ED019F">
        <w:t>nd R</w:t>
      </w:r>
      <w:r w:rsidR="00630DC0">
        <w:t xml:space="preserve">egulatory </w:t>
      </w:r>
      <w:r w:rsidR="00ED019F">
        <w:t>B</w:t>
      </w:r>
      <w:r w:rsidR="00630DC0">
        <w:t>arriers</w:t>
      </w:r>
      <w:bookmarkEnd w:id="27"/>
    </w:p>
    <w:p w14:paraId="2ECDEF4E" w14:textId="77777777" w:rsidR="00550643" w:rsidRPr="000A2371" w:rsidRDefault="00D94C40" w:rsidP="00E50A7B">
      <w:pPr>
        <w:pStyle w:val="Bulleted"/>
        <w:spacing w:before="20" w:after="20"/>
        <w:rPr>
          <w:spacing w:val="-4"/>
          <w:w w:val="105"/>
        </w:rPr>
      </w:pPr>
      <w:r w:rsidRPr="000B5B83">
        <w:rPr>
          <w:b/>
          <w:i/>
          <w:w w:val="105"/>
        </w:rPr>
        <w:t xml:space="preserve">Budgetary and borrowing </w:t>
      </w:r>
      <w:r w:rsidR="00650A3F" w:rsidRPr="000B5B83">
        <w:rPr>
          <w:b/>
          <w:i/>
          <w:w w:val="105"/>
        </w:rPr>
        <w:t>limitations</w:t>
      </w:r>
      <w:r w:rsidRPr="000A2371">
        <w:rPr>
          <w:w w:val="105"/>
        </w:rPr>
        <w:t xml:space="preserve">. </w:t>
      </w:r>
      <w:r>
        <w:t xml:space="preserve">Both central government agencies and municipalities have limited availability of budget funds for investment in EE improvements. </w:t>
      </w:r>
      <w:r w:rsidR="00365389" w:rsidRPr="000A2371">
        <w:rPr>
          <w:w w:val="105"/>
        </w:rPr>
        <w:t xml:space="preserve">The existing legal framework in </w:t>
      </w:r>
      <w:r w:rsidR="00F665D4">
        <w:rPr>
          <w:w w:val="105"/>
        </w:rPr>
        <w:t>Georgia</w:t>
      </w:r>
      <w:r w:rsidR="00365389" w:rsidRPr="000A2371">
        <w:rPr>
          <w:w w:val="105"/>
        </w:rPr>
        <w:t xml:space="preserve"> does not allow central government agencies to undertake loans. </w:t>
      </w:r>
      <w:r w:rsidR="008823F1" w:rsidRPr="000A2371">
        <w:rPr>
          <w:w w:val="105"/>
        </w:rPr>
        <w:t>T</w:t>
      </w:r>
      <w:r w:rsidR="00365389" w:rsidRPr="000A2371">
        <w:rPr>
          <w:w w:val="105"/>
        </w:rPr>
        <w:t xml:space="preserve">he </w:t>
      </w:r>
      <w:r w:rsidR="001A19B1">
        <w:rPr>
          <w:w w:val="105"/>
        </w:rPr>
        <w:t xml:space="preserve">creditworthiness and </w:t>
      </w:r>
      <w:r w:rsidR="00365389" w:rsidRPr="000A2371">
        <w:rPr>
          <w:w w:val="105"/>
        </w:rPr>
        <w:t xml:space="preserve">borrowing capacity of municipalities </w:t>
      </w:r>
      <w:r w:rsidR="001A19B1">
        <w:rPr>
          <w:w w:val="105"/>
        </w:rPr>
        <w:t>are both</w:t>
      </w:r>
      <w:r w:rsidR="00365389" w:rsidRPr="000A2371">
        <w:rPr>
          <w:w w:val="105"/>
        </w:rPr>
        <w:t xml:space="preserve"> limited</w:t>
      </w:r>
      <w:r w:rsidR="00380572">
        <w:rPr>
          <w:w w:val="105"/>
        </w:rPr>
        <w:t xml:space="preserve"> </w:t>
      </w:r>
      <w:r w:rsidR="00365389" w:rsidRPr="000A2371">
        <w:rPr>
          <w:w w:val="105"/>
        </w:rPr>
        <w:t xml:space="preserve">and </w:t>
      </w:r>
      <w:r w:rsidR="001A19B1">
        <w:rPr>
          <w:w w:val="105"/>
        </w:rPr>
        <w:t>MOF</w:t>
      </w:r>
      <w:r w:rsidR="00380572">
        <w:rPr>
          <w:w w:val="105"/>
        </w:rPr>
        <w:t xml:space="preserve"> approval is needed</w:t>
      </w:r>
      <w:r w:rsidR="001A19B1">
        <w:rPr>
          <w:w w:val="105"/>
        </w:rPr>
        <w:t xml:space="preserve"> to borrow funds.</w:t>
      </w:r>
    </w:p>
    <w:p w14:paraId="2D6246FF" w14:textId="77777777" w:rsidR="00550643" w:rsidRDefault="00650A3F" w:rsidP="00E50A7B">
      <w:pPr>
        <w:pStyle w:val="Bulleted"/>
        <w:spacing w:before="20" w:after="20"/>
        <w:rPr>
          <w:spacing w:val="-4"/>
          <w:w w:val="105"/>
        </w:rPr>
      </w:pPr>
      <w:r w:rsidRPr="000B5B83">
        <w:rPr>
          <w:b/>
          <w:i/>
          <w:iCs/>
          <w:w w:val="105"/>
        </w:rPr>
        <w:t>Restrictive b</w:t>
      </w:r>
      <w:r w:rsidR="00D94C40" w:rsidRPr="000B5B83">
        <w:rPr>
          <w:b/>
          <w:i/>
          <w:iCs/>
          <w:w w:val="105"/>
        </w:rPr>
        <w:t>udget</w:t>
      </w:r>
      <w:r w:rsidRPr="000B5B83">
        <w:rPr>
          <w:b/>
          <w:i/>
          <w:iCs/>
          <w:w w:val="105"/>
        </w:rPr>
        <w:t>ary procedures</w:t>
      </w:r>
      <w:r w:rsidR="00D94C40">
        <w:rPr>
          <w:iCs/>
          <w:w w:val="105"/>
        </w:rPr>
        <w:t xml:space="preserve">. </w:t>
      </w:r>
      <w:r w:rsidR="00550643" w:rsidRPr="00550643">
        <w:rPr>
          <w:iCs/>
          <w:w w:val="105"/>
        </w:rPr>
        <w:t>Existing b</w:t>
      </w:r>
      <w:r w:rsidR="00550643">
        <w:rPr>
          <w:iCs/>
          <w:w w:val="105"/>
        </w:rPr>
        <w:t xml:space="preserve">udgetary rules </w:t>
      </w:r>
      <w:r w:rsidR="00443320">
        <w:rPr>
          <w:iCs/>
          <w:w w:val="105"/>
        </w:rPr>
        <w:t xml:space="preserve">generally </w:t>
      </w:r>
      <w:r>
        <w:rPr>
          <w:iCs/>
          <w:w w:val="105"/>
        </w:rPr>
        <w:t>do</w:t>
      </w:r>
      <w:r w:rsidR="00550643" w:rsidRPr="00550643">
        <w:rPr>
          <w:iCs/>
          <w:w w:val="105"/>
        </w:rPr>
        <w:t xml:space="preserve"> not allow </w:t>
      </w:r>
      <w:r w:rsidR="00443320">
        <w:rPr>
          <w:iCs/>
          <w:w w:val="105"/>
        </w:rPr>
        <w:t>public agencies</w:t>
      </w:r>
      <w:r w:rsidR="00443320">
        <w:t xml:space="preserve"> </w:t>
      </w:r>
      <w:r w:rsidR="003120BC">
        <w:rPr>
          <w:iCs/>
          <w:w w:val="105"/>
        </w:rPr>
        <w:t>(</w:t>
      </w:r>
      <w:r w:rsidR="00443320">
        <w:t>central government agencies and municipalities</w:t>
      </w:r>
      <w:r w:rsidR="003120BC">
        <w:rPr>
          <w:iCs/>
          <w:w w:val="105"/>
        </w:rPr>
        <w:t>)</w:t>
      </w:r>
      <w:r w:rsidR="00550643" w:rsidRPr="00550643">
        <w:rPr>
          <w:iCs/>
          <w:w w:val="105"/>
        </w:rPr>
        <w:t xml:space="preserve"> to benefit from energy savings</w:t>
      </w:r>
      <w:r w:rsidR="00550643">
        <w:rPr>
          <w:i/>
          <w:iCs/>
          <w:w w:val="105"/>
        </w:rPr>
        <w:t xml:space="preserve"> </w:t>
      </w:r>
      <w:r w:rsidR="00550643">
        <w:rPr>
          <w:w w:val="105"/>
        </w:rPr>
        <w:t xml:space="preserve">they </w:t>
      </w:r>
      <w:r w:rsidR="00550643">
        <w:rPr>
          <w:spacing w:val="-4"/>
          <w:w w:val="105"/>
        </w:rPr>
        <w:t>achieve</w:t>
      </w:r>
      <w:r w:rsidR="00D94C40">
        <w:rPr>
          <w:spacing w:val="-4"/>
          <w:w w:val="105"/>
        </w:rPr>
        <w:t>, since e</w:t>
      </w:r>
      <w:r w:rsidR="00550643">
        <w:rPr>
          <w:spacing w:val="-4"/>
          <w:w w:val="105"/>
        </w:rPr>
        <w:t xml:space="preserve">ach year’s budget allocation is based on the previous year’s </w:t>
      </w:r>
      <w:r w:rsidR="000C32A1">
        <w:rPr>
          <w:spacing w:val="-3"/>
          <w:w w:val="105"/>
        </w:rPr>
        <w:t>expenditures</w:t>
      </w:r>
      <w:r w:rsidR="00550643">
        <w:rPr>
          <w:spacing w:val="-3"/>
          <w:w w:val="105"/>
        </w:rPr>
        <w:t xml:space="preserve">. Therefore, the reduction of budgetary spending </w:t>
      </w:r>
      <w:r w:rsidR="000C32A1">
        <w:rPr>
          <w:spacing w:val="-3"/>
          <w:w w:val="105"/>
        </w:rPr>
        <w:t xml:space="preserve">for energy costs can </w:t>
      </w:r>
      <w:r w:rsidR="00550643">
        <w:rPr>
          <w:spacing w:val="-3"/>
          <w:w w:val="105"/>
        </w:rPr>
        <w:t xml:space="preserve">lead to a decrease in allocation </w:t>
      </w:r>
      <w:r w:rsidR="00550643">
        <w:rPr>
          <w:spacing w:val="-4"/>
          <w:w w:val="105"/>
        </w:rPr>
        <w:t>in the next budget cycle.</w:t>
      </w:r>
      <w:r w:rsidR="00D94C40">
        <w:rPr>
          <w:spacing w:val="-4"/>
          <w:w w:val="105"/>
        </w:rPr>
        <w:t xml:space="preserve"> </w:t>
      </w:r>
      <w:r w:rsidR="00443320">
        <w:rPr>
          <w:spacing w:val="-4"/>
          <w:w w:val="105"/>
        </w:rPr>
        <w:t>Also, op</w:t>
      </w:r>
      <w:r w:rsidR="00D94C40">
        <w:rPr>
          <w:spacing w:val="-4"/>
          <w:w w:val="105"/>
        </w:rPr>
        <w:t xml:space="preserve">erating cost reductions </w:t>
      </w:r>
      <w:r>
        <w:rPr>
          <w:spacing w:val="-4"/>
          <w:w w:val="105"/>
        </w:rPr>
        <w:t>are typically unable to cover capital expenditures.</w:t>
      </w:r>
    </w:p>
    <w:p w14:paraId="2E4A7F4D" w14:textId="77777777" w:rsidR="00283DB9" w:rsidRPr="00D34328" w:rsidRDefault="00650A3F" w:rsidP="00E50A7B">
      <w:pPr>
        <w:pStyle w:val="Bulleted"/>
        <w:spacing w:before="20" w:after="20"/>
        <w:rPr>
          <w:spacing w:val="-4"/>
          <w:w w:val="105"/>
        </w:rPr>
      </w:pPr>
      <w:r w:rsidRPr="000B5B83">
        <w:rPr>
          <w:b/>
          <w:i/>
        </w:rPr>
        <w:t>Public procurement rules</w:t>
      </w:r>
      <w:r>
        <w:t xml:space="preserve">. </w:t>
      </w:r>
      <w:r w:rsidR="00283DB9" w:rsidRPr="00D94C40">
        <w:rPr>
          <w:spacing w:val="-4"/>
          <w:w w:val="105"/>
        </w:rPr>
        <w:t xml:space="preserve">Public procurement regulations and procedures require </w:t>
      </w:r>
      <w:r w:rsidR="00283DB9" w:rsidRPr="00D94C40">
        <w:rPr>
          <w:spacing w:val="-2"/>
          <w:w w:val="105"/>
        </w:rPr>
        <w:t>tenders to be evaluated purely on the basis of lowest cost, and the value of the energy</w:t>
      </w:r>
      <w:r w:rsidR="00380572">
        <w:rPr>
          <w:spacing w:val="-2"/>
          <w:w w:val="105"/>
        </w:rPr>
        <w:t xml:space="preserve"> </w:t>
      </w:r>
      <w:r w:rsidR="00283DB9" w:rsidRPr="00D94C40">
        <w:rPr>
          <w:spacing w:val="-2"/>
          <w:w w:val="105"/>
        </w:rPr>
        <w:t xml:space="preserve">savings from EE is </w:t>
      </w:r>
      <w:r w:rsidR="00283DB9" w:rsidRPr="00D94C40">
        <w:rPr>
          <w:w w:val="105"/>
        </w:rPr>
        <w:t>not adequately taken into account.</w:t>
      </w:r>
    </w:p>
    <w:p w14:paraId="7B027E91" w14:textId="77777777" w:rsidR="00D34328" w:rsidRPr="00D34328" w:rsidRDefault="00D34328" w:rsidP="00D34328">
      <w:pPr>
        <w:pStyle w:val="Bulleted"/>
        <w:spacing w:before="20" w:after="20"/>
        <w:rPr>
          <w:spacing w:val="-4"/>
          <w:w w:val="105"/>
        </w:rPr>
      </w:pPr>
      <w:r w:rsidRPr="009D5788">
        <w:rPr>
          <w:b/>
          <w:i/>
        </w:rPr>
        <w:t>Low energy tariffs.</w:t>
      </w:r>
      <w:r w:rsidRPr="007B72D1">
        <w:t xml:space="preserve"> </w:t>
      </w:r>
      <w:r>
        <w:t xml:space="preserve">Due in part to the hydropower dominated grid, electricity prices </w:t>
      </w:r>
      <w:r w:rsidR="00823084">
        <w:t xml:space="preserve">in Georgia </w:t>
      </w:r>
      <w:r>
        <w:t xml:space="preserve">are low. </w:t>
      </w:r>
      <w:r w:rsidR="00823084">
        <w:t>T</w:t>
      </w:r>
      <w:r>
        <w:t>he market prices</w:t>
      </w:r>
      <w:r w:rsidRPr="00D34328">
        <w:rPr>
          <w:spacing w:val="-5"/>
          <w:w w:val="110"/>
        </w:rPr>
        <w:t xml:space="preserve"> of fuels such as </w:t>
      </w:r>
      <w:r w:rsidR="00823084">
        <w:rPr>
          <w:spacing w:val="-5"/>
          <w:w w:val="110"/>
        </w:rPr>
        <w:t xml:space="preserve">natural gas and </w:t>
      </w:r>
      <w:r w:rsidRPr="00D34328">
        <w:rPr>
          <w:spacing w:val="-5"/>
          <w:w w:val="110"/>
        </w:rPr>
        <w:t xml:space="preserve">firewood do </w:t>
      </w:r>
      <w:r w:rsidRPr="00D34328">
        <w:rPr>
          <w:spacing w:val="-12"/>
          <w:w w:val="110"/>
        </w:rPr>
        <w:t xml:space="preserve">not reflect their production costs. </w:t>
      </w:r>
      <w:r>
        <w:t>The</w:t>
      </w:r>
      <w:r w:rsidR="00823084">
        <w:t>se</w:t>
      </w:r>
      <w:r>
        <w:t xml:space="preserve"> low</w:t>
      </w:r>
      <w:r w:rsidR="00823084">
        <w:t>er</w:t>
      </w:r>
      <w:r>
        <w:t xml:space="preserve"> energy costs provide limited incentives for investments in EE.</w:t>
      </w:r>
    </w:p>
    <w:p w14:paraId="29BE7976" w14:textId="77777777" w:rsidR="008823F1" w:rsidRPr="00E81C56" w:rsidRDefault="003120BC" w:rsidP="00E50A7B">
      <w:pPr>
        <w:pStyle w:val="Bulleted"/>
        <w:spacing w:before="20" w:after="20"/>
        <w:rPr>
          <w:spacing w:val="-4"/>
          <w:w w:val="105"/>
        </w:rPr>
      </w:pPr>
      <w:r w:rsidRPr="000B5B83">
        <w:rPr>
          <w:b/>
          <w:i/>
          <w:spacing w:val="-4"/>
          <w:w w:val="105"/>
        </w:rPr>
        <w:t>Building codes</w:t>
      </w:r>
      <w:r w:rsidR="00443320" w:rsidRPr="000B5B83">
        <w:rPr>
          <w:b/>
          <w:i/>
          <w:spacing w:val="-4"/>
          <w:w w:val="105"/>
        </w:rPr>
        <w:t xml:space="preserve"> and certification</w:t>
      </w:r>
      <w:r w:rsidRPr="003120BC">
        <w:rPr>
          <w:i/>
          <w:spacing w:val="-4"/>
          <w:w w:val="105"/>
        </w:rPr>
        <w:t>.</w:t>
      </w:r>
      <w:r>
        <w:rPr>
          <w:spacing w:val="-4"/>
          <w:w w:val="105"/>
        </w:rPr>
        <w:t xml:space="preserve"> </w:t>
      </w:r>
      <w:r w:rsidR="008823F1">
        <w:rPr>
          <w:spacing w:val="-4"/>
          <w:w w:val="105"/>
        </w:rPr>
        <w:t xml:space="preserve">There is a lack of building code </w:t>
      </w:r>
      <w:r w:rsidR="00D34328">
        <w:rPr>
          <w:spacing w:val="-4"/>
          <w:w w:val="105"/>
        </w:rPr>
        <w:t xml:space="preserve">promulgation and </w:t>
      </w:r>
      <w:r w:rsidR="008823F1">
        <w:rPr>
          <w:spacing w:val="-4"/>
          <w:w w:val="105"/>
        </w:rPr>
        <w:t>enforcement</w:t>
      </w:r>
      <w:r w:rsidR="00443320">
        <w:rPr>
          <w:spacing w:val="-4"/>
          <w:w w:val="105"/>
        </w:rPr>
        <w:t xml:space="preserve"> </w:t>
      </w:r>
      <w:r w:rsidR="00D34328">
        <w:rPr>
          <w:spacing w:val="-4"/>
          <w:w w:val="105"/>
        </w:rPr>
        <w:t xml:space="preserve">and </w:t>
      </w:r>
      <w:r w:rsidR="00650A3F">
        <w:rPr>
          <w:spacing w:val="-4"/>
          <w:w w:val="105"/>
        </w:rPr>
        <w:t>the new energy performance in buildings directive</w:t>
      </w:r>
      <w:r w:rsidR="00380572">
        <w:rPr>
          <w:spacing w:val="-4"/>
          <w:w w:val="105"/>
        </w:rPr>
        <w:t>,</w:t>
      </w:r>
      <w:r w:rsidR="00650A3F">
        <w:rPr>
          <w:spacing w:val="-4"/>
          <w:w w:val="105"/>
        </w:rPr>
        <w:t xml:space="preserve"> </w:t>
      </w:r>
      <w:r w:rsidR="00D34328">
        <w:rPr>
          <w:spacing w:val="-4"/>
          <w:w w:val="105"/>
        </w:rPr>
        <w:t>which includes building certification</w:t>
      </w:r>
      <w:r w:rsidR="00380572">
        <w:rPr>
          <w:spacing w:val="-4"/>
          <w:w w:val="105"/>
        </w:rPr>
        <w:t>,</w:t>
      </w:r>
      <w:r w:rsidR="00D34328">
        <w:rPr>
          <w:spacing w:val="-4"/>
          <w:w w:val="105"/>
        </w:rPr>
        <w:t xml:space="preserve"> </w:t>
      </w:r>
      <w:r w:rsidR="00650A3F">
        <w:rPr>
          <w:spacing w:val="-4"/>
          <w:w w:val="105"/>
        </w:rPr>
        <w:t>has not yet been implemented</w:t>
      </w:r>
      <w:r w:rsidR="008823F1">
        <w:rPr>
          <w:spacing w:val="-4"/>
          <w:w w:val="105"/>
        </w:rPr>
        <w:t>.</w:t>
      </w:r>
    </w:p>
    <w:p w14:paraId="0B467638" w14:textId="77777777" w:rsidR="00E03AF5" w:rsidRDefault="00E03AF5" w:rsidP="00E03AF5">
      <w:pPr>
        <w:pStyle w:val="Heading3"/>
      </w:pPr>
      <w:bookmarkStart w:id="28" w:name="_Toc461093921"/>
      <w:r>
        <w:t xml:space="preserve">Barriers related to </w:t>
      </w:r>
      <w:r w:rsidR="00283DB9">
        <w:t>E</w:t>
      </w:r>
      <w:r>
        <w:t>quipment and Service Providers</w:t>
      </w:r>
      <w:bookmarkEnd w:id="28"/>
    </w:p>
    <w:p w14:paraId="2931E75C" w14:textId="77777777" w:rsidR="00E50A7B" w:rsidRDefault="00E50A7B" w:rsidP="00E50A7B">
      <w:pPr>
        <w:pStyle w:val="Bulleted"/>
        <w:spacing w:before="20" w:after="20"/>
      </w:pPr>
      <w:r w:rsidRPr="000B5B83">
        <w:rPr>
          <w:b/>
          <w:i/>
        </w:rPr>
        <w:t>Limited demand and high development cost</w:t>
      </w:r>
      <w:r w:rsidRPr="00E50A7B">
        <w:rPr>
          <w:i/>
        </w:rPr>
        <w:t>.</w:t>
      </w:r>
      <w:r w:rsidRPr="00D7439C">
        <w:rPr>
          <w:b/>
          <w:i/>
        </w:rPr>
        <w:t xml:space="preserve"> </w:t>
      </w:r>
      <w:r>
        <w:t xml:space="preserve">There is limited demand for EE services in the public sector, and equipment and service providers need to devote substantial time and effort to develop EE projects, which leads to high project development costs. </w:t>
      </w:r>
    </w:p>
    <w:p w14:paraId="7A8583EB" w14:textId="77777777" w:rsidR="00E50A7B" w:rsidRDefault="00E50A7B" w:rsidP="00380572">
      <w:pPr>
        <w:pStyle w:val="Bulleted"/>
      </w:pPr>
      <w:r w:rsidRPr="000B5B83">
        <w:rPr>
          <w:b/>
          <w:i/>
        </w:rPr>
        <w:t>Limited experience and capabilities</w:t>
      </w:r>
      <w:r w:rsidRPr="00E50A7B">
        <w:rPr>
          <w:i/>
        </w:rPr>
        <w:t>.</w:t>
      </w:r>
      <w:r>
        <w:rPr>
          <w:b/>
          <w:i/>
        </w:rPr>
        <w:t xml:space="preserve"> </w:t>
      </w:r>
      <w:r w:rsidR="00380572" w:rsidRPr="00380572">
        <w:t>Georgia</w:t>
      </w:r>
      <w:r w:rsidR="00380572">
        <w:t xml:space="preserve"> has</w:t>
      </w:r>
      <w:r>
        <w:t xml:space="preserve"> very limited experience with mechanisms such as energy saving performance contracting (ESPC). </w:t>
      </w:r>
      <w:r w:rsidR="00380572">
        <w:t>T</w:t>
      </w:r>
      <w:r>
        <w:t>here are few energy service companies (ESCOs) in the market and none of them have experience working with the public sector. The existing energy service providers have limited technical, business development, and risk management skills and capabilities.</w:t>
      </w:r>
    </w:p>
    <w:p w14:paraId="6F22C3DB" w14:textId="77777777" w:rsidR="00E50A7B" w:rsidRPr="00E03AF5" w:rsidRDefault="00E50A7B" w:rsidP="00E50A7B">
      <w:pPr>
        <w:pStyle w:val="Bulleted"/>
        <w:spacing w:before="20" w:after="20"/>
      </w:pPr>
      <w:r w:rsidRPr="000B5B83">
        <w:rPr>
          <w:b/>
          <w:i/>
        </w:rPr>
        <w:t>Lack of commercial financing</w:t>
      </w:r>
      <w:r w:rsidRPr="00E50A7B">
        <w:rPr>
          <w:i/>
        </w:rPr>
        <w:t>.</w:t>
      </w:r>
      <w:r>
        <w:t xml:space="preserve"> Equipment suppliers and energy service providers have limited access to commercial financing and cannot invest much of their own equity in EE projects. Also, innovative financing mechanisms such as leasing or vendor financing for EE equipment are not common in Georgia.</w:t>
      </w:r>
    </w:p>
    <w:p w14:paraId="23C0A192" w14:textId="77777777" w:rsidR="00E50A7B" w:rsidRDefault="00E50A7B" w:rsidP="00E50A7B">
      <w:pPr>
        <w:pStyle w:val="Heading3"/>
      </w:pPr>
      <w:bookmarkStart w:id="29" w:name="_Toc461093922"/>
      <w:r>
        <w:t>Barriers related to End-Users</w:t>
      </w:r>
      <w:bookmarkEnd w:id="29"/>
    </w:p>
    <w:p w14:paraId="30031F01" w14:textId="77777777" w:rsidR="00E50A7B" w:rsidRDefault="00D338AF" w:rsidP="00E50A7B">
      <w:pPr>
        <w:pStyle w:val="Bulleted"/>
        <w:spacing w:before="20" w:after="20"/>
      </w:pPr>
      <w:r w:rsidRPr="000B5B83">
        <w:rPr>
          <w:b/>
          <w:i/>
        </w:rPr>
        <w:t xml:space="preserve">Limited </w:t>
      </w:r>
      <w:r w:rsidR="00E50A7B" w:rsidRPr="000B5B83">
        <w:rPr>
          <w:b/>
          <w:i/>
        </w:rPr>
        <w:t>budget</w:t>
      </w:r>
      <w:r w:rsidRPr="000B5B83">
        <w:rPr>
          <w:b/>
          <w:i/>
        </w:rPr>
        <w:t xml:space="preserve"> capacity and incentives</w:t>
      </w:r>
      <w:r w:rsidR="00E50A7B" w:rsidRPr="00E50A7B">
        <w:rPr>
          <w:i/>
        </w:rPr>
        <w:t>.</w:t>
      </w:r>
      <w:r w:rsidR="00E50A7B">
        <w:t xml:space="preserve"> There are </w:t>
      </w:r>
      <w:r w:rsidR="00E50A7B" w:rsidRPr="00D26075">
        <w:t>generally no</w:t>
      </w:r>
      <w:r w:rsidR="00E50A7B">
        <w:t xml:space="preserve"> discretionary budgets for special projects or efficiency upgrades. Also, public sector decision-makers do not have any incentives to undertake EE projects because they do not benefit from the resulting cost savings.</w:t>
      </w:r>
    </w:p>
    <w:p w14:paraId="02C92F5A" w14:textId="77777777" w:rsidR="00E50A7B" w:rsidRPr="00E50A7B" w:rsidRDefault="00E50A7B" w:rsidP="00E50A7B">
      <w:pPr>
        <w:pStyle w:val="Bulleted"/>
        <w:spacing w:before="20" w:after="20"/>
      </w:pPr>
      <w:r w:rsidRPr="000B5B83">
        <w:rPr>
          <w:b/>
          <w:i/>
        </w:rPr>
        <w:t>Limited knowledge of EE options</w:t>
      </w:r>
      <w:r w:rsidRPr="00E50A7B">
        <w:rPr>
          <w:i/>
        </w:rPr>
        <w:t>.</w:t>
      </w:r>
      <w:r w:rsidRPr="00E50A7B">
        <w:t xml:space="preserve"> </w:t>
      </w:r>
      <w:r>
        <w:t>Public sector facility and energy managers (both in central government agencies and in municipalities) have limited knowledge and awareness of EE technologies and implementation options.</w:t>
      </w:r>
    </w:p>
    <w:p w14:paraId="7B2A35D5" w14:textId="77777777" w:rsidR="00E50A7B" w:rsidRDefault="00E50A7B" w:rsidP="00E50A7B">
      <w:pPr>
        <w:pStyle w:val="Bulleted"/>
        <w:spacing w:before="20" w:after="20"/>
      </w:pPr>
      <w:r w:rsidRPr="000B5B83">
        <w:rPr>
          <w:b/>
          <w:i/>
        </w:rPr>
        <w:t>Lack of sufficient</w:t>
      </w:r>
      <w:r w:rsidR="00D338AF" w:rsidRPr="000B5B83">
        <w:rPr>
          <w:b/>
          <w:i/>
        </w:rPr>
        <w:t>, credible</w:t>
      </w:r>
      <w:r w:rsidRPr="000B5B83">
        <w:rPr>
          <w:b/>
          <w:i/>
        </w:rPr>
        <w:t xml:space="preserve"> data</w:t>
      </w:r>
      <w:r w:rsidRPr="00E50A7B">
        <w:rPr>
          <w:i/>
        </w:rPr>
        <w:t>.</w:t>
      </w:r>
      <w:r w:rsidRPr="00E50A7B">
        <w:t xml:space="preserve"> </w:t>
      </w:r>
      <w:r>
        <w:t>There is very limited data on the number, characteristics</w:t>
      </w:r>
      <w:r w:rsidR="003B47B2">
        <w:t>,</w:t>
      </w:r>
      <w:r>
        <w:t xml:space="preserve"> and energy use of public buildings. There is limited information available to public sector decision-makers on the characteristics and benefits of EE technologies.</w:t>
      </w:r>
    </w:p>
    <w:p w14:paraId="1D6017AE" w14:textId="77777777" w:rsidR="00E50A7B" w:rsidRDefault="00E50A7B" w:rsidP="00E50A7B">
      <w:pPr>
        <w:pStyle w:val="Bulleted"/>
        <w:spacing w:before="20" w:after="20"/>
      </w:pPr>
      <w:r w:rsidRPr="000B5B83">
        <w:rPr>
          <w:b/>
          <w:i/>
        </w:rPr>
        <w:t>Low existing comfort levels and poor structural condition</w:t>
      </w:r>
      <w:r w:rsidR="00D338AF" w:rsidRPr="000B5B83">
        <w:rPr>
          <w:b/>
          <w:i/>
        </w:rPr>
        <w:t>s</w:t>
      </w:r>
      <w:r>
        <w:t xml:space="preserve">. </w:t>
      </w:r>
      <w:r w:rsidR="003B47B2">
        <w:t>The conditions</w:t>
      </w:r>
      <w:r>
        <w:t xml:space="preserve"> of many public buildings limits the cost-effectiveness of EE improvements</w:t>
      </w:r>
      <w:r w:rsidR="00D338AF">
        <w:t>, without larger investments that may not generate cost savings</w:t>
      </w:r>
      <w:r>
        <w:t>.</w:t>
      </w:r>
    </w:p>
    <w:p w14:paraId="0A793CF7" w14:textId="77777777" w:rsidR="00E50A7B" w:rsidRDefault="00E50A7B" w:rsidP="00E50A7B">
      <w:pPr>
        <w:pStyle w:val="Heading3"/>
      </w:pPr>
      <w:bookmarkStart w:id="30" w:name="_Toc461093923"/>
      <w:r>
        <w:t>Lack of Access to Commercial Financing</w:t>
      </w:r>
      <w:bookmarkEnd w:id="30"/>
    </w:p>
    <w:p w14:paraId="68247F88" w14:textId="77777777" w:rsidR="00E50A7B" w:rsidRDefault="00E50A7B" w:rsidP="00E50A7B">
      <w:pPr>
        <w:pStyle w:val="Bulleted"/>
        <w:spacing w:before="20" w:after="20"/>
      </w:pPr>
      <w:r w:rsidRPr="000B5B83">
        <w:rPr>
          <w:b/>
          <w:i/>
        </w:rPr>
        <w:t>Lack of interest and unattractive financing terms</w:t>
      </w:r>
      <w:r w:rsidRPr="00E50A7B">
        <w:rPr>
          <w:i/>
        </w:rPr>
        <w:t>.</w:t>
      </w:r>
      <w:r>
        <w:t xml:space="preserve"> </w:t>
      </w:r>
      <w:r w:rsidRPr="00E81C56">
        <w:t xml:space="preserve">Commercial banks have limited or no interest in lending to the public sector. </w:t>
      </w:r>
      <w:r w:rsidRPr="003877EF">
        <w:t>Most banks consider loans to municipalities</w:t>
      </w:r>
      <w:r w:rsidR="00B2040E">
        <w:t xml:space="preserve"> or other public agencies</w:t>
      </w:r>
      <w:r w:rsidRPr="003877EF">
        <w:t xml:space="preserve"> </w:t>
      </w:r>
      <w:r>
        <w:t>riskier</w:t>
      </w:r>
      <w:r w:rsidRPr="003877EF">
        <w:t xml:space="preserve"> than loans to private sector </w:t>
      </w:r>
      <w:r w:rsidR="00D338AF">
        <w:t>companies</w:t>
      </w:r>
      <w:r w:rsidR="00B2040E">
        <w:t>, in part because budgets are allocated annually and accounting practices may be underdeveloped</w:t>
      </w:r>
      <w:r>
        <w:t>. The commercial financing terms (interest rate, loan tenor, collateral requirements, etc.) are not attractive from the perspectives of the public agency decision-makers.</w:t>
      </w:r>
    </w:p>
    <w:p w14:paraId="5B3D8043" w14:textId="77777777" w:rsidR="00E50A7B" w:rsidRDefault="00D338AF" w:rsidP="00E50A7B">
      <w:pPr>
        <w:pStyle w:val="Bulleted"/>
        <w:spacing w:before="20" w:after="20"/>
      </w:pPr>
      <w:r w:rsidRPr="000B5B83">
        <w:rPr>
          <w:b/>
          <w:i/>
        </w:rPr>
        <w:t>Overc</w:t>
      </w:r>
      <w:r w:rsidR="00E50A7B" w:rsidRPr="000B5B83">
        <w:rPr>
          <w:b/>
          <w:i/>
        </w:rPr>
        <w:t>ollateral</w:t>
      </w:r>
      <w:r w:rsidRPr="000B5B83">
        <w:rPr>
          <w:b/>
          <w:i/>
        </w:rPr>
        <w:t>ization</w:t>
      </w:r>
      <w:r w:rsidR="00E50A7B" w:rsidRPr="00E50A7B">
        <w:rPr>
          <w:i/>
        </w:rPr>
        <w:t xml:space="preserve">. </w:t>
      </w:r>
      <w:r w:rsidR="00E50A7B">
        <w:t xml:space="preserve">Commercial banks require substantial assets to be pledged as collateral. They are unwilling or unable to offer debt financing to public agencies, because it is very difficult to collateralize public assets for debt financing. </w:t>
      </w:r>
    </w:p>
    <w:p w14:paraId="616E6DD8" w14:textId="77777777" w:rsidR="00E50A7B" w:rsidRDefault="00E50A7B" w:rsidP="00E50A7B">
      <w:pPr>
        <w:pStyle w:val="Bulleted"/>
        <w:spacing w:before="20" w:after="20"/>
      </w:pPr>
      <w:r w:rsidRPr="000B5B83">
        <w:rPr>
          <w:b/>
          <w:i/>
        </w:rPr>
        <w:t>High transaction costs</w:t>
      </w:r>
      <w:r w:rsidRPr="00E50A7B">
        <w:rPr>
          <w:i/>
        </w:rPr>
        <w:t>.</w:t>
      </w:r>
      <w:r w:rsidRPr="00E50A7B">
        <w:t xml:space="preserve"> </w:t>
      </w:r>
      <w:r>
        <w:t xml:space="preserve">The small size of </w:t>
      </w:r>
      <w:r w:rsidR="00B2040E">
        <w:t xml:space="preserve">public sector </w:t>
      </w:r>
      <w:r>
        <w:t>EE projects leads to relatively high transaction costs, which makes financing such projects unattractive.</w:t>
      </w:r>
    </w:p>
    <w:p w14:paraId="6478D9B3" w14:textId="77777777" w:rsidR="00E50A7B" w:rsidRDefault="00E50A7B" w:rsidP="00E50A7B">
      <w:pPr>
        <w:pStyle w:val="Heading3"/>
      </w:pPr>
      <w:bookmarkStart w:id="31" w:name="_Toc461093924"/>
      <w:r>
        <w:t>Implementation Capacity</w:t>
      </w:r>
      <w:bookmarkEnd w:id="31"/>
    </w:p>
    <w:p w14:paraId="0B4486E4" w14:textId="77777777" w:rsidR="00E50A7B" w:rsidRPr="00156E32" w:rsidRDefault="00E50A7B" w:rsidP="00E50A7B">
      <w:pPr>
        <w:pStyle w:val="Bulleted"/>
        <w:spacing w:before="20" w:after="20"/>
      </w:pPr>
      <w:r w:rsidRPr="000B5B83">
        <w:rPr>
          <w:b/>
          <w:i/>
        </w:rPr>
        <w:t>Public agency decision-makers</w:t>
      </w:r>
      <w:r>
        <w:t xml:space="preserve">. Both central government agencies and municipalities have limited capacity </w:t>
      </w:r>
      <w:r w:rsidRPr="00156E32">
        <w:t xml:space="preserve">to </w:t>
      </w:r>
      <w:r>
        <w:t xml:space="preserve">identify EE opportunities, prepare </w:t>
      </w:r>
      <w:r>
        <w:rPr>
          <w:spacing w:val="-6"/>
          <w:w w:val="105"/>
        </w:rPr>
        <w:t xml:space="preserve">“bankable” project proposals, </w:t>
      </w:r>
      <w:r w:rsidR="00B2040E">
        <w:rPr>
          <w:spacing w:val="-6"/>
          <w:w w:val="105"/>
        </w:rPr>
        <w:t xml:space="preserve">access financing, </w:t>
      </w:r>
      <w:r w:rsidRPr="00156E32">
        <w:t xml:space="preserve">carry out procurement for goods and services, </w:t>
      </w:r>
      <w:r>
        <w:t xml:space="preserve">and develop and implement EE projects. </w:t>
      </w:r>
    </w:p>
    <w:p w14:paraId="5EF78AA7" w14:textId="77777777" w:rsidR="00E50A7B" w:rsidRPr="00ED019F" w:rsidRDefault="00B2040E" w:rsidP="00E50A7B">
      <w:pPr>
        <w:pStyle w:val="Bulleted"/>
        <w:spacing w:before="20" w:after="20"/>
      </w:pPr>
      <w:r w:rsidRPr="000B5B83">
        <w:rPr>
          <w:b/>
          <w:i/>
          <w:snapToGrid/>
        </w:rPr>
        <w:t>Public agency implementers</w:t>
      </w:r>
      <w:r w:rsidR="00E50A7B" w:rsidRPr="00E50A7B">
        <w:rPr>
          <w:i/>
          <w:snapToGrid/>
        </w:rPr>
        <w:t>.</w:t>
      </w:r>
      <w:r w:rsidR="00E50A7B" w:rsidRPr="00E50A7B">
        <w:rPr>
          <w:snapToGrid/>
        </w:rPr>
        <w:t xml:space="preserve"> </w:t>
      </w:r>
      <w:r>
        <w:rPr>
          <w:snapToGrid/>
        </w:rPr>
        <w:t>No Ministry in Georgia has full responsibility for EE and none are assigned to assist public agencies with EE implementation. Therefore, the institutional capabilities, role</w:t>
      </w:r>
      <w:r w:rsidR="003B47B2">
        <w:rPr>
          <w:snapToGrid/>
        </w:rPr>
        <w:t>s,</w:t>
      </w:r>
      <w:r>
        <w:rPr>
          <w:snapToGrid/>
        </w:rPr>
        <w:t xml:space="preserve"> and expertise </w:t>
      </w:r>
      <w:r w:rsidR="003B47B2">
        <w:rPr>
          <w:snapToGrid/>
        </w:rPr>
        <w:t xml:space="preserve">are </w:t>
      </w:r>
      <w:r>
        <w:rPr>
          <w:snapToGrid/>
        </w:rPr>
        <w:t xml:space="preserve">fragmented. Public agencies that are interested in EE have no </w:t>
      </w:r>
      <w:r w:rsidR="003B47B2">
        <w:rPr>
          <w:snapToGrid/>
        </w:rPr>
        <w:t xml:space="preserve">single </w:t>
      </w:r>
      <w:r>
        <w:rPr>
          <w:snapToGrid/>
        </w:rPr>
        <w:t xml:space="preserve">agency that can assist or guide them through </w:t>
      </w:r>
      <w:r w:rsidR="00111A67">
        <w:rPr>
          <w:snapToGrid/>
        </w:rPr>
        <w:t>t</w:t>
      </w:r>
      <w:r>
        <w:rPr>
          <w:snapToGrid/>
        </w:rPr>
        <w:t>he financing and implementation process.</w:t>
      </w:r>
    </w:p>
    <w:p w14:paraId="598F20DA" w14:textId="77777777" w:rsidR="00E50A7B" w:rsidRDefault="00E50A7B" w:rsidP="00E50A7B">
      <w:pPr>
        <w:pStyle w:val="Bulleted"/>
        <w:spacing w:before="20" w:after="20"/>
        <w:rPr>
          <w:spacing w:val="-6"/>
          <w:w w:val="105"/>
        </w:rPr>
      </w:pPr>
      <w:r w:rsidRPr="000B5B83">
        <w:rPr>
          <w:b/>
          <w:i/>
        </w:rPr>
        <w:t>Inadequate delivery infrastructure</w:t>
      </w:r>
      <w:r w:rsidRPr="00E50A7B">
        <w:rPr>
          <w:i/>
        </w:rPr>
        <w:t>.</w:t>
      </w:r>
      <w:r>
        <w:t xml:space="preserve"> </w:t>
      </w:r>
      <w:r w:rsidR="003B47B2">
        <w:t>Georgia has a</w:t>
      </w:r>
      <w:r>
        <w:t xml:space="preserve"> very limited energy services delivery infrastructure. </w:t>
      </w:r>
      <w:r>
        <w:rPr>
          <w:spacing w:val="-8"/>
          <w:w w:val="105"/>
        </w:rPr>
        <w:t xml:space="preserve">The </w:t>
      </w:r>
      <w:r>
        <w:rPr>
          <w:spacing w:val="-4"/>
          <w:w w:val="105"/>
        </w:rPr>
        <w:t xml:space="preserve">fragmented nature of the private sector, the </w:t>
      </w:r>
      <w:r>
        <w:t>small number of ESCOs</w:t>
      </w:r>
      <w:r w:rsidRPr="00ED019F">
        <w:t xml:space="preserve"> in the local market</w:t>
      </w:r>
      <w:r>
        <w:t>, and their lack of experience with the public sector</w:t>
      </w:r>
      <w:r w:rsidR="00630D44">
        <w:t>,</w:t>
      </w:r>
      <w:r>
        <w:t xml:space="preserve"> l</w:t>
      </w:r>
      <w:r>
        <w:rPr>
          <w:spacing w:val="-6"/>
          <w:w w:val="105"/>
        </w:rPr>
        <w:t xml:space="preserve">imit the use of </w:t>
      </w:r>
      <w:r>
        <w:t>performance-based contracting</w:t>
      </w:r>
      <w:r w:rsidRPr="00ED019F">
        <w:t xml:space="preserve"> </w:t>
      </w:r>
      <w:r>
        <w:rPr>
          <w:spacing w:val="-6"/>
          <w:w w:val="105"/>
        </w:rPr>
        <w:t>options in the public sector.</w:t>
      </w:r>
      <w:r w:rsidR="00317B1A">
        <w:rPr>
          <w:spacing w:val="-6"/>
          <w:w w:val="105"/>
        </w:rPr>
        <w:t xml:space="preserve"> While government entities </w:t>
      </w:r>
      <w:r w:rsidR="00A777FD">
        <w:rPr>
          <w:spacing w:val="-6"/>
          <w:w w:val="105"/>
        </w:rPr>
        <w:t xml:space="preserve">can </w:t>
      </w:r>
      <w:r w:rsidR="00317B1A">
        <w:rPr>
          <w:spacing w:val="-6"/>
          <w:w w:val="105"/>
        </w:rPr>
        <w:t>provide some of these services, none are assigned responsibilities to do so.</w:t>
      </w:r>
    </w:p>
    <w:p w14:paraId="62EC3285" w14:textId="77777777" w:rsidR="003120BC" w:rsidRDefault="003120BC">
      <w:pPr>
        <w:widowControl/>
        <w:spacing w:before="0" w:after="0"/>
        <w:jc w:val="left"/>
        <w:rPr>
          <w:spacing w:val="-6"/>
          <w:w w:val="105"/>
        </w:rPr>
      </w:pPr>
      <w:r>
        <w:rPr>
          <w:spacing w:val="-6"/>
          <w:w w:val="105"/>
        </w:rPr>
        <w:br w:type="page"/>
      </w:r>
    </w:p>
    <w:p w14:paraId="1A5B04AA" w14:textId="77777777" w:rsidR="00630DC0" w:rsidRDefault="00630DC0" w:rsidP="00630DC0">
      <w:pPr>
        <w:pStyle w:val="Heading1"/>
      </w:pPr>
      <w:bookmarkStart w:id="32" w:name="_Toc461093925"/>
      <w:r>
        <w:t xml:space="preserve">Section 4 - International Experience in Financing </w:t>
      </w:r>
      <w:r w:rsidR="00DB61BC">
        <w:t>PUBLIC SECTOR</w:t>
      </w:r>
      <w:r>
        <w:t xml:space="preserve"> Energy Efficiency Projects</w:t>
      </w:r>
      <w:bookmarkEnd w:id="32"/>
      <w:r>
        <w:t xml:space="preserve"> </w:t>
      </w:r>
    </w:p>
    <w:p w14:paraId="30CEBA43" w14:textId="77777777" w:rsidR="00345436" w:rsidRDefault="00345436" w:rsidP="00345436">
      <w:pPr>
        <w:pStyle w:val="Heading2"/>
      </w:pPr>
      <w:bookmarkStart w:id="33" w:name="_Toc461093926"/>
      <w:r>
        <w:t>Introduction</w:t>
      </w:r>
      <w:bookmarkEnd w:id="33"/>
    </w:p>
    <w:p w14:paraId="05CC6147" w14:textId="77777777" w:rsidR="00345436" w:rsidRPr="006D6B41" w:rsidRDefault="00747740" w:rsidP="00345436">
      <w:r>
        <w:t>Beyond</w:t>
      </w:r>
      <w:r w:rsidR="00564F39">
        <w:t xml:space="preserve"> </w:t>
      </w:r>
      <w:r w:rsidR="00345436">
        <w:t>grant financing, various c</w:t>
      </w:r>
      <w:r w:rsidR="00DB61BC">
        <w:t>ountries have implemented a</w:t>
      </w:r>
      <w:r w:rsidR="00345436">
        <w:t xml:space="preserve"> range of </w:t>
      </w:r>
      <w:r w:rsidR="00564F39">
        <w:t xml:space="preserve">more sustainable </w:t>
      </w:r>
      <w:r w:rsidR="00345436">
        <w:t xml:space="preserve">financing and </w:t>
      </w:r>
      <w:r w:rsidR="00DB61BC">
        <w:t>implementation</w:t>
      </w:r>
      <w:r w:rsidR="00345436">
        <w:t xml:space="preserve"> mechanisms, either to enhance the financial leverage of public funds or to </w:t>
      </w:r>
      <w:r w:rsidR="00564F39">
        <w:t>better transition</w:t>
      </w:r>
      <w:r w:rsidR="00345436">
        <w:t xml:space="preserve"> to commercial funding for </w:t>
      </w:r>
      <w:r w:rsidR="00DB61BC">
        <w:t>public sector</w:t>
      </w:r>
      <w:r w:rsidR="00345436">
        <w:t xml:space="preserve"> EE projects. These include:</w:t>
      </w:r>
    </w:p>
    <w:p w14:paraId="0CBC9878" w14:textId="77777777" w:rsidR="00345436" w:rsidRDefault="00345436" w:rsidP="00345436">
      <w:pPr>
        <w:pStyle w:val="Bulletedsinglespacing"/>
        <w:numPr>
          <w:ilvl w:val="0"/>
          <w:numId w:val="6"/>
        </w:numPr>
        <w:ind w:left="720"/>
      </w:pPr>
      <w:r w:rsidRPr="006D6B41">
        <w:t xml:space="preserve">Budget </w:t>
      </w:r>
      <w:r>
        <w:t>financing</w:t>
      </w:r>
      <w:r w:rsidRPr="006D6B41">
        <w:t xml:space="preserve"> </w:t>
      </w:r>
      <w:r>
        <w:t xml:space="preserve">with </w:t>
      </w:r>
      <w:r w:rsidRPr="009D4E08">
        <w:t xml:space="preserve">capital recovery </w:t>
      </w:r>
      <w:r>
        <w:t xml:space="preserve">(financing by the </w:t>
      </w:r>
      <w:r w:rsidR="00A777FD">
        <w:t>MOF</w:t>
      </w:r>
      <w:r>
        <w:t xml:space="preserve"> or a parent budgeting agency using donor funds, with repayments in the form of reduced future budgetary outlays)</w:t>
      </w:r>
    </w:p>
    <w:p w14:paraId="3A31E57F" w14:textId="77777777" w:rsidR="004027B9" w:rsidRDefault="004027B9" w:rsidP="00345436">
      <w:pPr>
        <w:pStyle w:val="Bulletedsinglespacing"/>
        <w:numPr>
          <w:ilvl w:val="0"/>
          <w:numId w:val="6"/>
        </w:numPr>
        <w:ind w:left="720"/>
      </w:pPr>
      <w:r>
        <w:t>Utility on-bill financing</w:t>
      </w:r>
    </w:p>
    <w:p w14:paraId="273E11EE" w14:textId="77777777" w:rsidR="00345436" w:rsidRDefault="00345436" w:rsidP="00345436">
      <w:pPr>
        <w:pStyle w:val="Bulletedsinglespacing"/>
        <w:numPr>
          <w:ilvl w:val="0"/>
          <w:numId w:val="6"/>
        </w:numPr>
        <w:ind w:left="720"/>
      </w:pPr>
      <w:r>
        <w:t>Establishment of an EE revolving fund</w:t>
      </w:r>
    </w:p>
    <w:p w14:paraId="1342944E" w14:textId="77777777" w:rsidR="004027B9" w:rsidRDefault="004027B9" w:rsidP="00345436">
      <w:pPr>
        <w:pStyle w:val="Bulletedsinglespacing"/>
        <w:numPr>
          <w:ilvl w:val="0"/>
          <w:numId w:val="6"/>
        </w:numPr>
        <w:ind w:left="720"/>
      </w:pPr>
      <w:r>
        <w:t xml:space="preserve">Establishment of a public or super ESCO </w:t>
      </w:r>
    </w:p>
    <w:p w14:paraId="7C403AB1" w14:textId="77777777" w:rsidR="00345436" w:rsidRDefault="00345436" w:rsidP="00345436">
      <w:pPr>
        <w:pStyle w:val="Bulletedsinglespacing"/>
        <w:numPr>
          <w:ilvl w:val="0"/>
          <w:numId w:val="6"/>
        </w:numPr>
        <w:ind w:left="720"/>
      </w:pPr>
      <w:r>
        <w:t>Establishment of an EE credit line through existing financial institutions, such as</w:t>
      </w:r>
      <w:r w:rsidR="0076655A">
        <w:t xml:space="preserve"> </w:t>
      </w:r>
      <w:r>
        <w:t>a development bank or</w:t>
      </w:r>
      <w:r w:rsidR="0076655A">
        <w:t xml:space="preserve"> </w:t>
      </w:r>
      <w:r>
        <w:t>commercial banks</w:t>
      </w:r>
    </w:p>
    <w:p w14:paraId="471887A5" w14:textId="77777777" w:rsidR="00345436" w:rsidRDefault="00345436" w:rsidP="00345436">
      <w:pPr>
        <w:pStyle w:val="Bulletedsinglespacing"/>
        <w:numPr>
          <w:ilvl w:val="0"/>
          <w:numId w:val="6"/>
        </w:numPr>
        <w:ind w:left="720"/>
      </w:pPr>
      <w:r>
        <w:t xml:space="preserve">Creation of a risk-sharing facility, such as a partial </w:t>
      </w:r>
      <w:r w:rsidR="004027B9">
        <w:t>risk</w:t>
      </w:r>
      <w:r>
        <w:t xml:space="preserve"> guarantee program, to cover commercial loans</w:t>
      </w:r>
    </w:p>
    <w:p w14:paraId="13189BC9" w14:textId="77777777" w:rsidR="00345436" w:rsidRDefault="004027B9" w:rsidP="00345436">
      <w:pPr>
        <w:pStyle w:val="Bulletedsinglespacing"/>
        <w:numPr>
          <w:ilvl w:val="0"/>
          <w:numId w:val="6"/>
        </w:numPr>
        <w:ind w:left="720"/>
      </w:pPr>
      <w:r>
        <w:t>Commercial financing using bonds or leasing</w:t>
      </w:r>
    </w:p>
    <w:p w14:paraId="321D3581" w14:textId="77777777" w:rsidR="00345436" w:rsidRDefault="00345436" w:rsidP="00345436">
      <w:pPr>
        <w:pStyle w:val="Bulletedsinglespacing"/>
        <w:numPr>
          <w:ilvl w:val="0"/>
          <w:numId w:val="6"/>
        </w:numPr>
        <w:ind w:left="720"/>
      </w:pPr>
      <w:r>
        <w:t>Leveraging commercial financing using ESCOs under the ESPC approach.</w:t>
      </w:r>
    </w:p>
    <w:p w14:paraId="259A5448" w14:textId="77777777" w:rsidR="00345436" w:rsidRDefault="00345436" w:rsidP="00345436">
      <w:r>
        <w:t xml:space="preserve">Figure 4.1 illustrates these options in the form of a “financing ladder” for </w:t>
      </w:r>
      <w:r w:rsidR="00DB61BC">
        <w:t>public sector</w:t>
      </w:r>
      <w:r>
        <w:t xml:space="preserve"> projects, moving from public (bottom) to commercial (top) financing. A brief description of each of these options follows.</w:t>
      </w:r>
    </w:p>
    <w:p w14:paraId="2CA00D66" w14:textId="77777777" w:rsidR="00345436" w:rsidRDefault="00345436" w:rsidP="00CC0230">
      <w:pPr>
        <w:pStyle w:val="FiguresandTables"/>
      </w:pPr>
      <w:r>
        <w:t xml:space="preserve">Figure 4.1. Illustrative </w:t>
      </w:r>
      <w:r w:rsidRPr="004A030B">
        <w:t>Financing</w:t>
      </w:r>
      <w:r>
        <w:t xml:space="preserve"> Ladder for Municipal EE Projects</w:t>
      </w:r>
    </w:p>
    <w:p w14:paraId="132EC139" w14:textId="77777777" w:rsidR="002D672B" w:rsidRDefault="002D672B" w:rsidP="00F04AE1">
      <w:pPr>
        <w:pStyle w:val="FiguresandTables"/>
        <w:spacing w:before="60" w:after="60"/>
      </w:pPr>
      <w:r w:rsidRPr="002D672B">
        <w:rPr>
          <w:noProof/>
        </w:rPr>
        <w:drawing>
          <wp:inline distT="0" distB="0" distL="0" distR="0" wp14:anchorId="53BDDA31" wp14:editId="0F04BBEE">
            <wp:extent cx="5721594" cy="3346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337" cy="3355073"/>
                    </a:xfrm>
                    <a:prstGeom prst="rect">
                      <a:avLst/>
                    </a:prstGeom>
                    <a:noFill/>
                    <a:ln>
                      <a:noFill/>
                    </a:ln>
                  </pic:spPr>
                </pic:pic>
              </a:graphicData>
            </a:graphic>
          </wp:inline>
        </w:drawing>
      </w:r>
    </w:p>
    <w:p w14:paraId="03B75FE8" w14:textId="77777777" w:rsidR="00345436" w:rsidRPr="00996BE8" w:rsidRDefault="00996BE8" w:rsidP="00317B1A">
      <w:pPr>
        <w:spacing w:before="60"/>
        <w:ind w:left="720" w:firstLine="720"/>
        <w:rPr>
          <w:sz w:val="22"/>
          <w:szCs w:val="22"/>
        </w:rPr>
      </w:pPr>
      <w:r>
        <w:rPr>
          <w:i/>
          <w:sz w:val="22"/>
          <w:szCs w:val="22"/>
        </w:rPr>
        <w:t xml:space="preserve"> </w:t>
      </w:r>
      <w:r w:rsidR="00345436" w:rsidRPr="00996BE8">
        <w:rPr>
          <w:i/>
          <w:sz w:val="22"/>
          <w:szCs w:val="22"/>
        </w:rPr>
        <w:t>Source: A</w:t>
      </w:r>
      <w:r w:rsidR="00DB61BC">
        <w:rPr>
          <w:i/>
          <w:sz w:val="22"/>
          <w:szCs w:val="22"/>
        </w:rPr>
        <w:t xml:space="preserve">dapted from </w:t>
      </w:r>
      <w:r w:rsidR="00D246C3">
        <w:rPr>
          <w:i/>
          <w:sz w:val="22"/>
          <w:szCs w:val="22"/>
        </w:rPr>
        <w:t>World Bank 2013</w:t>
      </w:r>
    </w:p>
    <w:p w14:paraId="2CE7039A" w14:textId="77777777" w:rsidR="00457A1C" w:rsidRDefault="00457A1C" w:rsidP="00457A1C">
      <w:pPr>
        <w:pStyle w:val="Heading2"/>
      </w:pPr>
      <w:bookmarkStart w:id="34" w:name="_Toc446061724"/>
      <w:bookmarkStart w:id="35" w:name="_Toc461093927"/>
      <w:bookmarkStart w:id="36" w:name="_Toc430985726"/>
      <w:bookmarkStart w:id="37" w:name="_Toc431130549"/>
      <w:r>
        <w:t xml:space="preserve">Budget Financing with </w:t>
      </w:r>
      <w:r w:rsidRPr="00D15BB1">
        <w:t>Capital Recovery</w:t>
      </w:r>
      <w:bookmarkEnd w:id="34"/>
      <w:bookmarkEnd w:id="35"/>
    </w:p>
    <w:p w14:paraId="3581E6E4" w14:textId="77777777" w:rsidR="00457A1C" w:rsidRDefault="00457A1C" w:rsidP="00457A1C">
      <w:r>
        <w:t>Under this approach, f</w:t>
      </w:r>
      <w:r w:rsidRPr="00D40E0F">
        <w:t xml:space="preserve">inancing </w:t>
      </w:r>
      <w:r>
        <w:t xml:space="preserve">is provided by a government agency, such as the MOF, using a combination of </w:t>
      </w:r>
      <w:r w:rsidRPr="0075058A">
        <w:t>government budget allocations and</w:t>
      </w:r>
      <w:r>
        <w:t xml:space="preserve"> </w:t>
      </w:r>
      <w:r w:rsidRPr="0075058A">
        <w:t>IFI</w:t>
      </w:r>
      <w:r>
        <w:t xml:space="preserve"> or </w:t>
      </w:r>
      <w:r w:rsidRPr="0075058A">
        <w:t xml:space="preserve">donor funds. </w:t>
      </w:r>
      <w:r>
        <w:t xml:space="preserve">This funding covers the investment costs of the EE projects in both central and municipal buildings and facilities. The funding recipient “repays” the funds using the savings generated by the investment project </w:t>
      </w:r>
      <w:r w:rsidRPr="0075058A">
        <w:t xml:space="preserve">in the form of reduced </w:t>
      </w:r>
      <w:r>
        <w:t>budgetary outlays</w:t>
      </w:r>
      <w:r w:rsidRPr="0075058A">
        <w:t xml:space="preserve"> for energy bills of </w:t>
      </w:r>
      <w:r>
        <w:t xml:space="preserve">the public entity </w:t>
      </w:r>
      <w:r w:rsidRPr="0075058A">
        <w:t>in future years</w:t>
      </w:r>
      <w:r>
        <w:t xml:space="preserve"> (“budget financing”)</w:t>
      </w:r>
      <w:r w:rsidRPr="0075058A">
        <w:t>. The size of the redu</w:t>
      </w:r>
      <w:r>
        <w:t xml:space="preserve">ced outlay is usually </w:t>
      </w:r>
      <w:r w:rsidRPr="0075058A">
        <w:t>based on the amount of</w:t>
      </w:r>
      <w:r>
        <w:t xml:space="preserve"> energy</w:t>
      </w:r>
      <w:r w:rsidRPr="0075058A">
        <w:t xml:space="preserve"> </w:t>
      </w:r>
      <w:r>
        <w:t>cost</w:t>
      </w:r>
      <w:r w:rsidRPr="0075058A">
        <w:t xml:space="preserve"> savings. </w:t>
      </w:r>
      <w:r>
        <w:t>T</w:t>
      </w:r>
      <w:r w:rsidRPr="0075058A">
        <w:t xml:space="preserve">he flow of funds to pay for </w:t>
      </w:r>
      <w:r>
        <w:t>EE</w:t>
      </w:r>
      <w:r w:rsidRPr="0075058A">
        <w:t xml:space="preserve"> improvements follow</w:t>
      </w:r>
      <w:r>
        <w:t>s</w:t>
      </w:r>
      <w:r w:rsidRPr="0075058A">
        <w:t xml:space="preserve"> the same flow as the normal appropriations from the MOF. The repayment to </w:t>
      </w:r>
      <w:r w:rsidR="00A777FD">
        <w:t xml:space="preserve">the </w:t>
      </w:r>
      <w:r w:rsidRPr="0075058A">
        <w:t>MOF could be complete or partial</w:t>
      </w:r>
      <w:r>
        <w:t>; the partial approach encourages</w:t>
      </w:r>
      <w:r w:rsidRPr="0075058A">
        <w:t xml:space="preserve"> </w:t>
      </w:r>
      <w:r>
        <w:t>municipal utilities and public agencies</w:t>
      </w:r>
      <w:r w:rsidRPr="0075058A">
        <w:t xml:space="preserve"> to participate in the program </w:t>
      </w:r>
      <w:r>
        <w:t>because</w:t>
      </w:r>
      <w:r w:rsidRPr="0075058A">
        <w:t xml:space="preserve"> they re</w:t>
      </w:r>
      <w:r>
        <w:t>tain</w:t>
      </w:r>
      <w:r w:rsidRPr="0075058A">
        <w:t xml:space="preserve"> a share of the savings achieved.</w:t>
      </w:r>
    </w:p>
    <w:p w14:paraId="5383784B" w14:textId="77777777" w:rsidR="00457A1C" w:rsidRDefault="00457A1C" w:rsidP="00457A1C">
      <w:pPr>
        <w:pStyle w:val="Heading2"/>
      </w:pPr>
      <w:bookmarkStart w:id="38" w:name="_Toc446061725"/>
      <w:bookmarkStart w:id="39" w:name="_Toc461093928"/>
      <w:r>
        <w:t>Utility On-Bill Financing</w:t>
      </w:r>
      <w:bookmarkEnd w:id="38"/>
      <w:bookmarkEnd w:id="39"/>
    </w:p>
    <w:p w14:paraId="75AAA950" w14:textId="77777777" w:rsidR="00457A1C" w:rsidRDefault="00457A1C" w:rsidP="00457A1C">
      <w:r>
        <w:t xml:space="preserve">Utility on-bill financing is a mechanism under which a utility provides financing for the implementation of EE projects. The funds are provided as a loan to the customer (which could be a public sector entity) for equipment purchase and installation, and loan repayments are recovered by the utility through the energy bill (ECO-Asia 2009). </w:t>
      </w:r>
      <w:r w:rsidR="003C5F03">
        <w:t xml:space="preserve">Individual </w:t>
      </w:r>
      <w:r>
        <w:t xml:space="preserve">customers whose facilities </w:t>
      </w:r>
      <w:r w:rsidR="003C5F03">
        <w:t xml:space="preserve">have installed </w:t>
      </w:r>
      <w:r>
        <w:t>EE measures (the direct beneficiaries of the energy savings and related cost reductions)</w:t>
      </w:r>
      <w:r w:rsidR="003C5F03">
        <w:t xml:space="preserve"> bear the associated costs</w:t>
      </w:r>
      <w:r>
        <w:t>.</w:t>
      </w:r>
    </w:p>
    <w:p w14:paraId="2F2E5AA0" w14:textId="77777777" w:rsidR="00457A1C" w:rsidRDefault="00457A1C" w:rsidP="00457A1C">
      <w:r>
        <w:t xml:space="preserve">The utility on-bill financing approach is designed to overcome the first cost barrier (lack of availability of internal funds) for investment in </w:t>
      </w:r>
      <w:r w:rsidR="00823084">
        <w:t>EE</w:t>
      </w:r>
      <w:r>
        <w:t xml:space="preserve">. Under this approach, the utility provides or arranges for the financing needed for the project investment. The customer signs a </w:t>
      </w:r>
      <w:r w:rsidR="00771116">
        <w:t xml:space="preserve">Loan Agreement (LA) </w:t>
      </w:r>
      <w:r>
        <w:t>with the utility and the utility collects the loan repayments from the customer through the customer’s utility bill by adding a line item on the bill. In most cases, the loan repayments are arranged such that the amount of the repayment is smaller than the customer’s cost reduction from the energy savings created by the energy-efficient equipment. This allows the customer to be “cash flow positive” throughout the life of the EE project.</w:t>
      </w:r>
    </w:p>
    <w:p w14:paraId="205769A5" w14:textId="77777777" w:rsidR="00457A1C" w:rsidRDefault="00457A1C" w:rsidP="00457A1C">
      <w:pPr>
        <w:pStyle w:val="Heading2"/>
      </w:pPr>
      <w:bookmarkStart w:id="40" w:name="_Toc446061726"/>
      <w:bookmarkStart w:id="41" w:name="_Toc461093929"/>
      <w:r>
        <w:t xml:space="preserve">Energy Efficiency Revolving </w:t>
      </w:r>
      <w:bookmarkEnd w:id="40"/>
      <w:r w:rsidR="003C5F03">
        <w:t>Fund</w:t>
      </w:r>
      <w:r w:rsidR="003C5F03" w:rsidRPr="003C5F03">
        <w:t xml:space="preserve"> (EERF)</w:t>
      </w:r>
      <w:bookmarkEnd w:id="41"/>
    </w:p>
    <w:p w14:paraId="547C9749" w14:textId="77777777" w:rsidR="00457A1C" w:rsidRPr="00BE1959" w:rsidRDefault="00457A1C" w:rsidP="00457A1C">
      <w:r w:rsidRPr="00BE1959">
        <w:t xml:space="preserve">An EERF </w:t>
      </w:r>
      <w:r w:rsidR="006A6873">
        <w:t>is</w:t>
      </w:r>
      <w:r w:rsidRPr="00BE1959">
        <w:t xml:space="preserve"> a viable option fo</w:t>
      </w:r>
      <w:r>
        <w:t>r scaling</w:t>
      </w:r>
      <w:r w:rsidR="002962F1">
        <w:t>-</w:t>
      </w:r>
      <w:r>
        <w:t>up EE</w:t>
      </w:r>
      <w:r w:rsidRPr="00BE1959">
        <w:t xml:space="preserve"> financing in the public sector. Under a typical EERF, created using public funds and IFI loans, financing is provided to public agencies to cover the initial investment costs of EE projects</w:t>
      </w:r>
      <w:r w:rsidR="006A6873">
        <w:t>.</w:t>
      </w:r>
      <w:r w:rsidR="006A6873" w:rsidRPr="00BE1959">
        <w:t xml:space="preserve"> </w:t>
      </w:r>
      <w:r w:rsidR="006A6873">
        <w:t>S</w:t>
      </w:r>
      <w:r w:rsidR="006A6873" w:rsidRPr="00BE1959">
        <w:t xml:space="preserve">ome </w:t>
      </w:r>
      <w:r w:rsidRPr="00BE1959">
        <w:t>of the resulting savings are then used to repay the EERF until the original investment is recovered, plus interest and service charges. The repayments can then be used to finance additional projects, thereby allowing the capital to revolve</w:t>
      </w:r>
      <w:r>
        <w:t xml:space="preserve"> and</w:t>
      </w:r>
      <w:r w:rsidRPr="00BE1959">
        <w:t xml:space="preserve"> creating a sustainable financing mechanism</w:t>
      </w:r>
      <w:r>
        <w:t xml:space="preserve"> (W</w:t>
      </w:r>
      <w:r w:rsidR="004D0C34">
        <w:t>orld Bank 2014a</w:t>
      </w:r>
      <w:r>
        <w:t>)</w:t>
      </w:r>
      <w:r w:rsidRPr="00BE1959">
        <w:t xml:space="preserve">. </w:t>
      </w:r>
    </w:p>
    <w:p w14:paraId="4AC4BC23" w14:textId="77777777" w:rsidR="00457A1C" w:rsidRPr="00BE1959" w:rsidRDefault="00457A1C" w:rsidP="00457A1C">
      <w:r w:rsidRPr="00BE1959">
        <w:t>Since both the borrower and lender are publicly owned, such funds may often offer lower-cost financing with longer tenors (repayment periods) and less-stringent security requirements than typical commercial loans. Because EE projects have positive financial rates of return, capturing these cost savings and reusing them for new investments creates a more</w:t>
      </w:r>
      <w:r w:rsidR="00747740">
        <w:t xml:space="preserve"> </w:t>
      </w:r>
      <w:r w:rsidRPr="00BE1959">
        <w:t>efficient use of public funds than typical budget- or grant-funded approaches. This can help demonstrate the commercial viability of EE investments and provide credit histories for public agencies, paving the way for future commercial financing.</w:t>
      </w:r>
    </w:p>
    <w:p w14:paraId="787264C7" w14:textId="77777777" w:rsidR="004D0C34" w:rsidRDefault="004D0C34" w:rsidP="004D0C34">
      <w:pPr>
        <w:pStyle w:val="Heading2"/>
      </w:pPr>
      <w:bookmarkStart w:id="42" w:name="_Toc446061729"/>
      <w:bookmarkStart w:id="43" w:name="_Toc461093930"/>
      <w:bookmarkStart w:id="44" w:name="_Toc446061727"/>
      <w:r>
        <w:t>Public or Super ESCO</w:t>
      </w:r>
      <w:bookmarkEnd w:id="42"/>
      <w:bookmarkEnd w:id="43"/>
    </w:p>
    <w:p w14:paraId="57910CDE" w14:textId="77777777" w:rsidR="004D0C34" w:rsidRDefault="004D0C34" w:rsidP="004D0C34">
      <w:r w:rsidRPr="0040711B">
        <w:t xml:space="preserve">Several countries have taken a more active role in promoting </w:t>
      </w:r>
      <w:r>
        <w:t>EE projects using the performance contracting approach</w:t>
      </w:r>
      <w:r w:rsidR="006A6873">
        <w:t>,</w:t>
      </w:r>
      <w:r>
        <w:t xml:space="preserve"> </w:t>
      </w:r>
      <w:r w:rsidRPr="0040711B">
        <w:t xml:space="preserve">creating </w:t>
      </w:r>
      <w:r>
        <w:t xml:space="preserve">either public or “super” </w:t>
      </w:r>
      <w:r w:rsidRPr="0040711B">
        <w:t>ES</w:t>
      </w:r>
      <w:r>
        <w:t>CO</w:t>
      </w:r>
      <w:r w:rsidRPr="0040711B">
        <w:t xml:space="preserve">s </w:t>
      </w:r>
      <w:r>
        <w:t xml:space="preserve">that are wholly or partly </w:t>
      </w:r>
      <w:r w:rsidRPr="0040711B">
        <w:t>owned</w:t>
      </w:r>
      <w:r>
        <w:t xml:space="preserve"> by the state (World Bank 2013)</w:t>
      </w:r>
      <w:r w:rsidRPr="0040711B">
        <w:t xml:space="preserve">. Often this was done to promote ESCOs </w:t>
      </w:r>
      <w:r w:rsidR="00AF55A1">
        <w:t>generally.</w:t>
      </w:r>
      <w:r w:rsidRPr="0040711B">
        <w:t xml:space="preserve"> </w:t>
      </w:r>
      <w:r w:rsidR="00AF55A1">
        <w:t>Examples include</w:t>
      </w:r>
      <w:r w:rsidRPr="0040711B">
        <w:t xml:space="preserve"> China (pilot EMCs </w:t>
      </w:r>
      <w:r>
        <w:t xml:space="preserve">created by the World Bank </w:t>
      </w:r>
      <w:r w:rsidRPr="0040711B">
        <w:t>in Beijing, Shandong, and Liaoning</w:t>
      </w:r>
      <w:r>
        <w:t>), Poland</w:t>
      </w:r>
      <w:r w:rsidR="002962F1">
        <w:t>,</w:t>
      </w:r>
      <w:r>
        <w:t xml:space="preserve"> (MPEC) Croatia (HEP ESCO</w:t>
      </w:r>
      <w:r w:rsidR="00AB53D4">
        <w:t>)</w:t>
      </w:r>
      <w:r w:rsidR="002962F1">
        <w:t xml:space="preserve">, </w:t>
      </w:r>
      <w:r w:rsidR="00AF55A1">
        <w:t>and</w:t>
      </w:r>
      <w:r>
        <w:t xml:space="preserve"> </w:t>
      </w:r>
      <w:r w:rsidR="000B5B83">
        <w:t>Ukraine (</w:t>
      </w:r>
      <w:r>
        <w:t>UkrESCO</w:t>
      </w:r>
      <w:r w:rsidR="000B5B83">
        <w:t>)</w:t>
      </w:r>
      <w:r>
        <w:t xml:space="preserve">. Such public ESCOs </w:t>
      </w:r>
      <w:r w:rsidRPr="0040711B">
        <w:t>were typically formed when the local ES</w:t>
      </w:r>
      <w:r>
        <w:t>CO</w:t>
      </w:r>
      <w:r w:rsidRPr="0040711B">
        <w:t xml:space="preserve"> markets were nascent and some public effort was deemed necessary to catalyze them.</w:t>
      </w:r>
      <w:r>
        <w:t xml:space="preserve"> The advantage of a public ESCO is that </w:t>
      </w:r>
      <w:r w:rsidRPr="0040711B">
        <w:t xml:space="preserve">often no competitive process </w:t>
      </w:r>
      <w:r w:rsidR="00AF55A1">
        <w:t xml:space="preserve">is </w:t>
      </w:r>
      <w:r w:rsidRPr="0040711B">
        <w:t xml:space="preserve">required </w:t>
      </w:r>
      <w:r>
        <w:t>for project development since</w:t>
      </w:r>
      <w:r w:rsidRPr="0040711B">
        <w:t xml:space="preserve"> a public agency is simply contracting with another public entity.</w:t>
      </w:r>
      <w:r>
        <w:t xml:space="preserve"> </w:t>
      </w:r>
    </w:p>
    <w:p w14:paraId="72A7941C" w14:textId="77777777" w:rsidR="004D0C34" w:rsidRDefault="004D0C34" w:rsidP="004D0C34">
      <w:pPr>
        <w:rPr>
          <w:bCs/>
        </w:rPr>
      </w:pPr>
      <w:r>
        <w:t>The</w:t>
      </w:r>
      <w:r w:rsidRPr="0040711B">
        <w:t xml:space="preserve"> </w:t>
      </w:r>
      <w:r w:rsidRPr="00996BE8">
        <w:t>super</w:t>
      </w:r>
      <w:r>
        <w:t xml:space="preserve"> ESCO is a special type of public ESCO. E</w:t>
      </w:r>
      <w:r>
        <w:rPr>
          <w:bCs/>
        </w:rPr>
        <w:t>stablished by the g</w:t>
      </w:r>
      <w:r w:rsidRPr="0095121B">
        <w:rPr>
          <w:bCs/>
        </w:rPr>
        <w:t>overnment</w:t>
      </w:r>
      <w:r>
        <w:rPr>
          <w:bCs/>
        </w:rPr>
        <w:t>, it</w:t>
      </w:r>
      <w:r w:rsidRPr="0095121B">
        <w:rPr>
          <w:bCs/>
        </w:rPr>
        <w:t xml:space="preserve"> functions as an ESCO for the public sector </w:t>
      </w:r>
      <w:r>
        <w:rPr>
          <w:bCs/>
        </w:rPr>
        <w:t xml:space="preserve">market </w:t>
      </w:r>
      <w:r w:rsidRPr="0095121B">
        <w:rPr>
          <w:bCs/>
        </w:rPr>
        <w:t>(hospitals, schools, municipal</w:t>
      </w:r>
      <w:r>
        <w:rPr>
          <w:bCs/>
        </w:rPr>
        <w:t xml:space="preserve"> utilities, </w:t>
      </w:r>
      <w:r w:rsidRPr="0095121B">
        <w:rPr>
          <w:bCs/>
        </w:rPr>
        <w:t>government buildings</w:t>
      </w:r>
      <w:r>
        <w:rPr>
          <w:bCs/>
        </w:rPr>
        <w:t>,</w:t>
      </w:r>
      <w:r w:rsidRPr="0095121B">
        <w:rPr>
          <w:bCs/>
        </w:rPr>
        <w:t xml:space="preserve"> and other public facilities)</w:t>
      </w:r>
      <w:r>
        <w:rPr>
          <w:bCs/>
        </w:rPr>
        <w:t xml:space="preserve"> while</w:t>
      </w:r>
      <w:r w:rsidRPr="0095121B">
        <w:rPr>
          <w:bCs/>
        </w:rPr>
        <w:t xml:space="preserve"> also support</w:t>
      </w:r>
      <w:r>
        <w:rPr>
          <w:bCs/>
        </w:rPr>
        <w:t>ing the</w:t>
      </w:r>
      <w:r w:rsidRPr="0095121B">
        <w:rPr>
          <w:bCs/>
        </w:rPr>
        <w:t xml:space="preserve"> capacity development and project development activities of existing p</w:t>
      </w:r>
      <w:r>
        <w:rPr>
          <w:bCs/>
        </w:rPr>
        <w:t xml:space="preserve">rivate sector ESCOs. The </w:t>
      </w:r>
      <w:r w:rsidR="00D7779F">
        <w:rPr>
          <w:bCs/>
        </w:rPr>
        <w:t>g</w:t>
      </w:r>
      <w:r w:rsidR="00D7779F" w:rsidRPr="0095121B">
        <w:rPr>
          <w:bCs/>
        </w:rPr>
        <w:t>overnment</w:t>
      </w:r>
      <w:r w:rsidR="00D7779F">
        <w:rPr>
          <w:bCs/>
        </w:rPr>
        <w:t>, possibly</w:t>
      </w:r>
      <w:r>
        <w:rPr>
          <w:bCs/>
        </w:rPr>
        <w:t xml:space="preserve"> with help from </w:t>
      </w:r>
      <w:r w:rsidR="002962F1">
        <w:rPr>
          <w:bCs/>
        </w:rPr>
        <w:t>IFI</w:t>
      </w:r>
      <w:r w:rsidR="00AB53D4">
        <w:rPr>
          <w:bCs/>
        </w:rPr>
        <w:t>s</w:t>
      </w:r>
      <w:r w:rsidR="002962F1">
        <w:rPr>
          <w:bCs/>
        </w:rPr>
        <w:t>,</w:t>
      </w:r>
      <w:r>
        <w:rPr>
          <w:bCs/>
        </w:rPr>
        <w:t xml:space="preserve"> </w:t>
      </w:r>
      <w:r w:rsidRPr="0095121B">
        <w:rPr>
          <w:bCs/>
        </w:rPr>
        <w:t xml:space="preserve">capitalizes the </w:t>
      </w:r>
      <w:r>
        <w:rPr>
          <w:bCs/>
        </w:rPr>
        <w:t>super</w:t>
      </w:r>
      <w:r w:rsidRPr="0095121B">
        <w:rPr>
          <w:bCs/>
        </w:rPr>
        <w:t xml:space="preserve"> ESCO with </w:t>
      </w:r>
      <w:r>
        <w:rPr>
          <w:bCs/>
        </w:rPr>
        <w:t>sufficient</w:t>
      </w:r>
      <w:r w:rsidRPr="0095121B">
        <w:rPr>
          <w:bCs/>
        </w:rPr>
        <w:t xml:space="preserve"> funds to undertake public sector ESPC projects and to leverage commercial financing. </w:t>
      </w:r>
    </w:p>
    <w:p w14:paraId="21E9F2DB" w14:textId="77777777" w:rsidR="004D0C34" w:rsidRDefault="004D0C34" w:rsidP="004D0C34">
      <w:r w:rsidRPr="0095121B">
        <w:t xml:space="preserve">A primary function of the </w:t>
      </w:r>
      <w:r>
        <w:t>super</w:t>
      </w:r>
      <w:r w:rsidRPr="0095121B">
        <w:t xml:space="preserve"> ESCO is to facilitate access to project financing by developing relationships with local or international financial institutions. The </w:t>
      </w:r>
      <w:r>
        <w:t>super</w:t>
      </w:r>
      <w:r w:rsidRPr="0095121B">
        <w:t xml:space="preserve"> ESCO may also</w:t>
      </w:r>
      <w:r>
        <w:t xml:space="preserve"> provide credit or risk guarantees for ESCO projects, or</w:t>
      </w:r>
      <w:r w:rsidRPr="0095121B">
        <w:t xml:space="preserve"> act as a leasing or financing company to provide ESCOs and/or customers </w:t>
      </w:r>
      <w:r>
        <w:t xml:space="preserve">with </w:t>
      </w:r>
      <w:r w:rsidRPr="0095121B">
        <w:t>EE equipment on lease or on benefit-sharing terms</w:t>
      </w:r>
      <w:r>
        <w:t xml:space="preserve"> (Limaye and Limaye 2011)</w:t>
      </w:r>
      <w:r w:rsidRPr="0095121B">
        <w:t>.</w:t>
      </w:r>
    </w:p>
    <w:p w14:paraId="271678A1" w14:textId="77777777" w:rsidR="00457A1C" w:rsidRDefault="00457A1C" w:rsidP="004D0C34">
      <w:pPr>
        <w:pStyle w:val="Heading2"/>
      </w:pPr>
      <w:bookmarkStart w:id="45" w:name="_Toc461093931"/>
      <w:r>
        <w:t>Public Sector Energy Efficiency Credit Line</w:t>
      </w:r>
      <w:bookmarkEnd w:id="44"/>
      <w:bookmarkEnd w:id="45"/>
    </w:p>
    <w:p w14:paraId="241E6D64" w14:textId="77777777" w:rsidR="00457A1C" w:rsidRDefault="00457A1C" w:rsidP="00457A1C">
      <w:r w:rsidRPr="006D6262">
        <w:t>A</w:t>
      </w:r>
      <w:r>
        <w:t xml:space="preserve"> public sector E</w:t>
      </w:r>
      <w:r w:rsidRPr="006D6262">
        <w:t>E credit line is a financing mechanism that makes funds available to local banks and financial institutions (FIs) to provide debt financing of EE projects</w:t>
      </w:r>
      <w:r>
        <w:t xml:space="preserve"> in utilities and public buildings and facilities</w:t>
      </w:r>
      <w:r w:rsidRPr="006D6262">
        <w:t xml:space="preserve">. The major purpose of </w:t>
      </w:r>
      <w:r>
        <w:t xml:space="preserve">such a </w:t>
      </w:r>
      <w:r w:rsidRPr="006D6262">
        <w:t xml:space="preserve">credit line is to increase the funding available from these lenders for debt financing of </w:t>
      </w:r>
      <w:r>
        <w:t>municipal EE</w:t>
      </w:r>
      <w:r w:rsidRPr="006D6262">
        <w:t xml:space="preserve"> project investments. </w:t>
      </w:r>
      <w:r>
        <w:t xml:space="preserve">These can be managed by a development bank, municipal bank, commercial bank(s), or other </w:t>
      </w:r>
      <w:r w:rsidR="002962F1">
        <w:t>FIs.</w:t>
      </w:r>
    </w:p>
    <w:p w14:paraId="3E5751F2" w14:textId="77777777" w:rsidR="00457A1C" w:rsidRDefault="00457A1C" w:rsidP="00457A1C">
      <w:r>
        <w:t xml:space="preserve">Dedicated </w:t>
      </w:r>
      <w:r w:rsidRPr="006D6262">
        <w:t>EE credit line</w:t>
      </w:r>
      <w:r>
        <w:t>s</w:t>
      </w:r>
      <w:r w:rsidRPr="006D6262">
        <w:t xml:space="preserve"> may be established by governments, multilateral or bilateral financial institutions, or governments in cooperation with international donor agencies. The funds provided by the donors or governments to lenders are often leveraged by additional funds provided by the participating banks and/or financial institutions to increase the total amounts available for debt financing</w:t>
      </w:r>
      <w:r w:rsidR="004D0C34">
        <w:t xml:space="preserve"> (Limaye 2013a)</w:t>
      </w:r>
      <w:r w:rsidRPr="006D6262">
        <w:t>.</w:t>
      </w:r>
    </w:p>
    <w:p w14:paraId="36EF88BB" w14:textId="77777777" w:rsidR="00457A1C" w:rsidRDefault="00457A1C" w:rsidP="00457A1C">
      <w:pPr>
        <w:pStyle w:val="Heading2"/>
      </w:pPr>
      <w:bookmarkStart w:id="46" w:name="_Toc446061728"/>
      <w:bookmarkStart w:id="47" w:name="_Toc461093932"/>
      <w:r>
        <w:t>Risk-Sharing Facility</w:t>
      </w:r>
      <w:bookmarkEnd w:id="46"/>
      <w:bookmarkEnd w:id="47"/>
    </w:p>
    <w:p w14:paraId="1E5D4348" w14:textId="77777777" w:rsidR="00457A1C" w:rsidRPr="00643E16" w:rsidRDefault="00457A1C" w:rsidP="00457A1C">
      <w:pPr>
        <w:spacing w:after="0"/>
        <w:rPr>
          <w:szCs w:val="24"/>
        </w:rPr>
      </w:pPr>
      <w:r>
        <w:rPr>
          <w:bCs/>
        </w:rPr>
        <w:t>A</w:t>
      </w:r>
      <w:r w:rsidRPr="00643E16">
        <w:rPr>
          <w:bCs/>
        </w:rPr>
        <w:t xml:space="preserve"> major barrier to commercial financing of </w:t>
      </w:r>
      <w:r>
        <w:rPr>
          <w:bCs/>
        </w:rPr>
        <w:t xml:space="preserve">public </w:t>
      </w:r>
      <w:r w:rsidRPr="00643E16">
        <w:rPr>
          <w:bCs/>
        </w:rPr>
        <w:t>EE projects</w:t>
      </w:r>
      <w:r w:rsidDel="00184B47">
        <w:t xml:space="preserve"> </w:t>
      </w:r>
      <w:r>
        <w:t>is c</w:t>
      </w:r>
      <w:r>
        <w:rPr>
          <w:bCs/>
        </w:rPr>
        <w:t xml:space="preserve">ommercial </w:t>
      </w:r>
      <w:r w:rsidRPr="00643E16">
        <w:rPr>
          <w:bCs/>
        </w:rPr>
        <w:t>lenders</w:t>
      </w:r>
      <w:r>
        <w:rPr>
          <w:bCs/>
        </w:rPr>
        <w:t>’ perception</w:t>
      </w:r>
      <w:r w:rsidRPr="00643E16">
        <w:rPr>
          <w:bCs/>
        </w:rPr>
        <w:t xml:space="preserve"> that EE projects are inherently riskier than their traditional investments</w:t>
      </w:r>
      <w:r>
        <w:rPr>
          <w:bCs/>
        </w:rPr>
        <w:t>.</w:t>
      </w:r>
      <w:r w:rsidRPr="00643E16">
        <w:rPr>
          <w:bCs/>
        </w:rPr>
        <w:t xml:space="preserve"> </w:t>
      </w:r>
      <w:r>
        <w:t>A risk-sharing facility is</w:t>
      </w:r>
      <w:r w:rsidRPr="00643E16">
        <w:t xml:space="preserve"> designed to address </w:t>
      </w:r>
      <w:r>
        <w:t>this</w:t>
      </w:r>
      <w:r w:rsidRPr="00643E16">
        <w:rPr>
          <w:bCs/>
        </w:rPr>
        <w:t xml:space="preserve"> </w:t>
      </w:r>
      <w:r>
        <w:rPr>
          <w:bCs/>
        </w:rPr>
        <w:t xml:space="preserve">by </w:t>
      </w:r>
      <w:r w:rsidRPr="00643E16">
        <w:rPr>
          <w:szCs w:val="24"/>
        </w:rPr>
        <w:t>provid</w:t>
      </w:r>
      <w:r>
        <w:rPr>
          <w:szCs w:val="24"/>
        </w:rPr>
        <w:t>ing</w:t>
      </w:r>
      <w:r w:rsidRPr="00643E16">
        <w:rPr>
          <w:szCs w:val="24"/>
        </w:rPr>
        <w:t xml:space="preserve"> partial coverage of the risk involved in extending loans for EE projects. The facility</w:t>
      </w:r>
      <w:r w:rsidR="00BF3D77">
        <w:rPr>
          <w:szCs w:val="24"/>
        </w:rPr>
        <w:t>,</w:t>
      </w:r>
      <w:r w:rsidR="002962F1">
        <w:rPr>
          <w:szCs w:val="24"/>
        </w:rPr>
        <w:t xml:space="preserve"> </w:t>
      </w:r>
      <w:r>
        <w:rPr>
          <w:szCs w:val="24"/>
        </w:rPr>
        <w:t xml:space="preserve">essentially a </w:t>
      </w:r>
      <w:r w:rsidRPr="00F62CB0">
        <w:rPr>
          <w:szCs w:val="24"/>
        </w:rPr>
        <w:t>b</w:t>
      </w:r>
      <w:r>
        <w:rPr>
          <w:szCs w:val="24"/>
        </w:rPr>
        <w:t>ilateral loss-sharing agreement</w:t>
      </w:r>
      <w:r w:rsidR="00BF3D77">
        <w:rPr>
          <w:szCs w:val="24"/>
        </w:rPr>
        <w:t>,</w:t>
      </w:r>
      <w:r w:rsidR="002962F1">
        <w:rPr>
          <w:szCs w:val="24"/>
        </w:rPr>
        <w:t xml:space="preserve"> </w:t>
      </w:r>
      <w:r w:rsidRPr="00643E16">
        <w:rPr>
          <w:szCs w:val="24"/>
        </w:rPr>
        <w:t>includes a subordinated recovery guarantee and might also have a “first loss reserve” to be used to absorb up to a specified amount of losses before the risk</w:t>
      </w:r>
      <w:r w:rsidR="002962F1">
        <w:rPr>
          <w:szCs w:val="24"/>
        </w:rPr>
        <w:t>-</w:t>
      </w:r>
      <w:r w:rsidRPr="00643E16">
        <w:rPr>
          <w:szCs w:val="24"/>
        </w:rPr>
        <w:t xml:space="preserve">sharing occurs. </w:t>
      </w:r>
    </w:p>
    <w:p w14:paraId="7AEAD05C" w14:textId="77777777" w:rsidR="00457A1C" w:rsidRDefault="00457A1C" w:rsidP="00457A1C">
      <w:pPr>
        <w:spacing w:after="0"/>
        <w:rPr>
          <w:spacing w:val="1"/>
          <w:szCs w:val="24"/>
        </w:rPr>
      </w:pPr>
      <w:r w:rsidRPr="00643E16">
        <w:rPr>
          <w:spacing w:val="1"/>
          <w:szCs w:val="24"/>
        </w:rPr>
        <w:t>A partial risk</w:t>
      </w:r>
      <w:r>
        <w:rPr>
          <w:spacing w:val="1"/>
          <w:szCs w:val="24"/>
        </w:rPr>
        <w:t>-</w:t>
      </w:r>
      <w:r w:rsidRPr="00643E16">
        <w:rPr>
          <w:spacing w:val="1"/>
          <w:szCs w:val="24"/>
        </w:rPr>
        <w:t xml:space="preserve">guarantee facility, provided by a government, donor agency, or other public agency, can assist </w:t>
      </w:r>
      <w:r>
        <w:rPr>
          <w:spacing w:val="1"/>
          <w:szCs w:val="24"/>
        </w:rPr>
        <w:t xml:space="preserve">municipal utilities and public agencies </w:t>
      </w:r>
      <w:r w:rsidRPr="00643E16">
        <w:rPr>
          <w:spacing w:val="1"/>
          <w:szCs w:val="24"/>
        </w:rPr>
        <w:t>by</w:t>
      </w:r>
      <w:r>
        <w:rPr>
          <w:spacing w:val="1"/>
          <w:szCs w:val="24"/>
        </w:rPr>
        <w:t>:</w:t>
      </w:r>
      <w:r w:rsidRPr="00643E16">
        <w:rPr>
          <w:spacing w:val="1"/>
          <w:szCs w:val="24"/>
        </w:rPr>
        <w:t xml:space="preserve"> </w:t>
      </w:r>
      <w:r>
        <w:rPr>
          <w:spacing w:val="1"/>
          <w:szCs w:val="24"/>
        </w:rPr>
        <w:t>(a)</w:t>
      </w:r>
      <w:r w:rsidRPr="00643E16">
        <w:rPr>
          <w:spacing w:val="1"/>
          <w:szCs w:val="24"/>
        </w:rPr>
        <w:t xml:space="preserve"> providing them access to finance, </w:t>
      </w:r>
      <w:r>
        <w:rPr>
          <w:spacing w:val="1"/>
          <w:szCs w:val="24"/>
        </w:rPr>
        <w:t>(b)</w:t>
      </w:r>
      <w:r w:rsidRPr="00643E16">
        <w:rPr>
          <w:spacing w:val="1"/>
          <w:szCs w:val="24"/>
        </w:rPr>
        <w:t xml:space="preserve"> reducing the cost of capital, and </w:t>
      </w:r>
      <w:r>
        <w:rPr>
          <w:spacing w:val="1"/>
          <w:szCs w:val="24"/>
        </w:rPr>
        <w:t>(c)</w:t>
      </w:r>
      <w:r w:rsidRPr="00643E16">
        <w:rPr>
          <w:spacing w:val="1"/>
          <w:szCs w:val="24"/>
        </w:rPr>
        <w:t xml:space="preserve"> expanding the loan tenor or grace periods to match project cash flows (Mostert 2010). </w:t>
      </w:r>
      <w:r>
        <w:rPr>
          <w:spacing w:val="1"/>
          <w:szCs w:val="24"/>
        </w:rPr>
        <w:t xml:space="preserve">Such a facility would also build </w:t>
      </w:r>
      <w:r w:rsidRPr="00F62CB0">
        <w:rPr>
          <w:spacing w:val="1"/>
          <w:szCs w:val="24"/>
        </w:rPr>
        <w:t>commercial lenders</w:t>
      </w:r>
      <w:r>
        <w:rPr>
          <w:spacing w:val="1"/>
          <w:szCs w:val="24"/>
        </w:rPr>
        <w:t>’</w:t>
      </w:r>
      <w:r w:rsidRPr="00F62CB0">
        <w:rPr>
          <w:spacing w:val="1"/>
          <w:szCs w:val="24"/>
        </w:rPr>
        <w:t xml:space="preserve"> capacity to finance EE projects on a </w:t>
      </w:r>
      <w:r w:rsidR="00BF3D77" w:rsidRPr="00F62CB0">
        <w:rPr>
          <w:spacing w:val="1"/>
          <w:szCs w:val="24"/>
        </w:rPr>
        <w:t>commercially</w:t>
      </w:r>
      <w:r w:rsidR="00BF3D77">
        <w:rPr>
          <w:spacing w:val="1"/>
          <w:szCs w:val="24"/>
        </w:rPr>
        <w:t>-</w:t>
      </w:r>
      <w:r w:rsidRPr="00F62CB0">
        <w:rPr>
          <w:spacing w:val="1"/>
          <w:szCs w:val="24"/>
        </w:rPr>
        <w:t>sustainable basis.</w:t>
      </w:r>
    </w:p>
    <w:p w14:paraId="1D4843E6" w14:textId="77777777" w:rsidR="00457A1C" w:rsidRPr="00D026A9" w:rsidRDefault="00457A1C" w:rsidP="00D026A9">
      <w:pPr>
        <w:pStyle w:val="Heading2"/>
      </w:pPr>
      <w:bookmarkStart w:id="48" w:name="_Toc446061730"/>
      <w:bookmarkStart w:id="49" w:name="_Toc461093933"/>
      <w:r w:rsidRPr="00D026A9">
        <w:t>Commercial Financing, Bonds</w:t>
      </w:r>
      <w:bookmarkEnd w:id="48"/>
      <w:bookmarkEnd w:id="49"/>
    </w:p>
    <w:p w14:paraId="78618660" w14:textId="77777777" w:rsidR="00457A1C" w:rsidRDefault="00457A1C" w:rsidP="00457A1C">
      <w:r>
        <w:t>Under this option, m</w:t>
      </w:r>
      <w:r w:rsidRPr="007D7456">
        <w:t xml:space="preserve">unicipalities take commercial bank loans </w:t>
      </w:r>
      <w:r>
        <w:t xml:space="preserve">(if they are creditworthy and have borrowing capacity) </w:t>
      </w:r>
      <w:r w:rsidRPr="007D7456">
        <w:t>or issue bonds to finance EE investments</w:t>
      </w:r>
      <w:r>
        <w:t>. This option can m</w:t>
      </w:r>
      <w:r w:rsidRPr="000A3555">
        <w:t>obilize commercial financing which can deliver scale and be sustainable</w:t>
      </w:r>
      <w:r>
        <w:t xml:space="preserve">. The </w:t>
      </w:r>
      <w:r w:rsidRPr="000A3555">
        <w:t>elements of competition can help</w:t>
      </w:r>
      <w:r w:rsidRPr="00A315A6">
        <w:t xml:space="preserve"> lower financing costs,</w:t>
      </w:r>
      <w:r w:rsidRPr="000A3555">
        <w:t xml:space="preserve"> address overcollateralization/short tenor issues, </w:t>
      </w:r>
      <w:r>
        <w:t xml:space="preserve">and </w:t>
      </w:r>
      <w:r w:rsidRPr="000A3555">
        <w:t xml:space="preserve">allow public agencies to undertake </w:t>
      </w:r>
      <w:r w:rsidR="002962F1">
        <w:t xml:space="preserve">its </w:t>
      </w:r>
      <w:r w:rsidRPr="000A3555">
        <w:t>own procurement/ implementation</w:t>
      </w:r>
      <w:r>
        <w:t>.</w:t>
      </w:r>
    </w:p>
    <w:p w14:paraId="506CF714" w14:textId="77777777" w:rsidR="00457A1C" w:rsidRDefault="00457A1C" w:rsidP="00457A1C">
      <w:r>
        <w:t>This option can work if there are well-developed municipal credit and rating systems, financial institutions who are willing and able to lend to public sector for EE projects, and large municipalities with strong technical capacity willing and able to bundle many EE projects together.</w:t>
      </w:r>
    </w:p>
    <w:p w14:paraId="7F4F8ACF" w14:textId="77777777" w:rsidR="00457A1C" w:rsidRPr="00D026A9" w:rsidRDefault="00457A1C" w:rsidP="00D026A9">
      <w:pPr>
        <w:pStyle w:val="Heading2"/>
      </w:pPr>
      <w:bookmarkStart w:id="50" w:name="_Toc446061731"/>
      <w:bookmarkStart w:id="51" w:name="_Toc461093934"/>
      <w:r w:rsidRPr="00D026A9">
        <w:t>Vendor Credit and Leasing</w:t>
      </w:r>
      <w:bookmarkEnd w:id="50"/>
      <w:bookmarkEnd w:id="51"/>
    </w:p>
    <w:p w14:paraId="298D3185" w14:textId="77777777" w:rsidR="00457A1C" w:rsidRDefault="00457A1C" w:rsidP="00457A1C">
      <w:pPr>
        <w:rPr>
          <w:rFonts w:eastAsia="Calibri"/>
          <w:lang w:bidi="hi-IN"/>
        </w:rPr>
      </w:pPr>
      <w:r>
        <w:rPr>
          <w:rFonts w:eastAsia="Calibri"/>
          <w:lang w:bidi="hi-IN"/>
        </w:rPr>
        <w:t xml:space="preserve">A lease is a contractual arrangement in which a leasing company (lessor) gives a customer (lessee) the right to use its equipment for a specified length of time (lease term) and specified payment (usually monthly). Depending on the lease structure, at the end of the lease term the customer can purchase, return, or continue to lease the equipment. Many types of organizations, including proprietorships, partnerships, corporations, government agencies, religious and non-profit organizations, use leasing throughout the world. Suppliers of </w:t>
      </w:r>
      <w:r w:rsidRPr="008E7D19">
        <w:t>energy efficient equipment</w:t>
      </w:r>
      <w:r w:rsidRPr="000A3555">
        <w:t xml:space="preserve"> </w:t>
      </w:r>
      <w:r>
        <w:t xml:space="preserve">can </w:t>
      </w:r>
      <w:r w:rsidRPr="000A3555">
        <w:t xml:space="preserve">provide </w:t>
      </w:r>
      <w:r>
        <w:t>such</w:t>
      </w:r>
      <w:r w:rsidRPr="000A3555">
        <w:t xml:space="preserve"> equipment under </w:t>
      </w:r>
      <w:r>
        <w:t xml:space="preserve">a </w:t>
      </w:r>
      <w:r w:rsidRPr="000A3555">
        <w:t>leas</w:t>
      </w:r>
      <w:r>
        <w:t>ing arrangement</w:t>
      </w:r>
      <w:r w:rsidRPr="000A3555">
        <w:t>, usually with lease payments based on estimated energy savings</w:t>
      </w:r>
      <w:r w:rsidR="008A67F9">
        <w:t>.</w:t>
      </w:r>
    </w:p>
    <w:p w14:paraId="28B17AC8" w14:textId="77777777" w:rsidR="00457A1C" w:rsidRDefault="00457A1C" w:rsidP="00457A1C">
      <w:pPr>
        <w:rPr>
          <w:rFonts w:eastAsia="Calibri"/>
        </w:rPr>
      </w:pPr>
      <w:r>
        <w:rPr>
          <w:rFonts w:eastAsia="Calibri"/>
        </w:rPr>
        <w:t>Equipment leases are broadly classified into two types: operating lease and finance or capital lease (Lee 2003). In an operating lease, the lessor (or owner) transfers only the right to use the property to the lessee. At the end of the lease period, the lessee returns the property to the lessor. Since the lessee does not assume the risk of ownership, the lease expense is treated as an operating expense in the income statement and the lease does not affect the balance sheet.</w:t>
      </w:r>
    </w:p>
    <w:p w14:paraId="3BC01EBA" w14:textId="77777777" w:rsidR="00457A1C" w:rsidRDefault="00457A1C" w:rsidP="00457A1C">
      <w:pPr>
        <w:pStyle w:val="Heading2"/>
      </w:pPr>
      <w:bookmarkStart w:id="52" w:name="_Toc446061732"/>
      <w:bookmarkStart w:id="53" w:name="_Toc461093935"/>
      <w:r>
        <w:t xml:space="preserve">Leveraging Commercial Financing with </w:t>
      </w:r>
      <w:r w:rsidRPr="004B6FBF">
        <w:t>Private</w:t>
      </w:r>
      <w:r>
        <w:t xml:space="preserve"> ESCOs</w:t>
      </w:r>
      <w:bookmarkEnd w:id="52"/>
      <w:bookmarkEnd w:id="53"/>
    </w:p>
    <w:p w14:paraId="546797C4" w14:textId="77777777" w:rsidR="00457A1C" w:rsidRDefault="00457A1C" w:rsidP="00457A1C">
      <w:pPr>
        <w:rPr>
          <w:snapToGrid/>
        </w:rPr>
      </w:pPr>
      <w:r>
        <w:t>At the top of the “financing ladder” for public sector projects described earlier is t</w:t>
      </w:r>
      <w:r w:rsidRPr="005F60D6">
        <w:t>he development of private sector</w:t>
      </w:r>
      <w:r>
        <w:t xml:space="preserve"> energy service providers</w:t>
      </w:r>
      <w:r w:rsidRPr="005F60D6">
        <w:t xml:space="preserve">, </w:t>
      </w:r>
      <w:r>
        <w:t xml:space="preserve">such as </w:t>
      </w:r>
      <w:r w:rsidRPr="005F60D6">
        <w:t>ESCOs that s</w:t>
      </w:r>
      <w:r>
        <w:t>pecialize in EE</w:t>
      </w:r>
      <w:r w:rsidRPr="005F60D6">
        <w:t xml:space="preserve"> project development and implementation</w:t>
      </w:r>
      <w:r>
        <w:t xml:space="preserve">. Private </w:t>
      </w:r>
      <w:r>
        <w:rPr>
          <w:snapToGrid/>
        </w:rPr>
        <w:t>ESCOs</w:t>
      </w:r>
      <w:r w:rsidRPr="005F60D6">
        <w:rPr>
          <w:snapToGrid/>
        </w:rPr>
        <w:t xml:space="preserve"> </w:t>
      </w:r>
      <w:r>
        <w:t>c</w:t>
      </w:r>
      <w:r w:rsidRPr="005F60D6">
        <w:t>an help overcome important barriers to scaling</w:t>
      </w:r>
      <w:r w:rsidR="008A67F9">
        <w:t>-</w:t>
      </w:r>
      <w:r w:rsidRPr="005F60D6">
        <w:t>up implementation of public sector</w:t>
      </w:r>
      <w:r>
        <w:t xml:space="preserve"> EE</w:t>
      </w:r>
      <w:r w:rsidRPr="005F60D6">
        <w:t xml:space="preserve"> projects. </w:t>
      </w:r>
      <w:r>
        <w:t xml:space="preserve">They </w:t>
      </w:r>
      <w:r w:rsidRPr="005F60D6">
        <w:rPr>
          <w:snapToGrid/>
        </w:rPr>
        <w:t xml:space="preserve">can </w:t>
      </w:r>
      <w:r>
        <w:rPr>
          <w:snapToGrid/>
        </w:rPr>
        <w:t xml:space="preserve">(a) </w:t>
      </w:r>
      <w:r w:rsidRPr="005F60D6">
        <w:rPr>
          <w:snapToGrid/>
        </w:rPr>
        <w:t xml:space="preserve">offer a range of services </w:t>
      </w:r>
      <w:r w:rsidRPr="005F60D6">
        <w:t>spanning the energy services value chain</w:t>
      </w:r>
      <w:r>
        <w:t xml:space="preserve"> and (b) </w:t>
      </w:r>
      <w:r w:rsidRPr="005F60D6">
        <w:rPr>
          <w:snapToGrid/>
        </w:rPr>
        <w:t xml:space="preserve">provide the technical skills and resources needed to identify and implement EE opportunities, perform services using performance based contracts (thereby reducing the risks to the </w:t>
      </w:r>
      <w:r>
        <w:rPr>
          <w:snapToGrid/>
        </w:rPr>
        <w:t>municipal utilities and public agencies</w:t>
      </w:r>
      <w:r w:rsidRPr="005F60D6">
        <w:rPr>
          <w:snapToGrid/>
        </w:rPr>
        <w:t xml:space="preserve">), facilitate access to financing from commercial lenders, and enable energy users to pay for services </w:t>
      </w:r>
      <w:r>
        <w:rPr>
          <w:snapToGrid/>
        </w:rPr>
        <w:t xml:space="preserve">out of </w:t>
      </w:r>
      <w:r w:rsidRPr="005F60D6">
        <w:rPr>
          <w:snapToGrid/>
        </w:rPr>
        <w:t xml:space="preserve">the cost savings achieved. </w:t>
      </w:r>
    </w:p>
    <w:p w14:paraId="25361E02" w14:textId="77777777" w:rsidR="00457A1C" w:rsidRPr="00F0216A" w:rsidRDefault="00457A1C" w:rsidP="00457A1C">
      <w:pPr>
        <w:rPr>
          <w:spacing w:val="-3"/>
          <w:kern w:val="1"/>
        </w:rPr>
      </w:pPr>
      <w:r w:rsidRPr="004B6FBF">
        <w:rPr>
          <w:i/>
        </w:rPr>
        <w:t>Performance contracting</w:t>
      </w:r>
      <w:r>
        <w:t xml:space="preserve"> refers to EE implementation services offered by private ESCOs under ESPCs. These have </w:t>
      </w:r>
      <w:r w:rsidRPr="00F0216A">
        <w:rPr>
          <w:spacing w:val="-3"/>
          <w:kern w:val="1"/>
        </w:rPr>
        <w:t>the following key attributes</w:t>
      </w:r>
      <w:r>
        <w:rPr>
          <w:spacing w:val="-3"/>
          <w:kern w:val="1"/>
        </w:rPr>
        <w:t xml:space="preserve"> (SRC Global 2005)</w:t>
      </w:r>
      <w:r w:rsidRPr="00F0216A">
        <w:rPr>
          <w:spacing w:val="-3"/>
          <w:kern w:val="1"/>
        </w:rPr>
        <w:t>:</w:t>
      </w:r>
    </w:p>
    <w:p w14:paraId="282A0A78" w14:textId="77777777" w:rsidR="00457A1C" w:rsidRPr="00A76CF5" w:rsidRDefault="00457A1C" w:rsidP="00457A1C">
      <w:pPr>
        <w:pStyle w:val="Bulletedsinglespacing"/>
        <w:numPr>
          <w:ilvl w:val="0"/>
          <w:numId w:val="6"/>
        </w:numPr>
        <w:ind w:left="720"/>
      </w:pPr>
      <w:r w:rsidRPr="00A76CF5">
        <w:t xml:space="preserve">ESCOs offer a complete range of implementation services, including design, engineering, construction, commissioning, and maintenance of </w:t>
      </w:r>
      <w:r>
        <w:t>EE</w:t>
      </w:r>
      <w:r w:rsidRPr="00A76CF5">
        <w:t xml:space="preserve"> measures, and monitoring and verification of the resulting energy and cost savings.</w:t>
      </w:r>
    </w:p>
    <w:p w14:paraId="6FE06BF7" w14:textId="77777777" w:rsidR="00457A1C" w:rsidRPr="00A76CF5" w:rsidRDefault="00457A1C" w:rsidP="00457A1C">
      <w:pPr>
        <w:pStyle w:val="Bulletedsinglespacing"/>
        <w:numPr>
          <w:ilvl w:val="0"/>
          <w:numId w:val="6"/>
        </w:numPr>
        <w:ind w:left="720"/>
      </w:pPr>
      <w:r w:rsidRPr="00A76CF5">
        <w:t>ESCOs provide or arrange financing (often 100</w:t>
      </w:r>
      <w:r w:rsidR="00B223C4">
        <w:t xml:space="preserve"> percent</w:t>
      </w:r>
      <w:r w:rsidR="00B223C4" w:rsidRPr="00A76CF5">
        <w:t xml:space="preserve">) </w:t>
      </w:r>
      <w:r w:rsidRPr="00A76CF5">
        <w:t>and undertake “shared savings” or “guaranteed savings” contracts, such that the payments to the ESCO are less than the cost savings resulting from the project implementation.</w:t>
      </w:r>
    </w:p>
    <w:p w14:paraId="0F9AE2C9" w14:textId="77777777" w:rsidR="00457A1C" w:rsidRPr="00A76CF5" w:rsidRDefault="00457A1C" w:rsidP="00457A1C">
      <w:pPr>
        <w:pStyle w:val="Bulletedsinglespacing"/>
        <w:numPr>
          <w:ilvl w:val="0"/>
          <w:numId w:val="6"/>
        </w:numPr>
        <w:ind w:left="720"/>
      </w:pPr>
      <w:r w:rsidRPr="00A76CF5">
        <w:t>Under the performance contract, ESCOs offer specific performance guarantees for the entire project (as opposed to individual equipment guarantees offered by equipment manufacturers or suppliers) and generally guarantee a level of energy cost savings.</w:t>
      </w:r>
    </w:p>
    <w:p w14:paraId="43FAFCD4" w14:textId="77777777" w:rsidR="00457A1C" w:rsidRPr="00A76CF5" w:rsidRDefault="00457A1C" w:rsidP="00457A1C">
      <w:pPr>
        <w:pStyle w:val="Bulletedsinglespacing"/>
        <w:numPr>
          <w:ilvl w:val="0"/>
          <w:numId w:val="6"/>
        </w:numPr>
        <w:ind w:left="720"/>
      </w:pPr>
      <w:r w:rsidRPr="00A76CF5">
        <w:t xml:space="preserve">Payments to the ESCO are contingent upon demonstrated satisfaction of the performance guarantees. </w:t>
      </w:r>
    </w:p>
    <w:p w14:paraId="0EC2399E" w14:textId="77777777" w:rsidR="00457A1C" w:rsidRDefault="00457A1C" w:rsidP="00457A1C">
      <w:pPr>
        <w:pStyle w:val="Bulletedsinglespacing"/>
        <w:numPr>
          <w:ilvl w:val="0"/>
          <w:numId w:val="6"/>
        </w:numPr>
        <w:ind w:left="720"/>
      </w:pPr>
      <w:r w:rsidRPr="00F0216A">
        <w:t xml:space="preserve">Most of the technical, financial, and maintenance risk is </w:t>
      </w:r>
      <w:r>
        <w:t>assumed by the ESCO, thereby substantially reducing the risks to the energy user.</w:t>
      </w:r>
    </w:p>
    <w:p w14:paraId="4C292BC1" w14:textId="77777777" w:rsidR="004E66D7" w:rsidRDefault="004E66D7" w:rsidP="004E66D7">
      <w:pPr>
        <w:pStyle w:val="Heading2"/>
      </w:pPr>
      <w:bookmarkStart w:id="54" w:name="_Toc430985733"/>
      <w:bookmarkStart w:id="55" w:name="_Toc431130556"/>
      <w:bookmarkStart w:id="56" w:name="_Toc461093936"/>
      <w:bookmarkEnd w:id="36"/>
      <w:bookmarkEnd w:id="37"/>
      <w:r>
        <w:t>Comparison of the Financing Options</w:t>
      </w:r>
      <w:bookmarkEnd w:id="54"/>
      <w:bookmarkEnd w:id="55"/>
      <w:bookmarkEnd w:id="56"/>
    </w:p>
    <w:p w14:paraId="62805E48" w14:textId="77777777" w:rsidR="004E66D7" w:rsidRDefault="000C4AF6" w:rsidP="004E66D7">
      <w:r>
        <w:t>Table 4.1</w:t>
      </w:r>
      <w:r w:rsidR="004E66D7">
        <w:t xml:space="preserve"> provides a comparative assessment of the key characteristics of the finance and delivery models discussed above.</w:t>
      </w:r>
    </w:p>
    <w:p w14:paraId="71ADE1D2" w14:textId="77777777" w:rsidR="004E66D7" w:rsidRDefault="004E66D7" w:rsidP="00457A1C">
      <w:pPr>
        <w:jc w:val="center"/>
        <w:sectPr w:rsidR="004E66D7" w:rsidSect="008F26A2">
          <w:endnotePr>
            <w:numFmt w:val="decimal"/>
          </w:endnotePr>
          <w:pgSz w:w="11907" w:h="16840" w:code="9"/>
          <w:pgMar w:top="1440" w:right="1440" w:bottom="1440" w:left="1440" w:header="720" w:footer="720" w:gutter="0"/>
          <w:cols w:space="720"/>
          <w:noEndnote/>
        </w:sectPr>
      </w:pPr>
    </w:p>
    <w:p w14:paraId="36BD242F" w14:textId="77777777" w:rsidR="000C4AF6" w:rsidRPr="00D05659" w:rsidRDefault="000C4AF6" w:rsidP="000C4AF6">
      <w:pPr>
        <w:pStyle w:val="FiguresandTables"/>
      </w:pPr>
      <w:r w:rsidRPr="00D05659">
        <w:t>Table 4.</w:t>
      </w:r>
      <w:r>
        <w:t>1</w:t>
      </w:r>
      <w:r w:rsidRPr="00D05659">
        <w:t xml:space="preserve"> - Summary of Characteristics of Financ</w:t>
      </w:r>
      <w:r>
        <w:t>ing Options for Public Sector</w:t>
      </w:r>
      <w:r w:rsidRPr="00D05659">
        <w:t xml:space="preserve"> Energy Efficiency Projects </w:t>
      </w:r>
    </w:p>
    <w:tbl>
      <w:tblPr>
        <w:tblpPr w:leftFromText="180" w:rightFromText="180" w:vertAnchor="text" w:tblpY="1"/>
        <w:tblOverlap w:val="never"/>
        <w:tblW w:w="515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2497"/>
        <w:gridCol w:w="3456"/>
        <w:gridCol w:w="2429"/>
        <w:gridCol w:w="1961"/>
        <w:gridCol w:w="1979"/>
        <w:gridCol w:w="2055"/>
      </w:tblGrid>
      <w:tr w:rsidR="000C4AF6" w:rsidRPr="00915820" w14:paraId="38072DBD" w14:textId="77777777" w:rsidTr="0025402C">
        <w:trPr>
          <w:cantSplit/>
        </w:trPr>
        <w:tc>
          <w:tcPr>
            <w:tcW w:w="2497" w:type="dxa"/>
            <w:tcBorders>
              <w:bottom w:val="single" w:sz="4" w:space="0" w:color="000000"/>
            </w:tcBorders>
            <w:shd w:val="clear" w:color="auto" w:fill="002060"/>
            <w:vAlign w:val="bottom"/>
          </w:tcPr>
          <w:p w14:paraId="1121F253" w14:textId="77777777" w:rsidR="000C4AF6" w:rsidRPr="000A3555" w:rsidRDefault="000C4AF6" w:rsidP="000C4A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left"/>
              <w:rPr>
                <w:rFonts w:ascii="Arial" w:hAnsi="Arial" w:cs="Arial"/>
                <w:b/>
                <w:sz w:val="22"/>
                <w:szCs w:val="22"/>
              </w:rPr>
            </w:pPr>
          </w:p>
          <w:p w14:paraId="5E5A060F" w14:textId="77777777" w:rsidR="000C4AF6" w:rsidRPr="000A3555" w:rsidRDefault="000C4AF6" w:rsidP="000C4A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left"/>
              <w:rPr>
                <w:rFonts w:ascii="Arial" w:hAnsi="Arial" w:cs="Arial"/>
                <w:b/>
                <w:sz w:val="22"/>
                <w:szCs w:val="22"/>
              </w:rPr>
            </w:pPr>
            <w:r w:rsidRPr="000A3555">
              <w:rPr>
                <w:rFonts w:ascii="Arial" w:hAnsi="Arial" w:cs="Arial"/>
                <w:b/>
                <w:sz w:val="22"/>
                <w:szCs w:val="22"/>
              </w:rPr>
              <w:t>Financing Option</w:t>
            </w:r>
          </w:p>
        </w:tc>
        <w:tc>
          <w:tcPr>
            <w:tcW w:w="3456" w:type="dxa"/>
            <w:tcBorders>
              <w:bottom w:val="single" w:sz="4" w:space="0" w:color="000000"/>
            </w:tcBorders>
            <w:shd w:val="clear" w:color="auto" w:fill="002060"/>
            <w:vAlign w:val="bottom"/>
          </w:tcPr>
          <w:p w14:paraId="3EA75839" w14:textId="77777777" w:rsidR="000C4AF6" w:rsidRPr="000A3555" w:rsidRDefault="000C4AF6" w:rsidP="000C4AF6">
            <w:pPr>
              <w:tabs>
                <w:tab w:val="left" w:pos="560"/>
                <w:tab w:val="left" w:pos="1680"/>
                <w:tab w:val="left" w:pos="2014"/>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center"/>
              <w:rPr>
                <w:rFonts w:ascii="Arial" w:hAnsi="Arial" w:cs="Arial"/>
                <w:b/>
                <w:sz w:val="22"/>
                <w:szCs w:val="22"/>
              </w:rPr>
            </w:pPr>
          </w:p>
          <w:p w14:paraId="34F05654" w14:textId="77777777" w:rsidR="000C4AF6" w:rsidRPr="000A3555" w:rsidRDefault="000C4AF6" w:rsidP="000C4AF6">
            <w:pPr>
              <w:tabs>
                <w:tab w:val="left" w:pos="560"/>
                <w:tab w:val="left" w:pos="1680"/>
                <w:tab w:val="left" w:pos="2014"/>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center"/>
              <w:rPr>
                <w:rFonts w:ascii="Arial" w:hAnsi="Arial" w:cs="Arial"/>
                <w:b/>
                <w:sz w:val="22"/>
                <w:szCs w:val="22"/>
              </w:rPr>
            </w:pPr>
            <w:r w:rsidRPr="000A3555">
              <w:rPr>
                <w:rFonts w:ascii="Arial" w:hAnsi="Arial" w:cs="Arial"/>
                <w:b/>
                <w:sz w:val="22"/>
                <w:szCs w:val="22"/>
              </w:rPr>
              <w:t>Conditions</w:t>
            </w:r>
          </w:p>
        </w:tc>
        <w:tc>
          <w:tcPr>
            <w:tcW w:w="2429" w:type="dxa"/>
            <w:tcBorders>
              <w:bottom w:val="single" w:sz="4" w:space="0" w:color="000000"/>
            </w:tcBorders>
            <w:shd w:val="clear" w:color="auto" w:fill="002060"/>
            <w:vAlign w:val="bottom"/>
          </w:tcPr>
          <w:p w14:paraId="032CA345" w14:textId="77777777" w:rsidR="000C4AF6" w:rsidRPr="000A3555" w:rsidRDefault="000C4AF6" w:rsidP="000C4A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center"/>
              <w:rPr>
                <w:rFonts w:ascii="Arial" w:hAnsi="Arial" w:cs="Arial"/>
                <w:b/>
                <w:sz w:val="22"/>
                <w:szCs w:val="22"/>
              </w:rPr>
            </w:pPr>
          </w:p>
          <w:p w14:paraId="62803DDE" w14:textId="77777777" w:rsidR="000C4AF6" w:rsidRPr="000A3555" w:rsidRDefault="000C4AF6" w:rsidP="000C4A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center"/>
              <w:rPr>
                <w:rFonts w:ascii="Arial" w:hAnsi="Arial" w:cs="Arial"/>
                <w:b/>
                <w:sz w:val="22"/>
                <w:szCs w:val="22"/>
              </w:rPr>
            </w:pPr>
            <w:r w:rsidRPr="000A3555">
              <w:rPr>
                <w:rFonts w:ascii="Arial" w:hAnsi="Arial" w:cs="Arial"/>
                <w:b/>
                <w:sz w:val="22"/>
                <w:szCs w:val="22"/>
              </w:rPr>
              <w:t>Pros</w:t>
            </w:r>
          </w:p>
        </w:tc>
        <w:tc>
          <w:tcPr>
            <w:tcW w:w="1961" w:type="dxa"/>
            <w:tcBorders>
              <w:bottom w:val="single" w:sz="4" w:space="0" w:color="000000"/>
            </w:tcBorders>
            <w:shd w:val="clear" w:color="auto" w:fill="002060"/>
            <w:vAlign w:val="bottom"/>
          </w:tcPr>
          <w:p w14:paraId="6CD26981" w14:textId="77777777" w:rsidR="000C4AF6" w:rsidRPr="000A3555" w:rsidRDefault="000C4AF6" w:rsidP="000C4A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center"/>
              <w:rPr>
                <w:rFonts w:ascii="Arial" w:hAnsi="Arial" w:cs="Arial"/>
                <w:b/>
                <w:sz w:val="22"/>
                <w:szCs w:val="22"/>
              </w:rPr>
            </w:pPr>
          </w:p>
          <w:p w14:paraId="5F26745F" w14:textId="77777777" w:rsidR="000C4AF6" w:rsidRPr="000A3555" w:rsidRDefault="000C4AF6" w:rsidP="000C4A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center"/>
              <w:rPr>
                <w:rFonts w:ascii="Arial" w:hAnsi="Arial" w:cs="Arial"/>
                <w:b/>
                <w:sz w:val="22"/>
                <w:szCs w:val="22"/>
              </w:rPr>
            </w:pPr>
            <w:r w:rsidRPr="000A3555">
              <w:rPr>
                <w:rFonts w:ascii="Arial" w:hAnsi="Arial" w:cs="Arial"/>
                <w:b/>
                <w:sz w:val="22"/>
                <w:szCs w:val="22"/>
              </w:rPr>
              <w:t>Cons</w:t>
            </w:r>
          </w:p>
        </w:tc>
        <w:tc>
          <w:tcPr>
            <w:tcW w:w="1979" w:type="dxa"/>
            <w:tcBorders>
              <w:bottom w:val="single" w:sz="4" w:space="0" w:color="000000"/>
            </w:tcBorders>
            <w:shd w:val="clear" w:color="auto" w:fill="002060"/>
            <w:vAlign w:val="bottom"/>
          </w:tcPr>
          <w:p w14:paraId="614B39C0" w14:textId="77777777" w:rsidR="000C4AF6" w:rsidRPr="000A3555" w:rsidRDefault="002D1F37" w:rsidP="002D1F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center"/>
              <w:rPr>
                <w:rFonts w:ascii="Arial" w:hAnsi="Arial" w:cs="Arial"/>
                <w:b/>
                <w:sz w:val="22"/>
                <w:szCs w:val="22"/>
              </w:rPr>
            </w:pPr>
            <w:r>
              <w:rPr>
                <w:rFonts w:ascii="Arial" w:hAnsi="Arial" w:cs="Arial"/>
                <w:b/>
                <w:sz w:val="22"/>
                <w:szCs w:val="22"/>
              </w:rPr>
              <w:t>Issues to be addressed</w:t>
            </w:r>
          </w:p>
        </w:tc>
        <w:tc>
          <w:tcPr>
            <w:tcW w:w="2055" w:type="dxa"/>
            <w:tcBorders>
              <w:bottom w:val="single" w:sz="4" w:space="0" w:color="000000"/>
            </w:tcBorders>
            <w:shd w:val="clear" w:color="auto" w:fill="002060"/>
            <w:vAlign w:val="bottom"/>
          </w:tcPr>
          <w:p w14:paraId="1DF36167" w14:textId="77777777" w:rsidR="000C4AF6" w:rsidRPr="000A3555" w:rsidRDefault="000C4AF6" w:rsidP="000C4AF6">
            <w:pPr>
              <w:tabs>
                <w:tab w:val="left" w:pos="560"/>
                <w:tab w:val="left" w:pos="1120"/>
                <w:tab w:val="left" w:pos="1680"/>
                <w:tab w:val="left" w:pos="2240"/>
                <w:tab w:val="left" w:pos="2800"/>
                <w:tab w:val="left" w:pos="3360"/>
                <w:tab w:val="left" w:pos="3920"/>
                <w:tab w:val="left" w:pos="4480"/>
                <w:tab w:val="left" w:pos="5040"/>
                <w:tab w:val="left" w:pos="5400"/>
                <w:tab w:val="left" w:pos="6160"/>
                <w:tab w:val="left" w:pos="6720"/>
              </w:tabs>
              <w:autoSpaceDE w:val="0"/>
              <w:autoSpaceDN w:val="0"/>
              <w:adjustRightInd w:val="0"/>
              <w:spacing w:before="60" w:after="60"/>
              <w:jc w:val="center"/>
              <w:rPr>
                <w:rFonts w:ascii="Arial" w:hAnsi="Arial" w:cs="Arial"/>
                <w:b/>
                <w:sz w:val="22"/>
                <w:szCs w:val="22"/>
              </w:rPr>
            </w:pPr>
          </w:p>
          <w:p w14:paraId="1CEC806A" w14:textId="77777777" w:rsidR="000C4AF6" w:rsidRPr="000A3555" w:rsidRDefault="000C4AF6" w:rsidP="000C4AF6">
            <w:pPr>
              <w:tabs>
                <w:tab w:val="left" w:pos="560"/>
                <w:tab w:val="left" w:pos="1120"/>
                <w:tab w:val="left" w:pos="1680"/>
                <w:tab w:val="left" w:pos="2240"/>
                <w:tab w:val="left" w:pos="2800"/>
                <w:tab w:val="left" w:pos="3360"/>
                <w:tab w:val="left" w:pos="3920"/>
                <w:tab w:val="left" w:pos="4480"/>
                <w:tab w:val="left" w:pos="5040"/>
                <w:tab w:val="left" w:pos="5400"/>
                <w:tab w:val="left" w:pos="6160"/>
                <w:tab w:val="left" w:pos="6720"/>
              </w:tabs>
              <w:autoSpaceDE w:val="0"/>
              <w:autoSpaceDN w:val="0"/>
              <w:adjustRightInd w:val="0"/>
              <w:spacing w:before="60" w:after="60"/>
              <w:jc w:val="center"/>
              <w:rPr>
                <w:rFonts w:ascii="Arial" w:hAnsi="Arial" w:cs="Arial"/>
                <w:b/>
                <w:sz w:val="22"/>
                <w:szCs w:val="22"/>
              </w:rPr>
            </w:pPr>
            <w:r w:rsidRPr="000A3555">
              <w:rPr>
                <w:rFonts w:ascii="Arial" w:hAnsi="Arial" w:cs="Arial"/>
                <w:b/>
                <w:sz w:val="22"/>
                <w:szCs w:val="22"/>
              </w:rPr>
              <w:t>Examples</w:t>
            </w:r>
          </w:p>
        </w:tc>
      </w:tr>
      <w:tr w:rsidR="000C4AF6" w:rsidRPr="00915820" w14:paraId="1F2BBA87" w14:textId="77777777" w:rsidTr="0025402C">
        <w:trPr>
          <w:cantSplit/>
        </w:trPr>
        <w:tc>
          <w:tcPr>
            <w:tcW w:w="2497" w:type="dxa"/>
            <w:shd w:val="clear" w:color="auto" w:fill="C6D9F1"/>
          </w:tcPr>
          <w:p w14:paraId="06726D3A" w14:textId="77777777" w:rsidR="000C4AF6" w:rsidRPr="0065180A" w:rsidRDefault="000C4AF6" w:rsidP="0065180A">
            <w:pPr>
              <w:ind w:left="150" w:hanging="180"/>
              <w:jc w:val="left"/>
              <w:rPr>
                <w:sz w:val="22"/>
                <w:szCs w:val="22"/>
              </w:rPr>
            </w:pPr>
            <w:r w:rsidRPr="00984F60">
              <w:rPr>
                <w:sz w:val="22"/>
                <w:szCs w:val="22"/>
              </w:rPr>
              <w:t>1. Budget financing with capital recovery</w:t>
            </w:r>
          </w:p>
        </w:tc>
        <w:tc>
          <w:tcPr>
            <w:tcW w:w="3456" w:type="dxa"/>
            <w:shd w:val="clear" w:color="auto" w:fill="C6D9F1"/>
          </w:tcPr>
          <w:p w14:paraId="6ED4FB12" w14:textId="77777777" w:rsidR="000C4AF6" w:rsidRPr="004841E2" w:rsidRDefault="000C4AF6" w:rsidP="000C4AF6">
            <w:pPr>
              <w:pStyle w:val="Tabletextbullet"/>
            </w:pPr>
            <w:r w:rsidRPr="004841E2">
              <w:t>Credit barrier is too high, unde</w:t>
            </w:r>
            <w:r>
              <w:t xml:space="preserve">rdeveloped banking sector, </w:t>
            </w:r>
            <w:r w:rsidRPr="004841E2">
              <w:t>collateralization</w:t>
            </w:r>
            <w:r>
              <w:t xml:space="preserve"> is difficult</w:t>
            </w:r>
          </w:p>
          <w:p w14:paraId="7BB0D9CC" w14:textId="77777777" w:rsidR="000C4AF6" w:rsidRPr="004841E2" w:rsidRDefault="000C4AF6" w:rsidP="000C4AF6">
            <w:pPr>
              <w:pStyle w:val="Tabletextbullet"/>
            </w:pPr>
            <w:r>
              <w:t>Financing</w:t>
            </w:r>
            <w:r w:rsidRPr="004841E2">
              <w:t xml:space="preserve"> should target new and underdeveloped markets, programs must be efficiently administered, initial subproject results should be intensely disseminated, need viable co-financing</w:t>
            </w:r>
          </w:p>
          <w:p w14:paraId="4AA0557A" w14:textId="77777777" w:rsidR="000C4AF6" w:rsidRPr="004841E2" w:rsidRDefault="000C4AF6" w:rsidP="000C4AF6">
            <w:pPr>
              <w:pStyle w:val="Tabletextbullet"/>
            </w:pPr>
            <w:r>
              <w:t>Availability of</w:t>
            </w:r>
            <w:r w:rsidRPr="004841E2">
              <w:t xml:space="preserve"> funding </w:t>
            </w:r>
            <w:r>
              <w:t>for EE projects</w:t>
            </w:r>
          </w:p>
        </w:tc>
        <w:tc>
          <w:tcPr>
            <w:tcW w:w="2429" w:type="dxa"/>
            <w:shd w:val="clear" w:color="auto" w:fill="C6D9F1"/>
          </w:tcPr>
          <w:p w14:paraId="03FC1898" w14:textId="77777777" w:rsidR="000C4AF6" w:rsidRPr="004841E2" w:rsidRDefault="000C4AF6" w:rsidP="000C4AF6">
            <w:pPr>
              <w:pStyle w:val="Tabletextbullet"/>
            </w:pPr>
            <w:r w:rsidRPr="004841E2">
              <w:t>Easy to implement</w:t>
            </w:r>
          </w:p>
          <w:p w14:paraId="79482893" w14:textId="77777777" w:rsidR="000C4AF6" w:rsidRPr="004841E2" w:rsidRDefault="000C4AF6" w:rsidP="000C4AF6">
            <w:pPr>
              <w:pStyle w:val="Tabletextbullet"/>
            </w:pPr>
            <w:r w:rsidRPr="004841E2">
              <w:t>Can directly finance municipal</w:t>
            </w:r>
            <w:r>
              <w:t xml:space="preserve"> entities and central government agencies</w:t>
            </w:r>
          </w:p>
        </w:tc>
        <w:tc>
          <w:tcPr>
            <w:tcW w:w="1961" w:type="dxa"/>
            <w:shd w:val="clear" w:color="auto" w:fill="C6D9F1"/>
          </w:tcPr>
          <w:p w14:paraId="604999CB" w14:textId="77777777" w:rsidR="000C4AF6" w:rsidRPr="004841E2" w:rsidRDefault="000C4AF6" w:rsidP="000C4AF6">
            <w:pPr>
              <w:pStyle w:val="Tabletextbullet"/>
            </w:pPr>
            <w:r w:rsidRPr="004841E2">
              <w:t>S</w:t>
            </w:r>
            <w:r>
              <w:t>ustainability may be</w:t>
            </w:r>
            <w:r w:rsidRPr="004841E2">
              <w:t xml:space="preserve"> questionable, even if </w:t>
            </w:r>
            <w:r>
              <w:t>repayment is obtained through budget financing</w:t>
            </w:r>
          </w:p>
        </w:tc>
        <w:tc>
          <w:tcPr>
            <w:tcW w:w="1979" w:type="dxa"/>
            <w:shd w:val="clear" w:color="auto" w:fill="C6D9F1"/>
          </w:tcPr>
          <w:p w14:paraId="029DED79" w14:textId="77777777" w:rsidR="000C4AF6" w:rsidRDefault="000C4AF6" w:rsidP="000C4AF6">
            <w:pPr>
              <w:pStyle w:val="Tabletextbullet"/>
            </w:pPr>
            <w:r>
              <w:t>Who will manage and administer the funds?</w:t>
            </w:r>
          </w:p>
          <w:p w14:paraId="7FABDD92" w14:textId="77777777" w:rsidR="000C4AF6" w:rsidRPr="004841E2" w:rsidRDefault="000C4AF6" w:rsidP="000C4AF6">
            <w:pPr>
              <w:pStyle w:val="Tabletextbullet"/>
            </w:pPr>
            <w:r>
              <w:t>Is there sufficient implementation capacity?</w:t>
            </w:r>
          </w:p>
        </w:tc>
        <w:tc>
          <w:tcPr>
            <w:tcW w:w="2055" w:type="dxa"/>
            <w:shd w:val="clear" w:color="auto" w:fill="C6D9F1"/>
          </w:tcPr>
          <w:p w14:paraId="7F602718" w14:textId="77777777" w:rsidR="000C4AF6" w:rsidRPr="004841E2" w:rsidRDefault="000C4AF6" w:rsidP="000C4AF6">
            <w:pPr>
              <w:pStyle w:val="Tabletextbullet"/>
            </w:pPr>
            <w:r w:rsidRPr="004841E2">
              <w:t xml:space="preserve">Hungary </w:t>
            </w:r>
          </w:p>
          <w:p w14:paraId="26C8BAA2" w14:textId="77777777" w:rsidR="000C4AF6" w:rsidRPr="004841E2" w:rsidRDefault="000C4AF6" w:rsidP="000C4AF6">
            <w:pPr>
              <w:pStyle w:val="Tabletextbullet"/>
            </w:pPr>
            <w:r w:rsidRPr="004841E2">
              <w:t xml:space="preserve">Lithuania </w:t>
            </w:r>
          </w:p>
          <w:p w14:paraId="7DAC9684" w14:textId="77777777" w:rsidR="00564F39" w:rsidRDefault="000C4AF6" w:rsidP="000C4AF6">
            <w:pPr>
              <w:pStyle w:val="Tabletextbullet"/>
            </w:pPr>
            <w:r w:rsidRPr="004841E2">
              <w:t>Armenia</w:t>
            </w:r>
          </w:p>
          <w:p w14:paraId="61173299" w14:textId="77777777" w:rsidR="000C4AF6" w:rsidRPr="004841E2" w:rsidRDefault="000C4AF6" w:rsidP="000C4AF6">
            <w:pPr>
              <w:pStyle w:val="Tabletextbullet"/>
            </w:pPr>
            <w:r w:rsidRPr="004841E2">
              <w:t>Belarus</w:t>
            </w:r>
          </w:p>
          <w:p w14:paraId="51FD001B" w14:textId="77777777" w:rsidR="000C4AF6" w:rsidRPr="004841E2" w:rsidRDefault="000C4AF6" w:rsidP="000C4AF6">
            <w:pPr>
              <w:pStyle w:val="Tabletextbullet"/>
            </w:pPr>
            <w:r w:rsidRPr="004841E2">
              <w:t>FYR Macedo</w:t>
            </w:r>
            <w:r>
              <w:t xml:space="preserve">nia </w:t>
            </w:r>
          </w:p>
          <w:p w14:paraId="71F9F48E" w14:textId="77777777" w:rsidR="000C4AF6" w:rsidRPr="004841E2" w:rsidRDefault="000C4AF6" w:rsidP="000C4AF6">
            <w:pPr>
              <w:pStyle w:val="Tabletextbullet"/>
            </w:pPr>
            <w:r w:rsidRPr="004841E2">
              <w:t>Montenegro</w:t>
            </w:r>
          </w:p>
          <w:p w14:paraId="1D27E93E" w14:textId="77777777" w:rsidR="000C4AF6" w:rsidRPr="004841E2" w:rsidRDefault="000C4AF6" w:rsidP="000C4AF6">
            <w:pPr>
              <w:pStyle w:val="Tabletextbullet"/>
            </w:pPr>
            <w:r w:rsidRPr="004841E2">
              <w:t xml:space="preserve">Serbia </w:t>
            </w:r>
          </w:p>
        </w:tc>
      </w:tr>
      <w:tr w:rsidR="000C4AF6" w:rsidRPr="00915820" w14:paraId="72413807" w14:textId="77777777" w:rsidTr="0025402C">
        <w:trPr>
          <w:cantSplit/>
        </w:trPr>
        <w:tc>
          <w:tcPr>
            <w:tcW w:w="2497" w:type="dxa"/>
            <w:tcBorders>
              <w:bottom w:val="single" w:sz="4" w:space="0" w:color="000000"/>
            </w:tcBorders>
            <w:shd w:val="clear" w:color="auto" w:fill="C6D9F1"/>
          </w:tcPr>
          <w:p w14:paraId="6B9FA010" w14:textId="77777777" w:rsidR="000C4AF6" w:rsidRPr="00984F60" w:rsidRDefault="000C4AF6" w:rsidP="00ED6EDC">
            <w:pPr>
              <w:ind w:left="240" w:hanging="180"/>
              <w:jc w:val="left"/>
              <w:rPr>
                <w:sz w:val="22"/>
                <w:szCs w:val="22"/>
              </w:rPr>
            </w:pPr>
            <w:r>
              <w:rPr>
                <w:sz w:val="22"/>
                <w:szCs w:val="22"/>
              </w:rPr>
              <w:t>2. Utility on-bill financing</w:t>
            </w:r>
          </w:p>
        </w:tc>
        <w:tc>
          <w:tcPr>
            <w:tcW w:w="3456" w:type="dxa"/>
            <w:tcBorders>
              <w:bottom w:val="single" w:sz="4" w:space="0" w:color="000000"/>
            </w:tcBorders>
            <w:shd w:val="clear" w:color="auto" w:fill="C6D9F1"/>
          </w:tcPr>
          <w:p w14:paraId="65CC698A" w14:textId="77777777" w:rsidR="000C4AF6" w:rsidRPr="008C69F9" w:rsidRDefault="000C4AF6" w:rsidP="000C4AF6">
            <w:pPr>
              <w:pStyle w:val="Tabletextbullet"/>
            </w:pPr>
            <w:r w:rsidRPr="008C69F9">
              <w:t>Requires regulations for utility participation</w:t>
            </w:r>
          </w:p>
          <w:p w14:paraId="6DF9CA57" w14:textId="77777777" w:rsidR="000C4AF6" w:rsidRPr="008C69F9" w:rsidRDefault="000C4AF6" w:rsidP="000C4AF6">
            <w:pPr>
              <w:pStyle w:val="Tabletextbullet"/>
            </w:pPr>
            <w:r>
              <w:t>Strong f</w:t>
            </w:r>
            <w:r w:rsidRPr="008C69F9">
              <w:t xml:space="preserve">inancial </w:t>
            </w:r>
            <w:r>
              <w:t xml:space="preserve">position and financial management </w:t>
            </w:r>
            <w:r w:rsidRPr="008C69F9">
              <w:t>of utilities</w:t>
            </w:r>
          </w:p>
          <w:p w14:paraId="22D46B6F" w14:textId="77777777" w:rsidR="000C4AF6" w:rsidRPr="004841E2" w:rsidRDefault="000C4AF6" w:rsidP="000C4AF6">
            <w:pPr>
              <w:pStyle w:val="Tabletextbullet"/>
            </w:pPr>
            <w:r w:rsidRPr="008C69F9">
              <w:t xml:space="preserve">Payment discipline </w:t>
            </w:r>
            <w:r>
              <w:t xml:space="preserve">among public clients, </w:t>
            </w:r>
            <w:r w:rsidRPr="008C69F9">
              <w:t xml:space="preserve">adequate </w:t>
            </w:r>
            <w:r>
              <w:t xml:space="preserve">energy pricing and </w:t>
            </w:r>
            <w:r w:rsidRPr="008C69F9">
              <w:t>billing practice</w:t>
            </w:r>
            <w:r>
              <w:t>s</w:t>
            </w:r>
          </w:p>
        </w:tc>
        <w:tc>
          <w:tcPr>
            <w:tcW w:w="2429" w:type="dxa"/>
            <w:tcBorders>
              <w:bottom w:val="single" w:sz="4" w:space="0" w:color="000000"/>
            </w:tcBorders>
            <w:shd w:val="clear" w:color="auto" w:fill="C6D9F1"/>
          </w:tcPr>
          <w:p w14:paraId="4A2A56AB" w14:textId="77777777" w:rsidR="000C4AF6" w:rsidRDefault="000C4AF6" w:rsidP="000C4AF6">
            <w:pPr>
              <w:pStyle w:val="Tabletextbullet"/>
            </w:pPr>
            <w:r>
              <w:t xml:space="preserve">Streamlined repayments, lower repayment risk if risk of utility disconnection, </w:t>
            </w:r>
          </w:p>
          <w:p w14:paraId="554BB3B0" w14:textId="77777777" w:rsidR="000C4AF6" w:rsidRDefault="000C4AF6" w:rsidP="000C4AF6">
            <w:pPr>
              <w:pStyle w:val="Tabletextbullet"/>
            </w:pPr>
            <w:r>
              <w:t>B</w:t>
            </w:r>
            <w:r w:rsidRPr="008C69F9">
              <w:t>uilds off of utility relationships and services</w:t>
            </w:r>
          </w:p>
          <w:p w14:paraId="54395169" w14:textId="77777777" w:rsidR="000C4AF6" w:rsidRPr="004841E2" w:rsidRDefault="000C4AF6" w:rsidP="000C4AF6">
            <w:pPr>
              <w:pStyle w:val="Tabletextbullet"/>
            </w:pPr>
            <w:r>
              <w:t>Can be done on a sustainable and scalable basis</w:t>
            </w:r>
          </w:p>
        </w:tc>
        <w:tc>
          <w:tcPr>
            <w:tcW w:w="1961" w:type="dxa"/>
            <w:tcBorders>
              <w:bottom w:val="single" w:sz="4" w:space="0" w:color="000000"/>
            </w:tcBorders>
            <w:shd w:val="clear" w:color="auto" w:fill="C6D9F1"/>
          </w:tcPr>
          <w:p w14:paraId="35F50741" w14:textId="77777777" w:rsidR="000C4AF6" w:rsidRDefault="000C4AF6" w:rsidP="000C4AF6">
            <w:pPr>
              <w:pStyle w:val="Tabletextbullet"/>
            </w:pPr>
            <w:r w:rsidRPr="008C69F9">
              <w:t xml:space="preserve">Requires changes in utility </w:t>
            </w:r>
            <w:r>
              <w:t xml:space="preserve">regulations and </w:t>
            </w:r>
            <w:r w:rsidRPr="008C69F9">
              <w:t>billing systems</w:t>
            </w:r>
          </w:p>
          <w:p w14:paraId="142427DA" w14:textId="77777777" w:rsidR="000C4AF6" w:rsidRDefault="000C4AF6" w:rsidP="000C4AF6">
            <w:pPr>
              <w:pStyle w:val="Tabletextbullet"/>
            </w:pPr>
            <w:r>
              <w:t xml:space="preserve">Creates potential for monopolistic behaviors </w:t>
            </w:r>
          </w:p>
          <w:p w14:paraId="4A198480" w14:textId="77777777" w:rsidR="000C4AF6" w:rsidRDefault="000C4AF6" w:rsidP="000C4AF6">
            <w:pPr>
              <w:pStyle w:val="Tabletextbullet"/>
            </w:pPr>
            <w:r>
              <w:t xml:space="preserve">Financing may compete with local banks, </w:t>
            </w:r>
          </w:p>
          <w:p w14:paraId="4FFD0614" w14:textId="77777777" w:rsidR="000C4AF6" w:rsidRDefault="000C4AF6" w:rsidP="000C4AF6">
            <w:pPr>
              <w:pStyle w:val="Tabletextbullet"/>
            </w:pPr>
            <w:r>
              <w:t>Limited experience with heat utilities</w:t>
            </w:r>
          </w:p>
        </w:tc>
        <w:tc>
          <w:tcPr>
            <w:tcW w:w="1979" w:type="dxa"/>
            <w:tcBorders>
              <w:bottom w:val="single" w:sz="4" w:space="0" w:color="000000"/>
            </w:tcBorders>
            <w:shd w:val="clear" w:color="auto" w:fill="C6D9F1"/>
          </w:tcPr>
          <w:p w14:paraId="38DF1677" w14:textId="77777777" w:rsidR="000C4AF6" w:rsidRDefault="000C4AF6" w:rsidP="000C4AF6">
            <w:pPr>
              <w:pStyle w:val="Tabletextbullet"/>
            </w:pPr>
            <w:r>
              <w:t>Are utilities interested and willing?</w:t>
            </w:r>
          </w:p>
          <w:p w14:paraId="616DADF8" w14:textId="77777777" w:rsidR="000C4AF6" w:rsidRDefault="000C4AF6" w:rsidP="000C4AF6">
            <w:pPr>
              <w:pStyle w:val="Tabletextbullet"/>
            </w:pPr>
            <w:r>
              <w:t xml:space="preserve">Do they have capacity and billing systems for on-bill financing? </w:t>
            </w:r>
          </w:p>
          <w:p w14:paraId="47B7DBA9" w14:textId="77777777" w:rsidR="000C4AF6" w:rsidRPr="004841E2" w:rsidRDefault="000C4AF6" w:rsidP="000C4AF6">
            <w:pPr>
              <w:pStyle w:val="Tabletextbullet"/>
            </w:pPr>
            <w:r>
              <w:t>What regulatory changes may be needed?</w:t>
            </w:r>
          </w:p>
        </w:tc>
        <w:tc>
          <w:tcPr>
            <w:tcW w:w="2055" w:type="dxa"/>
            <w:tcBorders>
              <w:bottom w:val="single" w:sz="4" w:space="0" w:color="000000"/>
            </w:tcBorders>
            <w:shd w:val="clear" w:color="auto" w:fill="C6D9F1"/>
          </w:tcPr>
          <w:p w14:paraId="7372B0B1" w14:textId="77777777" w:rsidR="000C4AF6" w:rsidRDefault="000C4AF6" w:rsidP="000C4AF6">
            <w:pPr>
              <w:pStyle w:val="Tabletextbullet"/>
            </w:pPr>
            <w:r>
              <w:t>Brazil</w:t>
            </w:r>
          </w:p>
          <w:p w14:paraId="11F16F63" w14:textId="77777777" w:rsidR="000C4AF6" w:rsidRDefault="000C4AF6" w:rsidP="000C4AF6">
            <w:pPr>
              <w:pStyle w:val="Tabletextbullet"/>
            </w:pPr>
            <w:r>
              <w:t>China</w:t>
            </w:r>
          </w:p>
          <w:p w14:paraId="764AF0D1" w14:textId="77777777" w:rsidR="000C4AF6" w:rsidRDefault="000C4AF6" w:rsidP="000C4AF6">
            <w:pPr>
              <w:pStyle w:val="Tabletextbullet"/>
            </w:pPr>
            <w:r>
              <w:t>India</w:t>
            </w:r>
          </w:p>
          <w:p w14:paraId="3405898C" w14:textId="77777777" w:rsidR="000C4AF6" w:rsidRDefault="000C4AF6" w:rsidP="000C4AF6">
            <w:pPr>
              <w:pStyle w:val="Tabletextbullet"/>
            </w:pPr>
            <w:r>
              <w:t xml:space="preserve">Mexico </w:t>
            </w:r>
          </w:p>
          <w:p w14:paraId="537A9101" w14:textId="77777777" w:rsidR="000C4AF6" w:rsidRDefault="000C4AF6" w:rsidP="000C4AF6">
            <w:pPr>
              <w:pStyle w:val="Tabletextbullet"/>
            </w:pPr>
            <w:r>
              <w:t>Sri Lanka</w:t>
            </w:r>
          </w:p>
          <w:p w14:paraId="2019C8B4" w14:textId="77777777" w:rsidR="000C4AF6" w:rsidRDefault="000C4AF6" w:rsidP="000C4AF6">
            <w:pPr>
              <w:pStyle w:val="Tabletextbullet"/>
            </w:pPr>
            <w:r w:rsidRPr="008C69F9">
              <w:t>Tunisia</w:t>
            </w:r>
            <w:r>
              <w:t xml:space="preserve"> </w:t>
            </w:r>
          </w:p>
          <w:p w14:paraId="1835661A" w14:textId="77777777" w:rsidR="000C4AF6" w:rsidRDefault="000C4AF6" w:rsidP="000C4AF6">
            <w:pPr>
              <w:pStyle w:val="Tabletextbullet"/>
            </w:pPr>
            <w:r w:rsidRPr="008C69F9">
              <w:t>U</w:t>
            </w:r>
            <w:r>
              <w:t>.</w:t>
            </w:r>
            <w:r w:rsidRPr="008C69F9">
              <w:t>S</w:t>
            </w:r>
            <w:r>
              <w:t>.</w:t>
            </w:r>
          </w:p>
          <w:p w14:paraId="539ABC93" w14:textId="77777777" w:rsidR="000C4AF6" w:rsidRPr="004841E2" w:rsidRDefault="000C4AF6" w:rsidP="000C4AF6">
            <w:pPr>
              <w:pStyle w:val="Tabletextbullet"/>
            </w:pPr>
            <w:r>
              <w:t>Vietnam</w:t>
            </w:r>
          </w:p>
        </w:tc>
      </w:tr>
      <w:tr w:rsidR="000C4AF6" w:rsidRPr="00915820" w14:paraId="2903DD6C" w14:textId="77777777" w:rsidTr="0025402C">
        <w:trPr>
          <w:cantSplit/>
        </w:trPr>
        <w:tc>
          <w:tcPr>
            <w:tcW w:w="2497" w:type="dxa"/>
            <w:tcBorders>
              <w:bottom w:val="single" w:sz="4" w:space="0" w:color="000000"/>
            </w:tcBorders>
            <w:shd w:val="clear" w:color="auto" w:fill="C6D9F1"/>
          </w:tcPr>
          <w:p w14:paraId="4B0F6292" w14:textId="77777777" w:rsidR="000C4AF6" w:rsidRPr="00984F60" w:rsidRDefault="000C4AF6" w:rsidP="00ED6EDC">
            <w:pPr>
              <w:ind w:left="240" w:hanging="180"/>
              <w:jc w:val="left"/>
              <w:rPr>
                <w:sz w:val="22"/>
                <w:szCs w:val="22"/>
              </w:rPr>
            </w:pPr>
            <w:r>
              <w:rPr>
                <w:sz w:val="22"/>
                <w:szCs w:val="22"/>
              </w:rPr>
              <w:t>3</w:t>
            </w:r>
            <w:r w:rsidRPr="00984F60">
              <w:rPr>
                <w:sz w:val="22"/>
                <w:szCs w:val="22"/>
              </w:rPr>
              <w:t>. Energy efficiency revolving fund</w:t>
            </w:r>
          </w:p>
        </w:tc>
        <w:tc>
          <w:tcPr>
            <w:tcW w:w="3456" w:type="dxa"/>
            <w:tcBorders>
              <w:bottom w:val="single" w:sz="4" w:space="0" w:color="000000"/>
            </w:tcBorders>
            <w:shd w:val="clear" w:color="auto" w:fill="C6D9F1"/>
          </w:tcPr>
          <w:p w14:paraId="284568F6" w14:textId="77777777" w:rsidR="000C4AF6" w:rsidRPr="004841E2" w:rsidRDefault="000C4AF6" w:rsidP="000C4AF6">
            <w:pPr>
              <w:pStyle w:val="Tabletextbullet"/>
            </w:pPr>
            <w:r w:rsidRPr="004841E2">
              <w:t>Insufficient liquidity in banking sector, major aversion to risk among lenders</w:t>
            </w:r>
          </w:p>
          <w:p w14:paraId="09D86AC1" w14:textId="77777777" w:rsidR="000C4AF6" w:rsidRPr="004841E2" w:rsidRDefault="000C4AF6" w:rsidP="000C4AF6">
            <w:pPr>
              <w:pStyle w:val="Tabletextbullet"/>
            </w:pPr>
            <w:r w:rsidRPr="004841E2">
              <w:t>Use of grant funds as subordinated debt can help mobilize commercial co-financing</w:t>
            </w:r>
          </w:p>
          <w:p w14:paraId="4E84293B" w14:textId="77777777" w:rsidR="000C4AF6" w:rsidRPr="004841E2" w:rsidRDefault="000C4AF6" w:rsidP="000C4AF6">
            <w:pPr>
              <w:pStyle w:val="Tabletextbullet"/>
            </w:pPr>
            <w:r w:rsidRPr="004841E2">
              <w:t>TA to disseminate information on EE subproject performance/financial data critical to sustainability</w:t>
            </w:r>
          </w:p>
          <w:p w14:paraId="3F2EA256" w14:textId="77777777" w:rsidR="000C4AF6" w:rsidRPr="004841E2" w:rsidRDefault="000C4AF6" w:rsidP="000C4AF6">
            <w:pPr>
              <w:pStyle w:val="Tabletextbullet"/>
            </w:pPr>
            <w:r>
              <w:t>Need for p</w:t>
            </w:r>
            <w:r w:rsidRPr="004841E2">
              <w:t>rofessional, well-incentivized Fund Manage</w:t>
            </w:r>
            <w:r>
              <w:t>ment Team</w:t>
            </w:r>
          </w:p>
        </w:tc>
        <w:tc>
          <w:tcPr>
            <w:tcW w:w="2429" w:type="dxa"/>
            <w:tcBorders>
              <w:bottom w:val="single" w:sz="4" w:space="0" w:color="000000"/>
            </w:tcBorders>
            <w:shd w:val="clear" w:color="auto" w:fill="C6D9F1"/>
          </w:tcPr>
          <w:p w14:paraId="7B169847" w14:textId="77777777" w:rsidR="000C4AF6" w:rsidRDefault="000C4AF6" w:rsidP="000C4AF6">
            <w:pPr>
              <w:pStyle w:val="Tabletextbullet"/>
            </w:pPr>
            <w:r w:rsidRPr="004841E2">
              <w:t xml:space="preserve">Can be structured to address financing needs and evolving capacity of </w:t>
            </w:r>
            <w:r>
              <w:t>all public buildings (central and municipal)</w:t>
            </w:r>
          </w:p>
          <w:p w14:paraId="2CDCD03C" w14:textId="77777777" w:rsidR="000C4AF6" w:rsidRPr="004841E2" w:rsidRDefault="000C4AF6" w:rsidP="000C4AF6">
            <w:pPr>
              <w:pStyle w:val="Tabletextbullet"/>
            </w:pPr>
            <w:r>
              <w:t>ESA option can be very useful for municipalities with poor credit and lack of capacity</w:t>
            </w:r>
          </w:p>
        </w:tc>
        <w:tc>
          <w:tcPr>
            <w:tcW w:w="1961" w:type="dxa"/>
            <w:tcBorders>
              <w:bottom w:val="single" w:sz="4" w:space="0" w:color="000000"/>
            </w:tcBorders>
            <w:shd w:val="clear" w:color="auto" w:fill="C6D9F1"/>
          </w:tcPr>
          <w:p w14:paraId="2E2D4BC4" w14:textId="77777777" w:rsidR="000C4AF6" w:rsidRDefault="000C4AF6" w:rsidP="000C4AF6">
            <w:pPr>
              <w:pStyle w:val="Tabletextbullet"/>
            </w:pPr>
            <w:r>
              <w:t>May require new legislation</w:t>
            </w:r>
          </w:p>
          <w:p w14:paraId="1AC05A00" w14:textId="77777777" w:rsidR="000C4AF6" w:rsidRDefault="000C4AF6" w:rsidP="000C4AF6">
            <w:pPr>
              <w:pStyle w:val="Tabletextbullet"/>
            </w:pPr>
            <w:r>
              <w:t xml:space="preserve">May be difficult to cover administrative </w:t>
            </w:r>
            <w:r w:rsidRPr="004841E2">
              <w:t xml:space="preserve">costs of the </w:t>
            </w:r>
            <w:r w:rsidR="00B223C4">
              <w:t>f</w:t>
            </w:r>
            <w:r w:rsidR="00B223C4" w:rsidRPr="004841E2">
              <w:t xml:space="preserve">und </w:t>
            </w:r>
            <w:r w:rsidRPr="004841E2">
              <w:t>from its revenues</w:t>
            </w:r>
          </w:p>
          <w:p w14:paraId="60496387" w14:textId="77777777" w:rsidR="000C4AF6" w:rsidRPr="00C60111" w:rsidRDefault="000C4AF6" w:rsidP="000C4AF6">
            <w:pPr>
              <w:pStyle w:val="Tabletextbullet"/>
              <w:numPr>
                <w:ilvl w:val="0"/>
                <w:numId w:val="0"/>
              </w:numPr>
              <w:rPr>
                <w:b/>
                <w:bCs/>
                <w:color w:val="4F81BD"/>
                <w:szCs w:val="26"/>
              </w:rPr>
            </w:pPr>
          </w:p>
        </w:tc>
        <w:tc>
          <w:tcPr>
            <w:tcW w:w="1979" w:type="dxa"/>
            <w:tcBorders>
              <w:bottom w:val="single" w:sz="4" w:space="0" w:color="000000"/>
            </w:tcBorders>
            <w:shd w:val="clear" w:color="auto" w:fill="C6D9F1"/>
          </w:tcPr>
          <w:p w14:paraId="7A7C0E5A" w14:textId="77777777" w:rsidR="000C4AF6" w:rsidRDefault="000C4AF6" w:rsidP="000C4AF6">
            <w:pPr>
              <w:pStyle w:val="Tabletextbullet"/>
            </w:pPr>
            <w:r w:rsidRPr="004841E2">
              <w:t>Needs a strong</w:t>
            </w:r>
            <w:r>
              <w:t xml:space="preserve"> and capable </w:t>
            </w:r>
            <w:r w:rsidRPr="004841E2">
              <w:t>fund manager</w:t>
            </w:r>
            <w:r>
              <w:t xml:space="preserve"> or management team</w:t>
            </w:r>
          </w:p>
          <w:p w14:paraId="043F8A82" w14:textId="77777777" w:rsidR="000C4AF6" w:rsidRPr="004841E2" w:rsidRDefault="000C4AF6" w:rsidP="000C4AF6">
            <w:pPr>
              <w:pStyle w:val="Tabletextbullet"/>
            </w:pPr>
            <w:r>
              <w:t>Needs supporting legislative framework for establishment</w:t>
            </w:r>
          </w:p>
        </w:tc>
        <w:tc>
          <w:tcPr>
            <w:tcW w:w="2055" w:type="dxa"/>
            <w:tcBorders>
              <w:bottom w:val="single" w:sz="4" w:space="0" w:color="000000"/>
            </w:tcBorders>
            <w:shd w:val="clear" w:color="auto" w:fill="C6D9F1"/>
          </w:tcPr>
          <w:p w14:paraId="14B161CA" w14:textId="77777777" w:rsidR="000C4AF6" w:rsidRPr="004841E2" w:rsidRDefault="000C4AF6" w:rsidP="000C4AF6">
            <w:pPr>
              <w:pStyle w:val="Tabletextbullet"/>
            </w:pPr>
            <w:r w:rsidRPr="004841E2">
              <w:t xml:space="preserve">Bulgaria </w:t>
            </w:r>
          </w:p>
          <w:p w14:paraId="74013D93" w14:textId="77777777" w:rsidR="000C4AF6" w:rsidRPr="004841E2" w:rsidRDefault="000C4AF6" w:rsidP="000C4AF6">
            <w:pPr>
              <w:pStyle w:val="Tabletextbullet"/>
            </w:pPr>
            <w:r w:rsidRPr="004841E2">
              <w:t xml:space="preserve">Romania </w:t>
            </w:r>
          </w:p>
          <w:p w14:paraId="6EA41D45" w14:textId="77777777" w:rsidR="000C4AF6" w:rsidRPr="004841E2" w:rsidRDefault="000C4AF6" w:rsidP="000C4AF6">
            <w:pPr>
              <w:pStyle w:val="Tabletextbullet"/>
            </w:pPr>
            <w:r w:rsidRPr="004841E2">
              <w:t>Armenia</w:t>
            </w:r>
          </w:p>
        </w:tc>
      </w:tr>
      <w:tr w:rsidR="000C4AF6" w:rsidRPr="00915820" w14:paraId="26FDCE6E" w14:textId="77777777" w:rsidTr="0025402C">
        <w:trPr>
          <w:cantSplit/>
        </w:trPr>
        <w:tc>
          <w:tcPr>
            <w:tcW w:w="2497" w:type="dxa"/>
            <w:shd w:val="clear" w:color="auto" w:fill="C6D9F1"/>
          </w:tcPr>
          <w:p w14:paraId="14524DBB" w14:textId="77777777" w:rsidR="000C4AF6" w:rsidRPr="00984F60" w:rsidRDefault="000C4AF6" w:rsidP="00ED6EDC">
            <w:pPr>
              <w:ind w:left="240" w:hanging="180"/>
              <w:jc w:val="left"/>
              <w:rPr>
                <w:sz w:val="22"/>
                <w:szCs w:val="22"/>
              </w:rPr>
            </w:pPr>
            <w:r>
              <w:rPr>
                <w:sz w:val="22"/>
                <w:szCs w:val="22"/>
              </w:rPr>
              <w:t>4. Dedicated credit line with development bank</w:t>
            </w:r>
          </w:p>
        </w:tc>
        <w:tc>
          <w:tcPr>
            <w:tcW w:w="3456" w:type="dxa"/>
            <w:shd w:val="clear" w:color="auto" w:fill="C6D9F1"/>
          </w:tcPr>
          <w:p w14:paraId="347CBC13" w14:textId="77777777" w:rsidR="000C4AF6" w:rsidRDefault="000C4AF6" w:rsidP="000C4AF6">
            <w:pPr>
              <w:pStyle w:val="Tabletextbullet"/>
            </w:pPr>
            <w:r>
              <w:t>Underdeveloped public/ municipal credit market</w:t>
            </w:r>
          </w:p>
          <w:p w14:paraId="30480722" w14:textId="77777777" w:rsidR="000C4AF6" w:rsidRDefault="000C4AF6" w:rsidP="000C4AF6">
            <w:pPr>
              <w:pStyle w:val="Tabletextbullet"/>
            </w:pPr>
            <w:r>
              <w:t>High commercial bank lending rates and low tenors</w:t>
            </w:r>
          </w:p>
          <w:p w14:paraId="56468236" w14:textId="77777777" w:rsidR="000C4AF6" w:rsidRDefault="000C4AF6" w:rsidP="000C4AF6">
            <w:pPr>
              <w:pStyle w:val="Tabletextbullet"/>
            </w:pPr>
            <w:r w:rsidRPr="007D7456">
              <w:t xml:space="preserve">Existence of </w:t>
            </w:r>
            <w:r>
              <w:t xml:space="preserve">credible development </w:t>
            </w:r>
            <w:r w:rsidRPr="007D7456">
              <w:t xml:space="preserve">bank </w:t>
            </w:r>
            <w:r>
              <w:t>willing to lend for EE and assume repayment risks</w:t>
            </w:r>
          </w:p>
          <w:p w14:paraId="69FE29CE" w14:textId="77777777" w:rsidR="000C4AF6" w:rsidRDefault="000C4AF6" w:rsidP="000C4AF6">
            <w:pPr>
              <w:pStyle w:val="Tabletextbullet"/>
            </w:pPr>
            <w:r w:rsidRPr="00E10FF7">
              <w:t>Municipalities must have ability and willingness to borrow</w:t>
            </w:r>
          </w:p>
          <w:p w14:paraId="5696BC05" w14:textId="77777777" w:rsidR="000C4AF6" w:rsidRPr="004841E2" w:rsidRDefault="000C4AF6" w:rsidP="000C4AF6">
            <w:pPr>
              <w:pStyle w:val="Tabletextbullet"/>
            </w:pPr>
            <w:r>
              <w:t>Public agencies able to retain energy cost savings</w:t>
            </w:r>
          </w:p>
        </w:tc>
        <w:tc>
          <w:tcPr>
            <w:tcW w:w="2429" w:type="dxa"/>
            <w:shd w:val="clear" w:color="auto" w:fill="C6D9F1"/>
          </w:tcPr>
          <w:p w14:paraId="6FB7F324" w14:textId="77777777" w:rsidR="000C4AF6" w:rsidRPr="00A315A6" w:rsidRDefault="000C4AF6" w:rsidP="000C4AF6">
            <w:pPr>
              <w:pStyle w:val="Tabletextbullet"/>
            </w:pPr>
            <w:r>
              <w:rPr>
                <w:szCs w:val="18"/>
              </w:rPr>
              <w:t>Builds commercial lending market by demonstrating public agencies can repay</w:t>
            </w:r>
          </w:p>
          <w:p w14:paraId="7EF7986C" w14:textId="77777777" w:rsidR="000C4AF6" w:rsidRPr="00A315A6" w:rsidRDefault="000C4AF6" w:rsidP="000C4AF6">
            <w:pPr>
              <w:pStyle w:val="Tabletextbullet"/>
            </w:pPr>
            <w:r>
              <w:rPr>
                <w:szCs w:val="18"/>
              </w:rPr>
              <w:t xml:space="preserve">Allows public agencies to undertake own procurement and implementation </w:t>
            </w:r>
          </w:p>
          <w:p w14:paraId="7B9F5A3F" w14:textId="77777777" w:rsidR="000C4AF6" w:rsidRPr="00A315A6" w:rsidRDefault="000C4AF6" w:rsidP="000C4AF6">
            <w:pPr>
              <w:pStyle w:val="Tabletextbullet"/>
            </w:pPr>
            <w:r>
              <w:rPr>
                <w:szCs w:val="18"/>
              </w:rPr>
              <w:t>Allows for lower interest rates</w:t>
            </w:r>
          </w:p>
          <w:p w14:paraId="2B561C32" w14:textId="77777777" w:rsidR="000C4AF6" w:rsidRPr="004841E2" w:rsidRDefault="000C4AF6" w:rsidP="000C4AF6">
            <w:pPr>
              <w:pStyle w:val="Tabletextbullet"/>
            </w:pPr>
            <w:r>
              <w:rPr>
                <w:szCs w:val="18"/>
              </w:rPr>
              <w:t>Funds can revolve making it more sustainable</w:t>
            </w:r>
          </w:p>
        </w:tc>
        <w:tc>
          <w:tcPr>
            <w:tcW w:w="1961" w:type="dxa"/>
            <w:shd w:val="clear" w:color="auto" w:fill="C6D9F1"/>
          </w:tcPr>
          <w:p w14:paraId="21848701" w14:textId="77777777" w:rsidR="000C4AF6" w:rsidRPr="00A315A6" w:rsidRDefault="000C4AF6" w:rsidP="000C4AF6">
            <w:pPr>
              <w:pStyle w:val="Tabletextbullet"/>
            </w:pPr>
            <w:r w:rsidRPr="007D7456">
              <w:rPr>
                <w:szCs w:val="18"/>
              </w:rPr>
              <w:t xml:space="preserve">Relies on </w:t>
            </w:r>
            <w:r>
              <w:rPr>
                <w:szCs w:val="18"/>
              </w:rPr>
              <w:t xml:space="preserve">strong </w:t>
            </w:r>
            <w:r w:rsidRPr="007D7456">
              <w:rPr>
                <w:szCs w:val="18"/>
              </w:rPr>
              <w:t>banking partner</w:t>
            </w:r>
            <w:r>
              <w:rPr>
                <w:szCs w:val="18"/>
              </w:rPr>
              <w:t xml:space="preserve"> with incentive and ability to proactively develop pipeline and offer good financial products</w:t>
            </w:r>
          </w:p>
          <w:p w14:paraId="743BE6DC" w14:textId="77777777" w:rsidR="000C4AF6" w:rsidRPr="00A315A6" w:rsidRDefault="000C4AF6" w:rsidP="000C4AF6">
            <w:pPr>
              <w:pStyle w:val="Tabletextbullet"/>
            </w:pPr>
            <w:r>
              <w:rPr>
                <w:szCs w:val="18"/>
              </w:rPr>
              <w:t>Serves only creditworthy municipalities</w:t>
            </w:r>
          </w:p>
          <w:p w14:paraId="39147A49" w14:textId="77777777" w:rsidR="000C4AF6" w:rsidRPr="004841E2" w:rsidRDefault="000C4AF6" w:rsidP="000C4AF6">
            <w:pPr>
              <w:pStyle w:val="Tabletextbullet"/>
            </w:pPr>
            <w:r>
              <w:rPr>
                <w:szCs w:val="18"/>
              </w:rPr>
              <w:t xml:space="preserve">Some development banks do not conduct proper risk assessments and appraisals </w:t>
            </w:r>
          </w:p>
        </w:tc>
        <w:tc>
          <w:tcPr>
            <w:tcW w:w="1979" w:type="dxa"/>
            <w:shd w:val="clear" w:color="auto" w:fill="C6D9F1"/>
          </w:tcPr>
          <w:p w14:paraId="61A41FCE" w14:textId="77777777" w:rsidR="000C4AF6" w:rsidRDefault="000C4AF6" w:rsidP="000C4AF6">
            <w:pPr>
              <w:pStyle w:val="Tabletextbullet"/>
            </w:pPr>
            <w:r>
              <w:t>Is there a suitable development bank?</w:t>
            </w:r>
          </w:p>
          <w:p w14:paraId="70650124" w14:textId="77777777" w:rsidR="000C4AF6" w:rsidRDefault="000C4AF6" w:rsidP="000C4AF6">
            <w:pPr>
              <w:pStyle w:val="Tabletextbullet"/>
            </w:pPr>
            <w:r>
              <w:t>How many public agencies can borrow and are creditworthy</w:t>
            </w:r>
          </w:p>
        </w:tc>
        <w:tc>
          <w:tcPr>
            <w:tcW w:w="2055" w:type="dxa"/>
            <w:shd w:val="clear" w:color="auto" w:fill="C6D9F1"/>
          </w:tcPr>
          <w:p w14:paraId="6DE9C414" w14:textId="77777777" w:rsidR="000C4AF6" w:rsidRPr="00A315A6" w:rsidRDefault="000C4AF6" w:rsidP="000C4AF6">
            <w:pPr>
              <w:pStyle w:val="Tabletextbullet"/>
            </w:pPr>
            <w:r>
              <w:rPr>
                <w:szCs w:val="18"/>
              </w:rPr>
              <w:t>Brazil</w:t>
            </w:r>
          </w:p>
          <w:p w14:paraId="3C1412CD" w14:textId="77777777" w:rsidR="000C4AF6" w:rsidRPr="00A315A6" w:rsidRDefault="000C4AF6" w:rsidP="000C4AF6">
            <w:pPr>
              <w:pStyle w:val="Tabletextbullet"/>
            </w:pPr>
            <w:r>
              <w:rPr>
                <w:szCs w:val="18"/>
              </w:rPr>
              <w:t>India (municipal infrastructure fund)</w:t>
            </w:r>
          </w:p>
          <w:p w14:paraId="69220CB9" w14:textId="77777777" w:rsidR="000C4AF6" w:rsidRPr="00A315A6" w:rsidRDefault="000C4AF6" w:rsidP="000C4AF6">
            <w:pPr>
              <w:pStyle w:val="Tabletextbullet"/>
            </w:pPr>
            <w:r>
              <w:rPr>
                <w:szCs w:val="18"/>
              </w:rPr>
              <w:t xml:space="preserve">Mexico </w:t>
            </w:r>
          </w:p>
          <w:p w14:paraId="5A4F15A2" w14:textId="77777777" w:rsidR="000C4AF6" w:rsidRPr="004841E2" w:rsidRDefault="000C4AF6" w:rsidP="0025402C">
            <w:pPr>
              <w:pStyle w:val="Tabletextbullet"/>
              <w:numPr>
                <w:ilvl w:val="0"/>
                <w:numId w:val="0"/>
              </w:numPr>
            </w:pPr>
          </w:p>
        </w:tc>
      </w:tr>
      <w:tr w:rsidR="000C4AF6" w:rsidRPr="00915820" w14:paraId="688B0697" w14:textId="77777777" w:rsidTr="0025402C">
        <w:trPr>
          <w:cantSplit/>
        </w:trPr>
        <w:tc>
          <w:tcPr>
            <w:tcW w:w="2497" w:type="dxa"/>
            <w:shd w:val="clear" w:color="auto" w:fill="C6D9F1"/>
          </w:tcPr>
          <w:p w14:paraId="71E51EFC" w14:textId="77777777" w:rsidR="000C4AF6" w:rsidRPr="00984F60" w:rsidRDefault="000C4AF6" w:rsidP="00ED6EDC">
            <w:pPr>
              <w:ind w:left="240" w:hanging="180"/>
              <w:jc w:val="left"/>
              <w:rPr>
                <w:sz w:val="22"/>
                <w:szCs w:val="22"/>
              </w:rPr>
            </w:pPr>
            <w:r>
              <w:rPr>
                <w:sz w:val="22"/>
                <w:szCs w:val="22"/>
              </w:rPr>
              <w:t>5</w:t>
            </w:r>
            <w:r w:rsidRPr="00984F60">
              <w:rPr>
                <w:sz w:val="22"/>
                <w:szCs w:val="22"/>
              </w:rPr>
              <w:t xml:space="preserve">. Dedicated EE credit line with commercial financial institution(s) </w:t>
            </w:r>
          </w:p>
        </w:tc>
        <w:tc>
          <w:tcPr>
            <w:tcW w:w="3456" w:type="dxa"/>
            <w:shd w:val="clear" w:color="auto" w:fill="C6D9F1"/>
          </w:tcPr>
          <w:p w14:paraId="7DE29F41" w14:textId="77777777" w:rsidR="000C4AF6" w:rsidRDefault="000C4AF6" w:rsidP="000C4AF6">
            <w:pPr>
              <w:pStyle w:val="Tabletextbullet"/>
            </w:pPr>
            <w:r w:rsidRPr="004841E2">
              <w:t>Well-developed banking sector,</w:t>
            </w:r>
            <w:r>
              <w:t xml:space="preserve"> willingness of </w:t>
            </w:r>
            <w:r w:rsidRPr="004841E2">
              <w:t>banks to accept ri</w:t>
            </w:r>
            <w:r>
              <w:t>sks and EE as line of business</w:t>
            </w:r>
          </w:p>
          <w:p w14:paraId="7A048E99" w14:textId="77777777" w:rsidR="000C4AF6" w:rsidRDefault="000C4AF6" w:rsidP="000C4AF6">
            <w:pPr>
              <w:pStyle w:val="Tabletextbullet"/>
            </w:pPr>
            <w:r>
              <w:t>S</w:t>
            </w:r>
            <w:r w:rsidRPr="004841E2">
              <w:t>ufficient market activity to develop project pipeline</w:t>
            </w:r>
          </w:p>
          <w:p w14:paraId="1BDF8BE1" w14:textId="77777777" w:rsidR="000C4AF6" w:rsidRPr="004841E2" w:rsidRDefault="000C4AF6" w:rsidP="000C4AF6">
            <w:pPr>
              <w:pStyle w:val="Tabletextbullet"/>
            </w:pPr>
            <w:r w:rsidRPr="004841E2">
              <w:t>Need for parallel TA to develop strong demand, create sustained quality pipeline</w:t>
            </w:r>
          </w:p>
        </w:tc>
        <w:tc>
          <w:tcPr>
            <w:tcW w:w="2429" w:type="dxa"/>
            <w:shd w:val="clear" w:color="auto" w:fill="C6D9F1"/>
          </w:tcPr>
          <w:p w14:paraId="6A05F9CC" w14:textId="77777777" w:rsidR="000C4AF6" w:rsidRDefault="000C4AF6" w:rsidP="000C4AF6">
            <w:pPr>
              <w:pStyle w:val="Tabletextbullet"/>
            </w:pPr>
            <w:r w:rsidRPr="004841E2">
              <w:t>Leveraging of private funds</w:t>
            </w:r>
          </w:p>
          <w:p w14:paraId="024CF6C2" w14:textId="77777777" w:rsidR="000C4AF6" w:rsidRPr="004841E2" w:rsidRDefault="000C4AF6" w:rsidP="000C4AF6">
            <w:pPr>
              <w:pStyle w:val="Tabletextbullet"/>
            </w:pPr>
            <w:r>
              <w:t>Utilization of existing banking infrastructure for financing public sector</w:t>
            </w:r>
          </w:p>
        </w:tc>
        <w:tc>
          <w:tcPr>
            <w:tcW w:w="1961" w:type="dxa"/>
            <w:shd w:val="clear" w:color="auto" w:fill="C6D9F1"/>
          </w:tcPr>
          <w:p w14:paraId="5DA31650" w14:textId="77777777" w:rsidR="000C4AF6" w:rsidRDefault="000C4AF6" w:rsidP="000C4AF6">
            <w:pPr>
              <w:pStyle w:val="Tabletextbullet"/>
            </w:pPr>
            <w:r w:rsidRPr="004841E2">
              <w:t xml:space="preserve">Needs municipalities or ESCOs that have borrowing capacity </w:t>
            </w:r>
            <w:r>
              <w:t>(credit and collateral)</w:t>
            </w:r>
          </w:p>
          <w:p w14:paraId="549BF0DA" w14:textId="77777777" w:rsidR="000C4AF6" w:rsidRPr="004841E2" w:rsidRDefault="000C4AF6" w:rsidP="000C4AF6">
            <w:pPr>
              <w:pStyle w:val="Tabletextbullet"/>
            </w:pPr>
            <w:r>
              <w:t>Banks/FIs need to be willing to lend to public sector</w:t>
            </w:r>
          </w:p>
        </w:tc>
        <w:tc>
          <w:tcPr>
            <w:tcW w:w="1979" w:type="dxa"/>
            <w:shd w:val="clear" w:color="auto" w:fill="C6D9F1"/>
          </w:tcPr>
          <w:p w14:paraId="7D73BA5A" w14:textId="77777777" w:rsidR="000C4AF6" w:rsidRDefault="000C4AF6" w:rsidP="000C4AF6">
            <w:pPr>
              <w:pStyle w:val="Tabletextbullet"/>
            </w:pPr>
            <w:r>
              <w:t xml:space="preserve">Will the participating financial institutions provide loans to municipal utilities &amp; public agencies? </w:t>
            </w:r>
          </w:p>
          <w:p w14:paraId="5BC102C2" w14:textId="77777777" w:rsidR="000C4AF6" w:rsidRPr="004841E2" w:rsidRDefault="000C4AF6" w:rsidP="000C4AF6">
            <w:pPr>
              <w:pStyle w:val="Tabletextbullet"/>
            </w:pPr>
            <w:r>
              <w:t>How many public agencies are creditworthy and have borrowing capacity?</w:t>
            </w:r>
          </w:p>
        </w:tc>
        <w:tc>
          <w:tcPr>
            <w:tcW w:w="2055" w:type="dxa"/>
            <w:shd w:val="clear" w:color="auto" w:fill="C6D9F1"/>
          </w:tcPr>
          <w:p w14:paraId="1693B441" w14:textId="77777777" w:rsidR="000C4AF6" w:rsidRPr="004841E2" w:rsidRDefault="000C4AF6" w:rsidP="000C4AF6">
            <w:pPr>
              <w:pStyle w:val="Tabletextbullet"/>
            </w:pPr>
            <w:r w:rsidRPr="004841E2">
              <w:t xml:space="preserve">KfW </w:t>
            </w:r>
            <w:r w:rsidR="00F554DC">
              <w:t>(</w:t>
            </w:r>
            <w:r w:rsidRPr="004841E2">
              <w:t>credit line in Serbia</w:t>
            </w:r>
            <w:r w:rsidR="00F554DC">
              <w:t>)</w:t>
            </w:r>
          </w:p>
          <w:p w14:paraId="3B76EB0B" w14:textId="77777777" w:rsidR="000C4AF6" w:rsidRPr="004841E2" w:rsidRDefault="000C4AF6" w:rsidP="000C4AF6">
            <w:pPr>
              <w:pStyle w:val="Tabletextbullet"/>
            </w:pPr>
            <w:r w:rsidRPr="004841E2">
              <w:t>Hungary</w:t>
            </w:r>
          </w:p>
          <w:p w14:paraId="5C23DF22" w14:textId="77777777" w:rsidR="000C4AF6" w:rsidRDefault="000C4AF6" w:rsidP="000C4AF6">
            <w:pPr>
              <w:pStyle w:val="Tabletextbullet"/>
            </w:pPr>
            <w:r w:rsidRPr="004841E2">
              <w:t>China</w:t>
            </w:r>
          </w:p>
          <w:p w14:paraId="673408E5" w14:textId="77777777" w:rsidR="000C4AF6" w:rsidRDefault="000C4AF6" w:rsidP="000C4AF6">
            <w:pPr>
              <w:pStyle w:val="Tabletextbullet"/>
            </w:pPr>
            <w:r w:rsidRPr="004841E2">
              <w:t>Ukraine</w:t>
            </w:r>
            <w:r>
              <w:t xml:space="preserve"> </w:t>
            </w:r>
          </w:p>
          <w:p w14:paraId="52462876" w14:textId="77777777" w:rsidR="000C4AF6" w:rsidRPr="004841E2" w:rsidRDefault="000C4AF6" w:rsidP="000C4AF6">
            <w:pPr>
              <w:pStyle w:val="Tabletextbullet"/>
            </w:pPr>
            <w:r w:rsidRPr="004841E2">
              <w:t>Uzbekistan</w:t>
            </w:r>
          </w:p>
        </w:tc>
      </w:tr>
      <w:tr w:rsidR="000C4AF6" w:rsidRPr="00915820" w14:paraId="2F09154B" w14:textId="77777777" w:rsidTr="0025402C">
        <w:trPr>
          <w:cantSplit/>
        </w:trPr>
        <w:tc>
          <w:tcPr>
            <w:tcW w:w="2497" w:type="dxa"/>
            <w:shd w:val="clear" w:color="auto" w:fill="C6D9F1"/>
          </w:tcPr>
          <w:p w14:paraId="3888B2E3" w14:textId="77777777" w:rsidR="000C4AF6" w:rsidRPr="00984F60" w:rsidRDefault="000C4AF6" w:rsidP="00ED6EDC">
            <w:pPr>
              <w:ind w:left="240" w:hanging="180"/>
              <w:jc w:val="left"/>
              <w:rPr>
                <w:color w:val="000000" w:themeColor="text1"/>
                <w:sz w:val="22"/>
                <w:szCs w:val="22"/>
              </w:rPr>
            </w:pPr>
            <w:r>
              <w:rPr>
                <w:sz w:val="22"/>
                <w:szCs w:val="22"/>
              </w:rPr>
              <w:t>6</w:t>
            </w:r>
            <w:r w:rsidRPr="00984F60">
              <w:rPr>
                <w:sz w:val="22"/>
                <w:szCs w:val="22"/>
              </w:rPr>
              <w:t>. Risk-sharing program (such as partial credit guarantee)</w:t>
            </w:r>
          </w:p>
        </w:tc>
        <w:tc>
          <w:tcPr>
            <w:tcW w:w="3456" w:type="dxa"/>
            <w:shd w:val="clear" w:color="auto" w:fill="C6D9F1"/>
          </w:tcPr>
          <w:p w14:paraId="6F4374BF" w14:textId="77777777" w:rsidR="000C4AF6" w:rsidRDefault="000C4AF6" w:rsidP="000C4AF6">
            <w:pPr>
              <w:pStyle w:val="Tabletextbullet"/>
            </w:pPr>
            <w:r w:rsidRPr="004841E2">
              <w:t>Well-developed banking sector, banks are liquid a</w:t>
            </w:r>
            <w:r>
              <w:t>nd willing to accept some risks but have a perception of high risk with respect to EE projects</w:t>
            </w:r>
          </w:p>
          <w:p w14:paraId="09E2ABC4" w14:textId="77777777" w:rsidR="000C4AF6" w:rsidRPr="004841E2" w:rsidRDefault="000C4AF6" w:rsidP="000C4AF6">
            <w:pPr>
              <w:pStyle w:val="Tabletextbullet"/>
            </w:pPr>
            <w:r>
              <w:t>S</w:t>
            </w:r>
            <w:r w:rsidRPr="004841E2">
              <w:t>ufficient market activity to develop project pipeline</w:t>
            </w:r>
          </w:p>
          <w:p w14:paraId="57E432BA" w14:textId="77777777" w:rsidR="000C4AF6" w:rsidRDefault="000C4AF6" w:rsidP="000C4AF6">
            <w:pPr>
              <w:pStyle w:val="Tabletextbullet"/>
              <w:numPr>
                <w:ilvl w:val="0"/>
                <w:numId w:val="0"/>
              </w:numPr>
              <w:ind w:left="158"/>
            </w:pPr>
          </w:p>
        </w:tc>
        <w:tc>
          <w:tcPr>
            <w:tcW w:w="2429" w:type="dxa"/>
            <w:shd w:val="clear" w:color="auto" w:fill="C6D9F1"/>
          </w:tcPr>
          <w:p w14:paraId="687AF012" w14:textId="77777777" w:rsidR="000C4AF6" w:rsidRPr="004841E2" w:rsidRDefault="000C4AF6" w:rsidP="000C4AF6">
            <w:pPr>
              <w:pStyle w:val="Tabletextbullet"/>
            </w:pPr>
            <w:r w:rsidRPr="004841E2">
              <w:t>Has worked well in some Central and Eastern European countries</w:t>
            </w:r>
          </w:p>
          <w:p w14:paraId="4F58CEF6" w14:textId="77777777" w:rsidR="000C4AF6" w:rsidRPr="004841E2" w:rsidRDefault="000C4AF6" w:rsidP="000C4AF6">
            <w:pPr>
              <w:pStyle w:val="Tabletextbullet"/>
            </w:pPr>
            <w:r w:rsidRPr="004841E2">
              <w:t>May scale up commercial financing</w:t>
            </w:r>
          </w:p>
        </w:tc>
        <w:tc>
          <w:tcPr>
            <w:tcW w:w="1961" w:type="dxa"/>
            <w:shd w:val="clear" w:color="auto" w:fill="C6D9F1"/>
          </w:tcPr>
          <w:p w14:paraId="1D0886D7" w14:textId="77777777" w:rsidR="000C4AF6" w:rsidRPr="004841E2" w:rsidRDefault="000C4AF6" w:rsidP="000C4AF6">
            <w:pPr>
              <w:pStyle w:val="Tabletextbullet"/>
            </w:pPr>
            <w:r w:rsidRPr="004841E2">
              <w:t>Needs a relatively mature banking sector and eligible borrowers</w:t>
            </w:r>
          </w:p>
          <w:p w14:paraId="6B29A6EB" w14:textId="77777777" w:rsidR="000C4AF6" w:rsidRPr="004841E2" w:rsidRDefault="000C4AF6" w:rsidP="000C4AF6">
            <w:pPr>
              <w:pStyle w:val="Tabletextbullet"/>
            </w:pPr>
            <w:r w:rsidRPr="004841E2">
              <w:t>Poor experience of WB</w:t>
            </w:r>
            <w:r>
              <w:t xml:space="preserve"> and USAID </w:t>
            </w:r>
            <w:r w:rsidRPr="004841E2">
              <w:t>in some countries</w:t>
            </w:r>
            <w:r>
              <w:t xml:space="preserve"> with respect to public agencies</w:t>
            </w:r>
          </w:p>
        </w:tc>
        <w:tc>
          <w:tcPr>
            <w:tcW w:w="1979" w:type="dxa"/>
            <w:shd w:val="clear" w:color="auto" w:fill="C6D9F1"/>
          </w:tcPr>
          <w:p w14:paraId="37F563C8" w14:textId="77777777" w:rsidR="000C4AF6" w:rsidRDefault="000C4AF6" w:rsidP="000C4AF6">
            <w:pPr>
              <w:pStyle w:val="Tabletextbullet"/>
            </w:pPr>
            <w:r w:rsidRPr="004841E2">
              <w:t>Is the banking sector mature enough</w:t>
            </w:r>
            <w:r>
              <w:t>?</w:t>
            </w:r>
          </w:p>
          <w:p w14:paraId="5C01C466" w14:textId="77777777" w:rsidR="000C4AF6" w:rsidRPr="004841E2" w:rsidRDefault="000C4AF6" w:rsidP="000C4AF6">
            <w:pPr>
              <w:pStyle w:val="Tabletextbullet"/>
            </w:pPr>
            <w:r>
              <w:t>How many municipalities are creditworthy?</w:t>
            </w:r>
          </w:p>
        </w:tc>
        <w:tc>
          <w:tcPr>
            <w:tcW w:w="2055" w:type="dxa"/>
            <w:shd w:val="clear" w:color="auto" w:fill="C6D9F1"/>
          </w:tcPr>
          <w:p w14:paraId="4AD8679A" w14:textId="77777777" w:rsidR="000C4AF6" w:rsidRPr="004841E2" w:rsidRDefault="000C4AF6" w:rsidP="000C4AF6">
            <w:pPr>
              <w:pStyle w:val="Tabletextbullet"/>
            </w:pPr>
            <w:r>
              <w:t xml:space="preserve">USAID </w:t>
            </w:r>
            <w:r w:rsidRPr="004841E2">
              <w:t xml:space="preserve">DCA in FYR Macedonia, Bulgaria and other countries </w:t>
            </w:r>
          </w:p>
          <w:p w14:paraId="6B0B6405" w14:textId="77777777" w:rsidR="000C4AF6" w:rsidRPr="004841E2" w:rsidRDefault="000C4AF6" w:rsidP="000C4AF6">
            <w:pPr>
              <w:pStyle w:val="Tabletextbullet"/>
            </w:pPr>
            <w:r w:rsidRPr="004841E2">
              <w:t>Bulgaria, CEEF (</w:t>
            </w:r>
            <w:r>
              <w:t>Central/Eastern Europe), China, Croatia, Hungary</w:t>
            </w:r>
            <w:r w:rsidRPr="004841E2">
              <w:t>, Poland</w:t>
            </w:r>
          </w:p>
        </w:tc>
      </w:tr>
      <w:tr w:rsidR="000C4AF6" w:rsidRPr="00915820" w14:paraId="7B376D77" w14:textId="77777777" w:rsidTr="0025402C">
        <w:trPr>
          <w:cantSplit/>
        </w:trPr>
        <w:tc>
          <w:tcPr>
            <w:tcW w:w="2497" w:type="dxa"/>
            <w:shd w:val="clear" w:color="auto" w:fill="C6D9F1"/>
          </w:tcPr>
          <w:p w14:paraId="0A82B34B" w14:textId="77777777" w:rsidR="000C4AF6" w:rsidRPr="00984F60" w:rsidRDefault="000C4AF6" w:rsidP="00ED6EDC">
            <w:pPr>
              <w:ind w:left="240" w:hanging="180"/>
              <w:jc w:val="left"/>
              <w:rPr>
                <w:color w:val="000000" w:themeColor="text1"/>
                <w:sz w:val="22"/>
                <w:szCs w:val="22"/>
              </w:rPr>
            </w:pPr>
            <w:r>
              <w:rPr>
                <w:color w:val="000000" w:themeColor="text1"/>
                <w:sz w:val="22"/>
                <w:szCs w:val="22"/>
              </w:rPr>
              <w:t>7</w:t>
            </w:r>
            <w:r w:rsidRPr="00984F60">
              <w:rPr>
                <w:color w:val="000000" w:themeColor="text1"/>
                <w:sz w:val="22"/>
                <w:szCs w:val="22"/>
              </w:rPr>
              <w:t>. Public ESCO or super ESCO</w:t>
            </w:r>
          </w:p>
        </w:tc>
        <w:tc>
          <w:tcPr>
            <w:tcW w:w="3456" w:type="dxa"/>
            <w:shd w:val="clear" w:color="auto" w:fill="C6D9F1"/>
          </w:tcPr>
          <w:p w14:paraId="5324FDF1" w14:textId="77777777" w:rsidR="000C4AF6" w:rsidRPr="004841E2" w:rsidRDefault="000C4AF6" w:rsidP="000C4AF6">
            <w:pPr>
              <w:pStyle w:val="Tabletextbullet"/>
            </w:pPr>
            <w:r>
              <w:t>Immature</w:t>
            </w:r>
            <w:r w:rsidRPr="004841E2">
              <w:t xml:space="preserve"> private sector ESCO industry, but interest/demand to develop ESCO industry </w:t>
            </w:r>
          </w:p>
          <w:p w14:paraId="4D2EDB25" w14:textId="77777777" w:rsidR="000C4AF6" w:rsidRPr="004841E2" w:rsidRDefault="000C4AF6" w:rsidP="000C4AF6">
            <w:pPr>
              <w:pStyle w:val="Tabletextbullet"/>
            </w:pPr>
            <w:r w:rsidRPr="004841E2">
              <w:t xml:space="preserve">Contracting between public ESCO and public sector </w:t>
            </w:r>
            <w:r>
              <w:t>entities</w:t>
            </w:r>
            <w:r w:rsidRPr="004841E2">
              <w:t xml:space="preserve"> may be easier than with private sector service providers</w:t>
            </w:r>
          </w:p>
        </w:tc>
        <w:tc>
          <w:tcPr>
            <w:tcW w:w="2429" w:type="dxa"/>
            <w:shd w:val="clear" w:color="auto" w:fill="C6D9F1"/>
          </w:tcPr>
          <w:p w14:paraId="1999F70E" w14:textId="77777777" w:rsidR="000C4AF6" w:rsidRPr="004841E2" w:rsidRDefault="000C4AF6" w:rsidP="000C4AF6">
            <w:pPr>
              <w:pStyle w:val="Tabletextbullet"/>
            </w:pPr>
            <w:r w:rsidRPr="004841E2">
              <w:t xml:space="preserve">Can address </w:t>
            </w:r>
            <w:r>
              <w:t>f</w:t>
            </w:r>
            <w:r w:rsidRPr="004841E2">
              <w:t xml:space="preserve">inancing issues and build ESCO capacity </w:t>
            </w:r>
          </w:p>
        </w:tc>
        <w:tc>
          <w:tcPr>
            <w:tcW w:w="1961" w:type="dxa"/>
            <w:shd w:val="clear" w:color="auto" w:fill="C6D9F1"/>
          </w:tcPr>
          <w:p w14:paraId="42A79B0B" w14:textId="77777777" w:rsidR="000C4AF6" w:rsidRPr="004841E2" w:rsidRDefault="000C4AF6" w:rsidP="000C4AF6">
            <w:pPr>
              <w:pStyle w:val="Tabletextbullet"/>
            </w:pPr>
            <w:r w:rsidRPr="004841E2">
              <w:t xml:space="preserve">Need to create a new organization </w:t>
            </w:r>
          </w:p>
          <w:p w14:paraId="32F3CF5C" w14:textId="77777777" w:rsidR="000C4AF6" w:rsidRDefault="000C4AF6" w:rsidP="000C4AF6">
            <w:pPr>
              <w:pStyle w:val="Tabletextbullet"/>
            </w:pPr>
            <w:r w:rsidRPr="004841E2">
              <w:t>Need to provide funding</w:t>
            </w:r>
          </w:p>
          <w:p w14:paraId="4E66D882" w14:textId="77777777" w:rsidR="000C4AF6" w:rsidRPr="004841E2" w:rsidRDefault="000C4AF6" w:rsidP="000C4AF6">
            <w:pPr>
              <w:pStyle w:val="Tabletextbullet"/>
            </w:pPr>
            <w:r>
              <w:t>Needs to operate efficiently and avoid acting as monopoly</w:t>
            </w:r>
          </w:p>
        </w:tc>
        <w:tc>
          <w:tcPr>
            <w:tcW w:w="1979" w:type="dxa"/>
            <w:shd w:val="clear" w:color="auto" w:fill="C6D9F1"/>
          </w:tcPr>
          <w:p w14:paraId="5A8CD621" w14:textId="77777777" w:rsidR="000C4AF6" w:rsidRPr="004841E2" w:rsidRDefault="000C4AF6" w:rsidP="000C4AF6">
            <w:pPr>
              <w:pStyle w:val="Tabletextbullet"/>
            </w:pPr>
            <w:r w:rsidRPr="004841E2">
              <w:t>Where will such a public ESCO be located?</w:t>
            </w:r>
          </w:p>
          <w:p w14:paraId="67FFA732" w14:textId="77777777" w:rsidR="000C4AF6" w:rsidRDefault="000C4AF6" w:rsidP="000C4AF6">
            <w:pPr>
              <w:pStyle w:val="Tabletextbullet"/>
            </w:pPr>
            <w:r w:rsidRPr="004841E2">
              <w:t>Will donors be interested in funding such an entity?</w:t>
            </w:r>
          </w:p>
        </w:tc>
        <w:tc>
          <w:tcPr>
            <w:tcW w:w="2055" w:type="dxa"/>
            <w:shd w:val="clear" w:color="auto" w:fill="C6D9F1"/>
          </w:tcPr>
          <w:p w14:paraId="55BE28FE" w14:textId="77777777" w:rsidR="000C4AF6" w:rsidRPr="004841E2" w:rsidRDefault="000C4AF6" w:rsidP="000C4AF6">
            <w:pPr>
              <w:pStyle w:val="Tabletextbullet"/>
            </w:pPr>
            <w:r w:rsidRPr="004841E2">
              <w:t>Ukraine Public ESCO (EBRD) Croatia HEP ESCO (WB/GEF), Armenia, Uruguay</w:t>
            </w:r>
            <w:r>
              <w:t>, EESL (India)</w:t>
            </w:r>
          </w:p>
        </w:tc>
      </w:tr>
      <w:tr w:rsidR="000C4AF6" w:rsidRPr="00915820" w14:paraId="5079C20B" w14:textId="77777777" w:rsidTr="0025402C">
        <w:trPr>
          <w:cantSplit/>
        </w:trPr>
        <w:tc>
          <w:tcPr>
            <w:tcW w:w="2497" w:type="dxa"/>
            <w:shd w:val="clear" w:color="auto" w:fill="C6D9F1"/>
          </w:tcPr>
          <w:p w14:paraId="186F5C3A" w14:textId="77777777" w:rsidR="000C4AF6" w:rsidRPr="00984F60" w:rsidRDefault="000C4AF6" w:rsidP="00ED6EDC">
            <w:pPr>
              <w:ind w:left="240" w:hanging="180"/>
              <w:jc w:val="left"/>
              <w:rPr>
                <w:sz w:val="22"/>
                <w:szCs w:val="22"/>
              </w:rPr>
            </w:pPr>
            <w:r>
              <w:rPr>
                <w:sz w:val="22"/>
                <w:szCs w:val="22"/>
              </w:rPr>
              <w:t>8. Commercial financing, bonds</w:t>
            </w:r>
          </w:p>
        </w:tc>
        <w:tc>
          <w:tcPr>
            <w:tcW w:w="3456" w:type="dxa"/>
            <w:shd w:val="clear" w:color="auto" w:fill="C6D9F1"/>
          </w:tcPr>
          <w:p w14:paraId="0331E96D" w14:textId="77777777" w:rsidR="000C4AF6" w:rsidRDefault="000C4AF6" w:rsidP="000C4AF6">
            <w:pPr>
              <w:pStyle w:val="Tabletextbullet"/>
            </w:pPr>
            <w:r w:rsidRPr="007D7456">
              <w:t xml:space="preserve">Requires </w:t>
            </w:r>
            <w:r>
              <w:t>well-developed public sector credit and rating systems</w:t>
            </w:r>
          </w:p>
          <w:p w14:paraId="2CD4B199" w14:textId="77777777" w:rsidR="000C4AF6" w:rsidRDefault="000C4AF6" w:rsidP="000C4AF6">
            <w:pPr>
              <w:pStyle w:val="Tabletextbullet"/>
            </w:pPr>
            <w:r>
              <w:t>Financiers willing and able to lend to public sector for EE projects</w:t>
            </w:r>
          </w:p>
          <w:p w14:paraId="76ADFA7F" w14:textId="77777777" w:rsidR="000C4AF6" w:rsidRPr="004841E2" w:rsidRDefault="000C4AF6" w:rsidP="000C4AF6">
            <w:pPr>
              <w:pStyle w:val="Tabletextbullet"/>
            </w:pPr>
            <w:r>
              <w:t>Large municipalities with strong technical capacity willing to bundle many EE projects together</w:t>
            </w:r>
          </w:p>
        </w:tc>
        <w:tc>
          <w:tcPr>
            <w:tcW w:w="2429" w:type="dxa"/>
            <w:shd w:val="clear" w:color="auto" w:fill="C6D9F1"/>
          </w:tcPr>
          <w:p w14:paraId="0B6FC8A9" w14:textId="77777777" w:rsidR="000C4AF6" w:rsidRPr="00A315A6" w:rsidRDefault="000C4AF6" w:rsidP="000C4AF6">
            <w:pPr>
              <w:pStyle w:val="Tabletextbullet"/>
            </w:pPr>
            <w:r>
              <w:rPr>
                <w:szCs w:val="18"/>
              </w:rPr>
              <w:t xml:space="preserve">Mobilizes commercial financing which can deliver scale and be sustainable </w:t>
            </w:r>
          </w:p>
          <w:p w14:paraId="5A71ABDF" w14:textId="77777777" w:rsidR="000C4AF6" w:rsidRPr="00A315A6" w:rsidRDefault="000C4AF6" w:rsidP="000C4AF6">
            <w:pPr>
              <w:pStyle w:val="Tabletextbullet"/>
            </w:pPr>
            <w:r>
              <w:rPr>
                <w:szCs w:val="18"/>
              </w:rPr>
              <w:t xml:space="preserve">Elements of competition can help lower financing costs </w:t>
            </w:r>
          </w:p>
          <w:p w14:paraId="55DB77DB" w14:textId="77777777" w:rsidR="000C4AF6" w:rsidRPr="004841E2" w:rsidRDefault="000C4AF6" w:rsidP="000C4AF6">
            <w:pPr>
              <w:pStyle w:val="Tabletextbullet"/>
            </w:pPr>
            <w:r>
              <w:rPr>
                <w:szCs w:val="18"/>
              </w:rPr>
              <w:t xml:space="preserve">Can help address overcollateralization/short tenor issues </w:t>
            </w:r>
          </w:p>
        </w:tc>
        <w:tc>
          <w:tcPr>
            <w:tcW w:w="1961" w:type="dxa"/>
            <w:shd w:val="clear" w:color="auto" w:fill="C6D9F1"/>
          </w:tcPr>
          <w:p w14:paraId="5F91F156" w14:textId="77777777" w:rsidR="000C4AF6" w:rsidRPr="00A315A6" w:rsidRDefault="000C4AF6" w:rsidP="000C4AF6">
            <w:pPr>
              <w:pStyle w:val="Tabletextbullet"/>
            </w:pPr>
            <w:r>
              <w:rPr>
                <w:szCs w:val="18"/>
              </w:rPr>
              <w:t>Only makes sense for very large bundles of projects</w:t>
            </w:r>
          </w:p>
          <w:p w14:paraId="7CE455D7" w14:textId="77777777" w:rsidR="000C4AF6" w:rsidRPr="00A315A6" w:rsidRDefault="000C4AF6" w:rsidP="000C4AF6">
            <w:pPr>
              <w:pStyle w:val="Tabletextbullet"/>
            </w:pPr>
            <w:r>
              <w:rPr>
                <w:szCs w:val="18"/>
              </w:rPr>
              <w:t>Only highly creditworthy agencies can use these schemes</w:t>
            </w:r>
          </w:p>
          <w:p w14:paraId="5EBE24FF" w14:textId="77777777" w:rsidR="000C4AF6" w:rsidRPr="004841E2" w:rsidRDefault="000C4AF6" w:rsidP="000C4AF6">
            <w:pPr>
              <w:pStyle w:val="Tabletextbullet"/>
            </w:pPr>
            <w:r>
              <w:rPr>
                <w:szCs w:val="18"/>
              </w:rPr>
              <w:t xml:space="preserve">Relatively </w:t>
            </w:r>
            <w:r w:rsidRPr="007D7456">
              <w:rPr>
                <w:szCs w:val="18"/>
              </w:rPr>
              <w:t>high transactions costs</w:t>
            </w:r>
          </w:p>
        </w:tc>
        <w:tc>
          <w:tcPr>
            <w:tcW w:w="1979" w:type="dxa"/>
            <w:shd w:val="clear" w:color="auto" w:fill="C6D9F1"/>
          </w:tcPr>
          <w:p w14:paraId="3F9E2946" w14:textId="77777777" w:rsidR="000C4AF6" w:rsidRDefault="000C4AF6" w:rsidP="000C4AF6">
            <w:pPr>
              <w:pStyle w:val="Tabletextbullet"/>
            </w:pPr>
            <w:r>
              <w:t>Are financiers willing and able to lend to public sector?</w:t>
            </w:r>
          </w:p>
          <w:p w14:paraId="31A225B7" w14:textId="77777777" w:rsidR="000C4AF6" w:rsidRDefault="000C4AF6" w:rsidP="000C4AF6">
            <w:pPr>
              <w:pStyle w:val="Tabletextbullet"/>
            </w:pPr>
            <w:r>
              <w:t>How many public agencies are creditworthy and have borrowing capacity?</w:t>
            </w:r>
          </w:p>
        </w:tc>
        <w:tc>
          <w:tcPr>
            <w:tcW w:w="2055" w:type="dxa"/>
            <w:shd w:val="clear" w:color="auto" w:fill="C6D9F1"/>
          </w:tcPr>
          <w:p w14:paraId="348DBBAB" w14:textId="77777777" w:rsidR="000C4AF6" w:rsidRPr="00A315A6" w:rsidRDefault="000C4AF6" w:rsidP="000C4AF6">
            <w:pPr>
              <w:pStyle w:val="Tabletextbullet"/>
            </w:pPr>
            <w:r>
              <w:rPr>
                <w:szCs w:val="18"/>
              </w:rPr>
              <w:t xml:space="preserve">Bulgaria  </w:t>
            </w:r>
          </w:p>
          <w:p w14:paraId="3C654EF6" w14:textId="77777777" w:rsidR="000C4AF6" w:rsidRPr="00A315A6" w:rsidRDefault="000C4AF6" w:rsidP="000C4AF6">
            <w:pPr>
              <w:pStyle w:val="Tabletextbullet"/>
            </w:pPr>
            <w:r>
              <w:rPr>
                <w:szCs w:val="18"/>
              </w:rPr>
              <w:t xml:space="preserve">Denmark </w:t>
            </w:r>
          </w:p>
          <w:p w14:paraId="159303EB" w14:textId="77777777" w:rsidR="000C4AF6" w:rsidRPr="00A315A6" w:rsidRDefault="000C4AF6" w:rsidP="000C4AF6">
            <w:pPr>
              <w:pStyle w:val="Tabletextbullet"/>
            </w:pPr>
            <w:r>
              <w:rPr>
                <w:szCs w:val="18"/>
              </w:rPr>
              <w:t xml:space="preserve">India </w:t>
            </w:r>
          </w:p>
          <w:p w14:paraId="440A0BF6" w14:textId="77777777" w:rsidR="000C4AF6" w:rsidRPr="004841E2" w:rsidRDefault="000C4AF6" w:rsidP="000C4AF6">
            <w:pPr>
              <w:pStyle w:val="Tabletextbullet"/>
            </w:pPr>
            <w:r>
              <w:rPr>
                <w:szCs w:val="18"/>
              </w:rPr>
              <w:t>U.S.</w:t>
            </w:r>
          </w:p>
        </w:tc>
      </w:tr>
      <w:tr w:rsidR="000C4AF6" w:rsidRPr="00915820" w14:paraId="0549DE04" w14:textId="77777777" w:rsidTr="0025402C">
        <w:trPr>
          <w:cantSplit/>
        </w:trPr>
        <w:tc>
          <w:tcPr>
            <w:tcW w:w="2497" w:type="dxa"/>
            <w:shd w:val="clear" w:color="auto" w:fill="C6D9F1"/>
          </w:tcPr>
          <w:p w14:paraId="6A160C7D" w14:textId="77777777" w:rsidR="000C4AF6" w:rsidRDefault="000C4AF6" w:rsidP="00ED6EDC">
            <w:pPr>
              <w:ind w:left="240" w:hanging="180"/>
              <w:jc w:val="left"/>
              <w:rPr>
                <w:sz w:val="22"/>
                <w:szCs w:val="22"/>
              </w:rPr>
            </w:pPr>
            <w:r>
              <w:rPr>
                <w:sz w:val="22"/>
                <w:szCs w:val="22"/>
              </w:rPr>
              <w:t>9. Vendor credit, leasing</w:t>
            </w:r>
          </w:p>
        </w:tc>
        <w:tc>
          <w:tcPr>
            <w:tcW w:w="3456" w:type="dxa"/>
            <w:shd w:val="clear" w:color="auto" w:fill="C6D9F1"/>
          </w:tcPr>
          <w:p w14:paraId="6AEA1836" w14:textId="77777777" w:rsidR="000C4AF6" w:rsidRPr="007D7456" w:rsidRDefault="000C4AF6" w:rsidP="000C4AF6">
            <w:pPr>
              <w:pStyle w:val="Tabletextbullet"/>
            </w:pPr>
            <w:r w:rsidRPr="007D7456">
              <w:t xml:space="preserve">Large, credible local and/or international </w:t>
            </w:r>
            <w:r>
              <w:t xml:space="preserve">vendors </w:t>
            </w:r>
            <w:r w:rsidRPr="007D7456">
              <w:t xml:space="preserve">able and willing to </w:t>
            </w:r>
            <w:r>
              <w:t>finance public EE projects</w:t>
            </w:r>
          </w:p>
          <w:p w14:paraId="31AFB2AC" w14:textId="77777777" w:rsidR="000C4AF6" w:rsidRDefault="000C4AF6" w:rsidP="000C4AF6">
            <w:pPr>
              <w:pStyle w:val="Tabletextbullet"/>
            </w:pPr>
            <w:r>
              <w:t>Local bank financing available for vendor leasing</w:t>
            </w:r>
          </w:p>
          <w:p w14:paraId="3C664F6B" w14:textId="77777777" w:rsidR="000C4AF6" w:rsidRDefault="000C4AF6" w:rsidP="000C4AF6">
            <w:pPr>
              <w:pStyle w:val="Tabletextbullet"/>
            </w:pPr>
            <w:r>
              <w:t>Creditworthy public agencies</w:t>
            </w:r>
            <w:r w:rsidRPr="00E10FF7">
              <w:t xml:space="preserve"> </w:t>
            </w:r>
            <w:r>
              <w:t>able to sign long-term vendor contracts</w:t>
            </w:r>
          </w:p>
          <w:p w14:paraId="3C019B08" w14:textId="77777777" w:rsidR="000C4AF6" w:rsidRPr="007D7456" w:rsidRDefault="000C4AF6" w:rsidP="000C4AF6">
            <w:pPr>
              <w:pStyle w:val="Tabletextbullet"/>
            </w:pPr>
            <w:r>
              <w:t>Public agencies able to retain energy cost savings, pay based on consumption</w:t>
            </w:r>
          </w:p>
        </w:tc>
        <w:tc>
          <w:tcPr>
            <w:tcW w:w="2429" w:type="dxa"/>
            <w:shd w:val="clear" w:color="auto" w:fill="C6D9F1"/>
          </w:tcPr>
          <w:p w14:paraId="24A54F9C" w14:textId="77777777" w:rsidR="000C4AF6" w:rsidRDefault="000C4AF6" w:rsidP="000C4AF6">
            <w:pPr>
              <w:pStyle w:val="Tabletextbullet"/>
              <w:rPr>
                <w:szCs w:val="18"/>
              </w:rPr>
            </w:pPr>
            <w:r>
              <w:rPr>
                <w:szCs w:val="18"/>
              </w:rPr>
              <w:t>Mobilizes commercial financing which can deliver scale and be sustainable</w:t>
            </w:r>
          </w:p>
          <w:p w14:paraId="74EBD502" w14:textId="77777777" w:rsidR="000C4AF6" w:rsidRDefault="000C4AF6" w:rsidP="000C4AF6">
            <w:pPr>
              <w:pStyle w:val="Tabletextbullet"/>
              <w:rPr>
                <w:szCs w:val="18"/>
              </w:rPr>
            </w:pPr>
            <w:r>
              <w:rPr>
                <w:szCs w:val="18"/>
              </w:rPr>
              <w:t>Can help address overcollateralization/short tenor issues</w:t>
            </w:r>
          </w:p>
          <w:p w14:paraId="1657968E" w14:textId="77777777" w:rsidR="000C4AF6" w:rsidRDefault="000C4AF6" w:rsidP="000C4AF6">
            <w:pPr>
              <w:pStyle w:val="Tabletextbullet"/>
              <w:rPr>
                <w:szCs w:val="18"/>
              </w:rPr>
            </w:pPr>
            <w:r>
              <w:rPr>
                <w:szCs w:val="18"/>
              </w:rPr>
              <w:t xml:space="preserve">Financing and procurement in one contract </w:t>
            </w:r>
          </w:p>
          <w:p w14:paraId="39377D8F" w14:textId="77777777" w:rsidR="000C4AF6" w:rsidRDefault="000C4AF6" w:rsidP="000C4AF6">
            <w:pPr>
              <w:pStyle w:val="Tabletextbullet"/>
              <w:rPr>
                <w:szCs w:val="18"/>
              </w:rPr>
            </w:pPr>
            <w:r>
              <w:rPr>
                <w:szCs w:val="18"/>
              </w:rPr>
              <w:t>Lease may not count against public debt</w:t>
            </w:r>
          </w:p>
        </w:tc>
        <w:tc>
          <w:tcPr>
            <w:tcW w:w="1961" w:type="dxa"/>
            <w:shd w:val="clear" w:color="auto" w:fill="C6D9F1"/>
          </w:tcPr>
          <w:p w14:paraId="20D8A4BA" w14:textId="77777777" w:rsidR="000C4AF6" w:rsidRDefault="000C4AF6" w:rsidP="000C4AF6">
            <w:pPr>
              <w:pStyle w:val="Tabletextbullet"/>
              <w:rPr>
                <w:szCs w:val="18"/>
              </w:rPr>
            </w:pPr>
            <w:r w:rsidRPr="007D7456">
              <w:rPr>
                <w:szCs w:val="18"/>
              </w:rPr>
              <w:t xml:space="preserve">Relies on </w:t>
            </w:r>
            <w:r>
              <w:rPr>
                <w:szCs w:val="18"/>
              </w:rPr>
              <w:t xml:space="preserve">local banks and leasing companies </w:t>
            </w:r>
          </w:p>
          <w:p w14:paraId="32343BE1" w14:textId="77777777" w:rsidR="000C4AF6" w:rsidRDefault="000C4AF6" w:rsidP="000C4AF6">
            <w:pPr>
              <w:pStyle w:val="Tabletextbullet"/>
              <w:rPr>
                <w:szCs w:val="18"/>
              </w:rPr>
            </w:pPr>
            <w:r>
              <w:rPr>
                <w:szCs w:val="18"/>
              </w:rPr>
              <w:t>Serves only very creditworthy public agencies</w:t>
            </w:r>
            <w:r w:rsidR="00B223C4">
              <w:rPr>
                <w:szCs w:val="18"/>
              </w:rPr>
              <w:t xml:space="preserve">  </w:t>
            </w:r>
          </w:p>
          <w:p w14:paraId="18E9E515" w14:textId="77777777" w:rsidR="000C4AF6" w:rsidRDefault="00A01B68" w:rsidP="000C4AF6">
            <w:pPr>
              <w:pStyle w:val="Tabletextbullet"/>
              <w:rPr>
                <w:szCs w:val="18"/>
              </w:rPr>
            </w:pPr>
            <w:r>
              <w:rPr>
                <w:szCs w:val="18"/>
              </w:rPr>
              <w:t>Vendors must</w:t>
            </w:r>
            <w:r w:rsidR="000C4AF6">
              <w:rPr>
                <w:szCs w:val="18"/>
              </w:rPr>
              <w:t xml:space="preserve"> assume substantial debt and offer long-term financing </w:t>
            </w:r>
          </w:p>
          <w:p w14:paraId="60060EE6" w14:textId="77777777" w:rsidR="000C4AF6" w:rsidRDefault="000C4AF6" w:rsidP="000C4AF6">
            <w:pPr>
              <w:pStyle w:val="Tabletextbullet"/>
              <w:rPr>
                <w:szCs w:val="18"/>
              </w:rPr>
            </w:pPr>
            <w:r>
              <w:rPr>
                <w:szCs w:val="18"/>
              </w:rPr>
              <w:t>Only some building equipment suited for leasing (lighting, SWH, boilers)</w:t>
            </w:r>
          </w:p>
        </w:tc>
        <w:tc>
          <w:tcPr>
            <w:tcW w:w="1979" w:type="dxa"/>
            <w:shd w:val="clear" w:color="auto" w:fill="C6D9F1"/>
          </w:tcPr>
          <w:p w14:paraId="63767734" w14:textId="77777777" w:rsidR="000C4AF6" w:rsidRDefault="000C4AF6" w:rsidP="000C4AF6">
            <w:pPr>
              <w:pStyle w:val="Tabletextbullet"/>
            </w:pPr>
            <w:r>
              <w:t>How many public agencies are creditworthy and have borrowing capacity?</w:t>
            </w:r>
          </w:p>
        </w:tc>
        <w:tc>
          <w:tcPr>
            <w:tcW w:w="2055" w:type="dxa"/>
            <w:shd w:val="clear" w:color="auto" w:fill="C6D9F1"/>
          </w:tcPr>
          <w:p w14:paraId="52C7E413" w14:textId="77777777" w:rsidR="000C4AF6" w:rsidRDefault="000C4AF6" w:rsidP="000C4AF6">
            <w:pPr>
              <w:pStyle w:val="Tabletextbullet"/>
              <w:rPr>
                <w:szCs w:val="18"/>
              </w:rPr>
            </w:pPr>
            <w:r>
              <w:rPr>
                <w:szCs w:val="18"/>
              </w:rPr>
              <w:t xml:space="preserve">China </w:t>
            </w:r>
          </w:p>
          <w:p w14:paraId="5985931A" w14:textId="77777777" w:rsidR="000C4AF6" w:rsidRDefault="000C4AF6" w:rsidP="000C4AF6">
            <w:pPr>
              <w:pStyle w:val="Tabletextbullet"/>
              <w:rPr>
                <w:szCs w:val="18"/>
              </w:rPr>
            </w:pPr>
            <w:r>
              <w:rPr>
                <w:szCs w:val="18"/>
              </w:rPr>
              <w:t>EU</w:t>
            </w:r>
          </w:p>
          <w:p w14:paraId="7469435B" w14:textId="77777777" w:rsidR="000C4AF6" w:rsidRDefault="000C4AF6" w:rsidP="000C4AF6">
            <w:pPr>
              <w:pStyle w:val="Tabletextbullet"/>
              <w:rPr>
                <w:szCs w:val="18"/>
              </w:rPr>
            </w:pPr>
            <w:r w:rsidRPr="00C11408">
              <w:rPr>
                <w:szCs w:val="18"/>
              </w:rPr>
              <w:t>U.S.</w:t>
            </w:r>
          </w:p>
        </w:tc>
      </w:tr>
      <w:tr w:rsidR="000C4AF6" w:rsidRPr="00915820" w14:paraId="0DC57408" w14:textId="77777777" w:rsidTr="0025402C">
        <w:trPr>
          <w:cantSplit/>
        </w:trPr>
        <w:tc>
          <w:tcPr>
            <w:tcW w:w="2497" w:type="dxa"/>
            <w:shd w:val="clear" w:color="auto" w:fill="C6D9F1"/>
          </w:tcPr>
          <w:p w14:paraId="7DD6FEEA" w14:textId="77777777" w:rsidR="000C4AF6" w:rsidRPr="00984F60" w:rsidRDefault="000C4AF6" w:rsidP="002D1F37">
            <w:pPr>
              <w:ind w:left="240" w:hanging="240"/>
              <w:jc w:val="left"/>
              <w:rPr>
                <w:sz w:val="22"/>
                <w:szCs w:val="22"/>
              </w:rPr>
            </w:pPr>
            <w:r>
              <w:rPr>
                <w:sz w:val="22"/>
                <w:szCs w:val="22"/>
              </w:rPr>
              <w:t>10</w:t>
            </w:r>
            <w:r w:rsidRPr="00984F60">
              <w:rPr>
                <w:sz w:val="22"/>
                <w:szCs w:val="22"/>
              </w:rPr>
              <w:t xml:space="preserve">. </w:t>
            </w:r>
            <w:r>
              <w:rPr>
                <w:sz w:val="22"/>
                <w:szCs w:val="22"/>
              </w:rPr>
              <w:t>Leveraging c</w:t>
            </w:r>
            <w:r w:rsidRPr="00984F60">
              <w:rPr>
                <w:sz w:val="22"/>
                <w:szCs w:val="22"/>
              </w:rPr>
              <w:t>ommercial financing using private ESCOs/performance contracts</w:t>
            </w:r>
          </w:p>
        </w:tc>
        <w:tc>
          <w:tcPr>
            <w:tcW w:w="3456" w:type="dxa"/>
            <w:shd w:val="clear" w:color="auto" w:fill="C6D9F1"/>
          </w:tcPr>
          <w:p w14:paraId="3BFE5171" w14:textId="77777777" w:rsidR="000C4AF6" w:rsidRPr="004841E2" w:rsidRDefault="000C4AF6" w:rsidP="000C4AF6">
            <w:pPr>
              <w:pStyle w:val="Tabletextbullet"/>
            </w:pPr>
            <w:r w:rsidRPr="004841E2">
              <w:t>Supportive policies and enabling environment</w:t>
            </w:r>
          </w:p>
          <w:p w14:paraId="26872E66" w14:textId="77777777" w:rsidR="000C4AF6" w:rsidRPr="004841E2" w:rsidRDefault="000C4AF6" w:rsidP="000C4AF6">
            <w:pPr>
              <w:pStyle w:val="Tabletextbullet"/>
            </w:pPr>
            <w:r w:rsidRPr="004841E2">
              <w:t>Introduction of simpler business models first</w:t>
            </w:r>
          </w:p>
          <w:p w14:paraId="2B0BCA6F" w14:textId="77777777" w:rsidR="000C4AF6" w:rsidRPr="004841E2" w:rsidRDefault="000C4AF6" w:rsidP="000C4AF6">
            <w:pPr>
              <w:pStyle w:val="Tabletextbullet"/>
            </w:pPr>
            <w:r w:rsidRPr="004841E2">
              <w:t>Appropriate financing schemes</w:t>
            </w:r>
          </w:p>
          <w:p w14:paraId="7E61D3D2" w14:textId="77777777" w:rsidR="000C4AF6" w:rsidRPr="004841E2" w:rsidRDefault="000C4AF6" w:rsidP="000C4AF6">
            <w:pPr>
              <w:pStyle w:val="Tabletextbullet"/>
            </w:pPr>
            <w:r w:rsidRPr="004841E2">
              <w:t>Early market development through public sector projects</w:t>
            </w:r>
          </w:p>
          <w:p w14:paraId="0A0814C8" w14:textId="77777777" w:rsidR="000C4AF6" w:rsidRPr="004841E2" w:rsidRDefault="000C4AF6" w:rsidP="00072A49">
            <w:pPr>
              <w:pStyle w:val="Tabletextbullet"/>
              <w:rPr>
                <w:u w:val="single"/>
              </w:rPr>
            </w:pPr>
            <w:r w:rsidRPr="004841E2">
              <w:t xml:space="preserve">Development of </w:t>
            </w:r>
            <w:r w:rsidR="00BE6A1A" w:rsidRPr="00BE6A1A">
              <w:t xml:space="preserve">public-private partnership </w:t>
            </w:r>
            <w:r w:rsidR="00BE6A1A">
              <w:t>(</w:t>
            </w:r>
            <w:r w:rsidRPr="004841E2">
              <w:t>PPP</w:t>
            </w:r>
            <w:r w:rsidR="00BE6A1A">
              <w:t>)</w:t>
            </w:r>
            <w:r w:rsidRPr="004841E2">
              <w:t xml:space="preserve"> models to kick-start market</w:t>
            </w:r>
          </w:p>
        </w:tc>
        <w:tc>
          <w:tcPr>
            <w:tcW w:w="2429" w:type="dxa"/>
            <w:shd w:val="clear" w:color="auto" w:fill="C6D9F1"/>
          </w:tcPr>
          <w:p w14:paraId="7311E8F0" w14:textId="77777777" w:rsidR="000C4AF6" w:rsidRPr="00A315A6" w:rsidRDefault="000C4AF6" w:rsidP="000C4AF6">
            <w:pPr>
              <w:pStyle w:val="Tabletextbullet"/>
            </w:pPr>
            <w:r>
              <w:rPr>
                <w:szCs w:val="18"/>
              </w:rPr>
              <w:t>Mobilizes commercial financing which can deliver scale and be sustainable,</w:t>
            </w:r>
          </w:p>
          <w:p w14:paraId="11222671" w14:textId="77777777" w:rsidR="000C4AF6" w:rsidRPr="00A315A6" w:rsidRDefault="000C4AF6" w:rsidP="000C4AF6">
            <w:pPr>
              <w:pStyle w:val="Tabletextbullet"/>
            </w:pPr>
            <w:r>
              <w:rPr>
                <w:szCs w:val="18"/>
              </w:rPr>
              <w:t>Helps address overcollateralization/short tenor issues</w:t>
            </w:r>
          </w:p>
          <w:p w14:paraId="66297C37" w14:textId="77777777" w:rsidR="000C4AF6" w:rsidRPr="004841E2" w:rsidRDefault="000C4AF6" w:rsidP="000C4AF6">
            <w:pPr>
              <w:pStyle w:val="Tabletextbullet"/>
            </w:pPr>
            <w:r>
              <w:rPr>
                <w:szCs w:val="18"/>
              </w:rPr>
              <w:t>ESPC may not count against public debt, public agency shifts technical risks to third party</w:t>
            </w:r>
          </w:p>
        </w:tc>
        <w:tc>
          <w:tcPr>
            <w:tcW w:w="1961" w:type="dxa"/>
            <w:shd w:val="clear" w:color="auto" w:fill="C6D9F1"/>
          </w:tcPr>
          <w:p w14:paraId="608F288A" w14:textId="77777777" w:rsidR="000C4AF6" w:rsidRPr="00A315A6" w:rsidRDefault="000C4AF6" w:rsidP="000C4AF6">
            <w:pPr>
              <w:pStyle w:val="Tabletextbullet"/>
            </w:pPr>
            <w:r>
              <w:rPr>
                <w:szCs w:val="18"/>
              </w:rPr>
              <w:t>Needs</w:t>
            </w:r>
            <w:r w:rsidRPr="007D7456">
              <w:rPr>
                <w:szCs w:val="18"/>
              </w:rPr>
              <w:t xml:space="preserve"> </w:t>
            </w:r>
            <w:r>
              <w:rPr>
                <w:szCs w:val="18"/>
              </w:rPr>
              <w:t xml:space="preserve">local banks and ESCOs to provide reasonable cost financing and assume credit risk </w:t>
            </w:r>
          </w:p>
          <w:p w14:paraId="6F1318D0" w14:textId="77777777" w:rsidR="000C4AF6" w:rsidRPr="00A315A6" w:rsidRDefault="000C4AF6" w:rsidP="000C4AF6">
            <w:pPr>
              <w:pStyle w:val="Tabletextbullet"/>
            </w:pPr>
            <w:r>
              <w:rPr>
                <w:szCs w:val="18"/>
              </w:rPr>
              <w:t xml:space="preserve">Serves only very creditworthy public agencies </w:t>
            </w:r>
          </w:p>
          <w:p w14:paraId="4AABC5DE" w14:textId="77777777" w:rsidR="000C4AF6" w:rsidRPr="00A315A6" w:rsidRDefault="000C4AF6" w:rsidP="000C4AF6">
            <w:pPr>
              <w:pStyle w:val="Tabletextbullet"/>
            </w:pPr>
            <w:r>
              <w:rPr>
                <w:szCs w:val="18"/>
              </w:rPr>
              <w:t>ESCO industry is difficult to develop</w:t>
            </w:r>
          </w:p>
          <w:p w14:paraId="3AD2BB7A" w14:textId="77777777" w:rsidR="000C4AF6" w:rsidRPr="004841E2" w:rsidRDefault="000C4AF6" w:rsidP="000C4AF6">
            <w:pPr>
              <w:pStyle w:val="Tabletextbullet"/>
            </w:pPr>
            <w:r>
              <w:rPr>
                <w:szCs w:val="18"/>
              </w:rPr>
              <w:t>Public procurement issues difficult to address</w:t>
            </w:r>
          </w:p>
        </w:tc>
        <w:tc>
          <w:tcPr>
            <w:tcW w:w="1979" w:type="dxa"/>
            <w:shd w:val="clear" w:color="auto" w:fill="C6D9F1"/>
          </w:tcPr>
          <w:p w14:paraId="416F0B64" w14:textId="77777777" w:rsidR="000C4AF6" w:rsidRDefault="000C4AF6" w:rsidP="000C4AF6">
            <w:pPr>
              <w:pStyle w:val="Tabletextbullet"/>
            </w:pPr>
            <w:r>
              <w:t>Are there any private ESCOs in the market?</w:t>
            </w:r>
          </w:p>
          <w:p w14:paraId="5C14CD86" w14:textId="77777777" w:rsidR="000C4AF6" w:rsidRPr="004841E2" w:rsidRDefault="000C4AF6" w:rsidP="000C4AF6">
            <w:pPr>
              <w:pStyle w:val="Tabletextbullet"/>
            </w:pPr>
            <w:r>
              <w:t>Are private ESCOs and/or municipalities creditworthy for commercial project financing?</w:t>
            </w:r>
          </w:p>
        </w:tc>
        <w:tc>
          <w:tcPr>
            <w:tcW w:w="2055" w:type="dxa"/>
            <w:shd w:val="clear" w:color="auto" w:fill="C6D9F1"/>
          </w:tcPr>
          <w:p w14:paraId="251D717C" w14:textId="77777777" w:rsidR="000C4AF6" w:rsidRPr="00A315A6" w:rsidRDefault="000C4AF6" w:rsidP="000C4AF6">
            <w:pPr>
              <w:pStyle w:val="Tabletextbullet"/>
            </w:pPr>
            <w:r w:rsidRPr="004841E2">
              <w:t>WB China ESCO program</w:t>
            </w:r>
            <w:r>
              <w:rPr>
                <w:szCs w:val="18"/>
              </w:rPr>
              <w:t xml:space="preserve"> </w:t>
            </w:r>
          </w:p>
          <w:p w14:paraId="759779C9" w14:textId="77777777" w:rsidR="000C4AF6" w:rsidRPr="00A315A6" w:rsidRDefault="000C4AF6" w:rsidP="000C4AF6">
            <w:pPr>
              <w:pStyle w:val="Tabletextbullet"/>
            </w:pPr>
            <w:r>
              <w:rPr>
                <w:szCs w:val="18"/>
              </w:rPr>
              <w:t>Czech Republic</w:t>
            </w:r>
          </w:p>
          <w:p w14:paraId="4F2808C2" w14:textId="77777777" w:rsidR="000C4AF6" w:rsidRPr="00A315A6" w:rsidRDefault="000C4AF6" w:rsidP="000C4AF6">
            <w:pPr>
              <w:pStyle w:val="Tabletextbullet"/>
            </w:pPr>
            <w:r>
              <w:rPr>
                <w:szCs w:val="18"/>
              </w:rPr>
              <w:t>Germany</w:t>
            </w:r>
          </w:p>
          <w:p w14:paraId="4DE4D451" w14:textId="77777777" w:rsidR="000C4AF6" w:rsidRPr="00A315A6" w:rsidRDefault="000C4AF6" w:rsidP="000C4AF6">
            <w:pPr>
              <w:pStyle w:val="Tabletextbullet"/>
            </w:pPr>
            <w:r>
              <w:rPr>
                <w:szCs w:val="18"/>
              </w:rPr>
              <w:t>H</w:t>
            </w:r>
            <w:r w:rsidRPr="007D7456">
              <w:rPr>
                <w:szCs w:val="18"/>
              </w:rPr>
              <w:t>ungary</w:t>
            </w:r>
            <w:r>
              <w:rPr>
                <w:szCs w:val="18"/>
              </w:rPr>
              <w:t xml:space="preserve"> </w:t>
            </w:r>
          </w:p>
          <w:p w14:paraId="5EB1F919" w14:textId="77777777" w:rsidR="000C4AF6" w:rsidRPr="00A315A6" w:rsidRDefault="000C4AF6" w:rsidP="000C4AF6">
            <w:pPr>
              <w:pStyle w:val="Tabletextbullet"/>
            </w:pPr>
            <w:r>
              <w:rPr>
                <w:szCs w:val="18"/>
              </w:rPr>
              <w:t xml:space="preserve">India </w:t>
            </w:r>
          </w:p>
          <w:p w14:paraId="6CAE0D78" w14:textId="77777777" w:rsidR="000C4AF6" w:rsidRPr="00A315A6" w:rsidRDefault="000C4AF6" w:rsidP="000C4AF6">
            <w:pPr>
              <w:pStyle w:val="Tabletextbullet"/>
            </w:pPr>
            <w:r>
              <w:rPr>
                <w:szCs w:val="18"/>
              </w:rPr>
              <w:t>Japan</w:t>
            </w:r>
          </w:p>
          <w:p w14:paraId="6C47A92E" w14:textId="77777777" w:rsidR="000C4AF6" w:rsidRPr="00A315A6" w:rsidRDefault="000C4AF6" w:rsidP="000C4AF6">
            <w:pPr>
              <w:pStyle w:val="Tabletextbullet"/>
            </w:pPr>
            <w:r>
              <w:rPr>
                <w:szCs w:val="18"/>
              </w:rPr>
              <w:t>South Korea</w:t>
            </w:r>
          </w:p>
          <w:p w14:paraId="14323BD4" w14:textId="77777777" w:rsidR="000C4AF6" w:rsidRDefault="000C4AF6" w:rsidP="000C4AF6">
            <w:pPr>
              <w:pStyle w:val="Tabletextbullet"/>
            </w:pPr>
            <w:r w:rsidRPr="007D7456">
              <w:rPr>
                <w:szCs w:val="18"/>
              </w:rPr>
              <w:t>U</w:t>
            </w:r>
            <w:r>
              <w:rPr>
                <w:szCs w:val="18"/>
              </w:rPr>
              <w:t>.</w:t>
            </w:r>
            <w:r w:rsidRPr="007D7456">
              <w:rPr>
                <w:szCs w:val="18"/>
              </w:rPr>
              <w:t>S</w:t>
            </w:r>
            <w:r>
              <w:rPr>
                <w:szCs w:val="18"/>
              </w:rPr>
              <w:t>.</w:t>
            </w:r>
            <w:r w:rsidRPr="004841E2">
              <w:t xml:space="preserve"> </w:t>
            </w:r>
          </w:p>
          <w:p w14:paraId="662E0011" w14:textId="77777777" w:rsidR="000C4AF6" w:rsidRPr="004841E2" w:rsidRDefault="000C4AF6" w:rsidP="000C4AF6">
            <w:pPr>
              <w:pStyle w:val="Tabletextbullet"/>
            </w:pPr>
            <w:r>
              <w:t>Canada</w:t>
            </w:r>
          </w:p>
        </w:tc>
      </w:tr>
    </w:tbl>
    <w:p w14:paraId="6B0100F0" w14:textId="77777777" w:rsidR="000C4AF6" w:rsidRPr="004F3B43" w:rsidRDefault="000C4AF6" w:rsidP="00317B1A">
      <w:pPr>
        <w:tabs>
          <w:tab w:val="left" w:pos="6000"/>
        </w:tabs>
        <w:spacing w:before="60"/>
        <w:rPr>
          <w:i/>
          <w:sz w:val="22"/>
          <w:szCs w:val="22"/>
        </w:rPr>
      </w:pPr>
      <w:r w:rsidRPr="000A3555">
        <w:rPr>
          <w:i/>
          <w:sz w:val="22"/>
          <w:szCs w:val="22"/>
        </w:rPr>
        <w:t>Source:</w:t>
      </w:r>
      <w:r>
        <w:rPr>
          <w:i/>
          <w:sz w:val="22"/>
          <w:szCs w:val="22"/>
        </w:rPr>
        <w:t xml:space="preserve"> Adapted by a</w:t>
      </w:r>
      <w:r w:rsidRPr="000A3555">
        <w:rPr>
          <w:i/>
          <w:sz w:val="22"/>
          <w:szCs w:val="22"/>
        </w:rPr>
        <w:t>uthors</w:t>
      </w:r>
      <w:r>
        <w:rPr>
          <w:i/>
          <w:sz w:val="22"/>
          <w:szCs w:val="22"/>
        </w:rPr>
        <w:t xml:space="preserve"> from World Bank 2013</w:t>
      </w:r>
    </w:p>
    <w:p w14:paraId="208DF392" w14:textId="77777777" w:rsidR="004E66D7" w:rsidRDefault="00630DC0" w:rsidP="0025402C">
      <w:pPr>
        <w:pStyle w:val="Heading1"/>
        <w:jc w:val="both"/>
        <w:sectPr w:rsidR="004E66D7" w:rsidSect="004E66D7">
          <w:headerReference w:type="even" r:id="rId33"/>
          <w:footerReference w:type="default" r:id="rId34"/>
          <w:headerReference w:type="first" r:id="rId35"/>
          <w:endnotePr>
            <w:numFmt w:val="decimal"/>
          </w:endnotePr>
          <w:pgSz w:w="16840" w:h="11907" w:orient="landscape" w:code="9"/>
          <w:pgMar w:top="1440" w:right="1440" w:bottom="1440" w:left="1440" w:header="720" w:footer="720" w:gutter="0"/>
          <w:cols w:space="720"/>
          <w:noEndnote/>
          <w:docGrid w:linePitch="326"/>
        </w:sectPr>
      </w:pPr>
      <w:r>
        <w:br w:type="page"/>
      </w:r>
    </w:p>
    <w:p w14:paraId="00C5EF9A" w14:textId="77777777" w:rsidR="00630DC0" w:rsidRDefault="00630DC0" w:rsidP="003D0971">
      <w:pPr>
        <w:pStyle w:val="Heading1"/>
      </w:pPr>
      <w:bookmarkStart w:id="57" w:name="_Toc461093937"/>
      <w:r>
        <w:t xml:space="preserve">Section 5 - Assessment of Financing and Implementation Options for </w:t>
      </w:r>
      <w:r w:rsidR="00EC4C4D">
        <w:t>Public Sector</w:t>
      </w:r>
      <w:r>
        <w:t xml:space="preserve"> Energy Efficiency in </w:t>
      </w:r>
      <w:r w:rsidR="008027C6">
        <w:t>GEORGIA</w:t>
      </w:r>
      <w:bookmarkEnd w:id="57"/>
    </w:p>
    <w:p w14:paraId="448585F7" w14:textId="77777777" w:rsidR="00630DC0" w:rsidRDefault="00630DC0" w:rsidP="00630DC0">
      <w:pPr>
        <w:pStyle w:val="Heading2"/>
      </w:pPr>
      <w:bookmarkStart w:id="58" w:name="_Toc461093938"/>
      <w:r>
        <w:t>C</w:t>
      </w:r>
      <w:r w:rsidR="003D0971">
        <w:t>haracteristics of Financing O</w:t>
      </w:r>
      <w:r>
        <w:t xml:space="preserve">ptions in the </w:t>
      </w:r>
      <w:r w:rsidR="008027C6">
        <w:t>Georgia</w:t>
      </w:r>
      <w:r>
        <w:t xml:space="preserve"> </w:t>
      </w:r>
      <w:r w:rsidR="003D0971">
        <w:t>C</w:t>
      </w:r>
      <w:r>
        <w:t>ontext</w:t>
      </w:r>
      <w:bookmarkEnd w:id="58"/>
    </w:p>
    <w:p w14:paraId="51713636" w14:textId="77777777" w:rsidR="003D0971" w:rsidRDefault="003D0971" w:rsidP="003D0971">
      <w:r>
        <w:t xml:space="preserve">This </w:t>
      </w:r>
      <w:r w:rsidR="00F554DC">
        <w:t xml:space="preserve">section </w:t>
      </w:r>
      <w:r>
        <w:t xml:space="preserve">reviews the potential applicability of the public sector financing options identified in Section 4 to the public sector in </w:t>
      </w:r>
      <w:r w:rsidR="008027C6">
        <w:t>Georgia</w:t>
      </w:r>
      <w:r>
        <w:t>. For assessing the suitability and benefits of the financing options, three distinct types of public sector entities are considered:</w:t>
      </w:r>
    </w:p>
    <w:p w14:paraId="7F39A6FB" w14:textId="77777777" w:rsidR="003D0971" w:rsidRDefault="003D0971" w:rsidP="00FD7E03">
      <w:pPr>
        <w:pStyle w:val="Bulletedsinglespacing"/>
        <w:numPr>
          <w:ilvl w:val="0"/>
          <w:numId w:val="16"/>
        </w:numPr>
        <w:ind w:left="900" w:hanging="180"/>
      </w:pPr>
      <w:r>
        <w:t>Creditworthy m</w:t>
      </w:r>
      <w:r w:rsidRPr="00055911">
        <w:t>unicipalities</w:t>
      </w:r>
      <w:r>
        <w:t>,</w:t>
      </w:r>
      <w:r w:rsidRPr="00055911">
        <w:t xml:space="preserve"> </w:t>
      </w:r>
      <w:r>
        <w:t>or</w:t>
      </w:r>
      <w:r w:rsidRPr="00055911">
        <w:t xml:space="preserve"> </w:t>
      </w:r>
      <w:r>
        <w:t>municipal</w:t>
      </w:r>
      <w:r w:rsidRPr="00055911">
        <w:t xml:space="preserve"> entities with </w:t>
      </w:r>
      <w:r w:rsidR="008A67F9">
        <w:t xml:space="preserve">their </w:t>
      </w:r>
      <w:r w:rsidRPr="00055911">
        <w:t>own budgets</w:t>
      </w:r>
      <w:r w:rsidR="00F554DC">
        <w:t>;</w:t>
      </w:r>
      <w:r>
        <w:t xml:space="preserve"> </w:t>
      </w:r>
    </w:p>
    <w:p w14:paraId="61C7E491" w14:textId="77777777" w:rsidR="003D0971" w:rsidRDefault="003D0971" w:rsidP="00FD7E03">
      <w:pPr>
        <w:pStyle w:val="Bulletedsinglespacing"/>
        <w:numPr>
          <w:ilvl w:val="0"/>
          <w:numId w:val="16"/>
        </w:numPr>
        <w:ind w:left="900" w:hanging="180"/>
      </w:pPr>
      <w:r>
        <w:t>Municipal</w:t>
      </w:r>
      <w:r w:rsidRPr="00055911">
        <w:t xml:space="preserve"> entities without their own budgets </w:t>
      </w:r>
      <w:r>
        <w:t>and/</w:t>
      </w:r>
      <w:r w:rsidRPr="00055911">
        <w:t xml:space="preserve">or </w:t>
      </w:r>
      <w:r>
        <w:t xml:space="preserve">with little or no </w:t>
      </w:r>
      <w:r w:rsidRPr="00055911">
        <w:t>capacity to implement projects</w:t>
      </w:r>
      <w:r w:rsidR="00F554DC">
        <w:t>; and</w:t>
      </w:r>
    </w:p>
    <w:p w14:paraId="4C987268" w14:textId="77777777" w:rsidR="008027C6" w:rsidRDefault="008027C6" w:rsidP="00FD7E03">
      <w:pPr>
        <w:pStyle w:val="Bulletedsinglespacing"/>
        <w:numPr>
          <w:ilvl w:val="0"/>
          <w:numId w:val="16"/>
        </w:numPr>
        <w:ind w:left="900" w:hanging="180"/>
      </w:pPr>
      <w:r>
        <w:t>Central government agencies</w:t>
      </w:r>
      <w:r w:rsidR="00F554DC">
        <w:t>.</w:t>
      </w:r>
    </w:p>
    <w:p w14:paraId="0F69D08F" w14:textId="77777777" w:rsidR="00F97BB2" w:rsidRDefault="003D0971" w:rsidP="00F97BB2">
      <w:r>
        <w:t>The financing options may have different applicability, advantages</w:t>
      </w:r>
      <w:r w:rsidR="00F554DC">
        <w:t>,</w:t>
      </w:r>
      <w:r>
        <w:t xml:space="preserve"> and limitations for each type. </w:t>
      </w:r>
      <w:r w:rsidR="00F97BB2">
        <w:t xml:space="preserve">Of the </w:t>
      </w:r>
      <w:r w:rsidR="00F554DC">
        <w:t xml:space="preserve">10 </w:t>
      </w:r>
      <w:r w:rsidR="00F97BB2">
        <w:t>options summarized in Section 4 (based on international experience), four were not considered further:</w:t>
      </w:r>
    </w:p>
    <w:p w14:paraId="6972AA14" w14:textId="77777777" w:rsidR="00F97BB2" w:rsidRDefault="00F97BB2" w:rsidP="004D7D8C">
      <w:pPr>
        <w:pStyle w:val="Bulleted"/>
        <w:spacing w:before="40" w:after="40"/>
      </w:pPr>
      <w:r>
        <w:t>Utility on-bill financing</w:t>
      </w:r>
      <w:r w:rsidR="00196384">
        <w:t xml:space="preserve">, </w:t>
      </w:r>
      <w:r>
        <w:t xml:space="preserve">because the </w:t>
      </w:r>
      <w:r w:rsidR="00823084">
        <w:t>local distribution companies</w:t>
      </w:r>
      <w:r>
        <w:t xml:space="preserve"> </w:t>
      </w:r>
      <w:r w:rsidR="00823084">
        <w:t xml:space="preserve">do not appear to </w:t>
      </w:r>
      <w:r>
        <w:t xml:space="preserve">have the regulatory authority, capacity </w:t>
      </w:r>
      <w:r w:rsidR="004D7D8C">
        <w:t>or</w:t>
      </w:r>
      <w:r>
        <w:t xml:space="preserve"> interest in offering such services.</w:t>
      </w:r>
    </w:p>
    <w:p w14:paraId="6EF3C0F1" w14:textId="77777777" w:rsidR="00F97BB2" w:rsidRDefault="00F97BB2" w:rsidP="004D7D8C">
      <w:pPr>
        <w:pStyle w:val="Bulleted"/>
        <w:spacing w:before="40" w:after="40"/>
      </w:pPr>
      <w:r>
        <w:t>Credit line with development bank</w:t>
      </w:r>
      <w:r w:rsidR="00196384">
        <w:t xml:space="preserve">, </w:t>
      </w:r>
      <w:r>
        <w:t>because the</w:t>
      </w:r>
      <w:r w:rsidR="00A01B68">
        <w:t>se</w:t>
      </w:r>
      <w:r>
        <w:t xml:space="preserve"> </w:t>
      </w:r>
      <w:r w:rsidR="003225C0">
        <w:t xml:space="preserve">credit lines have very limited or </w:t>
      </w:r>
      <w:r>
        <w:t xml:space="preserve">no </w:t>
      </w:r>
      <w:r w:rsidR="003225C0">
        <w:t>applicability to central government agencies</w:t>
      </w:r>
      <w:r w:rsidR="008027C6">
        <w:t xml:space="preserve"> and many municipalities</w:t>
      </w:r>
      <w:r w:rsidR="004D7D8C">
        <w:t>, and there is no development bank in Georgia</w:t>
      </w:r>
      <w:r w:rsidR="008027C6">
        <w:t>.</w:t>
      </w:r>
    </w:p>
    <w:p w14:paraId="183DCB2C" w14:textId="77777777" w:rsidR="00F97BB2" w:rsidRDefault="00F97BB2" w:rsidP="004D7D8C">
      <w:pPr>
        <w:pStyle w:val="Bulleted"/>
        <w:spacing w:before="40" w:after="40"/>
      </w:pPr>
      <w:r>
        <w:t>Commercial financing and bonds</w:t>
      </w:r>
      <w:r w:rsidR="00196384">
        <w:t>,</w:t>
      </w:r>
      <w:r>
        <w:t xml:space="preserve"> because of the limited capacity to issue bonds and lack of a market for such bonds.</w:t>
      </w:r>
    </w:p>
    <w:p w14:paraId="15A826F0" w14:textId="77777777" w:rsidR="00F97BB2" w:rsidRDefault="00F97BB2" w:rsidP="004D7D8C">
      <w:pPr>
        <w:pStyle w:val="Bulleted"/>
        <w:spacing w:before="40" w:after="40"/>
      </w:pPr>
      <w:r>
        <w:t>Vendor credit and leasing</w:t>
      </w:r>
      <w:r w:rsidR="00196384">
        <w:t xml:space="preserve">, </w:t>
      </w:r>
      <w:r>
        <w:t xml:space="preserve">because of the immaturity of the existing market for </w:t>
      </w:r>
      <w:r w:rsidR="008027C6">
        <w:t>these options.</w:t>
      </w:r>
    </w:p>
    <w:p w14:paraId="6EEA7165" w14:textId="77777777" w:rsidR="00F97BB2" w:rsidRDefault="00F97BB2" w:rsidP="00F97BB2">
      <w:r>
        <w:t xml:space="preserve">The key characteristics of the other </w:t>
      </w:r>
      <w:r w:rsidR="004D7D8C">
        <w:t>six</w:t>
      </w:r>
      <w:r>
        <w:t xml:space="preserve"> options </w:t>
      </w:r>
      <w:r w:rsidR="004D7D8C">
        <w:t>for</w:t>
      </w:r>
      <w:r>
        <w:t xml:space="preserve"> </w:t>
      </w:r>
      <w:r w:rsidR="008027C6">
        <w:t>Georgia</w:t>
      </w:r>
      <w:r>
        <w:t xml:space="preserve"> are summarized in Table 5.1.</w:t>
      </w:r>
    </w:p>
    <w:p w14:paraId="330D0FFA" w14:textId="77777777" w:rsidR="00F97BB2" w:rsidRDefault="00F97BB2" w:rsidP="00F97BB2">
      <w:pPr>
        <w:pStyle w:val="Heading3"/>
      </w:pPr>
      <w:bookmarkStart w:id="59" w:name="_Toc446061736"/>
      <w:bookmarkStart w:id="60" w:name="_Toc461093939"/>
      <w:r>
        <w:t>Narrowing the Financing Options: Rationale and Results</w:t>
      </w:r>
      <w:bookmarkEnd w:id="59"/>
      <w:bookmarkEnd w:id="60"/>
    </w:p>
    <w:p w14:paraId="172AAD09" w14:textId="77777777" w:rsidR="00F97BB2" w:rsidRDefault="00F97BB2" w:rsidP="00F97BB2">
      <w:pPr>
        <w:spacing w:after="60"/>
      </w:pPr>
      <w:r>
        <w:t>As shown in Table 5.1</w:t>
      </w:r>
      <w:r w:rsidR="004D7D8C">
        <w:t>,</w:t>
      </w:r>
      <w:r>
        <w:t xml:space="preserve"> six EE financing options can be applicable to </w:t>
      </w:r>
      <w:r w:rsidR="008027C6">
        <w:t>Georgia</w:t>
      </w:r>
      <w:r>
        <w:t xml:space="preserve">, but they are not equally viable in terms of serving the needs of </w:t>
      </w:r>
      <w:r w:rsidR="008027C6">
        <w:t xml:space="preserve">all public agencies. </w:t>
      </w:r>
      <w:r w:rsidR="00823084">
        <w:t>The comparison</w:t>
      </w:r>
      <w:r w:rsidR="00D246C3">
        <w:t xml:space="preserve"> indicates that three</w:t>
      </w:r>
      <w:r>
        <w:t xml:space="preserve"> of the options do not appear to be suitable for the needs of public sector entities (central government</w:t>
      </w:r>
      <w:r w:rsidR="00D246C3">
        <w:t xml:space="preserve"> and municipal</w:t>
      </w:r>
      <w:r>
        <w:t xml:space="preserve">) in the short-to-medium term (approximately the next five years). </w:t>
      </w:r>
    </w:p>
    <w:p w14:paraId="5B3CE31F" w14:textId="77777777" w:rsidR="00F97BB2" w:rsidRDefault="00F97BB2" w:rsidP="004D7D8C">
      <w:pPr>
        <w:pStyle w:val="Bulleted"/>
        <w:spacing w:before="20" w:after="20"/>
      </w:pPr>
      <w:r>
        <w:t xml:space="preserve">While dedicated public sector EE credit lines may be attractive and useful for financing projects using commercial lending, they are limited to serving </w:t>
      </w:r>
      <w:r w:rsidR="00DF4D53">
        <w:t xml:space="preserve">only </w:t>
      </w:r>
      <w:r w:rsidR="008027C6">
        <w:t xml:space="preserve">a few </w:t>
      </w:r>
      <w:r>
        <w:t xml:space="preserve">creditworthy municipal entities that have sufficient borrowing capacity. These financing options will therefore </w:t>
      </w:r>
      <w:r w:rsidR="00DF4D53">
        <w:t xml:space="preserve">not be able to </w:t>
      </w:r>
      <w:r>
        <w:t xml:space="preserve">serve the needs of </w:t>
      </w:r>
      <w:r w:rsidR="00DF4D53">
        <w:t>central government agencies and many municipalities.</w:t>
      </w:r>
    </w:p>
    <w:p w14:paraId="49E20696" w14:textId="77777777" w:rsidR="00F97BB2" w:rsidRDefault="00F97BB2" w:rsidP="004D7D8C">
      <w:pPr>
        <w:pStyle w:val="Bulleted"/>
        <w:spacing w:before="20" w:after="20"/>
      </w:pPr>
      <w:r>
        <w:t>Similarly, risk</w:t>
      </w:r>
      <w:r w:rsidR="00D16DAD">
        <w:t xml:space="preserve"> </w:t>
      </w:r>
      <w:r>
        <w:t xml:space="preserve">sharing or guarantee programs would be limited to creditworthy municipal entities </w:t>
      </w:r>
      <w:r w:rsidR="004D7D8C">
        <w:t xml:space="preserve">seeing commercial loans </w:t>
      </w:r>
      <w:r>
        <w:t>and</w:t>
      </w:r>
      <w:r w:rsidR="004D7D8C">
        <w:t>, thus,</w:t>
      </w:r>
      <w:r>
        <w:t xml:space="preserve"> would not meet the needs of </w:t>
      </w:r>
      <w:r w:rsidR="00DF4D53">
        <w:t>central government agencies</w:t>
      </w:r>
      <w:r>
        <w:t xml:space="preserve"> </w:t>
      </w:r>
      <w:r w:rsidR="00DF4D53">
        <w:t xml:space="preserve">or </w:t>
      </w:r>
      <w:r>
        <w:t>other municipalities</w:t>
      </w:r>
      <w:r w:rsidR="00A01B68">
        <w:t>.</w:t>
      </w:r>
    </w:p>
    <w:p w14:paraId="7F2378A9" w14:textId="77777777" w:rsidR="00F97BB2" w:rsidRPr="004D7D8C" w:rsidRDefault="00F97BB2" w:rsidP="00072A49">
      <w:pPr>
        <w:pStyle w:val="Bulleted"/>
        <w:rPr>
          <w:sz w:val="10"/>
        </w:rPr>
      </w:pPr>
      <w:r>
        <w:t xml:space="preserve">While commercial financing can be leveraged using performance contracting and private ESCOs, such financing options are likely to be </w:t>
      </w:r>
      <w:r w:rsidR="00DF4D53">
        <w:t xml:space="preserve">limited </w:t>
      </w:r>
      <w:r>
        <w:t xml:space="preserve">only to creditworthy municipalities or ESCOs with strong balance sheets and borrowing capacity. </w:t>
      </w:r>
      <w:r w:rsidR="008027C6">
        <w:t>There are f</w:t>
      </w:r>
      <w:r w:rsidR="003225C0">
        <w:t>ew ESCOs</w:t>
      </w:r>
      <w:r>
        <w:t xml:space="preserve"> in </w:t>
      </w:r>
      <w:r w:rsidR="008027C6">
        <w:t>Georgia</w:t>
      </w:r>
      <w:r>
        <w:t xml:space="preserve"> </w:t>
      </w:r>
      <w:r w:rsidR="008027C6">
        <w:t>and none have experience with public agencies</w:t>
      </w:r>
      <w:r w:rsidR="00D16DAD">
        <w:t xml:space="preserve"> – </w:t>
      </w:r>
      <w:r w:rsidR="004D7D8C">
        <w:t xml:space="preserve">the </w:t>
      </w:r>
      <w:r>
        <w:t>private ESCO market today is nascent and will take many years’ focused efforts to mature.</w:t>
      </w:r>
    </w:p>
    <w:p w14:paraId="0ED8F93D" w14:textId="77777777" w:rsidR="00F97BB2" w:rsidRPr="004D7D8C" w:rsidRDefault="00F97BB2" w:rsidP="003D0971">
      <w:pPr>
        <w:rPr>
          <w:sz w:val="10"/>
        </w:rPr>
        <w:sectPr w:rsidR="00F97BB2" w:rsidRPr="004D7D8C" w:rsidSect="004E66D7">
          <w:headerReference w:type="even" r:id="rId36"/>
          <w:footerReference w:type="default" r:id="rId37"/>
          <w:headerReference w:type="first" r:id="rId38"/>
          <w:endnotePr>
            <w:numFmt w:val="decimal"/>
          </w:endnotePr>
          <w:pgSz w:w="11907" w:h="16840" w:code="9"/>
          <w:pgMar w:top="1440" w:right="1440" w:bottom="1440" w:left="1440" w:header="720" w:footer="720" w:gutter="0"/>
          <w:cols w:space="720"/>
          <w:noEndnote/>
        </w:sectPr>
      </w:pPr>
    </w:p>
    <w:p w14:paraId="34DE46CB" w14:textId="77777777" w:rsidR="003D0971" w:rsidRPr="003D0971" w:rsidRDefault="003D0971" w:rsidP="003D0971">
      <w:pPr>
        <w:pStyle w:val="FiguresandTables"/>
      </w:pPr>
      <w:r w:rsidRPr="003D0971">
        <w:t xml:space="preserve">Table </w:t>
      </w:r>
      <w:r>
        <w:t xml:space="preserve">5.1 </w:t>
      </w:r>
      <w:r w:rsidR="006E4D48">
        <w:t>–</w:t>
      </w:r>
      <w:r>
        <w:t xml:space="preserve"> </w:t>
      </w:r>
      <w:r w:rsidR="006E4D48">
        <w:t xml:space="preserve">Key </w:t>
      </w:r>
      <w:r w:rsidRPr="003D0971">
        <w:t xml:space="preserve">Characteristics of the </w:t>
      </w:r>
      <w:r>
        <w:t>Public Sector</w:t>
      </w:r>
      <w:r w:rsidRPr="003D0971">
        <w:t xml:space="preserve"> Energy Efficiency Financing Options in </w:t>
      </w:r>
      <w:r w:rsidR="008027C6">
        <w:t>Georgia</w:t>
      </w:r>
      <w:r>
        <w:t xml:space="preserve"> </w:t>
      </w:r>
      <w:r w:rsidRPr="003D0971">
        <w:t>Context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1980"/>
        <w:gridCol w:w="1800"/>
        <w:gridCol w:w="1890"/>
        <w:gridCol w:w="1980"/>
        <w:gridCol w:w="1890"/>
        <w:gridCol w:w="1800"/>
      </w:tblGrid>
      <w:tr w:rsidR="003D0971" w14:paraId="33E25A94" w14:textId="77777777" w:rsidTr="007621A6">
        <w:tc>
          <w:tcPr>
            <w:tcW w:w="2335" w:type="dxa"/>
            <w:shd w:val="clear" w:color="auto" w:fill="002060"/>
            <w:vAlign w:val="bottom"/>
          </w:tcPr>
          <w:p w14:paraId="4E4EA4F9" w14:textId="77777777" w:rsidR="003D0971" w:rsidRPr="004B6FBF" w:rsidRDefault="003D0971" w:rsidP="005068F5">
            <w:pPr>
              <w:spacing w:before="40" w:after="40"/>
              <w:jc w:val="left"/>
              <w:rPr>
                <w:rFonts w:ascii="Arial" w:hAnsi="Arial" w:cs="Arial"/>
                <w:b/>
                <w:sz w:val="18"/>
                <w:szCs w:val="18"/>
              </w:rPr>
            </w:pPr>
            <w:r w:rsidRPr="004B6FBF">
              <w:rPr>
                <w:rFonts w:ascii="Arial" w:hAnsi="Arial" w:cs="Arial"/>
                <w:b/>
                <w:sz w:val="18"/>
                <w:szCs w:val="18"/>
              </w:rPr>
              <w:t>Characteristics</w:t>
            </w:r>
          </w:p>
        </w:tc>
        <w:tc>
          <w:tcPr>
            <w:tcW w:w="1980" w:type="dxa"/>
            <w:shd w:val="clear" w:color="auto" w:fill="002060"/>
            <w:vAlign w:val="bottom"/>
          </w:tcPr>
          <w:p w14:paraId="3A1BCC62" w14:textId="77777777" w:rsidR="003D0971" w:rsidRPr="004B6FBF" w:rsidRDefault="003D0971" w:rsidP="005068F5">
            <w:pPr>
              <w:spacing w:before="40" w:after="40"/>
              <w:jc w:val="center"/>
              <w:rPr>
                <w:rFonts w:ascii="Arial" w:hAnsi="Arial" w:cs="Arial"/>
                <w:b/>
                <w:sz w:val="18"/>
                <w:szCs w:val="18"/>
              </w:rPr>
            </w:pPr>
            <w:r w:rsidRPr="004B6FBF">
              <w:rPr>
                <w:rFonts w:ascii="Arial" w:hAnsi="Arial" w:cs="Arial"/>
                <w:b/>
                <w:sz w:val="18"/>
                <w:szCs w:val="18"/>
              </w:rPr>
              <w:t>Budget Financing with Capital Recovery</w:t>
            </w:r>
          </w:p>
        </w:tc>
        <w:tc>
          <w:tcPr>
            <w:tcW w:w="1800" w:type="dxa"/>
            <w:shd w:val="clear" w:color="auto" w:fill="002060"/>
            <w:vAlign w:val="bottom"/>
          </w:tcPr>
          <w:p w14:paraId="577CA2F8" w14:textId="77777777" w:rsidR="003D0971" w:rsidRPr="004B6FBF" w:rsidRDefault="003D0971" w:rsidP="005068F5">
            <w:pPr>
              <w:spacing w:before="40" w:after="40"/>
              <w:jc w:val="center"/>
              <w:rPr>
                <w:rFonts w:ascii="Arial" w:hAnsi="Arial" w:cs="Arial"/>
                <w:b/>
                <w:sz w:val="18"/>
                <w:szCs w:val="18"/>
              </w:rPr>
            </w:pPr>
            <w:r w:rsidRPr="004B6FBF">
              <w:rPr>
                <w:rFonts w:ascii="Arial" w:hAnsi="Arial" w:cs="Arial"/>
                <w:b/>
                <w:sz w:val="18"/>
                <w:szCs w:val="18"/>
              </w:rPr>
              <w:t>EE Revolving Fund</w:t>
            </w:r>
          </w:p>
        </w:tc>
        <w:tc>
          <w:tcPr>
            <w:tcW w:w="1890" w:type="dxa"/>
            <w:shd w:val="clear" w:color="auto" w:fill="002060"/>
            <w:vAlign w:val="bottom"/>
          </w:tcPr>
          <w:p w14:paraId="6384D5FD" w14:textId="77777777" w:rsidR="003D0971" w:rsidRPr="004B6FBF" w:rsidRDefault="003D0971" w:rsidP="003D0971">
            <w:pPr>
              <w:spacing w:before="40" w:after="40"/>
              <w:jc w:val="center"/>
              <w:rPr>
                <w:rFonts w:ascii="Arial" w:hAnsi="Arial" w:cs="Arial"/>
                <w:b/>
                <w:sz w:val="18"/>
                <w:szCs w:val="18"/>
              </w:rPr>
            </w:pPr>
            <w:r w:rsidRPr="004B6FBF">
              <w:rPr>
                <w:rFonts w:ascii="Arial" w:hAnsi="Arial" w:cs="Arial"/>
                <w:b/>
                <w:sz w:val="18"/>
                <w:szCs w:val="18"/>
              </w:rPr>
              <w:t xml:space="preserve">Dedicated </w:t>
            </w:r>
            <w:r>
              <w:rPr>
                <w:rFonts w:ascii="Arial" w:hAnsi="Arial" w:cs="Arial"/>
                <w:b/>
                <w:sz w:val="18"/>
                <w:szCs w:val="18"/>
              </w:rPr>
              <w:t xml:space="preserve">Public Sector </w:t>
            </w:r>
            <w:r w:rsidRPr="004B6FBF">
              <w:rPr>
                <w:rFonts w:ascii="Arial" w:hAnsi="Arial" w:cs="Arial"/>
                <w:b/>
                <w:sz w:val="18"/>
                <w:szCs w:val="18"/>
              </w:rPr>
              <w:t>Credit Line</w:t>
            </w:r>
          </w:p>
        </w:tc>
        <w:tc>
          <w:tcPr>
            <w:tcW w:w="1980" w:type="dxa"/>
            <w:shd w:val="clear" w:color="auto" w:fill="002060"/>
            <w:vAlign w:val="bottom"/>
          </w:tcPr>
          <w:p w14:paraId="7A123934" w14:textId="77777777" w:rsidR="003D0971" w:rsidRPr="004B6FBF" w:rsidRDefault="003D0971" w:rsidP="005068F5">
            <w:pPr>
              <w:spacing w:before="40" w:after="40"/>
              <w:jc w:val="center"/>
              <w:rPr>
                <w:rFonts w:ascii="Arial" w:hAnsi="Arial" w:cs="Arial"/>
                <w:b/>
                <w:sz w:val="18"/>
                <w:szCs w:val="18"/>
              </w:rPr>
            </w:pPr>
            <w:r w:rsidRPr="004B6FBF">
              <w:rPr>
                <w:rFonts w:ascii="Arial" w:hAnsi="Arial" w:cs="Arial"/>
                <w:b/>
                <w:sz w:val="18"/>
                <w:szCs w:val="18"/>
              </w:rPr>
              <w:t>Risk Sharing Program</w:t>
            </w:r>
          </w:p>
        </w:tc>
        <w:tc>
          <w:tcPr>
            <w:tcW w:w="1890" w:type="dxa"/>
            <w:shd w:val="clear" w:color="auto" w:fill="002060"/>
            <w:vAlign w:val="bottom"/>
          </w:tcPr>
          <w:p w14:paraId="2829681E" w14:textId="77777777" w:rsidR="003D0971" w:rsidRPr="004B6FBF" w:rsidRDefault="003D0971" w:rsidP="005068F5">
            <w:pPr>
              <w:spacing w:before="40" w:after="40"/>
              <w:jc w:val="center"/>
              <w:rPr>
                <w:rFonts w:ascii="Arial" w:hAnsi="Arial" w:cs="Arial"/>
                <w:b/>
                <w:sz w:val="18"/>
                <w:szCs w:val="18"/>
              </w:rPr>
            </w:pPr>
            <w:r w:rsidRPr="004B6FBF">
              <w:rPr>
                <w:rFonts w:ascii="Arial" w:hAnsi="Arial" w:cs="Arial"/>
                <w:b/>
                <w:sz w:val="18"/>
                <w:szCs w:val="18"/>
              </w:rPr>
              <w:t xml:space="preserve">Public </w:t>
            </w:r>
            <w:r w:rsidR="00E21642" w:rsidRPr="004B6FBF">
              <w:rPr>
                <w:rFonts w:ascii="Arial" w:hAnsi="Arial" w:cs="Arial"/>
                <w:b/>
                <w:sz w:val="18"/>
                <w:szCs w:val="18"/>
              </w:rPr>
              <w:t>or Super</w:t>
            </w:r>
            <w:r w:rsidRPr="004B6FBF">
              <w:rPr>
                <w:rFonts w:ascii="Arial" w:hAnsi="Arial" w:cs="Arial"/>
                <w:b/>
                <w:sz w:val="18"/>
                <w:szCs w:val="18"/>
              </w:rPr>
              <w:t xml:space="preserve"> ESCO</w:t>
            </w:r>
          </w:p>
        </w:tc>
        <w:tc>
          <w:tcPr>
            <w:tcW w:w="1800" w:type="dxa"/>
            <w:shd w:val="clear" w:color="auto" w:fill="002060"/>
            <w:vAlign w:val="bottom"/>
          </w:tcPr>
          <w:p w14:paraId="578C13D9" w14:textId="77777777" w:rsidR="003D0971" w:rsidRPr="004B6FBF" w:rsidRDefault="003D0971" w:rsidP="005068F5">
            <w:pPr>
              <w:spacing w:before="40" w:after="40"/>
              <w:jc w:val="center"/>
              <w:rPr>
                <w:rFonts w:ascii="Arial" w:hAnsi="Arial" w:cs="Arial"/>
                <w:b/>
                <w:sz w:val="18"/>
                <w:szCs w:val="18"/>
              </w:rPr>
            </w:pPr>
            <w:r w:rsidRPr="004B6FBF">
              <w:rPr>
                <w:rFonts w:ascii="Arial" w:hAnsi="Arial" w:cs="Arial"/>
                <w:b/>
                <w:sz w:val="18"/>
                <w:szCs w:val="18"/>
              </w:rPr>
              <w:t>Private ESCO</w:t>
            </w:r>
            <w:r>
              <w:rPr>
                <w:rFonts w:ascii="Arial" w:hAnsi="Arial" w:cs="Arial"/>
                <w:b/>
                <w:sz w:val="18"/>
                <w:szCs w:val="18"/>
              </w:rPr>
              <w:t>s &amp;</w:t>
            </w:r>
            <w:r w:rsidRPr="004B6FBF">
              <w:rPr>
                <w:rFonts w:ascii="Arial" w:hAnsi="Arial" w:cs="Arial"/>
                <w:b/>
                <w:sz w:val="18"/>
                <w:szCs w:val="18"/>
              </w:rPr>
              <w:t xml:space="preserve"> Performance Contracting</w:t>
            </w:r>
          </w:p>
        </w:tc>
      </w:tr>
      <w:tr w:rsidR="003D0971" w14:paraId="02757108" w14:textId="77777777" w:rsidTr="007621A6">
        <w:tc>
          <w:tcPr>
            <w:tcW w:w="2335" w:type="dxa"/>
            <w:shd w:val="clear" w:color="auto" w:fill="D9E2F3"/>
          </w:tcPr>
          <w:p w14:paraId="0DB9A514" w14:textId="77777777" w:rsidR="003D0971" w:rsidRPr="004B6FBF" w:rsidRDefault="003D0971" w:rsidP="005068F5">
            <w:pPr>
              <w:spacing w:beforeLines="20" w:before="48" w:afterLines="20" w:after="48"/>
              <w:jc w:val="left"/>
              <w:rPr>
                <w:rFonts w:ascii="Arial" w:hAnsi="Arial" w:cs="Arial"/>
                <w:b/>
                <w:sz w:val="16"/>
                <w:szCs w:val="16"/>
              </w:rPr>
            </w:pPr>
            <w:r w:rsidRPr="004B6FBF">
              <w:rPr>
                <w:rFonts w:ascii="Arial" w:hAnsi="Arial" w:cs="Arial"/>
                <w:b/>
                <w:sz w:val="16"/>
                <w:szCs w:val="16"/>
              </w:rPr>
              <w:t>Type of Financing</w:t>
            </w:r>
          </w:p>
        </w:tc>
        <w:tc>
          <w:tcPr>
            <w:tcW w:w="1980" w:type="dxa"/>
            <w:shd w:val="clear" w:color="auto" w:fill="D9E2F3"/>
          </w:tcPr>
          <w:p w14:paraId="25FEA46B"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 xml:space="preserve">Loans and TA; </w:t>
            </w:r>
            <w:r>
              <w:rPr>
                <w:rFonts w:ascii="Arial" w:hAnsi="Arial" w:cs="Arial"/>
                <w:sz w:val="16"/>
                <w:szCs w:val="16"/>
              </w:rPr>
              <w:t>m</w:t>
            </w:r>
            <w:r w:rsidRPr="004B6FBF">
              <w:rPr>
                <w:rFonts w:ascii="Arial" w:hAnsi="Arial" w:cs="Arial"/>
                <w:sz w:val="16"/>
                <w:szCs w:val="16"/>
              </w:rPr>
              <w:t>ay include some grants</w:t>
            </w:r>
          </w:p>
        </w:tc>
        <w:tc>
          <w:tcPr>
            <w:tcW w:w="1800" w:type="dxa"/>
            <w:shd w:val="clear" w:color="auto" w:fill="D9E2F3"/>
          </w:tcPr>
          <w:p w14:paraId="34F66088" w14:textId="77777777" w:rsidR="003D0971" w:rsidRPr="004B6FBF" w:rsidRDefault="003D0971" w:rsidP="007D5145">
            <w:pPr>
              <w:spacing w:beforeLines="20" w:before="48" w:afterLines="20" w:after="48"/>
              <w:jc w:val="left"/>
              <w:rPr>
                <w:rFonts w:ascii="Arial" w:hAnsi="Arial" w:cs="Arial"/>
                <w:sz w:val="16"/>
                <w:szCs w:val="16"/>
              </w:rPr>
            </w:pPr>
            <w:r w:rsidRPr="004B6FBF">
              <w:rPr>
                <w:rFonts w:ascii="Arial" w:hAnsi="Arial" w:cs="Arial"/>
                <w:sz w:val="16"/>
                <w:szCs w:val="16"/>
              </w:rPr>
              <w:t xml:space="preserve">Loans, TA, </w:t>
            </w:r>
            <w:r w:rsidR="007D5145">
              <w:rPr>
                <w:rFonts w:ascii="Arial" w:hAnsi="Arial" w:cs="Arial"/>
                <w:sz w:val="16"/>
                <w:szCs w:val="16"/>
              </w:rPr>
              <w:t>ESA</w:t>
            </w:r>
            <w:r w:rsidRPr="00FC3866">
              <w:rPr>
                <w:rFonts w:ascii="Arial" w:hAnsi="Arial" w:cs="Arial"/>
                <w:sz w:val="16"/>
                <w:szCs w:val="16"/>
              </w:rPr>
              <w:t>s</w:t>
            </w:r>
          </w:p>
        </w:tc>
        <w:tc>
          <w:tcPr>
            <w:tcW w:w="1890" w:type="dxa"/>
            <w:shd w:val="clear" w:color="auto" w:fill="D9E2F3"/>
          </w:tcPr>
          <w:p w14:paraId="6AE21C11"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Loans, TA</w:t>
            </w:r>
          </w:p>
        </w:tc>
        <w:tc>
          <w:tcPr>
            <w:tcW w:w="1980" w:type="dxa"/>
            <w:shd w:val="clear" w:color="auto" w:fill="D9E2F3"/>
          </w:tcPr>
          <w:p w14:paraId="7F5BB022"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Guarantees, TA</w:t>
            </w:r>
          </w:p>
        </w:tc>
        <w:tc>
          <w:tcPr>
            <w:tcW w:w="1890" w:type="dxa"/>
            <w:shd w:val="clear" w:color="auto" w:fill="D9E2F3"/>
          </w:tcPr>
          <w:p w14:paraId="7B810135"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Loans</w:t>
            </w:r>
          </w:p>
        </w:tc>
        <w:tc>
          <w:tcPr>
            <w:tcW w:w="1800" w:type="dxa"/>
            <w:shd w:val="clear" w:color="auto" w:fill="D9E2F3"/>
          </w:tcPr>
          <w:p w14:paraId="1F184E02"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Loans</w:t>
            </w:r>
          </w:p>
        </w:tc>
      </w:tr>
      <w:tr w:rsidR="003D0971" w14:paraId="29D24A8C" w14:textId="77777777" w:rsidTr="007621A6">
        <w:tc>
          <w:tcPr>
            <w:tcW w:w="2335" w:type="dxa"/>
            <w:shd w:val="clear" w:color="auto" w:fill="D9E2F3"/>
          </w:tcPr>
          <w:p w14:paraId="6E7DEC43" w14:textId="77777777" w:rsidR="003D0971" w:rsidRPr="004B6FBF" w:rsidRDefault="003D0971" w:rsidP="005068F5">
            <w:pPr>
              <w:spacing w:beforeLines="20" w:before="48" w:afterLines="20" w:after="48"/>
              <w:jc w:val="left"/>
              <w:rPr>
                <w:rFonts w:ascii="Arial" w:hAnsi="Arial" w:cs="Arial"/>
                <w:b/>
                <w:sz w:val="16"/>
                <w:szCs w:val="16"/>
              </w:rPr>
            </w:pPr>
            <w:r>
              <w:rPr>
                <w:rFonts w:ascii="Arial" w:hAnsi="Arial" w:cs="Arial"/>
                <w:b/>
                <w:sz w:val="16"/>
                <w:szCs w:val="16"/>
              </w:rPr>
              <w:t>Public</w:t>
            </w:r>
            <w:r w:rsidRPr="004B6FBF">
              <w:rPr>
                <w:rFonts w:ascii="Arial" w:hAnsi="Arial" w:cs="Arial"/>
                <w:b/>
                <w:sz w:val="16"/>
                <w:szCs w:val="16"/>
              </w:rPr>
              <w:t xml:space="preserve"> Entities Served*</w:t>
            </w:r>
          </w:p>
        </w:tc>
        <w:tc>
          <w:tcPr>
            <w:tcW w:w="1980" w:type="dxa"/>
            <w:shd w:val="clear" w:color="auto" w:fill="D9E2F3"/>
          </w:tcPr>
          <w:p w14:paraId="6FDDB48F"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I, II and III</w:t>
            </w:r>
          </w:p>
        </w:tc>
        <w:tc>
          <w:tcPr>
            <w:tcW w:w="1800" w:type="dxa"/>
            <w:shd w:val="clear" w:color="auto" w:fill="D9E2F3"/>
          </w:tcPr>
          <w:p w14:paraId="2764CA36"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I, II and III</w:t>
            </w:r>
          </w:p>
        </w:tc>
        <w:tc>
          <w:tcPr>
            <w:tcW w:w="1890" w:type="dxa"/>
            <w:shd w:val="clear" w:color="auto" w:fill="D9E2F3"/>
          </w:tcPr>
          <w:p w14:paraId="60AE419F" w14:textId="77777777" w:rsidR="003D0971" w:rsidRPr="004B6FBF" w:rsidRDefault="00C90E94" w:rsidP="005068F5">
            <w:pPr>
              <w:spacing w:beforeLines="20" w:before="48" w:afterLines="20" w:after="48"/>
              <w:jc w:val="left"/>
              <w:rPr>
                <w:rFonts w:ascii="Arial" w:hAnsi="Arial" w:cs="Arial"/>
                <w:sz w:val="16"/>
                <w:szCs w:val="16"/>
              </w:rPr>
            </w:pPr>
            <w:r>
              <w:rPr>
                <w:rFonts w:ascii="Arial" w:hAnsi="Arial" w:cs="Arial"/>
                <w:sz w:val="16"/>
                <w:szCs w:val="16"/>
              </w:rPr>
              <w:t>I</w:t>
            </w:r>
            <w:r w:rsidR="003D0971" w:rsidRPr="004B6FBF">
              <w:rPr>
                <w:rFonts w:ascii="Arial" w:hAnsi="Arial" w:cs="Arial"/>
                <w:sz w:val="16"/>
                <w:szCs w:val="16"/>
              </w:rPr>
              <w:t xml:space="preserve"> only</w:t>
            </w:r>
          </w:p>
        </w:tc>
        <w:tc>
          <w:tcPr>
            <w:tcW w:w="1980" w:type="dxa"/>
            <w:shd w:val="clear" w:color="auto" w:fill="D9E2F3"/>
          </w:tcPr>
          <w:p w14:paraId="18185FF5" w14:textId="77777777" w:rsidR="003D0971" w:rsidRPr="004B6FBF" w:rsidRDefault="008027C6" w:rsidP="005068F5">
            <w:pPr>
              <w:spacing w:beforeLines="20" w:before="48" w:afterLines="20" w:after="48"/>
              <w:jc w:val="left"/>
              <w:rPr>
                <w:rFonts w:ascii="Arial" w:hAnsi="Arial" w:cs="Arial"/>
                <w:sz w:val="16"/>
                <w:szCs w:val="16"/>
              </w:rPr>
            </w:pPr>
            <w:r>
              <w:rPr>
                <w:rFonts w:ascii="Arial" w:hAnsi="Arial" w:cs="Arial"/>
                <w:sz w:val="16"/>
                <w:szCs w:val="16"/>
              </w:rPr>
              <w:t>I</w:t>
            </w:r>
            <w:r w:rsidR="004E3A0D">
              <w:rPr>
                <w:rFonts w:ascii="Arial" w:hAnsi="Arial" w:cs="Arial"/>
                <w:sz w:val="16"/>
                <w:szCs w:val="16"/>
              </w:rPr>
              <w:t xml:space="preserve"> only</w:t>
            </w:r>
          </w:p>
        </w:tc>
        <w:tc>
          <w:tcPr>
            <w:tcW w:w="1890" w:type="dxa"/>
            <w:shd w:val="clear" w:color="auto" w:fill="D9E2F3"/>
          </w:tcPr>
          <w:p w14:paraId="7A2602C2"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I, II and III</w:t>
            </w:r>
          </w:p>
        </w:tc>
        <w:tc>
          <w:tcPr>
            <w:tcW w:w="1800" w:type="dxa"/>
            <w:shd w:val="clear" w:color="auto" w:fill="D9E2F3"/>
          </w:tcPr>
          <w:p w14:paraId="1F44B4A1" w14:textId="77777777" w:rsidR="003D0971" w:rsidRPr="004B6FBF" w:rsidRDefault="00C90E94" w:rsidP="005068F5">
            <w:pPr>
              <w:spacing w:beforeLines="20" w:before="48" w:afterLines="20" w:after="48"/>
              <w:jc w:val="left"/>
              <w:rPr>
                <w:rFonts w:ascii="Arial" w:hAnsi="Arial" w:cs="Arial"/>
                <w:sz w:val="16"/>
                <w:szCs w:val="16"/>
              </w:rPr>
            </w:pPr>
            <w:r>
              <w:rPr>
                <w:rFonts w:ascii="Arial" w:hAnsi="Arial" w:cs="Arial"/>
                <w:sz w:val="16"/>
                <w:szCs w:val="16"/>
              </w:rPr>
              <w:t>I and II</w:t>
            </w:r>
            <w:r w:rsidR="008027C6">
              <w:rPr>
                <w:rFonts w:ascii="Arial" w:hAnsi="Arial" w:cs="Arial"/>
                <w:sz w:val="16"/>
                <w:szCs w:val="16"/>
              </w:rPr>
              <w:t>I</w:t>
            </w:r>
          </w:p>
        </w:tc>
      </w:tr>
      <w:tr w:rsidR="003D0971" w14:paraId="07C96630" w14:textId="77777777" w:rsidTr="007621A6">
        <w:tc>
          <w:tcPr>
            <w:tcW w:w="2335" w:type="dxa"/>
            <w:shd w:val="clear" w:color="auto" w:fill="D9E2F3"/>
          </w:tcPr>
          <w:p w14:paraId="0382B055" w14:textId="77777777" w:rsidR="003D0971" w:rsidRPr="004B6FBF" w:rsidRDefault="003D0971" w:rsidP="005068F5">
            <w:pPr>
              <w:spacing w:beforeLines="20" w:before="48" w:afterLines="20" w:after="48"/>
              <w:jc w:val="left"/>
              <w:rPr>
                <w:rFonts w:ascii="Arial" w:hAnsi="Arial" w:cs="Arial"/>
                <w:b/>
                <w:sz w:val="16"/>
                <w:szCs w:val="16"/>
              </w:rPr>
            </w:pPr>
            <w:r w:rsidRPr="004B6FBF">
              <w:rPr>
                <w:rFonts w:ascii="Arial" w:hAnsi="Arial" w:cs="Arial"/>
                <w:b/>
                <w:sz w:val="16"/>
                <w:szCs w:val="16"/>
              </w:rPr>
              <w:t>Management and Governance</w:t>
            </w:r>
          </w:p>
        </w:tc>
        <w:tc>
          <w:tcPr>
            <w:tcW w:w="1980" w:type="dxa"/>
            <w:shd w:val="clear" w:color="auto" w:fill="D9E2F3"/>
          </w:tcPr>
          <w:p w14:paraId="47B36DB1" w14:textId="77777777" w:rsidR="003D0971" w:rsidRPr="004B6FBF" w:rsidRDefault="004E3A0D" w:rsidP="001E2045">
            <w:pPr>
              <w:spacing w:beforeLines="20" w:before="48" w:afterLines="20" w:after="48"/>
              <w:jc w:val="left"/>
              <w:rPr>
                <w:rFonts w:ascii="Arial" w:hAnsi="Arial" w:cs="Arial"/>
                <w:sz w:val="16"/>
                <w:szCs w:val="16"/>
              </w:rPr>
            </w:pPr>
            <w:r>
              <w:rPr>
                <w:rFonts w:ascii="Arial" w:hAnsi="Arial" w:cs="Arial"/>
                <w:sz w:val="16"/>
                <w:szCs w:val="16"/>
              </w:rPr>
              <w:t>P</w:t>
            </w:r>
            <w:r w:rsidR="001E2045">
              <w:rPr>
                <w:rFonts w:ascii="Arial" w:hAnsi="Arial" w:cs="Arial"/>
                <w:sz w:val="16"/>
                <w:szCs w:val="16"/>
              </w:rPr>
              <w:t>roject implementation unit (P</w:t>
            </w:r>
            <w:r>
              <w:rPr>
                <w:rFonts w:ascii="Arial" w:hAnsi="Arial" w:cs="Arial"/>
                <w:sz w:val="16"/>
                <w:szCs w:val="16"/>
              </w:rPr>
              <w:t>I</w:t>
            </w:r>
            <w:r w:rsidR="003D0971" w:rsidRPr="004B6FBF">
              <w:rPr>
                <w:rFonts w:ascii="Arial" w:hAnsi="Arial" w:cs="Arial"/>
                <w:sz w:val="16"/>
                <w:szCs w:val="16"/>
              </w:rPr>
              <w:t>U</w:t>
            </w:r>
            <w:r w:rsidR="001E2045">
              <w:rPr>
                <w:rFonts w:ascii="Arial" w:hAnsi="Arial" w:cs="Arial"/>
                <w:sz w:val="16"/>
                <w:szCs w:val="16"/>
              </w:rPr>
              <w:t>)</w:t>
            </w:r>
            <w:r w:rsidR="003D0971" w:rsidRPr="004B6FBF">
              <w:rPr>
                <w:rFonts w:ascii="Arial" w:hAnsi="Arial" w:cs="Arial"/>
                <w:sz w:val="16"/>
                <w:szCs w:val="16"/>
              </w:rPr>
              <w:t xml:space="preserve"> within MOF</w:t>
            </w:r>
          </w:p>
        </w:tc>
        <w:tc>
          <w:tcPr>
            <w:tcW w:w="1800" w:type="dxa"/>
            <w:shd w:val="clear" w:color="auto" w:fill="D9E2F3"/>
          </w:tcPr>
          <w:p w14:paraId="4983FDB6"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 xml:space="preserve">Board of </w:t>
            </w:r>
            <w:r w:rsidRPr="00FC3866">
              <w:rPr>
                <w:rFonts w:ascii="Arial" w:hAnsi="Arial" w:cs="Arial"/>
                <w:sz w:val="16"/>
                <w:szCs w:val="16"/>
              </w:rPr>
              <w:t>directors</w:t>
            </w:r>
          </w:p>
          <w:p w14:paraId="67A903DC"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 xml:space="preserve">Fund </w:t>
            </w:r>
            <w:r w:rsidRPr="00FC3866">
              <w:rPr>
                <w:rFonts w:ascii="Arial" w:hAnsi="Arial" w:cs="Arial"/>
                <w:sz w:val="16"/>
                <w:szCs w:val="16"/>
              </w:rPr>
              <w:t>management team</w:t>
            </w:r>
          </w:p>
        </w:tc>
        <w:tc>
          <w:tcPr>
            <w:tcW w:w="1890" w:type="dxa"/>
            <w:shd w:val="clear" w:color="auto" w:fill="D9E2F3"/>
          </w:tcPr>
          <w:p w14:paraId="5A05F978"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 xml:space="preserve">IFI, </w:t>
            </w:r>
            <w:r w:rsidRPr="00FC3866">
              <w:rPr>
                <w:rFonts w:ascii="Arial" w:hAnsi="Arial" w:cs="Arial"/>
                <w:sz w:val="16"/>
                <w:szCs w:val="16"/>
              </w:rPr>
              <w:t>participating financial institutions</w:t>
            </w:r>
          </w:p>
        </w:tc>
        <w:tc>
          <w:tcPr>
            <w:tcW w:w="1980" w:type="dxa"/>
            <w:shd w:val="clear" w:color="auto" w:fill="D9E2F3"/>
          </w:tcPr>
          <w:p w14:paraId="324055AC"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 xml:space="preserve">IFI, </w:t>
            </w:r>
            <w:r w:rsidRPr="00FC3866">
              <w:rPr>
                <w:rFonts w:ascii="Arial" w:hAnsi="Arial" w:cs="Arial"/>
                <w:sz w:val="16"/>
                <w:szCs w:val="16"/>
              </w:rPr>
              <w:t>participating financial institutions</w:t>
            </w:r>
          </w:p>
        </w:tc>
        <w:tc>
          <w:tcPr>
            <w:tcW w:w="1890" w:type="dxa"/>
            <w:shd w:val="clear" w:color="auto" w:fill="D9E2F3"/>
          </w:tcPr>
          <w:p w14:paraId="69238298"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 xml:space="preserve">Board of </w:t>
            </w:r>
            <w:r w:rsidRPr="00FC3866">
              <w:rPr>
                <w:rFonts w:ascii="Arial" w:hAnsi="Arial" w:cs="Arial"/>
                <w:sz w:val="16"/>
                <w:szCs w:val="16"/>
              </w:rPr>
              <w:t>directors</w:t>
            </w:r>
          </w:p>
        </w:tc>
        <w:tc>
          <w:tcPr>
            <w:tcW w:w="1800" w:type="dxa"/>
            <w:shd w:val="clear" w:color="auto" w:fill="D9E2F3"/>
          </w:tcPr>
          <w:p w14:paraId="1255FCA1"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IFI, participating financial institutions</w:t>
            </w:r>
          </w:p>
        </w:tc>
      </w:tr>
      <w:tr w:rsidR="003D0971" w14:paraId="68A607FB" w14:textId="77777777" w:rsidTr="007621A6">
        <w:tc>
          <w:tcPr>
            <w:tcW w:w="2335" w:type="dxa"/>
            <w:shd w:val="clear" w:color="auto" w:fill="D9E2F3"/>
          </w:tcPr>
          <w:p w14:paraId="5461EDAB" w14:textId="77777777" w:rsidR="003D0971" w:rsidRPr="004B6FBF" w:rsidRDefault="003D0971" w:rsidP="005068F5">
            <w:pPr>
              <w:spacing w:beforeLines="20" w:before="48" w:afterLines="20" w:after="48"/>
              <w:jc w:val="left"/>
              <w:rPr>
                <w:rFonts w:ascii="Arial" w:hAnsi="Arial" w:cs="Arial"/>
                <w:b/>
                <w:sz w:val="16"/>
                <w:szCs w:val="16"/>
              </w:rPr>
            </w:pPr>
            <w:r w:rsidRPr="004B6FBF">
              <w:rPr>
                <w:rFonts w:ascii="Arial" w:hAnsi="Arial" w:cs="Arial"/>
                <w:b/>
                <w:sz w:val="16"/>
                <w:szCs w:val="16"/>
              </w:rPr>
              <w:t>Project Development</w:t>
            </w:r>
          </w:p>
        </w:tc>
        <w:tc>
          <w:tcPr>
            <w:tcW w:w="1980" w:type="dxa"/>
            <w:shd w:val="clear" w:color="auto" w:fill="D9E2F3"/>
          </w:tcPr>
          <w:p w14:paraId="4BE795BB" w14:textId="77777777" w:rsidR="003D0971" w:rsidRPr="004B6FBF" w:rsidRDefault="004E3A0D" w:rsidP="005068F5">
            <w:pPr>
              <w:spacing w:beforeLines="20" w:before="48" w:afterLines="20" w:after="48"/>
              <w:jc w:val="left"/>
              <w:rPr>
                <w:rFonts w:ascii="Arial" w:hAnsi="Arial" w:cs="Arial"/>
                <w:sz w:val="16"/>
                <w:szCs w:val="16"/>
              </w:rPr>
            </w:pPr>
            <w:r>
              <w:rPr>
                <w:rFonts w:ascii="Arial" w:hAnsi="Arial" w:cs="Arial"/>
                <w:sz w:val="16"/>
                <w:szCs w:val="16"/>
              </w:rPr>
              <w:t>By PI</w:t>
            </w:r>
            <w:r w:rsidR="003D0971" w:rsidRPr="004B6FBF">
              <w:rPr>
                <w:rFonts w:ascii="Arial" w:hAnsi="Arial" w:cs="Arial"/>
                <w:sz w:val="16"/>
                <w:szCs w:val="16"/>
              </w:rPr>
              <w:t>U</w:t>
            </w:r>
          </w:p>
        </w:tc>
        <w:tc>
          <w:tcPr>
            <w:tcW w:w="1800" w:type="dxa"/>
            <w:shd w:val="clear" w:color="auto" w:fill="D9E2F3"/>
          </w:tcPr>
          <w:p w14:paraId="0E681442" w14:textId="77777777" w:rsidR="003D0971" w:rsidRPr="004B6FBF" w:rsidRDefault="003D0971" w:rsidP="005068F5">
            <w:pPr>
              <w:spacing w:beforeLines="20" w:before="48" w:afterLines="20" w:after="48"/>
              <w:jc w:val="left"/>
              <w:rPr>
                <w:rFonts w:ascii="Arial" w:hAnsi="Arial" w:cs="Arial"/>
                <w:sz w:val="16"/>
                <w:szCs w:val="16"/>
              </w:rPr>
            </w:pPr>
            <w:r w:rsidRPr="00FC3866">
              <w:rPr>
                <w:rFonts w:ascii="Arial" w:hAnsi="Arial" w:cs="Arial"/>
                <w:sz w:val="16"/>
                <w:szCs w:val="16"/>
              </w:rPr>
              <w:t xml:space="preserve">Fund </w:t>
            </w:r>
            <w:r w:rsidRPr="003D0472">
              <w:rPr>
                <w:rFonts w:ascii="Arial" w:hAnsi="Arial" w:cs="Arial"/>
                <w:sz w:val="16"/>
                <w:szCs w:val="16"/>
              </w:rPr>
              <w:t>management team</w:t>
            </w:r>
          </w:p>
        </w:tc>
        <w:tc>
          <w:tcPr>
            <w:tcW w:w="1890" w:type="dxa"/>
            <w:shd w:val="clear" w:color="auto" w:fill="D9E2F3"/>
          </w:tcPr>
          <w:p w14:paraId="49DDDBFA" w14:textId="77777777" w:rsidR="003D0971" w:rsidRPr="004B6FBF" w:rsidRDefault="003D0971" w:rsidP="005068F5">
            <w:pPr>
              <w:spacing w:beforeLines="20" w:before="48" w:afterLines="20" w:after="48"/>
              <w:jc w:val="left"/>
              <w:rPr>
                <w:rFonts w:ascii="Arial" w:hAnsi="Arial" w:cs="Arial"/>
                <w:sz w:val="16"/>
                <w:szCs w:val="16"/>
              </w:rPr>
            </w:pPr>
            <w:r w:rsidRPr="00FC3866">
              <w:rPr>
                <w:rFonts w:ascii="Arial" w:hAnsi="Arial" w:cs="Arial"/>
                <w:sz w:val="16"/>
                <w:szCs w:val="16"/>
              </w:rPr>
              <w:t xml:space="preserve">Participating </w:t>
            </w:r>
            <w:r w:rsidRPr="003D0472">
              <w:rPr>
                <w:rFonts w:ascii="Arial" w:hAnsi="Arial" w:cs="Arial"/>
                <w:sz w:val="16"/>
                <w:szCs w:val="16"/>
              </w:rPr>
              <w:t>financial institutions</w:t>
            </w:r>
          </w:p>
        </w:tc>
        <w:tc>
          <w:tcPr>
            <w:tcW w:w="1980" w:type="dxa"/>
            <w:shd w:val="clear" w:color="auto" w:fill="D9E2F3"/>
          </w:tcPr>
          <w:p w14:paraId="5F4CE1E8"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 xml:space="preserve">Participating </w:t>
            </w:r>
            <w:r w:rsidRPr="00FC3866">
              <w:rPr>
                <w:rFonts w:ascii="Arial" w:hAnsi="Arial" w:cs="Arial"/>
                <w:sz w:val="16"/>
                <w:szCs w:val="16"/>
              </w:rPr>
              <w:t>financial institutions</w:t>
            </w:r>
          </w:p>
        </w:tc>
        <w:tc>
          <w:tcPr>
            <w:tcW w:w="1890" w:type="dxa"/>
            <w:shd w:val="clear" w:color="auto" w:fill="D9E2F3"/>
          </w:tcPr>
          <w:p w14:paraId="23836430"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Management team of public or super ESCO</w:t>
            </w:r>
          </w:p>
        </w:tc>
        <w:tc>
          <w:tcPr>
            <w:tcW w:w="1800" w:type="dxa"/>
            <w:shd w:val="clear" w:color="auto" w:fill="D9E2F3"/>
          </w:tcPr>
          <w:p w14:paraId="02A7564A"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Private ESCOs</w:t>
            </w:r>
          </w:p>
        </w:tc>
      </w:tr>
      <w:tr w:rsidR="003D0971" w14:paraId="06DF43A8" w14:textId="77777777" w:rsidTr="007621A6">
        <w:tc>
          <w:tcPr>
            <w:tcW w:w="2335" w:type="dxa"/>
            <w:shd w:val="clear" w:color="auto" w:fill="D9E2F3"/>
          </w:tcPr>
          <w:p w14:paraId="448D23BE" w14:textId="77777777" w:rsidR="003D0971" w:rsidRPr="004B6FBF" w:rsidRDefault="003D0971" w:rsidP="005068F5">
            <w:pPr>
              <w:spacing w:beforeLines="20" w:before="48" w:afterLines="20" w:after="48"/>
              <w:jc w:val="left"/>
              <w:rPr>
                <w:rFonts w:ascii="Arial" w:hAnsi="Arial" w:cs="Arial"/>
                <w:b/>
                <w:sz w:val="16"/>
                <w:szCs w:val="16"/>
              </w:rPr>
            </w:pPr>
            <w:r w:rsidRPr="004B6FBF">
              <w:rPr>
                <w:rFonts w:ascii="Arial" w:hAnsi="Arial" w:cs="Arial"/>
                <w:b/>
                <w:sz w:val="16"/>
                <w:szCs w:val="16"/>
              </w:rPr>
              <w:t>Project Implementation</w:t>
            </w:r>
          </w:p>
        </w:tc>
        <w:tc>
          <w:tcPr>
            <w:tcW w:w="1980" w:type="dxa"/>
            <w:shd w:val="clear" w:color="auto" w:fill="D9E2F3"/>
          </w:tcPr>
          <w:p w14:paraId="75A10EA8" w14:textId="77777777" w:rsidR="003D0971" w:rsidRDefault="007621A6" w:rsidP="007621A6">
            <w:pPr>
              <w:spacing w:beforeLines="20" w:before="48" w:afterLines="20" w:after="48"/>
              <w:jc w:val="left"/>
              <w:rPr>
                <w:rFonts w:ascii="Arial" w:hAnsi="Arial" w:cs="Arial"/>
                <w:sz w:val="16"/>
                <w:szCs w:val="16"/>
              </w:rPr>
            </w:pPr>
            <w:r>
              <w:rPr>
                <w:rFonts w:ascii="Arial" w:hAnsi="Arial" w:cs="Arial"/>
                <w:sz w:val="16"/>
                <w:szCs w:val="16"/>
              </w:rPr>
              <w:t xml:space="preserve">By </w:t>
            </w:r>
            <w:r w:rsidR="003D0971" w:rsidRPr="004B6FBF">
              <w:rPr>
                <w:rFonts w:ascii="Arial" w:hAnsi="Arial" w:cs="Arial"/>
                <w:sz w:val="16"/>
                <w:szCs w:val="16"/>
              </w:rPr>
              <w:t>Type I municipalities</w:t>
            </w:r>
            <w:r>
              <w:rPr>
                <w:rFonts w:ascii="Arial" w:hAnsi="Arial" w:cs="Arial"/>
                <w:sz w:val="16"/>
                <w:szCs w:val="16"/>
              </w:rPr>
              <w:t xml:space="preserve"> and Type </w:t>
            </w:r>
            <w:r w:rsidR="004E3A0D">
              <w:rPr>
                <w:rFonts w:ascii="Arial" w:hAnsi="Arial" w:cs="Arial"/>
                <w:sz w:val="16"/>
                <w:szCs w:val="16"/>
              </w:rPr>
              <w:t>I</w:t>
            </w:r>
            <w:r w:rsidR="008027C6">
              <w:rPr>
                <w:rFonts w:ascii="Arial" w:hAnsi="Arial" w:cs="Arial"/>
                <w:sz w:val="16"/>
                <w:szCs w:val="16"/>
              </w:rPr>
              <w:t>II</w:t>
            </w:r>
            <w:r>
              <w:rPr>
                <w:rFonts w:ascii="Arial" w:hAnsi="Arial" w:cs="Arial"/>
                <w:sz w:val="16"/>
                <w:szCs w:val="16"/>
              </w:rPr>
              <w:t xml:space="preserve"> central entities</w:t>
            </w:r>
            <w:r w:rsidR="003D0971" w:rsidRPr="004B6FBF">
              <w:rPr>
                <w:rFonts w:ascii="Arial" w:hAnsi="Arial" w:cs="Arial"/>
                <w:sz w:val="16"/>
                <w:szCs w:val="16"/>
              </w:rPr>
              <w:t xml:space="preserve"> </w:t>
            </w:r>
          </w:p>
          <w:p w14:paraId="3EBC2CAE" w14:textId="77777777" w:rsidR="007621A6" w:rsidRPr="004B6FBF" w:rsidRDefault="004E3A0D" w:rsidP="004E3A0D">
            <w:pPr>
              <w:spacing w:beforeLines="20" w:before="48" w:afterLines="20" w:after="48"/>
              <w:jc w:val="left"/>
              <w:rPr>
                <w:rFonts w:ascii="Arial" w:hAnsi="Arial" w:cs="Arial"/>
                <w:sz w:val="16"/>
                <w:szCs w:val="16"/>
              </w:rPr>
            </w:pPr>
            <w:r>
              <w:rPr>
                <w:rFonts w:ascii="Arial" w:hAnsi="Arial" w:cs="Arial"/>
                <w:sz w:val="16"/>
                <w:szCs w:val="16"/>
              </w:rPr>
              <w:t>PI</w:t>
            </w:r>
            <w:r w:rsidR="007621A6">
              <w:rPr>
                <w:rFonts w:ascii="Arial" w:hAnsi="Arial" w:cs="Arial"/>
                <w:sz w:val="16"/>
                <w:szCs w:val="16"/>
              </w:rPr>
              <w:t xml:space="preserve">U may implement for Type II &amp; some Type </w:t>
            </w:r>
            <w:r>
              <w:rPr>
                <w:rFonts w:ascii="Arial" w:hAnsi="Arial" w:cs="Arial"/>
                <w:sz w:val="16"/>
                <w:szCs w:val="16"/>
              </w:rPr>
              <w:t>I</w:t>
            </w:r>
            <w:r w:rsidR="00925B15">
              <w:rPr>
                <w:rFonts w:ascii="Arial" w:hAnsi="Arial" w:cs="Arial"/>
                <w:sz w:val="16"/>
                <w:szCs w:val="16"/>
              </w:rPr>
              <w:t>II</w:t>
            </w:r>
            <w:r w:rsidR="007621A6">
              <w:rPr>
                <w:rFonts w:ascii="Arial" w:hAnsi="Arial" w:cs="Arial"/>
                <w:sz w:val="16"/>
                <w:szCs w:val="16"/>
              </w:rPr>
              <w:t xml:space="preserve"> </w:t>
            </w:r>
          </w:p>
        </w:tc>
        <w:tc>
          <w:tcPr>
            <w:tcW w:w="1800" w:type="dxa"/>
            <w:shd w:val="clear" w:color="auto" w:fill="D9E2F3"/>
          </w:tcPr>
          <w:p w14:paraId="540AED8B" w14:textId="77777777" w:rsidR="003D0971" w:rsidRPr="004B6FBF" w:rsidRDefault="004E3A0D" w:rsidP="005068F5">
            <w:pPr>
              <w:spacing w:beforeLines="20" w:before="48" w:afterLines="20" w:after="48"/>
              <w:jc w:val="left"/>
              <w:rPr>
                <w:rFonts w:ascii="Arial" w:hAnsi="Arial" w:cs="Arial"/>
                <w:sz w:val="16"/>
                <w:szCs w:val="16"/>
              </w:rPr>
            </w:pPr>
            <w:r>
              <w:rPr>
                <w:rFonts w:ascii="Arial" w:hAnsi="Arial" w:cs="Arial"/>
                <w:sz w:val="16"/>
                <w:szCs w:val="16"/>
              </w:rPr>
              <w:t xml:space="preserve">Type I </w:t>
            </w:r>
            <w:r w:rsidR="008027C6">
              <w:rPr>
                <w:rFonts w:ascii="Arial" w:hAnsi="Arial" w:cs="Arial"/>
                <w:sz w:val="16"/>
                <w:szCs w:val="16"/>
              </w:rPr>
              <w:t xml:space="preserve">municipalities </w:t>
            </w:r>
            <w:r w:rsidR="007621A6">
              <w:rPr>
                <w:rFonts w:ascii="Arial" w:hAnsi="Arial" w:cs="Arial"/>
                <w:sz w:val="16"/>
                <w:szCs w:val="16"/>
              </w:rPr>
              <w:t>Type I</w:t>
            </w:r>
            <w:r w:rsidR="008027C6">
              <w:rPr>
                <w:rFonts w:ascii="Arial" w:hAnsi="Arial" w:cs="Arial"/>
                <w:sz w:val="16"/>
                <w:szCs w:val="16"/>
              </w:rPr>
              <w:t>I</w:t>
            </w:r>
            <w:r>
              <w:rPr>
                <w:rFonts w:ascii="Arial" w:hAnsi="Arial" w:cs="Arial"/>
                <w:sz w:val="16"/>
                <w:szCs w:val="16"/>
              </w:rPr>
              <w:t>I</w:t>
            </w:r>
            <w:r w:rsidR="007621A6">
              <w:rPr>
                <w:rFonts w:ascii="Arial" w:hAnsi="Arial" w:cs="Arial"/>
                <w:sz w:val="16"/>
                <w:szCs w:val="16"/>
              </w:rPr>
              <w:t xml:space="preserve"> </w:t>
            </w:r>
            <w:r w:rsidR="008027C6">
              <w:rPr>
                <w:rFonts w:ascii="Arial" w:hAnsi="Arial" w:cs="Arial"/>
                <w:sz w:val="16"/>
                <w:szCs w:val="16"/>
              </w:rPr>
              <w:t xml:space="preserve">central </w:t>
            </w:r>
            <w:r w:rsidR="008027C6" w:rsidRPr="004B6FBF">
              <w:rPr>
                <w:rFonts w:ascii="Arial" w:hAnsi="Arial" w:cs="Arial"/>
                <w:sz w:val="16"/>
                <w:szCs w:val="16"/>
              </w:rPr>
              <w:t>entities</w:t>
            </w:r>
            <w:r w:rsidR="007621A6">
              <w:rPr>
                <w:rFonts w:ascii="Arial" w:hAnsi="Arial" w:cs="Arial"/>
                <w:sz w:val="16"/>
                <w:szCs w:val="16"/>
              </w:rPr>
              <w:t>;</w:t>
            </w:r>
            <w:r w:rsidR="003D0971" w:rsidRPr="004B6FBF">
              <w:rPr>
                <w:rFonts w:ascii="Arial" w:hAnsi="Arial" w:cs="Arial"/>
                <w:sz w:val="16"/>
                <w:szCs w:val="16"/>
              </w:rPr>
              <w:t xml:space="preserve"> </w:t>
            </w:r>
          </w:p>
          <w:p w14:paraId="4247E1A3" w14:textId="77777777" w:rsidR="003D0971" w:rsidRPr="004B6FBF" w:rsidRDefault="003D0971" w:rsidP="007621A6">
            <w:pPr>
              <w:spacing w:beforeLines="20" w:before="48" w:afterLines="20" w:after="48"/>
              <w:jc w:val="left"/>
              <w:rPr>
                <w:rFonts w:ascii="Arial" w:hAnsi="Arial" w:cs="Arial"/>
                <w:sz w:val="16"/>
                <w:szCs w:val="16"/>
              </w:rPr>
            </w:pPr>
            <w:r w:rsidRPr="004B6FBF">
              <w:rPr>
                <w:rFonts w:ascii="Arial" w:hAnsi="Arial" w:cs="Arial"/>
                <w:sz w:val="16"/>
                <w:szCs w:val="16"/>
              </w:rPr>
              <w:t>Fund Mgmt. Team</w:t>
            </w:r>
            <w:r w:rsidR="004E3A0D">
              <w:rPr>
                <w:rFonts w:ascii="Arial" w:hAnsi="Arial" w:cs="Arial"/>
                <w:sz w:val="16"/>
                <w:szCs w:val="16"/>
              </w:rPr>
              <w:t xml:space="preserve"> via ESA for Type </w:t>
            </w:r>
            <w:r w:rsidR="00F97BB2">
              <w:rPr>
                <w:rFonts w:ascii="Arial" w:hAnsi="Arial" w:cs="Arial"/>
                <w:sz w:val="16"/>
                <w:szCs w:val="16"/>
              </w:rPr>
              <w:t>II</w:t>
            </w:r>
            <w:r w:rsidR="007621A6">
              <w:rPr>
                <w:rFonts w:ascii="Arial" w:hAnsi="Arial" w:cs="Arial"/>
                <w:sz w:val="16"/>
                <w:szCs w:val="16"/>
              </w:rPr>
              <w:t xml:space="preserve"> </w:t>
            </w:r>
            <w:r w:rsidR="00E21642">
              <w:rPr>
                <w:rFonts w:ascii="Arial" w:hAnsi="Arial" w:cs="Arial"/>
                <w:sz w:val="16"/>
                <w:szCs w:val="16"/>
              </w:rPr>
              <w:t>and</w:t>
            </w:r>
            <w:r w:rsidR="00F97BB2">
              <w:rPr>
                <w:rFonts w:ascii="Arial" w:hAnsi="Arial" w:cs="Arial"/>
                <w:sz w:val="16"/>
                <w:szCs w:val="16"/>
              </w:rPr>
              <w:t xml:space="preserve"> some Type I</w:t>
            </w:r>
            <w:r w:rsidR="008027C6">
              <w:rPr>
                <w:rFonts w:ascii="Arial" w:hAnsi="Arial" w:cs="Arial"/>
                <w:sz w:val="16"/>
                <w:szCs w:val="16"/>
              </w:rPr>
              <w:t>II</w:t>
            </w:r>
          </w:p>
        </w:tc>
        <w:tc>
          <w:tcPr>
            <w:tcW w:w="1890" w:type="dxa"/>
            <w:shd w:val="clear" w:color="auto" w:fill="D9E2F3"/>
          </w:tcPr>
          <w:p w14:paraId="5AA7F285" w14:textId="77777777" w:rsidR="003D0971" w:rsidRPr="004B6FBF" w:rsidRDefault="003D0971" w:rsidP="007621A6">
            <w:pPr>
              <w:spacing w:beforeLines="20" w:before="48" w:afterLines="20" w:after="48"/>
              <w:jc w:val="left"/>
              <w:rPr>
                <w:rFonts w:ascii="Arial" w:hAnsi="Arial" w:cs="Arial"/>
                <w:sz w:val="16"/>
                <w:szCs w:val="16"/>
              </w:rPr>
            </w:pPr>
            <w:r w:rsidRPr="004B6FBF">
              <w:rPr>
                <w:rFonts w:ascii="Arial" w:hAnsi="Arial" w:cs="Arial"/>
                <w:sz w:val="16"/>
                <w:szCs w:val="16"/>
              </w:rPr>
              <w:t xml:space="preserve">Type </w:t>
            </w:r>
            <w:r w:rsidR="007621A6">
              <w:rPr>
                <w:rFonts w:ascii="Arial" w:hAnsi="Arial" w:cs="Arial"/>
                <w:sz w:val="16"/>
                <w:szCs w:val="16"/>
              </w:rPr>
              <w:t>I</w:t>
            </w:r>
            <w:r w:rsidRPr="004B6FBF">
              <w:rPr>
                <w:rFonts w:ascii="Arial" w:hAnsi="Arial" w:cs="Arial"/>
                <w:sz w:val="16"/>
                <w:szCs w:val="16"/>
              </w:rPr>
              <w:t xml:space="preserve"> municipalities </w:t>
            </w:r>
          </w:p>
        </w:tc>
        <w:tc>
          <w:tcPr>
            <w:tcW w:w="1980" w:type="dxa"/>
            <w:shd w:val="clear" w:color="auto" w:fill="D9E2F3"/>
          </w:tcPr>
          <w:p w14:paraId="780FBD04" w14:textId="77777777" w:rsidR="003D0971" w:rsidRPr="004B6FBF" w:rsidRDefault="003D0971" w:rsidP="004E3A0D">
            <w:pPr>
              <w:spacing w:beforeLines="20" w:before="48" w:afterLines="20" w:after="48"/>
              <w:jc w:val="left"/>
              <w:rPr>
                <w:rFonts w:ascii="Arial" w:hAnsi="Arial" w:cs="Arial"/>
                <w:sz w:val="16"/>
                <w:szCs w:val="16"/>
              </w:rPr>
            </w:pPr>
            <w:r w:rsidRPr="004B6FBF">
              <w:rPr>
                <w:rFonts w:ascii="Arial" w:hAnsi="Arial" w:cs="Arial"/>
                <w:sz w:val="16"/>
                <w:szCs w:val="16"/>
              </w:rPr>
              <w:t>T</w:t>
            </w:r>
            <w:r w:rsidR="00925B15">
              <w:rPr>
                <w:rFonts w:ascii="Arial" w:hAnsi="Arial" w:cs="Arial"/>
                <w:sz w:val="16"/>
                <w:szCs w:val="16"/>
              </w:rPr>
              <w:t xml:space="preserve">ype </w:t>
            </w:r>
            <w:r w:rsidR="004E3A0D">
              <w:rPr>
                <w:rFonts w:ascii="Arial" w:hAnsi="Arial" w:cs="Arial"/>
                <w:sz w:val="16"/>
                <w:szCs w:val="16"/>
              </w:rPr>
              <w:t>I</w:t>
            </w:r>
            <w:r w:rsidRPr="004B6FBF">
              <w:rPr>
                <w:rFonts w:ascii="Arial" w:hAnsi="Arial" w:cs="Arial"/>
                <w:sz w:val="16"/>
                <w:szCs w:val="16"/>
              </w:rPr>
              <w:t xml:space="preserve"> municipalities </w:t>
            </w:r>
          </w:p>
        </w:tc>
        <w:tc>
          <w:tcPr>
            <w:tcW w:w="1890" w:type="dxa"/>
            <w:shd w:val="clear" w:color="auto" w:fill="D9E2F3"/>
          </w:tcPr>
          <w:p w14:paraId="0ED34774"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Management team of public or super ESCO</w:t>
            </w:r>
          </w:p>
        </w:tc>
        <w:tc>
          <w:tcPr>
            <w:tcW w:w="1800" w:type="dxa"/>
            <w:shd w:val="clear" w:color="auto" w:fill="D9E2F3"/>
          </w:tcPr>
          <w:p w14:paraId="5A68F080"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Private ESCOs</w:t>
            </w:r>
          </w:p>
        </w:tc>
      </w:tr>
      <w:tr w:rsidR="003D0971" w14:paraId="7AB8F308" w14:textId="77777777" w:rsidTr="007621A6">
        <w:tc>
          <w:tcPr>
            <w:tcW w:w="2335" w:type="dxa"/>
            <w:shd w:val="clear" w:color="auto" w:fill="D9E2F3"/>
          </w:tcPr>
          <w:p w14:paraId="3E333FC0" w14:textId="77777777" w:rsidR="003D0971" w:rsidRPr="004B6FBF" w:rsidRDefault="003D0971" w:rsidP="005068F5">
            <w:pPr>
              <w:spacing w:beforeLines="20" w:before="48" w:afterLines="20" w:after="48"/>
              <w:jc w:val="left"/>
              <w:rPr>
                <w:rFonts w:ascii="Arial" w:hAnsi="Arial" w:cs="Arial"/>
                <w:b/>
                <w:sz w:val="16"/>
                <w:szCs w:val="16"/>
              </w:rPr>
            </w:pPr>
            <w:r w:rsidRPr="004B6FBF">
              <w:rPr>
                <w:rFonts w:ascii="Arial" w:hAnsi="Arial" w:cs="Arial"/>
                <w:b/>
                <w:sz w:val="16"/>
                <w:szCs w:val="16"/>
              </w:rPr>
              <w:t>Advantages</w:t>
            </w:r>
          </w:p>
        </w:tc>
        <w:tc>
          <w:tcPr>
            <w:tcW w:w="1980" w:type="dxa"/>
            <w:shd w:val="clear" w:color="auto" w:fill="D9E2F3"/>
          </w:tcPr>
          <w:p w14:paraId="4F2179AC" w14:textId="77777777" w:rsidR="003D0971" w:rsidRPr="004B6FBF" w:rsidRDefault="003D0971" w:rsidP="00FD7E03">
            <w:pPr>
              <w:pStyle w:val="Tabletextbullet8ptsinglespace"/>
              <w:numPr>
                <w:ilvl w:val="0"/>
                <w:numId w:val="15"/>
              </w:numPr>
              <w:ind w:left="158" w:hanging="158"/>
            </w:pPr>
            <w:r w:rsidRPr="004B6FBF">
              <w:t>Easy to implement</w:t>
            </w:r>
          </w:p>
          <w:p w14:paraId="52459BEB" w14:textId="77777777" w:rsidR="003D0971" w:rsidRPr="004B6FBF" w:rsidRDefault="003D0971" w:rsidP="00FD7E03">
            <w:pPr>
              <w:pStyle w:val="Tabletextbullet8ptsinglespace"/>
              <w:numPr>
                <w:ilvl w:val="0"/>
                <w:numId w:val="15"/>
              </w:numPr>
              <w:ind w:left="158" w:hanging="158"/>
            </w:pPr>
            <w:r w:rsidRPr="004B6FBF">
              <w:t xml:space="preserve">Analogous to </w:t>
            </w:r>
            <w:r w:rsidR="007621A6">
              <w:t xml:space="preserve">some </w:t>
            </w:r>
            <w:r w:rsidRPr="004B6FBF">
              <w:t>existing models</w:t>
            </w:r>
          </w:p>
          <w:p w14:paraId="537B5771" w14:textId="77777777" w:rsidR="003D0971" w:rsidRPr="004B6FBF" w:rsidRDefault="003D0971" w:rsidP="00FD7E03">
            <w:pPr>
              <w:pStyle w:val="Tabletextbullet8ptsinglespace"/>
              <w:numPr>
                <w:ilvl w:val="0"/>
                <w:numId w:val="15"/>
              </w:numPr>
              <w:ind w:left="158" w:hanging="158"/>
            </w:pPr>
            <w:r w:rsidRPr="004B6FBF">
              <w:t>Can address all three types</w:t>
            </w:r>
          </w:p>
        </w:tc>
        <w:tc>
          <w:tcPr>
            <w:tcW w:w="1800" w:type="dxa"/>
            <w:shd w:val="clear" w:color="auto" w:fill="D9E2F3"/>
          </w:tcPr>
          <w:p w14:paraId="3DD6786C" w14:textId="77777777" w:rsidR="003D0971" w:rsidRPr="004B6FBF" w:rsidRDefault="003D0971" w:rsidP="00FD7E03">
            <w:pPr>
              <w:pStyle w:val="Tabletextbullet8ptsinglespace"/>
              <w:numPr>
                <w:ilvl w:val="0"/>
                <w:numId w:val="15"/>
              </w:numPr>
              <w:ind w:left="158" w:hanging="158"/>
            </w:pPr>
            <w:r w:rsidRPr="004B6FBF">
              <w:t>Addresses needs of all three types</w:t>
            </w:r>
          </w:p>
          <w:p w14:paraId="67D69010" w14:textId="77777777" w:rsidR="003D0971" w:rsidRPr="004B6FBF" w:rsidRDefault="003D0971" w:rsidP="004E3A0D">
            <w:pPr>
              <w:pStyle w:val="Tabletextbullet8ptsinglespace"/>
              <w:numPr>
                <w:ilvl w:val="0"/>
                <w:numId w:val="15"/>
              </w:numPr>
              <w:ind w:left="158" w:hanging="158"/>
            </w:pPr>
            <w:r w:rsidRPr="004B6FBF">
              <w:t xml:space="preserve">Multiple windows </w:t>
            </w:r>
            <w:r w:rsidR="007621A6">
              <w:t xml:space="preserve">(including ESA) </w:t>
            </w:r>
            <w:r w:rsidRPr="004B6FBF">
              <w:t xml:space="preserve">to address financing needs and evolving capacity of </w:t>
            </w:r>
            <w:r w:rsidR="004E3A0D">
              <w:t xml:space="preserve">central agencies and </w:t>
            </w:r>
            <w:r w:rsidRPr="004B6FBF">
              <w:t>municipalities</w:t>
            </w:r>
          </w:p>
        </w:tc>
        <w:tc>
          <w:tcPr>
            <w:tcW w:w="1890" w:type="dxa"/>
            <w:shd w:val="clear" w:color="auto" w:fill="D9E2F3"/>
          </w:tcPr>
          <w:p w14:paraId="2D61A4EF" w14:textId="77777777" w:rsidR="003D0971" w:rsidRPr="004B6FBF" w:rsidRDefault="003D0971" w:rsidP="00FD7E03">
            <w:pPr>
              <w:pStyle w:val="Tabletextbullet8ptsinglespace"/>
              <w:numPr>
                <w:ilvl w:val="0"/>
                <w:numId w:val="15"/>
              </w:numPr>
              <w:ind w:left="158" w:hanging="158"/>
            </w:pPr>
            <w:r w:rsidRPr="004B6FBF">
              <w:t>Can leverage commercial financing</w:t>
            </w:r>
          </w:p>
          <w:p w14:paraId="1601269D" w14:textId="77777777" w:rsidR="003D0971" w:rsidRPr="004B6FBF" w:rsidRDefault="003D0971" w:rsidP="00FD7E03">
            <w:pPr>
              <w:pStyle w:val="Tabletextbullet8ptsinglespace"/>
              <w:numPr>
                <w:ilvl w:val="0"/>
                <w:numId w:val="15"/>
              </w:numPr>
              <w:ind w:left="158" w:hanging="158"/>
            </w:pPr>
            <w:r w:rsidRPr="004B6FBF">
              <w:t xml:space="preserve">Existing credit lines provide experience </w:t>
            </w:r>
          </w:p>
        </w:tc>
        <w:tc>
          <w:tcPr>
            <w:tcW w:w="1980" w:type="dxa"/>
            <w:shd w:val="clear" w:color="auto" w:fill="D9E2F3"/>
          </w:tcPr>
          <w:p w14:paraId="45331AF1" w14:textId="77777777" w:rsidR="003D0971" w:rsidRPr="004B6FBF" w:rsidRDefault="003D0971" w:rsidP="00FD7E03">
            <w:pPr>
              <w:pStyle w:val="Tabletextbullet8ptsinglespace"/>
              <w:numPr>
                <w:ilvl w:val="0"/>
                <w:numId w:val="15"/>
              </w:numPr>
              <w:ind w:left="158" w:hanging="158"/>
            </w:pPr>
            <w:r w:rsidRPr="004B6FBF">
              <w:t>Can leverages commercial financing</w:t>
            </w:r>
          </w:p>
          <w:p w14:paraId="549D7B72" w14:textId="77777777" w:rsidR="003D0971" w:rsidRPr="004B6FBF" w:rsidRDefault="003D0971" w:rsidP="00FD7E03">
            <w:pPr>
              <w:pStyle w:val="Tabletextbullet8ptsinglespace"/>
              <w:numPr>
                <w:ilvl w:val="0"/>
                <w:numId w:val="15"/>
              </w:numPr>
              <w:ind w:left="158" w:hanging="158"/>
            </w:pPr>
            <w:r w:rsidRPr="004B6FBF">
              <w:t xml:space="preserve">Existing guarantee programs provide </w:t>
            </w:r>
            <w:r w:rsidR="007621A6">
              <w:t xml:space="preserve">some relevant </w:t>
            </w:r>
            <w:r w:rsidRPr="004B6FBF">
              <w:t>experience</w:t>
            </w:r>
          </w:p>
        </w:tc>
        <w:tc>
          <w:tcPr>
            <w:tcW w:w="1890" w:type="dxa"/>
            <w:shd w:val="clear" w:color="auto" w:fill="D9E2F3"/>
          </w:tcPr>
          <w:p w14:paraId="3895B3D5" w14:textId="77777777" w:rsidR="003D0971" w:rsidRPr="004B6FBF" w:rsidRDefault="003D0971" w:rsidP="00FD7E03">
            <w:pPr>
              <w:pStyle w:val="Tabletextbullet8ptsinglespace"/>
              <w:numPr>
                <w:ilvl w:val="0"/>
                <w:numId w:val="15"/>
              </w:numPr>
              <w:ind w:left="158" w:hanging="158"/>
            </w:pPr>
            <w:r w:rsidRPr="004B6FBF">
              <w:t>Can address needs of all three types</w:t>
            </w:r>
          </w:p>
          <w:p w14:paraId="6220D00A" w14:textId="77777777" w:rsidR="003D0971" w:rsidRPr="004B6FBF" w:rsidRDefault="003D0971" w:rsidP="00FD7E03">
            <w:pPr>
              <w:pStyle w:val="Tabletextbullet8ptsinglespace"/>
              <w:numPr>
                <w:ilvl w:val="0"/>
                <w:numId w:val="15"/>
              </w:numPr>
              <w:ind w:left="158" w:hanging="158"/>
            </w:pPr>
            <w:r w:rsidRPr="004B6FBF">
              <w:t>Multiple windows to address financing needs and evolving capacity of municipalities</w:t>
            </w:r>
            <w:r w:rsidR="004E3A0D">
              <w:t xml:space="preserve"> and central agencies</w:t>
            </w:r>
          </w:p>
        </w:tc>
        <w:tc>
          <w:tcPr>
            <w:tcW w:w="1800" w:type="dxa"/>
            <w:shd w:val="clear" w:color="auto" w:fill="D9E2F3"/>
          </w:tcPr>
          <w:p w14:paraId="1FD9EB6C" w14:textId="77777777" w:rsidR="003D0971" w:rsidRPr="004B6FBF" w:rsidRDefault="003D0971" w:rsidP="00FD7E03">
            <w:pPr>
              <w:pStyle w:val="Tabletextbullet8ptsinglespace"/>
              <w:numPr>
                <w:ilvl w:val="0"/>
                <w:numId w:val="15"/>
              </w:numPr>
              <w:ind w:left="158" w:hanging="158"/>
            </w:pPr>
            <w:r w:rsidRPr="004B6FBF">
              <w:t xml:space="preserve">Can address needs of all </w:t>
            </w:r>
            <w:r>
              <w:t xml:space="preserve">three </w:t>
            </w:r>
            <w:r w:rsidRPr="004B6FBF">
              <w:t>types</w:t>
            </w:r>
          </w:p>
          <w:p w14:paraId="06295545" w14:textId="77777777" w:rsidR="003D0971" w:rsidRPr="004B6FBF" w:rsidRDefault="003D0971" w:rsidP="00FD7E03">
            <w:pPr>
              <w:pStyle w:val="Tabletextbullet8ptsinglespace"/>
              <w:numPr>
                <w:ilvl w:val="0"/>
                <w:numId w:val="15"/>
              </w:numPr>
              <w:ind w:left="158" w:hanging="158"/>
            </w:pPr>
            <w:r w:rsidRPr="004B6FBF">
              <w:t>Can leverage commercial financing</w:t>
            </w:r>
          </w:p>
        </w:tc>
      </w:tr>
      <w:tr w:rsidR="003D0971" w14:paraId="77F12BA6" w14:textId="77777777" w:rsidTr="007621A6">
        <w:tc>
          <w:tcPr>
            <w:tcW w:w="2335" w:type="dxa"/>
            <w:shd w:val="clear" w:color="auto" w:fill="D9E2F3"/>
          </w:tcPr>
          <w:p w14:paraId="2450783D" w14:textId="77777777" w:rsidR="003D0971" w:rsidRPr="004B6FBF" w:rsidRDefault="003D0971" w:rsidP="005068F5">
            <w:pPr>
              <w:spacing w:beforeLines="20" w:before="48" w:afterLines="20" w:after="48"/>
              <w:jc w:val="left"/>
              <w:rPr>
                <w:rFonts w:ascii="Arial" w:hAnsi="Arial" w:cs="Arial"/>
                <w:b/>
                <w:sz w:val="16"/>
                <w:szCs w:val="16"/>
              </w:rPr>
            </w:pPr>
            <w:r w:rsidRPr="004B6FBF">
              <w:rPr>
                <w:rFonts w:ascii="Arial" w:hAnsi="Arial" w:cs="Arial"/>
                <w:b/>
                <w:sz w:val="16"/>
                <w:szCs w:val="16"/>
              </w:rPr>
              <w:t>Limitations</w:t>
            </w:r>
          </w:p>
        </w:tc>
        <w:tc>
          <w:tcPr>
            <w:tcW w:w="1980" w:type="dxa"/>
            <w:shd w:val="clear" w:color="auto" w:fill="D9E2F3"/>
          </w:tcPr>
          <w:p w14:paraId="3E21793A" w14:textId="77777777" w:rsidR="003D0971" w:rsidRPr="004B6FBF" w:rsidRDefault="004E3A0D" w:rsidP="00FD7E03">
            <w:pPr>
              <w:pStyle w:val="Tabletextbullet8ptsinglespace"/>
              <w:numPr>
                <w:ilvl w:val="0"/>
                <w:numId w:val="15"/>
              </w:numPr>
              <w:ind w:left="158" w:hanging="158"/>
            </w:pPr>
            <w:r>
              <w:t>Requires capable PI</w:t>
            </w:r>
            <w:r w:rsidR="003D0971" w:rsidRPr="004B6FBF">
              <w:t>U</w:t>
            </w:r>
          </w:p>
          <w:p w14:paraId="25348156" w14:textId="77777777" w:rsidR="003D0971" w:rsidRDefault="003D0971" w:rsidP="00FD7E03">
            <w:pPr>
              <w:pStyle w:val="Tabletextbullet8ptsinglespace"/>
              <w:numPr>
                <w:ilvl w:val="0"/>
                <w:numId w:val="15"/>
              </w:numPr>
              <w:ind w:left="158" w:hanging="158"/>
            </w:pPr>
            <w:r w:rsidRPr="004B6FBF">
              <w:t>Sustainability not assured</w:t>
            </w:r>
          </w:p>
          <w:p w14:paraId="6A527CDB" w14:textId="77777777" w:rsidR="007621A6" w:rsidRPr="004B6FBF" w:rsidRDefault="007621A6" w:rsidP="004E3A0D">
            <w:pPr>
              <w:pStyle w:val="Tabletextbullet8ptsinglespace"/>
              <w:numPr>
                <w:ilvl w:val="0"/>
                <w:numId w:val="15"/>
              </w:numPr>
              <w:ind w:left="158" w:hanging="158"/>
            </w:pPr>
            <w:r>
              <w:t xml:space="preserve">Needs of </w:t>
            </w:r>
            <w:r w:rsidR="004E3A0D">
              <w:t xml:space="preserve">some </w:t>
            </w:r>
            <w:r>
              <w:t xml:space="preserve">Type </w:t>
            </w:r>
            <w:r w:rsidR="004E3A0D">
              <w:t xml:space="preserve">III municipalities </w:t>
            </w:r>
            <w:r>
              <w:t>may not be easily met</w:t>
            </w:r>
          </w:p>
        </w:tc>
        <w:tc>
          <w:tcPr>
            <w:tcW w:w="1800" w:type="dxa"/>
            <w:shd w:val="clear" w:color="auto" w:fill="D9E2F3"/>
          </w:tcPr>
          <w:p w14:paraId="798CDBBC" w14:textId="77777777" w:rsidR="003D0971" w:rsidRPr="004B6FBF" w:rsidRDefault="003D0971" w:rsidP="00FD7E03">
            <w:pPr>
              <w:pStyle w:val="Tabletextbullet8ptsinglespace"/>
              <w:numPr>
                <w:ilvl w:val="0"/>
                <w:numId w:val="15"/>
              </w:numPr>
              <w:ind w:left="158" w:hanging="158"/>
            </w:pPr>
            <w:r w:rsidRPr="004B6FBF">
              <w:t>Needs new legislation for implementation</w:t>
            </w:r>
          </w:p>
          <w:p w14:paraId="2BD6B701" w14:textId="77777777" w:rsidR="003D0971" w:rsidRPr="004B6FBF" w:rsidRDefault="003D0971" w:rsidP="00FD7E03">
            <w:pPr>
              <w:pStyle w:val="Tabletextbullet8ptsinglespace"/>
              <w:numPr>
                <w:ilvl w:val="0"/>
                <w:numId w:val="15"/>
              </w:numPr>
              <w:ind w:left="158" w:hanging="158"/>
            </w:pPr>
            <w:r w:rsidRPr="004B6FBF">
              <w:t xml:space="preserve">Need a strong and capable </w:t>
            </w:r>
            <w:r w:rsidR="007621A6">
              <w:t xml:space="preserve">Fund </w:t>
            </w:r>
            <w:r w:rsidRPr="004B6FBF">
              <w:t>Management Team</w:t>
            </w:r>
          </w:p>
        </w:tc>
        <w:tc>
          <w:tcPr>
            <w:tcW w:w="1890" w:type="dxa"/>
            <w:shd w:val="clear" w:color="auto" w:fill="D9E2F3"/>
          </w:tcPr>
          <w:p w14:paraId="67377701" w14:textId="77777777" w:rsidR="00991DB7" w:rsidRPr="004B6FBF" w:rsidRDefault="003D0971" w:rsidP="00FD7E03">
            <w:pPr>
              <w:pStyle w:val="Tabletextbullet8ptsinglespace"/>
              <w:numPr>
                <w:ilvl w:val="0"/>
                <w:numId w:val="15"/>
              </w:numPr>
              <w:ind w:left="158" w:hanging="158"/>
            </w:pPr>
            <w:r w:rsidRPr="004B6FBF">
              <w:t xml:space="preserve">Cannot address needs of </w:t>
            </w:r>
            <w:r w:rsidR="007621A6">
              <w:t>Type II</w:t>
            </w:r>
            <w:r w:rsidR="004E3A0D">
              <w:t>I</w:t>
            </w:r>
            <w:r w:rsidR="00991DB7">
              <w:t xml:space="preserve"> municipalities</w:t>
            </w:r>
          </w:p>
          <w:p w14:paraId="55DD52CE" w14:textId="77777777" w:rsidR="003D0971" w:rsidRPr="004B6FBF" w:rsidRDefault="003D0971" w:rsidP="00FD7E03">
            <w:pPr>
              <w:pStyle w:val="Tabletextbullet8ptsinglespace"/>
              <w:numPr>
                <w:ilvl w:val="0"/>
                <w:numId w:val="15"/>
              </w:numPr>
              <w:ind w:left="158" w:hanging="158"/>
            </w:pPr>
            <w:r w:rsidRPr="004B6FBF">
              <w:t>Only serves municipalities or ESCOs that have borrowing capacity</w:t>
            </w:r>
          </w:p>
        </w:tc>
        <w:tc>
          <w:tcPr>
            <w:tcW w:w="1980" w:type="dxa"/>
            <w:shd w:val="clear" w:color="auto" w:fill="D9E2F3"/>
          </w:tcPr>
          <w:p w14:paraId="26BE82D4" w14:textId="77777777" w:rsidR="003D0971" w:rsidRPr="004B6FBF" w:rsidRDefault="007621A6" w:rsidP="00FD7E03">
            <w:pPr>
              <w:pStyle w:val="Tabletextbullet8ptsinglespace"/>
              <w:numPr>
                <w:ilvl w:val="0"/>
                <w:numId w:val="15"/>
              </w:numPr>
              <w:ind w:left="158" w:hanging="158"/>
            </w:pPr>
            <w:r>
              <w:t>Cannot address needs of Type II</w:t>
            </w:r>
            <w:r w:rsidR="004E3A0D">
              <w:t>I</w:t>
            </w:r>
            <w:r>
              <w:t xml:space="preserve"> municipalities</w:t>
            </w:r>
          </w:p>
          <w:p w14:paraId="75ADB842" w14:textId="77777777" w:rsidR="003D0971" w:rsidRPr="004B6FBF" w:rsidRDefault="003D0971" w:rsidP="00FD7E03">
            <w:pPr>
              <w:pStyle w:val="Tabletextbullet8ptsinglespace"/>
              <w:numPr>
                <w:ilvl w:val="0"/>
                <w:numId w:val="15"/>
              </w:numPr>
              <w:ind w:left="158" w:hanging="158"/>
            </w:pPr>
            <w:r w:rsidRPr="004B6FBF">
              <w:t>Only serves municipalities or ESCOs that have borrowing capacity</w:t>
            </w:r>
          </w:p>
        </w:tc>
        <w:tc>
          <w:tcPr>
            <w:tcW w:w="1890" w:type="dxa"/>
            <w:shd w:val="clear" w:color="auto" w:fill="D9E2F3"/>
          </w:tcPr>
          <w:p w14:paraId="2482B37D" w14:textId="77777777" w:rsidR="003D0971" w:rsidRPr="004B6FBF" w:rsidRDefault="003D0971" w:rsidP="00FD7E03">
            <w:pPr>
              <w:pStyle w:val="Tabletextbullet8ptsinglespace"/>
              <w:numPr>
                <w:ilvl w:val="0"/>
                <w:numId w:val="15"/>
              </w:numPr>
              <w:ind w:left="158" w:hanging="158"/>
            </w:pPr>
            <w:r w:rsidRPr="004B6FBF">
              <w:t>Need the creation of new organizations</w:t>
            </w:r>
          </w:p>
          <w:p w14:paraId="452C9176" w14:textId="77777777" w:rsidR="003D0971" w:rsidRPr="004B6FBF" w:rsidRDefault="003D0971" w:rsidP="00FD7E03">
            <w:pPr>
              <w:pStyle w:val="Tabletextbullet8ptsinglespace"/>
              <w:numPr>
                <w:ilvl w:val="0"/>
                <w:numId w:val="15"/>
              </w:numPr>
              <w:ind w:left="158" w:hanging="158"/>
            </w:pPr>
            <w:r w:rsidRPr="004B6FBF">
              <w:t>Needs capable management team</w:t>
            </w:r>
          </w:p>
        </w:tc>
        <w:tc>
          <w:tcPr>
            <w:tcW w:w="1800" w:type="dxa"/>
            <w:shd w:val="clear" w:color="auto" w:fill="D9E2F3"/>
          </w:tcPr>
          <w:p w14:paraId="59D5278B" w14:textId="77777777" w:rsidR="003D0971" w:rsidRDefault="003D0971" w:rsidP="00FD7E03">
            <w:pPr>
              <w:pStyle w:val="Tabletextbullet8ptsinglespace"/>
              <w:numPr>
                <w:ilvl w:val="0"/>
                <w:numId w:val="15"/>
              </w:numPr>
              <w:ind w:left="158" w:hanging="158"/>
            </w:pPr>
            <w:r w:rsidRPr="004B6FBF">
              <w:t>Need a mature ESCO industry</w:t>
            </w:r>
          </w:p>
          <w:p w14:paraId="615AEADE" w14:textId="77777777" w:rsidR="00991DB7" w:rsidRPr="004B6FBF" w:rsidRDefault="00991DB7" w:rsidP="00FD7E03">
            <w:pPr>
              <w:pStyle w:val="Tabletextbullet8ptsinglespace"/>
              <w:numPr>
                <w:ilvl w:val="0"/>
                <w:numId w:val="15"/>
              </w:numPr>
              <w:ind w:left="158" w:hanging="158"/>
            </w:pPr>
            <w:r>
              <w:t>ESCOs need to have borrowing capacity</w:t>
            </w:r>
          </w:p>
        </w:tc>
      </w:tr>
      <w:tr w:rsidR="003D0971" w14:paraId="301B6E0D" w14:textId="77777777" w:rsidTr="007621A6">
        <w:tc>
          <w:tcPr>
            <w:tcW w:w="2335" w:type="dxa"/>
            <w:shd w:val="clear" w:color="auto" w:fill="D9E2F3"/>
          </w:tcPr>
          <w:p w14:paraId="7A2479CF" w14:textId="77777777" w:rsidR="003D0971" w:rsidRPr="004B6FBF" w:rsidRDefault="003D0971" w:rsidP="005068F5">
            <w:pPr>
              <w:spacing w:beforeLines="20" w:before="48" w:afterLines="20" w:after="48"/>
              <w:jc w:val="left"/>
              <w:rPr>
                <w:rFonts w:ascii="Arial" w:hAnsi="Arial" w:cs="Arial"/>
                <w:b/>
                <w:sz w:val="16"/>
                <w:szCs w:val="16"/>
              </w:rPr>
            </w:pPr>
            <w:r w:rsidRPr="004B6FBF">
              <w:rPr>
                <w:rFonts w:ascii="Arial" w:hAnsi="Arial" w:cs="Arial"/>
                <w:b/>
                <w:sz w:val="16"/>
                <w:szCs w:val="16"/>
              </w:rPr>
              <w:t>Can be Implemented under Current Regulations?</w:t>
            </w:r>
          </w:p>
        </w:tc>
        <w:tc>
          <w:tcPr>
            <w:tcW w:w="1980" w:type="dxa"/>
            <w:shd w:val="clear" w:color="auto" w:fill="D9E2F3"/>
          </w:tcPr>
          <w:p w14:paraId="6461F9CD"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Yes</w:t>
            </w:r>
          </w:p>
        </w:tc>
        <w:tc>
          <w:tcPr>
            <w:tcW w:w="1800" w:type="dxa"/>
            <w:shd w:val="clear" w:color="auto" w:fill="D9E2F3"/>
          </w:tcPr>
          <w:p w14:paraId="1DB91434" w14:textId="77777777" w:rsidR="003D0971" w:rsidRPr="004B6FBF" w:rsidRDefault="00906258" w:rsidP="00906258">
            <w:pPr>
              <w:spacing w:beforeLines="20" w:before="48" w:afterLines="20" w:after="48"/>
              <w:jc w:val="left"/>
              <w:rPr>
                <w:rFonts w:ascii="Arial" w:hAnsi="Arial" w:cs="Arial"/>
                <w:sz w:val="16"/>
                <w:szCs w:val="16"/>
              </w:rPr>
            </w:pPr>
            <w:r>
              <w:rPr>
                <w:rFonts w:ascii="Arial" w:hAnsi="Arial" w:cs="Arial"/>
                <w:sz w:val="16"/>
                <w:szCs w:val="16"/>
              </w:rPr>
              <w:t>Yes</w:t>
            </w:r>
            <w:r w:rsidR="004D7D8C">
              <w:rPr>
                <w:rFonts w:ascii="Arial" w:hAnsi="Arial" w:cs="Arial"/>
                <w:sz w:val="16"/>
                <w:szCs w:val="16"/>
              </w:rPr>
              <w:t xml:space="preserve">, unless </w:t>
            </w:r>
            <w:r>
              <w:rPr>
                <w:rFonts w:ascii="Arial" w:hAnsi="Arial" w:cs="Arial"/>
                <w:sz w:val="16"/>
                <w:szCs w:val="16"/>
              </w:rPr>
              <w:t>a new entity needs to be created</w:t>
            </w:r>
            <w:r w:rsidR="004D7D8C">
              <w:rPr>
                <w:rFonts w:ascii="Arial" w:hAnsi="Arial" w:cs="Arial"/>
                <w:sz w:val="16"/>
                <w:szCs w:val="16"/>
              </w:rPr>
              <w:t>.</w:t>
            </w:r>
          </w:p>
        </w:tc>
        <w:tc>
          <w:tcPr>
            <w:tcW w:w="1890" w:type="dxa"/>
            <w:shd w:val="clear" w:color="auto" w:fill="D9E2F3"/>
          </w:tcPr>
          <w:p w14:paraId="6048C37D"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Yes</w:t>
            </w:r>
          </w:p>
        </w:tc>
        <w:tc>
          <w:tcPr>
            <w:tcW w:w="1980" w:type="dxa"/>
            <w:shd w:val="clear" w:color="auto" w:fill="D9E2F3"/>
          </w:tcPr>
          <w:p w14:paraId="62807FE1"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Yes</w:t>
            </w:r>
          </w:p>
        </w:tc>
        <w:tc>
          <w:tcPr>
            <w:tcW w:w="1890" w:type="dxa"/>
            <w:shd w:val="clear" w:color="auto" w:fill="D9E2F3"/>
          </w:tcPr>
          <w:p w14:paraId="76B6C309" w14:textId="77777777" w:rsidR="003D0971" w:rsidRPr="004B6FBF" w:rsidRDefault="003D0971" w:rsidP="00991DB7">
            <w:pPr>
              <w:spacing w:beforeLines="20" w:before="48" w:afterLines="20" w:after="48"/>
              <w:jc w:val="left"/>
              <w:rPr>
                <w:rFonts w:ascii="Arial" w:hAnsi="Arial" w:cs="Arial"/>
                <w:sz w:val="16"/>
                <w:szCs w:val="16"/>
              </w:rPr>
            </w:pPr>
            <w:r w:rsidRPr="004B6FBF">
              <w:rPr>
                <w:rFonts w:ascii="Arial" w:hAnsi="Arial" w:cs="Arial"/>
                <w:sz w:val="16"/>
                <w:szCs w:val="16"/>
              </w:rPr>
              <w:t>Yes</w:t>
            </w:r>
            <w:r w:rsidR="00991DB7">
              <w:rPr>
                <w:rFonts w:ascii="Arial" w:hAnsi="Arial" w:cs="Arial"/>
                <w:sz w:val="16"/>
                <w:szCs w:val="16"/>
              </w:rPr>
              <w:t>, but requires creation of a new company</w:t>
            </w:r>
            <w:r w:rsidR="00196384">
              <w:rPr>
                <w:rFonts w:ascii="Arial" w:hAnsi="Arial" w:cs="Arial"/>
                <w:sz w:val="16"/>
                <w:szCs w:val="16"/>
              </w:rPr>
              <w:t>.</w:t>
            </w:r>
          </w:p>
        </w:tc>
        <w:tc>
          <w:tcPr>
            <w:tcW w:w="1800" w:type="dxa"/>
            <w:shd w:val="clear" w:color="auto" w:fill="D9E2F3"/>
          </w:tcPr>
          <w:p w14:paraId="5C652A7A" w14:textId="77777777" w:rsidR="003D0971" w:rsidRPr="004B6FBF" w:rsidRDefault="003D0971" w:rsidP="00991DB7">
            <w:pPr>
              <w:spacing w:beforeLines="20" w:before="48" w:afterLines="20" w:after="48"/>
              <w:jc w:val="left"/>
              <w:rPr>
                <w:rFonts w:ascii="Arial" w:hAnsi="Arial" w:cs="Arial"/>
                <w:sz w:val="16"/>
                <w:szCs w:val="16"/>
              </w:rPr>
            </w:pPr>
            <w:r w:rsidRPr="004B6FBF">
              <w:rPr>
                <w:rFonts w:ascii="Arial" w:hAnsi="Arial" w:cs="Arial"/>
                <w:sz w:val="16"/>
                <w:szCs w:val="16"/>
              </w:rPr>
              <w:t>Yes</w:t>
            </w:r>
          </w:p>
        </w:tc>
      </w:tr>
    </w:tbl>
    <w:p w14:paraId="2759B97F" w14:textId="77777777" w:rsidR="003D0971" w:rsidRPr="00991DB7" w:rsidRDefault="003D0971" w:rsidP="003D0971">
      <w:pPr>
        <w:pStyle w:val="FigTablesourcenote3ptafter"/>
        <w:rPr>
          <w:rFonts w:ascii="Times New Roman" w:hAnsi="Times New Roman"/>
          <w:sz w:val="22"/>
          <w:szCs w:val="22"/>
        </w:rPr>
      </w:pPr>
      <w:r w:rsidRPr="00991DB7">
        <w:rPr>
          <w:rFonts w:ascii="Times New Roman" w:hAnsi="Times New Roman"/>
          <w:sz w:val="22"/>
          <w:szCs w:val="22"/>
        </w:rPr>
        <w:t>Source: Authors</w:t>
      </w:r>
    </w:p>
    <w:p w14:paraId="382E0FA2" w14:textId="77777777" w:rsidR="00991DB7" w:rsidRDefault="003D0971" w:rsidP="0025402C">
      <w:pPr>
        <w:pStyle w:val="FigTablesourcenote3ptafter"/>
        <w:ind w:left="180" w:right="280" w:hanging="180"/>
        <w:rPr>
          <w:i w:val="0"/>
        </w:rPr>
        <w:sectPr w:rsidR="00991DB7" w:rsidSect="00991DB7">
          <w:headerReference w:type="even" r:id="rId39"/>
          <w:footerReference w:type="default" r:id="rId40"/>
          <w:headerReference w:type="first" r:id="rId41"/>
          <w:endnotePr>
            <w:numFmt w:val="decimal"/>
          </w:endnotePr>
          <w:pgSz w:w="16840" w:h="11907" w:orient="landscape" w:code="9"/>
          <w:pgMar w:top="1008" w:right="1440" w:bottom="1008" w:left="1440" w:header="720" w:footer="720" w:gutter="0"/>
          <w:cols w:space="720"/>
          <w:noEndnote/>
          <w:docGrid w:linePitch="326"/>
        </w:sectPr>
      </w:pPr>
      <w:r w:rsidRPr="00FB36B2">
        <w:rPr>
          <w:i w:val="0"/>
        </w:rPr>
        <w:t xml:space="preserve">* </w:t>
      </w:r>
      <w:r w:rsidR="00E30081">
        <w:rPr>
          <w:i w:val="0"/>
        </w:rPr>
        <w:t xml:space="preserve"> </w:t>
      </w:r>
      <w:r w:rsidRPr="00E30081">
        <w:rPr>
          <w:rFonts w:ascii="Times New Roman" w:hAnsi="Times New Roman"/>
          <w:i w:val="0"/>
        </w:rPr>
        <w:t xml:space="preserve">Types of public </w:t>
      </w:r>
      <w:r w:rsidR="007621A6" w:rsidRPr="00E30081">
        <w:rPr>
          <w:rFonts w:ascii="Times New Roman" w:hAnsi="Times New Roman"/>
          <w:i w:val="0"/>
        </w:rPr>
        <w:t>entities</w:t>
      </w:r>
      <w:r w:rsidRPr="00E30081">
        <w:rPr>
          <w:rFonts w:ascii="Times New Roman" w:hAnsi="Times New Roman"/>
          <w:i w:val="0"/>
        </w:rPr>
        <w:t xml:space="preserve">: </w:t>
      </w:r>
      <w:r w:rsidR="004E3A0D" w:rsidRPr="00E30081">
        <w:rPr>
          <w:rFonts w:ascii="Times New Roman" w:hAnsi="Times New Roman"/>
          <w:i w:val="0"/>
        </w:rPr>
        <w:t xml:space="preserve">I - </w:t>
      </w:r>
      <w:r w:rsidRPr="00E30081">
        <w:rPr>
          <w:rFonts w:ascii="Times New Roman" w:hAnsi="Times New Roman"/>
          <w:i w:val="0"/>
        </w:rPr>
        <w:t>Creditworthy Municipalities or Municipal Entities with their o</w:t>
      </w:r>
      <w:r w:rsidR="00925B15">
        <w:rPr>
          <w:rFonts w:ascii="Times New Roman" w:hAnsi="Times New Roman"/>
          <w:i w:val="0"/>
        </w:rPr>
        <w:t>wn budgets; I</w:t>
      </w:r>
      <w:r w:rsidR="004E3A0D" w:rsidRPr="00E30081">
        <w:rPr>
          <w:rFonts w:ascii="Times New Roman" w:hAnsi="Times New Roman"/>
          <w:i w:val="0"/>
        </w:rPr>
        <w:t>I</w:t>
      </w:r>
      <w:r w:rsidRPr="00E30081">
        <w:rPr>
          <w:rFonts w:ascii="Times New Roman" w:hAnsi="Times New Roman"/>
          <w:i w:val="0"/>
        </w:rPr>
        <w:t xml:space="preserve"> - Municipal entities without their own budgets, having poor credit</w:t>
      </w:r>
      <w:r w:rsidR="007621A6" w:rsidRPr="00E30081">
        <w:rPr>
          <w:rFonts w:ascii="Times New Roman" w:hAnsi="Times New Roman"/>
          <w:i w:val="0"/>
        </w:rPr>
        <w:t>,</w:t>
      </w:r>
      <w:r w:rsidRPr="00E30081">
        <w:rPr>
          <w:rFonts w:ascii="Times New Roman" w:hAnsi="Times New Roman"/>
          <w:i w:val="0"/>
        </w:rPr>
        <w:t xml:space="preserve"> and/or little or no capacity to implement projects</w:t>
      </w:r>
      <w:r w:rsidR="00925B15">
        <w:rPr>
          <w:rFonts w:ascii="Times New Roman" w:hAnsi="Times New Roman"/>
          <w:i w:val="0"/>
        </w:rPr>
        <w:t>; II</w:t>
      </w:r>
      <w:r w:rsidR="00925B15" w:rsidRPr="00E30081">
        <w:rPr>
          <w:rFonts w:ascii="Times New Roman" w:hAnsi="Times New Roman"/>
          <w:i w:val="0"/>
        </w:rPr>
        <w:t xml:space="preserve">I – Central government </w:t>
      </w:r>
      <w:r w:rsidR="004A0999" w:rsidRPr="00E30081">
        <w:rPr>
          <w:rFonts w:ascii="Times New Roman" w:hAnsi="Times New Roman"/>
          <w:i w:val="0"/>
        </w:rPr>
        <w:t>agencies;</w:t>
      </w:r>
      <w:r w:rsidR="004E3A0D">
        <w:rPr>
          <w:i w:val="0"/>
        </w:rPr>
        <w:t xml:space="preserve"> </w:t>
      </w:r>
    </w:p>
    <w:p w14:paraId="5A1A932A" w14:textId="77777777" w:rsidR="00DF4D53" w:rsidRDefault="00DF4D53" w:rsidP="00DF4D53">
      <w:bookmarkStart w:id="61" w:name="_Toc440444632"/>
      <w:bookmarkStart w:id="62" w:name="_Toc441236123"/>
      <w:r>
        <w:t>The three remaining options are discussed in detail below.</w:t>
      </w:r>
    </w:p>
    <w:p w14:paraId="488C9FE1" w14:textId="77777777" w:rsidR="00FA3BDB" w:rsidRDefault="00FA3BDB" w:rsidP="00FA3BDB">
      <w:pPr>
        <w:pStyle w:val="Heading2"/>
      </w:pPr>
      <w:bookmarkStart w:id="63" w:name="_Toc461093940"/>
      <w:r>
        <w:t xml:space="preserve">Budget Financing with </w:t>
      </w:r>
      <w:r w:rsidRPr="00D15BB1">
        <w:t>Capital Recovery</w:t>
      </w:r>
      <w:bookmarkEnd w:id="61"/>
      <w:bookmarkEnd w:id="62"/>
      <w:bookmarkEnd w:id="63"/>
    </w:p>
    <w:p w14:paraId="55DE4A9C" w14:textId="77777777" w:rsidR="00FA3BDB" w:rsidRPr="00A114E6" w:rsidRDefault="00FA3BDB" w:rsidP="00FA3BDB">
      <w:pPr>
        <w:pStyle w:val="Heading3"/>
      </w:pPr>
      <w:bookmarkStart w:id="64" w:name="_Toc441236124"/>
      <w:bookmarkStart w:id="65" w:name="_Toc461093941"/>
      <w:r>
        <w:t>Overview</w:t>
      </w:r>
      <w:bookmarkEnd w:id="64"/>
      <w:bookmarkEnd w:id="65"/>
    </w:p>
    <w:p w14:paraId="4BE134A3" w14:textId="77777777" w:rsidR="00FA3BDB" w:rsidRDefault="00FA3BDB" w:rsidP="00FA3BDB">
      <w:r>
        <w:t>Th</w:t>
      </w:r>
      <w:r w:rsidR="00703328">
        <w:t>is</w:t>
      </w:r>
      <w:r>
        <w:t xml:space="preserve"> option involves actions by </w:t>
      </w:r>
      <w:r w:rsidR="000D6362">
        <w:t xml:space="preserve">the </w:t>
      </w:r>
      <w:r w:rsidR="001E2045">
        <w:t>MOF</w:t>
      </w:r>
      <w:r>
        <w:t xml:space="preserve">, with funding provided by </w:t>
      </w:r>
      <w:r w:rsidR="00703328">
        <w:t xml:space="preserve">budgets or </w:t>
      </w:r>
      <w:r>
        <w:t>donor agenc</w:t>
      </w:r>
      <w:r w:rsidR="00703328">
        <w:t>ies</w:t>
      </w:r>
      <w:r>
        <w:t xml:space="preserve"> to establish a Public Sector EE Financing Facility to finance EE project investments in municipalities and central government agencies that are funded from the national budget. The funds provided are used by these entities to make capital investments in EE projects that will result in energy cost savings. </w:t>
      </w:r>
    </w:p>
    <w:p w14:paraId="19AD359F" w14:textId="77777777" w:rsidR="00FA3BDB" w:rsidRPr="001E53D7" w:rsidRDefault="00FA3BDB" w:rsidP="00FA3BDB">
      <w:r>
        <w:t>The recipient public entity is then required to “repay” the investment over a specified period of time from the cost savings generated by the investment project</w:t>
      </w:r>
      <w:r w:rsidR="000D6362">
        <w:t xml:space="preserve">. </w:t>
      </w:r>
      <w:r>
        <w:t xml:space="preserve">This will be accomplished by </w:t>
      </w:r>
      <w:r w:rsidR="000D6362">
        <w:t xml:space="preserve">the </w:t>
      </w:r>
      <w:r>
        <w:t xml:space="preserve">MOF in the form of </w:t>
      </w:r>
      <w:r w:rsidRPr="0075058A">
        <w:t xml:space="preserve">reduced </w:t>
      </w:r>
      <w:r>
        <w:t>budgets</w:t>
      </w:r>
      <w:r w:rsidRPr="0075058A">
        <w:t xml:space="preserve"> for energy bills of </w:t>
      </w:r>
      <w:r>
        <w:t xml:space="preserve">the budget agencies </w:t>
      </w:r>
      <w:r w:rsidRPr="0075058A">
        <w:t>in future years</w:t>
      </w:r>
      <w:r>
        <w:t xml:space="preserve"> (hence the term “budget financing”)</w:t>
      </w:r>
      <w:r w:rsidRPr="0075058A">
        <w:t>. The size of the redu</w:t>
      </w:r>
      <w:r>
        <w:t>ced outlay is usually structured to be lower than the energy</w:t>
      </w:r>
      <w:r w:rsidRPr="0075058A">
        <w:t xml:space="preserve"> </w:t>
      </w:r>
      <w:r>
        <w:t>cost</w:t>
      </w:r>
      <w:r w:rsidRPr="0075058A">
        <w:t xml:space="preserve"> savings. </w:t>
      </w:r>
      <w:r>
        <w:t xml:space="preserve">Figure 5.1 shows a typical structure of such a project. </w:t>
      </w:r>
    </w:p>
    <w:p w14:paraId="24EED786" w14:textId="77777777" w:rsidR="00FA3BDB" w:rsidRDefault="00FA3BDB" w:rsidP="004D7D8C">
      <w:pPr>
        <w:pStyle w:val="Heading-FiguresandTables"/>
        <w:spacing w:after="60"/>
      </w:pPr>
      <w:r>
        <w:t xml:space="preserve">Figure 5.1 – Budget Financing - Public Sector EE Improvement Project </w:t>
      </w:r>
    </w:p>
    <w:p w14:paraId="79CF0372" w14:textId="77777777" w:rsidR="00FA3BDB" w:rsidRDefault="00FA3BDB" w:rsidP="004D7D8C">
      <w:pPr>
        <w:spacing w:before="60"/>
        <w:jc w:val="center"/>
      </w:pPr>
      <w:r w:rsidRPr="00F43878">
        <w:t xml:space="preserve"> </w:t>
      </w:r>
      <w:r w:rsidRPr="00FA3BDB">
        <w:rPr>
          <w:noProof/>
        </w:rPr>
        <w:drawing>
          <wp:inline distT="0" distB="0" distL="0" distR="0" wp14:anchorId="0F903D8B" wp14:editId="3EF02949">
            <wp:extent cx="3778223" cy="2965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9893" cy="2974609"/>
                    </a:xfrm>
                    <a:prstGeom prst="rect">
                      <a:avLst/>
                    </a:prstGeom>
                    <a:noFill/>
                    <a:ln>
                      <a:noFill/>
                    </a:ln>
                  </pic:spPr>
                </pic:pic>
              </a:graphicData>
            </a:graphic>
          </wp:inline>
        </w:drawing>
      </w:r>
    </w:p>
    <w:p w14:paraId="15C42F77" w14:textId="77777777" w:rsidR="00FA3BDB" w:rsidRDefault="00FA3BDB" w:rsidP="00FA3BDB">
      <w:pPr>
        <w:pStyle w:val="Heading3"/>
      </w:pPr>
      <w:bookmarkStart w:id="66" w:name="_Toc441236125"/>
      <w:bookmarkStart w:id="67" w:name="_Toc461093942"/>
      <w:r>
        <w:t>Funds flow</w:t>
      </w:r>
      <w:bookmarkEnd w:id="66"/>
      <w:bookmarkEnd w:id="67"/>
    </w:p>
    <w:p w14:paraId="225DB63C" w14:textId="77777777" w:rsidR="00FA3BDB" w:rsidRDefault="00FA3BDB" w:rsidP="00FA3BDB">
      <w:r w:rsidRPr="00A114E6">
        <w:t xml:space="preserve">The flow of funds to pay for EE improvements follows the same flow as the normal appropriations from the MOF. The repayment to </w:t>
      </w:r>
      <w:r w:rsidR="000D6362">
        <w:t xml:space="preserve">the </w:t>
      </w:r>
      <w:r w:rsidRPr="00A114E6">
        <w:t xml:space="preserve">MOF could be complete or partial and may allow public agencies to retain a share of the savings achieved. </w:t>
      </w:r>
      <w:r>
        <w:t xml:space="preserve">It would be desirable for </w:t>
      </w:r>
      <w:r w:rsidRPr="00A114E6">
        <w:t xml:space="preserve">MOF </w:t>
      </w:r>
      <w:r>
        <w:t>to</w:t>
      </w:r>
      <w:r w:rsidRPr="00A114E6">
        <w:t xml:space="preserve"> allow the </w:t>
      </w:r>
      <w:r>
        <w:t xml:space="preserve">public entities </w:t>
      </w:r>
      <w:r w:rsidRPr="00A114E6">
        <w:t>to keep a portion of the savings as an incentive for their active participation and support in identifying and implementing the EE projects. This could require some changes in public budgeting procedures. The development of such procedures could be supported by TA.</w:t>
      </w:r>
    </w:p>
    <w:p w14:paraId="0024D2A6" w14:textId="77777777" w:rsidR="00DD1BF5" w:rsidRDefault="00F97BB2" w:rsidP="00FA3BDB">
      <w:r>
        <w:t>Figure 5.2</w:t>
      </w:r>
      <w:r w:rsidR="00DD1BF5">
        <w:t xml:space="preserve"> illustrates the funds flow.</w:t>
      </w:r>
    </w:p>
    <w:p w14:paraId="1FB1DC49" w14:textId="77777777" w:rsidR="00F97BB2" w:rsidRDefault="00F97BB2" w:rsidP="00FA3BDB"/>
    <w:p w14:paraId="4BA12DD5" w14:textId="77777777" w:rsidR="00300D39" w:rsidRDefault="00300D39" w:rsidP="00FA3BDB"/>
    <w:p w14:paraId="055C95EC" w14:textId="77777777" w:rsidR="00F97BB2" w:rsidRDefault="00F97BB2" w:rsidP="00FA3BDB"/>
    <w:p w14:paraId="4BF01F7A" w14:textId="77777777" w:rsidR="00FA3BDB" w:rsidRDefault="00FA3BDB" w:rsidP="00FD51EB">
      <w:pPr>
        <w:pStyle w:val="Heading-FiguresandTables"/>
        <w:tabs>
          <w:tab w:val="left" w:pos="2160"/>
        </w:tabs>
        <w:spacing w:after="60"/>
      </w:pPr>
      <w:r>
        <w:t xml:space="preserve">Figure </w:t>
      </w:r>
      <w:r w:rsidR="00DD1BF5">
        <w:t>5.2</w:t>
      </w:r>
      <w:r>
        <w:t xml:space="preserve"> – </w:t>
      </w:r>
      <w:r w:rsidR="00F97BB2">
        <w:t xml:space="preserve">Funds Flow </w:t>
      </w:r>
      <w:r>
        <w:t xml:space="preserve">– Public Sector EE Improvement Project </w:t>
      </w:r>
    </w:p>
    <w:p w14:paraId="55F4739F" w14:textId="77777777" w:rsidR="00A43310" w:rsidRDefault="00A43310" w:rsidP="007F2F3E">
      <w:pPr>
        <w:pStyle w:val="Heading-FiguresandTables"/>
        <w:spacing w:before="40" w:after="60"/>
      </w:pPr>
      <w:r w:rsidRPr="00A43310">
        <w:rPr>
          <w:noProof/>
        </w:rPr>
        <w:drawing>
          <wp:inline distT="0" distB="0" distL="0" distR="0" wp14:anchorId="527C0E71" wp14:editId="468F268C">
            <wp:extent cx="4728347" cy="27720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35041" cy="2775993"/>
                    </a:xfrm>
                    <a:prstGeom prst="rect">
                      <a:avLst/>
                    </a:prstGeom>
                    <a:noFill/>
                    <a:ln>
                      <a:noFill/>
                    </a:ln>
                  </pic:spPr>
                </pic:pic>
              </a:graphicData>
            </a:graphic>
          </wp:inline>
        </w:drawing>
      </w:r>
    </w:p>
    <w:p w14:paraId="1E046E9C" w14:textId="77777777" w:rsidR="00FA3BDB" w:rsidRDefault="00FA3BDB" w:rsidP="00FA3BDB">
      <w:pPr>
        <w:pStyle w:val="Heading3"/>
      </w:pPr>
      <w:bookmarkStart w:id="68" w:name="_Toc441236127"/>
      <w:bookmarkStart w:id="69" w:name="_Toc461093943"/>
      <w:r>
        <w:t>Implementation</w:t>
      </w:r>
      <w:bookmarkEnd w:id="68"/>
      <w:bookmarkEnd w:id="69"/>
    </w:p>
    <w:p w14:paraId="2B1413F7" w14:textId="77777777" w:rsidR="00FA3BDB" w:rsidRDefault="00FA3BDB" w:rsidP="00FA3BDB">
      <w:r w:rsidRPr="00ED61E3">
        <w:t>The prog</w:t>
      </w:r>
      <w:r>
        <w:t>ram would be implemented by a Pro</w:t>
      </w:r>
      <w:r w:rsidR="001E2045">
        <w:t>ject</w:t>
      </w:r>
      <w:r>
        <w:t xml:space="preserve"> Implementation Unit (PI</w:t>
      </w:r>
      <w:r w:rsidRPr="00ED61E3">
        <w:t>U</w:t>
      </w:r>
      <w:r w:rsidR="002D291F">
        <w:t xml:space="preserve">) </w:t>
      </w:r>
      <w:r w:rsidRPr="00ED61E3">
        <w:t xml:space="preserve">within </w:t>
      </w:r>
      <w:r w:rsidR="000D6362">
        <w:t xml:space="preserve">the </w:t>
      </w:r>
      <w:r w:rsidRPr="00ED61E3">
        <w:t>MOF</w:t>
      </w:r>
      <w:r w:rsidR="002D291F">
        <w:t xml:space="preserve"> or another suitable </w:t>
      </w:r>
      <w:r w:rsidR="002058EA">
        <w:t xml:space="preserve">government </w:t>
      </w:r>
      <w:r w:rsidR="00703328">
        <w:t>agency</w:t>
      </w:r>
      <w:r w:rsidR="002058EA">
        <w:t xml:space="preserve"> (such as the MOE</w:t>
      </w:r>
      <w:r w:rsidR="00BD704F">
        <w:t xml:space="preserve"> or MoESD</w:t>
      </w:r>
      <w:r w:rsidR="002058EA">
        <w:t>)</w:t>
      </w:r>
      <w:r w:rsidR="001E2045">
        <w:t>, staffed with appointed specialists and consultants</w:t>
      </w:r>
      <w:r w:rsidRPr="00ED61E3">
        <w:t xml:space="preserve">. </w:t>
      </w:r>
      <w:r w:rsidR="002D291F">
        <w:t>The PI</w:t>
      </w:r>
      <w:r>
        <w:t>U</w:t>
      </w:r>
      <w:r w:rsidRPr="00ED61E3">
        <w:t xml:space="preserve"> coul</w:t>
      </w:r>
      <w:r>
        <w:t>d carry out</w:t>
      </w:r>
      <w:r w:rsidRPr="00ED61E3">
        <w:t xml:space="preserve"> tasks such as </w:t>
      </w:r>
      <w:r w:rsidR="006A579B">
        <w:t>project identification</w:t>
      </w:r>
      <w:r w:rsidRPr="00ED61E3">
        <w:t xml:space="preserve">, review of applications, </w:t>
      </w:r>
      <w:r w:rsidR="006A579B">
        <w:t xml:space="preserve">and </w:t>
      </w:r>
      <w:r w:rsidRPr="00ED61E3">
        <w:t>monitoring and reporting as well as assisting public entities with project preparation activities</w:t>
      </w:r>
      <w:r w:rsidR="000D6362">
        <w:t>. These include</w:t>
      </w:r>
      <w:r w:rsidRPr="00ED61E3">
        <w:t xml:space="preserve"> review of feasibility studies, preparation of detailed design and bidding documents</w:t>
      </w:r>
      <w:r w:rsidR="00DF4D53">
        <w:t>, and</w:t>
      </w:r>
      <w:r w:rsidRPr="00ED61E3">
        <w:t xml:space="preserve"> supervision of construction activities. </w:t>
      </w:r>
    </w:p>
    <w:p w14:paraId="3C4EB489" w14:textId="77777777" w:rsidR="00FA3BDB" w:rsidRDefault="00FA3BDB" w:rsidP="00FA3BDB">
      <w:r w:rsidRPr="00ED61E3">
        <w:t xml:space="preserve">This </w:t>
      </w:r>
      <w:r>
        <w:t>option re</w:t>
      </w:r>
      <w:r w:rsidR="002D291F">
        <w:t xml:space="preserve">quires the establishment of a </w:t>
      </w:r>
      <w:r w:rsidR="00703328">
        <w:t xml:space="preserve">ministry </w:t>
      </w:r>
      <w:r w:rsidR="002D291F">
        <w:t>PI</w:t>
      </w:r>
      <w:r>
        <w:t>U and training</w:t>
      </w:r>
      <w:r w:rsidR="002D291F">
        <w:t xml:space="preserve"> and capacity building of the PI</w:t>
      </w:r>
      <w:r>
        <w:t xml:space="preserve">U staff to undertake the activities envisioned. Some </w:t>
      </w:r>
      <w:r w:rsidR="000D6362">
        <w:t>TA</w:t>
      </w:r>
      <w:r w:rsidR="00703328">
        <w:t xml:space="preserve"> </w:t>
      </w:r>
      <w:r>
        <w:t xml:space="preserve">could be provided by </w:t>
      </w:r>
      <w:r w:rsidR="002058EA">
        <w:t>the MOE,</w:t>
      </w:r>
      <w:r>
        <w:t xml:space="preserve"> but </w:t>
      </w:r>
      <w:r w:rsidR="000D6362">
        <w:t xml:space="preserve">the </w:t>
      </w:r>
      <w:r>
        <w:t xml:space="preserve">MOF would have to assume responsibilities for </w:t>
      </w:r>
      <w:r w:rsidR="00703328">
        <w:t>budget allocation and repayments</w:t>
      </w:r>
      <w:r>
        <w:t xml:space="preserve">. </w:t>
      </w:r>
    </w:p>
    <w:p w14:paraId="3270C263" w14:textId="77777777" w:rsidR="00FA3BDB" w:rsidRPr="00A114E6" w:rsidRDefault="00FA3BDB" w:rsidP="00FA3BDB">
      <w:r w:rsidRPr="00EB6032">
        <w:t>The funds w</w:t>
      </w:r>
      <w:r w:rsidR="00703328">
        <w:t>ould</w:t>
      </w:r>
      <w:r w:rsidRPr="00EB6032">
        <w:t xml:space="preserve"> be lent by </w:t>
      </w:r>
      <w:r w:rsidR="000D6362">
        <w:t xml:space="preserve">the </w:t>
      </w:r>
      <w:r w:rsidRPr="00EB6032">
        <w:t xml:space="preserve">MOF to public </w:t>
      </w:r>
      <w:r>
        <w:t xml:space="preserve">agencies </w:t>
      </w:r>
      <w:r w:rsidRPr="00EB6032">
        <w:t xml:space="preserve">by entering into </w:t>
      </w:r>
      <w:r w:rsidR="00771116">
        <w:t>LA</w:t>
      </w:r>
      <w:r w:rsidR="00196384">
        <w:t>s</w:t>
      </w:r>
      <w:r w:rsidRPr="00EB6032">
        <w:t xml:space="preserve">. The </w:t>
      </w:r>
      <w:r w:rsidR="006A579B">
        <w:t>funds</w:t>
      </w:r>
      <w:r w:rsidRPr="00EB6032">
        <w:t xml:space="preserve"> will be provided to </w:t>
      </w:r>
      <w:r w:rsidR="006A579B">
        <w:t xml:space="preserve">central government agencies </w:t>
      </w:r>
      <w:r w:rsidR="002D291F">
        <w:t xml:space="preserve">and municipalities </w:t>
      </w:r>
      <w:r w:rsidR="006A579B">
        <w:t>that have</w:t>
      </w:r>
      <w:r w:rsidRPr="00EB6032">
        <w:t xml:space="preserve"> capabilities to manage implementation of </w:t>
      </w:r>
      <w:r>
        <w:t>EE</w:t>
      </w:r>
      <w:r w:rsidR="002D291F">
        <w:t xml:space="preserve"> projects</w:t>
      </w:r>
      <w:r w:rsidRPr="00EB6032">
        <w:t xml:space="preserve"> and demonstrated willingness to commit to repay the loans from energy savings. </w:t>
      </w:r>
    </w:p>
    <w:p w14:paraId="2ADE28E8" w14:textId="77777777" w:rsidR="00FA3BDB" w:rsidDel="00821B26" w:rsidRDefault="000D6362" w:rsidP="00FA3BDB">
      <w:r>
        <w:t xml:space="preserve">The </w:t>
      </w:r>
      <w:r w:rsidR="00FA3BDB" w:rsidRPr="00EB6032">
        <w:t>MOF w</w:t>
      </w:r>
      <w:r w:rsidR="00703328">
        <w:t>ould</w:t>
      </w:r>
      <w:r w:rsidR="00FA3BDB" w:rsidRPr="00EB6032">
        <w:t xml:space="preserve"> provide loans for projects undertaken by these borrowers that will be treated as debt, with fixed repayment obligations to be made within their budget pr</w:t>
      </w:r>
      <w:r w:rsidR="002D291F">
        <w:t>ovisions in future years. The PI</w:t>
      </w:r>
      <w:r w:rsidR="00FA3BDB" w:rsidRPr="00EB6032">
        <w:t>U w</w:t>
      </w:r>
      <w:r w:rsidR="00703328">
        <w:t>ould</w:t>
      </w:r>
      <w:r w:rsidR="00FA3BDB" w:rsidRPr="00EB6032">
        <w:t xml:space="preserve"> negotiate </w:t>
      </w:r>
      <w:r w:rsidR="00652E17">
        <w:t>LAs</w:t>
      </w:r>
      <w:r>
        <w:t xml:space="preserve"> </w:t>
      </w:r>
      <w:r w:rsidR="00FA3BDB" w:rsidRPr="00EB6032">
        <w:t xml:space="preserve">with the borrowers that will define the terms of the loans, determined by </w:t>
      </w:r>
      <w:r>
        <w:t xml:space="preserve">the </w:t>
      </w:r>
      <w:r w:rsidR="00FA3BDB" w:rsidRPr="00EB6032">
        <w:t xml:space="preserve">MOF or in negotiations between </w:t>
      </w:r>
      <w:r>
        <w:t xml:space="preserve">the </w:t>
      </w:r>
      <w:r w:rsidR="00FA3BDB" w:rsidRPr="00EB6032">
        <w:t xml:space="preserve">MOF and donors. </w:t>
      </w:r>
    </w:p>
    <w:p w14:paraId="27D41710" w14:textId="77777777" w:rsidR="00FA3BDB" w:rsidRPr="00CB6768" w:rsidRDefault="00FA3BDB" w:rsidP="00FA3BDB">
      <w:pPr>
        <w:pStyle w:val="Heading3"/>
      </w:pPr>
      <w:bookmarkStart w:id="70" w:name="_Toc333462087"/>
      <w:bookmarkStart w:id="71" w:name="_Toc441236128"/>
      <w:bookmarkStart w:id="72" w:name="_Toc461093944"/>
      <w:r w:rsidRPr="0078090C">
        <w:t>Technical Assistance</w:t>
      </w:r>
      <w:bookmarkEnd w:id="70"/>
      <w:bookmarkEnd w:id="71"/>
      <w:bookmarkEnd w:id="72"/>
    </w:p>
    <w:p w14:paraId="0E857EEE" w14:textId="77777777" w:rsidR="00FA3BDB" w:rsidRPr="00EB6032" w:rsidRDefault="00FA3BDB" w:rsidP="00FA3BDB">
      <w:r w:rsidRPr="00EB6032">
        <w:t>Certain additional services may be provided to the borrowers by the P</w:t>
      </w:r>
      <w:r w:rsidR="002D291F">
        <w:t>I</w:t>
      </w:r>
      <w:r w:rsidRPr="00EB6032">
        <w:t xml:space="preserve">U as </w:t>
      </w:r>
      <w:r w:rsidR="000D6362">
        <w:t>technical assistance</w:t>
      </w:r>
      <w:r w:rsidRPr="00EB6032">
        <w:t xml:space="preserve">. Such services may include: conducting a preliminary screening to identify </w:t>
      </w:r>
      <w:r w:rsidR="006A579B">
        <w:t xml:space="preserve">and define </w:t>
      </w:r>
      <w:r w:rsidRPr="00EB6032">
        <w:t xml:space="preserve">the general scope of the </w:t>
      </w:r>
      <w:r>
        <w:t>EE</w:t>
      </w:r>
      <w:r w:rsidRPr="00EB6032">
        <w:t xml:space="preserve"> projects; providing standard bidding documents for services related to project implementation; and providing measurement and verification </w:t>
      </w:r>
      <w:r w:rsidR="006A579B">
        <w:t xml:space="preserve">(M&amp;V) </w:t>
      </w:r>
      <w:r w:rsidRPr="00EB6032">
        <w:t xml:space="preserve">protocols. The borrowers will be responsible for engaging energy service providers (as needed), implementing the project, properly maintaining the systems, and repaying the loan in accordance with the terms of the </w:t>
      </w:r>
      <w:r w:rsidR="00771116">
        <w:t>LA</w:t>
      </w:r>
      <w:r w:rsidRPr="00EB6032">
        <w:t>. The repayment installments will be designed to allow borrowers to repay the investment costs and, if applicable, service fee from the accrued energy cost savings.</w:t>
      </w:r>
    </w:p>
    <w:p w14:paraId="32633A31" w14:textId="77777777" w:rsidR="00FA3BDB" w:rsidRPr="00EB6032" w:rsidRDefault="00FA3BDB" w:rsidP="00FA3BDB">
      <w:r w:rsidRPr="00EB6032">
        <w:t xml:space="preserve">TA may be provided by </w:t>
      </w:r>
      <w:r w:rsidR="00D02819">
        <w:t xml:space="preserve">the </w:t>
      </w:r>
      <w:r w:rsidR="00703328">
        <w:t>M</w:t>
      </w:r>
      <w:r w:rsidR="002058EA">
        <w:t>O</w:t>
      </w:r>
      <w:r w:rsidR="00703328">
        <w:t>E</w:t>
      </w:r>
      <w:r>
        <w:t xml:space="preserve"> </w:t>
      </w:r>
      <w:r w:rsidRPr="00EB6032">
        <w:t xml:space="preserve">with respect to energy audits, project implementation support, </w:t>
      </w:r>
      <w:r w:rsidR="00DA0EF3">
        <w:t xml:space="preserve">and </w:t>
      </w:r>
      <w:r w:rsidRPr="00EB6032">
        <w:t xml:space="preserve">M&amp;V protocols. </w:t>
      </w:r>
    </w:p>
    <w:p w14:paraId="23BC3974" w14:textId="77777777" w:rsidR="00FA3BDB" w:rsidRDefault="00FA3BDB" w:rsidP="00FA3BDB">
      <w:pPr>
        <w:pStyle w:val="Heading2"/>
      </w:pPr>
      <w:bookmarkStart w:id="73" w:name="_Toc441236129"/>
      <w:bookmarkStart w:id="74" w:name="_Toc461093945"/>
      <w:r>
        <w:t>Energy Efficiency Revolving Fund</w:t>
      </w:r>
      <w:bookmarkEnd w:id="73"/>
      <w:bookmarkEnd w:id="74"/>
    </w:p>
    <w:p w14:paraId="06F4CDD8" w14:textId="77777777" w:rsidR="00FA3BDB" w:rsidRDefault="00FA3BDB" w:rsidP="00FA3BDB">
      <w:r>
        <w:t xml:space="preserve">The basic structure of an EERF was described in </w:t>
      </w:r>
      <w:r w:rsidR="00A84A8A">
        <w:t xml:space="preserve">Section 4. </w:t>
      </w:r>
      <w:r>
        <w:t xml:space="preserve">Key </w:t>
      </w:r>
      <w:r w:rsidR="00A84A8A">
        <w:t xml:space="preserve">design </w:t>
      </w:r>
      <w:r>
        <w:t xml:space="preserve">elements that need to be considered to implement such a fund in </w:t>
      </w:r>
      <w:r w:rsidR="002058EA">
        <w:t>Georgia</w:t>
      </w:r>
      <w:r w:rsidR="00DA0EF3">
        <w:t xml:space="preserve"> are</w:t>
      </w:r>
      <w:r>
        <w:t xml:space="preserve"> discussed below.</w:t>
      </w:r>
    </w:p>
    <w:p w14:paraId="78897B82" w14:textId="77777777" w:rsidR="00FA3BDB" w:rsidRPr="00BB3617" w:rsidRDefault="00FA3BDB" w:rsidP="00FA3BDB">
      <w:pPr>
        <w:pStyle w:val="Heading3"/>
      </w:pPr>
      <w:bookmarkStart w:id="75" w:name="_Toc390005231"/>
      <w:bookmarkStart w:id="76" w:name="_Toc441236130"/>
      <w:bookmarkStart w:id="77" w:name="_Toc461093946"/>
      <w:r w:rsidRPr="00BB3617">
        <w:t>Legal Framework</w:t>
      </w:r>
      <w:bookmarkEnd w:id="75"/>
      <w:bookmarkEnd w:id="76"/>
      <w:bookmarkEnd w:id="77"/>
    </w:p>
    <w:p w14:paraId="4D54123A" w14:textId="77777777" w:rsidR="00FA3BDB" w:rsidRPr="00BB3617" w:rsidRDefault="00FA3BDB" w:rsidP="00FA3BDB">
      <w:r w:rsidRPr="00BB3617">
        <w:t xml:space="preserve">The establishment of an EERF </w:t>
      </w:r>
      <w:r>
        <w:t xml:space="preserve">is likely to </w:t>
      </w:r>
      <w:r w:rsidRPr="00BB3617">
        <w:t>require legislative action.</w:t>
      </w:r>
      <w:r w:rsidR="002D291F">
        <w:t xml:space="preserve"> The </w:t>
      </w:r>
      <w:r w:rsidR="00DA0EF3">
        <w:t>o</w:t>
      </w:r>
      <w:r w:rsidR="00DA0EF3" w:rsidRPr="00BB3617">
        <w:t xml:space="preserve">ptions </w:t>
      </w:r>
      <w:r w:rsidR="002D291F">
        <w:t xml:space="preserve">for establishing an EERF </w:t>
      </w:r>
      <w:r w:rsidR="002D291F" w:rsidRPr="00BB3617">
        <w:t>include creating the fund under an existing ministry, energy agency, or development bank; creating a new legal entity (independent</w:t>
      </w:r>
      <w:r w:rsidR="002D291F">
        <w:t xml:space="preserve"> </w:t>
      </w:r>
      <w:r w:rsidR="002D291F" w:rsidRPr="00BB3617">
        <w:t xml:space="preserve">corporation or new statutory agency); </w:t>
      </w:r>
      <w:r w:rsidR="002D291F">
        <w:rPr>
          <w:szCs w:val="24"/>
        </w:rPr>
        <w:t xml:space="preserve">not-for-profit entity; </w:t>
      </w:r>
      <w:r w:rsidR="002D291F" w:rsidRPr="00BB3617">
        <w:t xml:space="preserve">or establishing a public-private partnership (PPP). </w:t>
      </w:r>
      <w:r w:rsidR="002D291F">
        <w:t>The preferred option is generally the creation of a new independent corporation or a new statutory agency. However, the</w:t>
      </w:r>
      <w:r w:rsidR="00A84A8A">
        <w:t xml:space="preserve"> </w:t>
      </w:r>
      <w:r w:rsidR="002058EA">
        <w:t>Georgia</w:t>
      </w:r>
      <w:r w:rsidR="008170ED">
        <w:t>n</w:t>
      </w:r>
      <w:r w:rsidR="002D291F">
        <w:t xml:space="preserve"> Ene</w:t>
      </w:r>
      <w:r w:rsidR="002058EA">
        <w:t>rgy Efficiency Revolving Fund (G</w:t>
      </w:r>
      <w:r w:rsidR="00A84A8A">
        <w:t>EE</w:t>
      </w:r>
      <w:r w:rsidR="002D291F">
        <w:t>R</w:t>
      </w:r>
      <w:r w:rsidR="00A84A8A">
        <w:t xml:space="preserve">F) focusing on financing public sector EE projects </w:t>
      </w:r>
      <w:r w:rsidR="002D291F">
        <w:t xml:space="preserve">could be </w:t>
      </w:r>
      <w:r w:rsidR="00A84A8A">
        <w:t xml:space="preserve">established </w:t>
      </w:r>
      <w:r w:rsidR="002D291F">
        <w:t xml:space="preserve">either under </w:t>
      </w:r>
      <w:r w:rsidR="007535A0">
        <w:t>an existing entity</w:t>
      </w:r>
      <w:r w:rsidR="00703328">
        <w:t xml:space="preserve"> </w:t>
      </w:r>
      <w:r w:rsidR="007535A0">
        <w:t>(</w:t>
      </w:r>
      <w:r w:rsidR="00703328">
        <w:t xml:space="preserve">such as </w:t>
      </w:r>
      <w:r w:rsidR="00F6292D">
        <w:t>the M</w:t>
      </w:r>
      <w:r w:rsidR="007535A0">
        <w:t xml:space="preserve">unicipal Development Fund </w:t>
      </w:r>
      <w:r w:rsidR="008170ED">
        <w:t xml:space="preserve">of Georgia </w:t>
      </w:r>
      <w:r w:rsidR="007535A0">
        <w:t>(MDF),</w:t>
      </w:r>
      <w:r w:rsidR="00E52706" w:rsidDel="00E52706">
        <w:rPr>
          <w:rStyle w:val="FootnoteReference"/>
        </w:rPr>
        <w:t xml:space="preserve"> </w:t>
      </w:r>
      <w:r w:rsidR="007535A0">
        <w:t xml:space="preserve"> the Georgia Energy Development Fund (GEDF)</w:t>
      </w:r>
      <w:r w:rsidR="00703328">
        <w:t>,</w:t>
      </w:r>
      <w:r w:rsidR="008170ED">
        <w:rPr>
          <w:rStyle w:val="FootnoteReference"/>
        </w:rPr>
        <w:footnoteReference w:id="21"/>
      </w:r>
      <w:r w:rsidR="002D291F">
        <w:t xml:space="preserve"> or </w:t>
      </w:r>
      <w:r w:rsidR="00A84A8A">
        <w:t xml:space="preserve">as </w:t>
      </w:r>
      <w:r w:rsidRPr="00BB3617">
        <w:t xml:space="preserve">a new, independent </w:t>
      </w:r>
      <w:r w:rsidR="00A84A8A">
        <w:t>organization</w:t>
      </w:r>
      <w:r w:rsidRPr="00BB3617">
        <w:t xml:space="preserve"> that would serve as</w:t>
      </w:r>
      <w:r w:rsidR="00A84A8A">
        <w:t xml:space="preserve"> the Fund </w:t>
      </w:r>
      <w:r w:rsidRPr="00BB3617">
        <w:t xml:space="preserve">administrator. Consequently, if the </w:t>
      </w:r>
      <w:r w:rsidR="007535A0">
        <w:t>Georgia</w:t>
      </w:r>
      <w:r w:rsidR="00A84A8A">
        <w:t xml:space="preserve"> </w:t>
      </w:r>
      <w:r>
        <w:t xml:space="preserve">government </w:t>
      </w:r>
      <w:r w:rsidRPr="00BB3617">
        <w:t>decide</w:t>
      </w:r>
      <w:r>
        <w:t>s</w:t>
      </w:r>
      <w:r w:rsidRPr="00BB3617">
        <w:t xml:space="preserve"> to establish a</w:t>
      </w:r>
      <w:r>
        <w:t>n</w:t>
      </w:r>
      <w:r w:rsidRPr="00BB3617">
        <w:t xml:space="preserve"> EERF, </w:t>
      </w:r>
      <w:r w:rsidR="00A84A8A">
        <w:t xml:space="preserve">the </w:t>
      </w:r>
      <w:r w:rsidR="006D3C75">
        <w:t>relevant</w:t>
      </w:r>
      <w:r w:rsidRPr="00BB3617">
        <w:t xml:space="preserve"> legislation should specify its legal organization and ownership.</w:t>
      </w:r>
    </w:p>
    <w:p w14:paraId="2D4C1968" w14:textId="77777777" w:rsidR="00FA3BDB" w:rsidRPr="00BB3617" w:rsidRDefault="00FA3BDB" w:rsidP="00FA3BDB">
      <w:pPr>
        <w:pStyle w:val="Heading3"/>
      </w:pPr>
      <w:bookmarkStart w:id="78" w:name="_Toc390005232"/>
      <w:bookmarkStart w:id="79" w:name="_Toc441236131"/>
      <w:bookmarkStart w:id="80" w:name="_Toc461093947"/>
      <w:r w:rsidRPr="00BB3617">
        <w:t>Fund Management and Governance</w:t>
      </w:r>
      <w:bookmarkEnd w:id="78"/>
      <w:bookmarkEnd w:id="79"/>
      <w:bookmarkEnd w:id="80"/>
    </w:p>
    <w:p w14:paraId="5B77788E" w14:textId="77777777" w:rsidR="00FA3BDB" w:rsidRPr="00BB3617" w:rsidRDefault="00FA3BDB" w:rsidP="00FA3BDB">
      <w:pPr>
        <w:keepNext/>
      </w:pPr>
      <w:r w:rsidRPr="00BB3617">
        <w:t xml:space="preserve">The key elements </w:t>
      </w:r>
      <w:r w:rsidR="00E21642" w:rsidRPr="00BB3617">
        <w:t>of management</w:t>
      </w:r>
      <w:r w:rsidRPr="00BB3617">
        <w:t xml:space="preserve"> and governance </w:t>
      </w:r>
      <w:r w:rsidR="002D291F">
        <w:t xml:space="preserve">of the </w:t>
      </w:r>
      <w:r w:rsidR="007535A0">
        <w:t>GEERF</w:t>
      </w:r>
      <w:r w:rsidR="00A84A8A">
        <w:t xml:space="preserve"> </w:t>
      </w:r>
      <w:r w:rsidRPr="00BB3617">
        <w:t>include the following:</w:t>
      </w:r>
    </w:p>
    <w:p w14:paraId="1158CE42" w14:textId="77777777" w:rsidR="00FA3BDB" w:rsidRPr="00BB3617" w:rsidRDefault="00FA3BDB" w:rsidP="00FA3BDB">
      <w:pPr>
        <w:pStyle w:val="Bulleted"/>
      </w:pPr>
      <w:r w:rsidRPr="00BB3617">
        <w:t>Oversight arrangements</w:t>
      </w:r>
    </w:p>
    <w:p w14:paraId="16ED7852" w14:textId="77777777" w:rsidR="00FA3BDB" w:rsidRPr="00BB3617" w:rsidRDefault="00865140" w:rsidP="00FA3BDB">
      <w:pPr>
        <w:pStyle w:val="Bulleted"/>
      </w:pPr>
      <w:r>
        <w:t>F</w:t>
      </w:r>
      <w:r w:rsidR="00FA3BDB" w:rsidRPr="00BB3617">
        <w:t>und manager</w:t>
      </w:r>
      <w:r>
        <w:t xml:space="preserve"> selection</w:t>
      </w:r>
    </w:p>
    <w:p w14:paraId="2F2D9A10" w14:textId="77777777" w:rsidR="00FA3BDB" w:rsidRPr="00BB3617" w:rsidRDefault="00FA3BDB" w:rsidP="00FA3BDB">
      <w:pPr>
        <w:pStyle w:val="Bulleted"/>
      </w:pPr>
      <w:r w:rsidRPr="00BB3617">
        <w:t>Monitoring and evaluation</w:t>
      </w:r>
    </w:p>
    <w:p w14:paraId="037C1B1A" w14:textId="77777777" w:rsidR="00FA3BDB" w:rsidRPr="00BB3617" w:rsidRDefault="00FA3BDB" w:rsidP="00FA3BDB">
      <w:pPr>
        <w:pStyle w:val="Bulleted"/>
      </w:pPr>
      <w:r w:rsidRPr="00BB3617">
        <w:t xml:space="preserve">Reporting </w:t>
      </w:r>
    </w:p>
    <w:p w14:paraId="4B286C44" w14:textId="77777777" w:rsidR="00FA3BDB" w:rsidRPr="00BB3617" w:rsidRDefault="00FA3BDB" w:rsidP="00FA3BDB">
      <w:pPr>
        <w:pStyle w:val="Heading4"/>
      </w:pPr>
      <w:r w:rsidRPr="00BB3617">
        <w:t>Oversight Arrangements</w:t>
      </w:r>
    </w:p>
    <w:p w14:paraId="68CE52E7" w14:textId="77777777" w:rsidR="00FA3BDB" w:rsidRDefault="00FA3BDB" w:rsidP="00FA3BDB">
      <w:r w:rsidRPr="00BB3617">
        <w:t xml:space="preserve">Although oversight arrangements vary, they typically include all relevant ministries that have some authority over EE, such as those responsible for finance, construction, economy/energy, environment, or urban/regional development. </w:t>
      </w:r>
      <w:r>
        <w:t>Options for oversight arrangements are listed below:</w:t>
      </w:r>
    </w:p>
    <w:p w14:paraId="4E4F5ED4" w14:textId="77777777" w:rsidR="00FA3BDB" w:rsidRPr="00BB3617" w:rsidRDefault="00FA3BDB" w:rsidP="00FA3BDB">
      <w:pPr>
        <w:pStyle w:val="Bulleted"/>
      </w:pPr>
      <w:r w:rsidRPr="00BB3617">
        <w:t xml:space="preserve">For the Bulgarian Energy Efficiency Fund, or </w:t>
      </w:r>
      <w:r>
        <w:t>BEEF</w:t>
      </w:r>
      <w:r w:rsidRPr="00BB3617">
        <w:t>, oversight is by a management board appointed by the national government</w:t>
      </w:r>
      <w:r w:rsidR="00D02819">
        <w:t>;</w:t>
      </w:r>
    </w:p>
    <w:p w14:paraId="55F5CEF8" w14:textId="77777777" w:rsidR="00FA3BDB" w:rsidRPr="00BB3617" w:rsidRDefault="00FA3BDB" w:rsidP="00FA3BDB">
      <w:pPr>
        <w:pStyle w:val="Bulleted"/>
      </w:pPr>
      <w:r w:rsidRPr="00BB3617">
        <w:t>The Renewable Resour</w:t>
      </w:r>
      <w:r>
        <w:t>ces and Energy Efficiency</w:t>
      </w:r>
      <w:r w:rsidRPr="00BB3617">
        <w:t xml:space="preserve"> Fund</w:t>
      </w:r>
      <w:r w:rsidR="00703328">
        <w:t xml:space="preserve"> (R2E2 Fund)</w:t>
      </w:r>
      <w:r w:rsidRPr="00BB3617">
        <w:t xml:space="preserve"> in Armenia is governed by a government-appointed board of trustees and comprises representatives from the government, private sector, NGOs and academia; </w:t>
      </w:r>
    </w:p>
    <w:p w14:paraId="5211E5C5" w14:textId="77777777" w:rsidR="00FA3BDB" w:rsidRPr="00BB3617" w:rsidRDefault="00FA3BDB" w:rsidP="00FA3BDB">
      <w:pPr>
        <w:pStyle w:val="Bulleted"/>
      </w:pPr>
      <w:r w:rsidRPr="00BB3617">
        <w:t xml:space="preserve">The Romanian Energy Efficiency Fund </w:t>
      </w:r>
      <w:r w:rsidR="00703328">
        <w:t xml:space="preserve">(FREE) </w:t>
      </w:r>
      <w:r w:rsidR="007D5145">
        <w:t>is</w:t>
      </w:r>
      <w:r w:rsidR="007D5145" w:rsidRPr="00BB3617">
        <w:t xml:space="preserve"> </w:t>
      </w:r>
      <w:r w:rsidRPr="00BB3617">
        <w:t xml:space="preserve">governed by a government-appointed board of administration consisting of seven members, five </w:t>
      </w:r>
      <w:r w:rsidR="007D5145">
        <w:t>from the</w:t>
      </w:r>
      <w:r w:rsidR="007D5145" w:rsidRPr="00BB3617">
        <w:t xml:space="preserve"> </w:t>
      </w:r>
      <w:r w:rsidRPr="00BB3617">
        <w:t>private sector; and</w:t>
      </w:r>
      <w:r w:rsidR="00F6292D">
        <w:t xml:space="preserve"> </w:t>
      </w:r>
    </w:p>
    <w:p w14:paraId="13A8A311" w14:textId="77777777" w:rsidR="00FA3BDB" w:rsidRPr="00BB3617" w:rsidRDefault="00FA3BDB" w:rsidP="00FA3BDB">
      <w:pPr>
        <w:pStyle w:val="Bulleted"/>
      </w:pPr>
      <w:r w:rsidRPr="00BB3617">
        <w:t xml:space="preserve">Salix Finance in the U.K. has a three-person board, two </w:t>
      </w:r>
      <w:r w:rsidR="00AD2D0A">
        <w:t xml:space="preserve">of which </w:t>
      </w:r>
      <w:r w:rsidRPr="00BB3617">
        <w:t xml:space="preserve">are from the private sector. </w:t>
      </w:r>
    </w:p>
    <w:p w14:paraId="47847740" w14:textId="77777777" w:rsidR="00FA3BDB" w:rsidRPr="00BB3617" w:rsidRDefault="00FA3BDB" w:rsidP="00FA3BDB">
      <w:r>
        <w:t>If</w:t>
      </w:r>
      <w:r w:rsidR="00AD2D0A">
        <w:t xml:space="preserve"> </w:t>
      </w:r>
      <w:r w:rsidR="007535A0">
        <w:t>Georgia</w:t>
      </w:r>
      <w:r>
        <w:t xml:space="preserve"> establishe</w:t>
      </w:r>
      <w:r w:rsidR="00A84A8A">
        <w:t>s</w:t>
      </w:r>
      <w:r>
        <w:t xml:space="preserve"> </w:t>
      </w:r>
      <w:r w:rsidR="002D291F">
        <w:t xml:space="preserve">the </w:t>
      </w:r>
      <w:r w:rsidR="007535A0">
        <w:t>GEERF</w:t>
      </w:r>
      <w:r w:rsidR="00A84A8A">
        <w:t xml:space="preserve">, </w:t>
      </w:r>
      <w:r>
        <w:t xml:space="preserve">it </w:t>
      </w:r>
      <w:r w:rsidR="00865140">
        <w:t>is strongly recommended to</w:t>
      </w:r>
      <w:r>
        <w:t xml:space="preserve"> hav</w:t>
      </w:r>
      <w:r w:rsidR="00865140">
        <w:t>e</w:t>
      </w:r>
      <w:r>
        <w:t xml:space="preserve"> </w:t>
      </w:r>
      <w:r w:rsidRPr="00BB3617">
        <w:t>representation from both the public and private sectors.</w:t>
      </w:r>
    </w:p>
    <w:p w14:paraId="3FDFB54E" w14:textId="77777777" w:rsidR="00FA3BDB" w:rsidRPr="00BB3617" w:rsidRDefault="00FA3BDB" w:rsidP="00FA3BDB">
      <w:r w:rsidRPr="00BB3617">
        <w:t>The main functions of the oversight bod</w:t>
      </w:r>
      <w:r>
        <w:t xml:space="preserve">y will be </w:t>
      </w:r>
      <w:r w:rsidRPr="00BB3617">
        <w:t>setting the investment strategy and policy of the fund, hiring the fund management team, establishing the overall criteria for selecting projects, approving the annual business plans and budgets formulated by the management team, preparing and submitting an annual financial report to the government, and assuring that the fund is operating in compliance with national EE strategy and plans.</w:t>
      </w:r>
    </w:p>
    <w:p w14:paraId="043B5020" w14:textId="6F60E0AF" w:rsidR="00FA3BDB" w:rsidRPr="00BB3617" w:rsidRDefault="00FA3BDB" w:rsidP="00FA3BDB">
      <w:pPr>
        <w:pStyle w:val="Heading4"/>
      </w:pPr>
      <w:r w:rsidRPr="00BB3617">
        <w:t>Fund Manager</w:t>
      </w:r>
      <w:r w:rsidR="007F2F3E">
        <w:t xml:space="preserve"> Selection</w:t>
      </w:r>
    </w:p>
    <w:p w14:paraId="727D867B" w14:textId="77777777" w:rsidR="00FA3BDB" w:rsidRPr="00BB3617" w:rsidRDefault="00FA3BDB" w:rsidP="00FA3BDB">
      <w:r w:rsidRPr="00BB3617">
        <w:t>Reviews of international experience with EE funds</w:t>
      </w:r>
      <w:r w:rsidR="002D291F">
        <w:t xml:space="preserve"> (World Bank 2014a</w:t>
      </w:r>
      <w:r w:rsidR="00A84A8A">
        <w:t>)</w:t>
      </w:r>
      <w:r w:rsidRPr="00BB3617">
        <w:t xml:space="preserve"> have identified a number of options for the choice of a fund manager, including an existing government agency or development bank, a utility, or a special directorate related to municipal services or building management. Alternatively, a new organization may be created to manage the fund</w:t>
      </w:r>
      <w:r w:rsidR="004D7D8C">
        <w:t xml:space="preserve">—an </w:t>
      </w:r>
      <w:r w:rsidRPr="00BB3617">
        <w:t>independent agency, a new statutory authority, a public corporation, or a PPP. Any of these types of organizations could also hire a fund manager or fund management team under a contract.</w:t>
      </w:r>
    </w:p>
    <w:p w14:paraId="549D18FD" w14:textId="77777777" w:rsidR="00FA3BDB" w:rsidRPr="00BB3617" w:rsidRDefault="00FA3BDB" w:rsidP="00FA3BDB">
      <w:r w:rsidRPr="00BB3617">
        <w:t>In Bulgaria, an independent fund management team was appointed</w:t>
      </w:r>
      <w:r w:rsidR="00A84A8A">
        <w:t xml:space="preserve"> (World Bank 2010)</w:t>
      </w:r>
      <w:r>
        <w:t xml:space="preserve">. </w:t>
      </w:r>
      <w:r w:rsidRPr="00BB3617">
        <w:t>This team was competitively selected and included a consortium of three firms.</w:t>
      </w:r>
      <w:r w:rsidRPr="00BB3617">
        <w:rPr>
          <w:rStyle w:val="FootnoteReference"/>
        </w:rPr>
        <w:footnoteReference w:id="22"/>
      </w:r>
      <w:r w:rsidRPr="00BB3617">
        <w:t xml:space="preserve"> In the case of the Armenia R2E2 Fund</w:t>
      </w:r>
      <w:r w:rsidR="00F5129C">
        <w:t xml:space="preserve"> (World Bank 2012)</w:t>
      </w:r>
      <w:r>
        <w:t>,</w:t>
      </w:r>
      <w:r w:rsidRPr="00BB3617">
        <w:t xml:space="preserve"> the government appointed an executive director and supporting financial and technical staff to manage the fund.</w:t>
      </w:r>
      <w:r w:rsidRPr="00BB3617">
        <w:rPr>
          <w:snapToGrid/>
        </w:rPr>
        <w:t xml:space="preserve"> </w:t>
      </w:r>
    </w:p>
    <w:p w14:paraId="29D488F0" w14:textId="77777777" w:rsidR="00FA3BDB" w:rsidRPr="00BB3617" w:rsidRDefault="00FA3BDB" w:rsidP="00FA3BDB">
      <w:r w:rsidRPr="00BB3617">
        <w:t>Whatever form the fund manager takes, the fund management team must have expertise in a number of areas, including knowledge and understanding of EE technologies and options; skills in market assessment and pipeline development; capabilities in credit analysis, financial analysis, and project appraisal; and understanding of EE and energy services markets.</w:t>
      </w:r>
    </w:p>
    <w:p w14:paraId="59962FA9" w14:textId="77777777" w:rsidR="00FA3BDB" w:rsidRPr="00BB3617" w:rsidRDefault="00FA3BDB" w:rsidP="00964814">
      <w:pPr>
        <w:pStyle w:val="Heading3"/>
      </w:pPr>
      <w:bookmarkStart w:id="81" w:name="_Toc461093948"/>
      <w:r w:rsidRPr="00BB3617">
        <w:t>Debt Financing Window</w:t>
      </w:r>
      <w:bookmarkEnd w:id="81"/>
    </w:p>
    <w:p w14:paraId="71AF4361" w14:textId="77777777" w:rsidR="00FA3BDB" w:rsidRPr="00BB3617" w:rsidRDefault="00FA3BDB" w:rsidP="00FA3BDB">
      <w:r w:rsidRPr="00BB3617">
        <w:t xml:space="preserve">For creditworthy municipalities that can borrow and are able to identify, design, and implement projects, the </w:t>
      </w:r>
      <w:r w:rsidR="007535A0">
        <w:t>GEERF</w:t>
      </w:r>
      <w:r w:rsidRPr="00BB3617">
        <w:t xml:space="preserve"> can offer debt financing. One of the advantages of an EERF is that—unlike commercial financing, which may require an equity contribution from the borrower—the </w:t>
      </w:r>
      <w:r w:rsidR="00F5129C">
        <w:t>Fund</w:t>
      </w:r>
      <w:r w:rsidRPr="00BB3617">
        <w:t xml:space="preserve"> may provide up to 100 percent debt financing. Also, the fund may not require the type of collateral typically requested by commercial borrowers because the public agencies may not be legally able to pledge public assets. </w:t>
      </w:r>
    </w:p>
    <w:p w14:paraId="6BB8CA09" w14:textId="77777777" w:rsidR="00FA3BDB" w:rsidRPr="00BB3617" w:rsidRDefault="00FA3BDB" w:rsidP="00FA3BDB">
      <w:r w:rsidRPr="00BB3617">
        <w:t xml:space="preserve">The tenor (repayment period) of the loan will be based on (i) the type of project and (ii) the anticipated cash flows resulting from the energy cost savings; usually the repayment period will be structured in such a way that the loan repayments are less than the energy cost savings. </w:t>
      </w:r>
      <w:r w:rsidR="00F5129C">
        <w:t xml:space="preserve">It is anticipated that </w:t>
      </w:r>
      <w:r w:rsidR="007535A0">
        <w:t>GEERF</w:t>
      </w:r>
      <w:r w:rsidR="00F5129C">
        <w:t xml:space="preserve"> will offer</w:t>
      </w:r>
      <w:r w:rsidRPr="00BB3617">
        <w:t xml:space="preserve"> tenors </w:t>
      </w:r>
      <w:r w:rsidR="00D02819">
        <w:t xml:space="preserve">that </w:t>
      </w:r>
      <w:r w:rsidRPr="00BB3617">
        <w:t xml:space="preserve">can be longer than typical commercial bank loans. </w:t>
      </w:r>
    </w:p>
    <w:p w14:paraId="2B2BA765" w14:textId="77777777" w:rsidR="00FA3BDB" w:rsidRPr="00BB3617" w:rsidRDefault="00FA3BDB" w:rsidP="00964814">
      <w:pPr>
        <w:pStyle w:val="Heading3"/>
      </w:pPr>
      <w:bookmarkStart w:id="82" w:name="_Toc461093949"/>
      <w:r w:rsidRPr="00BB3617">
        <w:t>Energy Services Window</w:t>
      </w:r>
      <w:bookmarkEnd w:id="82"/>
    </w:p>
    <w:p w14:paraId="44C1855D" w14:textId="77777777" w:rsidR="00FA3BDB" w:rsidRPr="00BB3617" w:rsidRDefault="00FA3BDB" w:rsidP="00FA3BDB">
      <w:r>
        <w:t xml:space="preserve">This is an innovative feature of EERFs that can be very effective for public agencies </w:t>
      </w:r>
      <w:r w:rsidRPr="00BB3617">
        <w:t>that lack the capacity to borrow funds or to effectively implement EE projects</w:t>
      </w:r>
      <w:r>
        <w:t>. A</w:t>
      </w:r>
      <w:r w:rsidRPr="00BB3617">
        <w:t xml:space="preserve">n ESA can offer a full package of services to identify, finance, implement, and monitor EE projects. The public agency is usually required to pay some or all of its baseline energy bill into an EERF-established escrow account to cover the investment cost and associated fees during the contract period. Figure </w:t>
      </w:r>
      <w:r w:rsidR="00F5129C">
        <w:t>5.4</w:t>
      </w:r>
      <w:r w:rsidRPr="00BB3617">
        <w:t xml:space="preserve"> illustrates the basic concept of a public agency’s cash flows under the ESA, with payments equal to its baseline energy bill during the contract period. </w:t>
      </w:r>
    </w:p>
    <w:p w14:paraId="4F26190D" w14:textId="77777777" w:rsidR="00FA3BDB" w:rsidRPr="00BB3617" w:rsidRDefault="00FA3BDB" w:rsidP="00FA3BDB">
      <w:r w:rsidRPr="00BB3617">
        <w:t>For example, let us assume that the monthly energy bill for the public agency prior to th</w:t>
      </w:r>
      <w:r>
        <w:t xml:space="preserve">e EE project implementation is </w:t>
      </w:r>
      <w:r w:rsidR="00925F48">
        <w:t>€</w:t>
      </w:r>
      <w:r w:rsidRPr="00BB3617">
        <w:t xml:space="preserve">10,000. The ESA will specify this as the baseline amount, and the public agency will agree to pay this amount each month into an escrow account for the duration of the ESA, which is assumed to be five years. The EERF will then make the EE project investment </w:t>
      </w:r>
      <w:r>
        <w:t xml:space="preserve">(assumed in this example to be </w:t>
      </w:r>
      <w:r w:rsidR="008772CE">
        <w:t>€</w:t>
      </w:r>
      <w:r w:rsidRPr="00BB3617">
        <w:t xml:space="preserve">150,000). This investment will reduce the energy costs by 30 percent, to </w:t>
      </w:r>
      <w:r w:rsidR="00925F48">
        <w:t>€</w:t>
      </w:r>
      <w:r w:rsidRPr="00BB3617">
        <w:t>7</w:t>
      </w:r>
      <w:r>
        <w:t>,</w:t>
      </w:r>
      <w:r w:rsidRPr="00BB3617">
        <w:t xml:space="preserve">000 per month. During the five-year ESA period, the agency will pay into the escrow account (i) its monthly energy bill of </w:t>
      </w:r>
      <w:r w:rsidR="00925F48">
        <w:t>€</w:t>
      </w:r>
      <w:r w:rsidRPr="00BB3617">
        <w:t xml:space="preserve">7,000 and (ii) </w:t>
      </w:r>
      <w:r>
        <w:t xml:space="preserve">the remaining </w:t>
      </w:r>
      <w:r w:rsidR="00925F48">
        <w:t>€</w:t>
      </w:r>
      <w:r w:rsidRPr="00BB3617">
        <w:t>3,000 per month, thus allowing the fund to recover its investment (plus interest and fees). Following the five-year period, the agency will be able to retain its energy cost savings and its overall energy bill will fall to the assumed</w:t>
      </w:r>
      <w:r>
        <w:t xml:space="preserve"> </w:t>
      </w:r>
      <w:r w:rsidR="00925F48">
        <w:t>€</w:t>
      </w:r>
      <w:r w:rsidRPr="00BB3617">
        <w:t>7,000.</w:t>
      </w:r>
    </w:p>
    <w:p w14:paraId="039BE084" w14:textId="77777777" w:rsidR="00FA3BDB" w:rsidRDefault="00F5129C" w:rsidP="00452B78">
      <w:pPr>
        <w:pStyle w:val="Heading-FiguresandTables"/>
        <w:spacing w:after="60"/>
      </w:pPr>
      <w:r>
        <w:t>Figure 5.4</w:t>
      </w:r>
      <w:r w:rsidR="00FA3BDB" w:rsidRPr="00BB3617">
        <w:t xml:space="preserve"> - The Energy Services Agreement Model</w:t>
      </w:r>
    </w:p>
    <w:p w14:paraId="0E00E4CC" w14:textId="77777777" w:rsidR="00AE0F49" w:rsidRPr="00BB3617" w:rsidRDefault="00AE0F49" w:rsidP="008772CE">
      <w:pPr>
        <w:pStyle w:val="Heading-FiguresandTables"/>
        <w:spacing w:before="20" w:after="0"/>
      </w:pPr>
      <w:r w:rsidRPr="00AE0F49">
        <w:rPr>
          <w:noProof/>
        </w:rPr>
        <w:drawing>
          <wp:inline distT="0" distB="0" distL="0" distR="0" wp14:anchorId="27DD32F6" wp14:editId="2F10A203">
            <wp:extent cx="4572000" cy="2714258"/>
            <wp:effectExtent l="0" t="0" r="0" b="0"/>
            <wp:docPr id="28699" name="Picture 2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81745" cy="2720044"/>
                    </a:xfrm>
                    <a:prstGeom prst="rect">
                      <a:avLst/>
                    </a:prstGeom>
                    <a:noFill/>
                    <a:ln>
                      <a:noFill/>
                    </a:ln>
                  </pic:spPr>
                </pic:pic>
              </a:graphicData>
            </a:graphic>
          </wp:inline>
        </w:drawing>
      </w:r>
    </w:p>
    <w:p w14:paraId="53562C77" w14:textId="77777777" w:rsidR="00FA3BDB" w:rsidRPr="00F5129C" w:rsidRDefault="00FA3BDB" w:rsidP="000B659E">
      <w:pPr>
        <w:pStyle w:val="Sourcenote"/>
        <w:spacing w:before="0"/>
        <w:contextualSpacing w:val="0"/>
        <w:rPr>
          <w:rFonts w:ascii="Times New Roman" w:hAnsi="Times New Roman"/>
          <w:i/>
          <w:sz w:val="22"/>
          <w:szCs w:val="22"/>
        </w:rPr>
      </w:pPr>
      <w:r w:rsidRPr="00A114E6">
        <w:rPr>
          <w:rFonts w:ascii="Times New Roman" w:hAnsi="Times New Roman"/>
          <w:sz w:val="22"/>
          <w:szCs w:val="22"/>
        </w:rPr>
        <w:tab/>
      </w:r>
      <w:r w:rsidRPr="00F5129C">
        <w:rPr>
          <w:rFonts w:ascii="Times New Roman" w:hAnsi="Times New Roman"/>
          <w:i/>
          <w:sz w:val="22"/>
          <w:szCs w:val="22"/>
        </w:rPr>
        <w:t>Source: World Bank</w:t>
      </w:r>
      <w:r w:rsidR="00F5129C" w:rsidRPr="00F5129C">
        <w:rPr>
          <w:rFonts w:ascii="Times New Roman" w:hAnsi="Times New Roman"/>
          <w:i/>
          <w:sz w:val="22"/>
          <w:szCs w:val="22"/>
        </w:rPr>
        <w:t xml:space="preserve"> 2013</w:t>
      </w:r>
    </w:p>
    <w:p w14:paraId="2BF4C093" w14:textId="77777777" w:rsidR="00FA3BDB" w:rsidRDefault="00FA3BDB" w:rsidP="00FA3BDB">
      <w:r w:rsidRPr="00BB3617">
        <w:t xml:space="preserve">In some cases, the contract duration is fixed; in other cases, the contract can be terminated after an agreed number of payments have been made to the EERF—thereby offering a greater incentive for the agency to save more energy. Either way, one of the main advantages of Energy Services Window model is that the ESA payments generally do not count as public debt, allowing public entities that are not allowed to borrow, or municipalities that do not have sufficient debt capacity, to implement EE measures. In this way, the model also helps public agencies to use their limited budget/debt space for higher-priority investments while still being able to implement EE. In addition, the repayments to the </w:t>
      </w:r>
      <w:r w:rsidR="00964814">
        <w:t>EE</w:t>
      </w:r>
      <w:r w:rsidR="00AE0F49">
        <w:t>R</w:t>
      </w:r>
      <w:r w:rsidR="00964814">
        <w:t xml:space="preserve">F </w:t>
      </w:r>
      <w:r w:rsidRPr="00BB3617">
        <w:t xml:space="preserve">and energy payments </w:t>
      </w:r>
      <w:r w:rsidR="00964814">
        <w:t xml:space="preserve">can be </w:t>
      </w:r>
      <w:r w:rsidRPr="00BB3617">
        <w:t xml:space="preserve">bundled together, providing some added leverage to the </w:t>
      </w:r>
      <w:r w:rsidR="00964814">
        <w:t>Fund</w:t>
      </w:r>
      <w:r w:rsidRPr="00BB3617">
        <w:t xml:space="preserve"> to cut off the energy supply should the public agency default on its ESA repayment obligations.</w:t>
      </w:r>
    </w:p>
    <w:p w14:paraId="678C9E18" w14:textId="77777777" w:rsidR="00FA3BDB" w:rsidRPr="00BB3617" w:rsidRDefault="00FA3BDB" w:rsidP="00984F60">
      <w:pPr>
        <w:pStyle w:val="Heading3"/>
      </w:pPr>
      <w:bookmarkStart w:id="83" w:name="_Toc461093950"/>
      <w:r w:rsidRPr="00BB3617">
        <w:t>Technical Assistance</w:t>
      </w:r>
      <w:bookmarkEnd w:id="83"/>
    </w:p>
    <w:p w14:paraId="1899DEA1" w14:textId="77777777" w:rsidR="00FA3BDB" w:rsidRPr="00BB3617" w:rsidRDefault="00FA3BDB" w:rsidP="008772CE">
      <w:pPr>
        <w:spacing w:after="60"/>
      </w:pPr>
      <w:r w:rsidRPr="00BB3617">
        <w:t xml:space="preserve">An important feature </w:t>
      </w:r>
      <w:r w:rsidR="00B25A44">
        <w:t xml:space="preserve">for the success of </w:t>
      </w:r>
      <w:r w:rsidR="00771116">
        <w:t xml:space="preserve">the </w:t>
      </w:r>
      <w:r w:rsidR="007535A0">
        <w:t>GEERF</w:t>
      </w:r>
      <w:r w:rsidRPr="00BB3617">
        <w:t xml:space="preserve"> is the TA provided. The types of TA </w:t>
      </w:r>
      <w:r w:rsidR="00964814">
        <w:t xml:space="preserve">that </w:t>
      </w:r>
      <w:r w:rsidR="00AE0F49">
        <w:t xml:space="preserve">the </w:t>
      </w:r>
      <w:r w:rsidR="007535A0">
        <w:t>GEERF</w:t>
      </w:r>
      <w:r w:rsidR="00964814">
        <w:t xml:space="preserve"> may provide could</w:t>
      </w:r>
      <w:r w:rsidRPr="00BB3617">
        <w:t xml:space="preserve"> include the following:</w:t>
      </w:r>
    </w:p>
    <w:p w14:paraId="61FE8D25" w14:textId="77777777" w:rsidR="00FA3BDB" w:rsidRPr="00BB3617" w:rsidRDefault="00FA3BDB" w:rsidP="000B659E">
      <w:pPr>
        <w:pStyle w:val="Bulleted"/>
        <w:spacing w:before="20" w:after="20"/>
        <w:rPr>
          <w:b/>
        </w:rPr>
      </w:pPr>
      <w:r w:rsidRPr="00BB3617">
        <w:t xml:space="preserve">Program marketing to and capacity building of the target public agencies to address the information and knowledge gaps related to EE, build demand for financing, and improve the sustainability of energy savings. </w:t>
      </w:r>
    </w:p>
    <w:p w14:paraId="7D79A94B" w14:textId="77777777" w:rsidR="00FA3BDB" w:rsidRPr="00BB3617" w:rsidRDefault="00FA3BDB" w:rsidP="000B659E">
      <w:pPr>
        <w:pStyle w:val="Bulleted"/>
        <w:spacing w:before="20" w:after="20"/>
        <w:rPr>
          <w:b/>
        </w:rPr>
      </w:pPr>
      <w:r w:rsidRPr="00BB3617">
        <w:t>Developing procedures that help public agencies engage ES</w:t>
      </w:r>
      <w:r>
        <w:t>CO</w:t>
      </w:r>
      <w:r w:rsidRPr="00BB3617">
        <w:t xml:space="preserve">s under </w:t>
      </w:r>
      <w:r>
        <w:t>public-private partnerships</w:t>
      </w:r>
      <w:r w:rsidRPr="00BB3617">
        <w:t xml:space="preserve"> such as performance-based contracts; preparing performance-based bidding documents for procurement of various elements of project implementation services; and refining these bidding documents based on the implementation experience</w:t>
      </w:r>
      <w:r>
        <w:t xml:space="preserve">. </w:t>
      </w:r>
      <w:r w:rsidRPr="00BB3617">
        <w:t xml:space="preserve"> </w:t>
      </w:r>
    </w:p>
    <w:p w14:paraId="3F608ED1" w14:textId="77777777" w:rsidR="00FA3BDB" w:rsidRPr="00BB3617" w:rsidRDefault="00FA3BDB" w:rsidP="000B659E">
      <w:pPr>
        <w:pStyle w:val="Bulleted"/>
        <w:spacing w:before="20" w:after="20"/>
        <w:rPr>
          <w:b/>
        </w:rPr>
      </w:pPr>
      <w:r w:rsidRPr="00BB3617">
        <w:t>Identifying way</w:t>
      </w:r>
      <w:r w:rsidR="00771116">
        <w:t>s</w:t>
      </w:r>
      <w:r w:rsidRPr="00BB3617">
        <w:t xml:space="preserve"> to bundle procurements by multiple public entities implementing similar projects, thus reducing transaction costs and equipment costs through bulk purchases. Under some financing arrangements, </w:t>
      </w:r>
      <w:r w:rsidR="00771116">
        <w:t xml:space="preserve">the </w:t>
      </w:r>
      <w:r w:rsidR="007535A0">
        <w:t>GEERF</w:t>
      </w:r>
      <w:r w:rsidR="00AE0F49" w:rsidRPr="00BB3617">
        <w:t xml:space="preserve"> </w:t>
      </w:r>
      <w:r w:rsidRPr="00BB3617">
        <w:t>can even conduct the preliminary audit, procure the ES</w:t>
      </w:r>
      <w:r w:rsidR="007535A0">
        <w:t>CO</w:t>
      </w:r>
      <w:r w:rsidRPr="00BB3617">
        <w:t>, and monitor the project on behalf of the clients.</w:t>
      </w:r>
    </w:p>
    <w:p w14:paraId="7653C968" w14:textId="77777777" w:rsidR="00FA3BDB" w:rsidRPr="00BB3617" w:rsidRDefault="00FA3BDB" w:rsidP="000B659E">
      <w:pPr>
        <w:pStyle w:val="Bulleted"/>
        <w:spacing w:before="20" w:after="20"/>
        <w:rPr>
          <w:b/>
        </w:rPr>
      </w:pPr>
      <w:r w:rsidRPr="00BB3617">
        <w:t>Identification, assessment, and recommendation of changes, if needed, in rules for public accounting, budgeting, and procurement to facilitate the financing of EE projects and procurement of EE services.</w:t>
      </w:r>
    </w:p>
    <w:p w14:paraId="076280B0" w14:textId="77777777" w:rsidR="00FA3BDB" w:rsidRPr="00BB3617" w:rsidRDefault="00FA3BDB" w:rsidP="000B659E">
      <w:pPr>
        <w:pStyle w:val="Bulleted"/>
        <w:spacing w:before="20" w:after="20"/>
        <w:rPr>
          <w:b/>
        </w:rPr>
      </w:pPr>
      <w:r w:rsidRPr="00BB3617">
        <w:t>Carrying out capacity building for ES</w:t>
      </w:r>
      <w:r>
        <w:t>CO</w:t>
      </w:r>
      <w:r w:rsidRPr="00BB3617">
        <w:t xml:space="preserve">s and other market actors to enhance their ability (i) to conduct energy audits and (ii) to screen, design, evaluate, appraise, finance, implement, and measure EE investments in the public sector. </w:t>
      </w:r>
    </w:p>
    <w:p w14:paraId="68EF949C" w14:textId="77777777" w:rsidR="00FA3BDB" w:rsidRPr="00BB3617" w:rsidRDefault="00FA3BDB" w:rsidP="000B659E">
      <w:pPr>
        <w:pStyle w:val="Bulleted"/>
        <w:spacing w:before="20" w:after="20"/>
      </w:pPr>
      <w:r w:rsidRPr="00BB3617">
        <w:t>Developing or adapting appropriate methodologies for M&amp;V and providing M&amp;V training to public agency staffs</w:t>
      </w:r>
      <w:r w:rsidR="007535A0">
        <w:t xml:space="preserve"> and </w:t>
      </w:r>
      <w:r w:rsidR="00B516DF">
        <w:t>ESCOs</w:t>
      </w:r>
      <w:r>
        <w:t xml:space="preserve">. </w:t>
      </w:r>
    </w:p>
    <w:p w14:paraId="4A25191C" w14:textId="77777777" w:rsidR="00FA3BDB" w:rsidRPr="00BB3617" w:rsidRDefault="00FA3BDB" w:rsidP="000B659E">
      <w:pPr>
        <w:pStyle w:val="Bulleted"/>
        <w:spacing w:before="20" w:after="20"/>
      </w:pPr>
      <w:r w:rsidRPr="00BB3617">
        <w:t>Developing the terms and conditions of the ESAs with public agencies for the ESA option, including establishment of the baseline conditions and identification of the baseline changes that would require an adjustment of the fixed annual payments.</w:t>
      </w:r>
    </w:p>
    <w:p w14:paraId="0C412B5B" w14:textId="77777777" w:rsidR="00FA3BDB" w:rsidRPr="00BB3617" w:rsidRDefault="00FA3BDB" w:rsidP="00984F60">
      <w:pPr>
        <w:pStyle w:val="Heading3"/>
      </w:pPr>
      <w:bookmarkStart w:id="84" w:name="_Toc461093951"/>
      <w:r w:rsidRPr="00BB3617">
        <w:t>Procurement of Implementation Services</w:t>
      </w:r>
      <w:bookmarkEnd w:id="84"/>
    </w:p>
    <w:p w14:paraId="3B28EFEA" w14:textId="77777777" w:rsidR="00FA3BDB" w:rsidRDefault="00FA3BDB" w:rsidP="00FA3BDB">
      <w:r w:rsidRPr="00BB3617">
        <w:t xml:space="preserve">Under the ESA option, </w:t>
      </w:r>
      <w:r w:rsidR="00AE0F49">
        <w:t>the EERF</w:t>
      </w:r>
      <w:r w:rsidRPr="00BB3617">
        <w:t xml:space="preserve"> can engage private </w:t>
      </w:r>
      <w:r w:rsidR="00F34B6F">
        <w:t>ES</w:t>
      </w:r>
      <w:r w:rsidR="00B516DF">
        <w:t>CO</w:t>
      </w:r>
      <w:r w:rsidR="00F34B6F">
        <w:t>s</w:t>
      </w:r>
      <w:r w:rsidRPr="00BB3617">
        <w:t xml:space="preserve"> to provide some implementation services using simple performance-based contracts. This approach can help transfer some of the project implementation risk to the private sector. It can also help build the capacity of the ES</w:t>
      </w:r>
      <w:r w:rsidR="007535A0">
        <w:t>CO</w:t>
      </w:r>
      <w:r w:rsidRPr="00BB3617">
        <w:t>s and facilitate the development of an energy services market</w:t>
      </w:r>
      <w:r w:rsidR="00F34B6F">
        <w:t xml:space="preserve"> (World Bank 2010b)</w:t>
      </w:r>
      <w:r w:rsidRPr="00BB3617">
        <w:t>.</w:t>
      </w:r>
    </w:p>
    <w:p w14:paraId="2C88C424" w14:textId="77777777" w:rsidR="00FA3BDB" w:rsidRPr="00BB3617" w:rsidRDefault="00FA3BDB" w:rsidP="00984F60">
      <w:pPr>
        <w:pStyle w:val="Heading3"/>
      </w:pPr>
      <w:bookmarkStart w:id="85" w:name="_Toc461093952"/>
      <w:r>
        <w:t>Organization Structure</w:t>
      </w:r>
      <w:bookmarkEnd w:id="85"/>
    </w:p>
    <w:p w14:paraId="15D974A5" w14:textId="77777777" w:rsidR="00AE0F49" w:rsidRDefault="00FA3BDB" w:rsidP="00B25A44">
      <w:r w:rsidRPr="00E320F4">
        <w:t xml:space="preserve">The organizational structure of </w:t>
      </w:r>
      <w:r w:rsidR="00771116">
        <w:t xml:space="preserve">the </w:t>
      </w:r>
      <w:r w:rsidR="007535A0">
        <w:t>GEERF</w:t>
      </w:r>
      <w:r>
        <w:t xml:space="preserve"> </w:t>
      </w:r>
      <w:r w:rsidR="00B516DF">
        <w:t>could be</w:t>
      </w:r>
      <w:r>
        <w:t xml:space="preserve"> </w:t>
      </w:r>
      <w:r w:rsidR="00B516DF">
        <w:t xml:space="preserve">developed as </w:t>
      </w:r>
      <w:r>
        <w:t xml:space="preserve">illustrated in Figure </w:t>
      </w:r>
      <w:r w:rsidR="00F34B6F">
        <w:t>5.5</w:t>
      </w:r>
      <w:r w:rsidRPr="00E320F4">
        <w:t>.</w:t>
      </w:r>
    </w:p>
    <w:p w14:paraId="525C9011" w14:textId="77777777" w:rsidR="00FA3BDB" w:rsidRPr="00CB6768" w:rsidRDefault="00F34B6F" w:rsidP="0043799F">
      <w:pPr>
        <w:pStyle w:val="Heading-FiguresandTables"/>
        <w:spacing w:before="200" w:after="20"/>
      </w:pPr>
      <w:r>
        <w:t>Figure 5.5</w:t>
      </w:r>
      <w:r w:rsidR="00FA3BDB" w:rsidRPr="00CB6768">
        <w:t xml:space="preserve"> - Organization Structure - </w:t>
      </w:r>
      <w:r w:rsidR="007535A0">
        <w:t>GEERF</w:t>
      </w:r>
    </w:p>
    <w:p w14:paraId="440FC9DF" w14:textId="77777777" w:rsidR="00FA3BDB" w:rsidRPr="00CB6768" w:rsidRDefault="00FA3BDB" w:rsidP="008772CE">
      <w:pPr>
        <w:spacing w:before="20" w:after="60"/>
        <w:jc w:val="center"/>
        <w:rPr>
          <w:b/>
        </w:rPr>
      </w:pPr>
      <w:r w:rsidRPr="00AD16DA">
        <w:rPr>
          <w:noProof/>
          <w:bdr w:val="single" w:sz="4" w:space="0" w:color="auto"/>
        </w:rPr>
        <w:drawing>
          <wp:inline distT="0" distB="0" distL="0" distR="0" wp14:anchorId="62108E3B" wp14:editId="302D5FED">
            <wp:extent cx="3793490" cy="22275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93490" cy="2227580"/>
                    </a:xfrm>
                    <a:prstGeom prst="rect">
                      <a:avLst/>
                    </a:prstGeom>
                    <a:noFill/>
                    <a:ln>
                      <a:noFill/>
                    </a:ln>
                  </pic:spPr>
                </pic:pic>
              </a:graphicData>
            </a:graphic>
          </wp:inline>
        </w:drawing>
      </w:r>
    </w:p>
    <w:p w14:paraId="2CC046DB" w14:textId="77777777" w:rsidR="00FA3BDB" w:rsidRDefault="00FA3BDB" w:rsidP="007F2F3E">
      <w:pPr>
        <w:pStyle w:val="Heading3"/>
        <w:spacing w:before="180"/>
      </w:pPr>
      <w:bookmarkStart w:id="86" w:name="_Toc461093953"/>
      <w:r>
        <w:t>Investment Models</w:t>
      </w:r>
      <w:bookmarkEnd w:id="86"/>
    </w:p>
    <w:p w14:paraId="676B070A" w14:textId="77777777" w:rsidR="00FB153E" w:rsidRDefault="007535A0" w:rsidP="00FB153E">
      <w:r>
        <w:t>The</w:t>
      </w:r>
      <w:r w:rsidR="00AE0F49">
        <w:t xml:space="preserve"> </w:t>
      </w:r>
      <w:r>
        <w:t>GEERF</w:t>
      </w:r>
      <w:r w:rsidR="00AE0F49">
        <w:t xml:space="preserve"> should be structured to offer two main financing mechanisms, debt financing and ESAs</w:t>
      </w:r>
      <w:r w:rsidR="00B516DF">
        <w:t>.</w:t>
      </w:r>
      <w:r w:rsidR="00AE0F49">
        <w:t xml:space="preserve"> </w:t>
      </w:r>
      <w:r w:rsidR="00FB153E">
        <w:t>The step</w:t>
      </w:r>
      <w:r w:rsidR="00BC13FC">
        <w:t>-</w:t>
      </w:r>
      <w:r w:rsidR="00FB153E">
        <w:t>by</w:t>
      </w:r>
      <w:r w:rsidR="00BC13FC">
        <w:t>-</w:t>
      </w:r>
      <w:r w:rsidR="00FB153E">
        <w:t>step</w:t>
      </w:r>
      <w:r w:rsidR="00BC13FC">
        <w:t xml:space="preserve"> </w:t>
      </w:r>
      <w:r w:rsidR="00FB153E">
        <w:t>process</w:t>
      </w:r>
      <w:r w:rsidR="00AE0F49">
        <w:t xml:space="preserve"> for the two </w:t>
      </w:r>
      <w:r w:rsidR="00BC13FC">
        <w:t xml:space="preserve">financing instruments </w:t>
      </w:r>
      <w:r w:rsidR="00FB153E">
        <w:t xml:space="preserve">is shown in Table </w:t>
      </w:r>
      <w:r w:rsidR="00AE0F49">
        <w:t>5.2</w:t>
      </w:r>
      <w:r w:rsidR="00B516DF">
        <w:t>.</w:t>
      </w:r>
    </w:p>
    <w:p w14:paraId="0FF9EF6A" w14:textId="77777777" w:rsidR="00FB153E" w:rsidRDefault="00FB153E" w:rsidP="00BC13FC">
      <w:pPr>
        <w:pStyle w:val="FiguresandTables"/>
        <w:spacing w:after="60"/>
      </w:pPr>
      <w:r w:rsidRPr="00D44703">
        <w:t>Table</w:t>
      </w:r>
      <w:r>
        <w:t xml:space="preserve"> 5.2 -</w:t>
      </w:r>
      <w:r w:rsidRPr="00D44703">
        <w:t xml:space="preserve"> Implementation Steps for Fund Investment Models</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8"/>
        <w:gridCol w:w="4410"/>
        <w:gridCol w:w="3960"/>
      </w:tblGrid>
      <w:tr w:rsidR="00FB153E" w14:paraId="219F6F5D" w14:textId="77777777" w:rsidTr="00C67642">
        <w:tc>
          <w:tcPr>
            <w:tcW w:w="1098" w:type="dxa"/>
            <w:shd w:val="clear" w:color="auto" w:fill="002060"/>
          </w:tcPr>
          <w:p w14:paraId="026274C0" w14:textId="77777777" w:rsidR="00FB153E" w:rsidRPr="004841E2" w:rsidRDefault="00FB153E" w:rsidP="00C67642">
            <w:pPr>
              <w:pStyle w:val="ListParagraph"/>
              <w:spacing w:before="60" w:after="60"/>
              <w:ind w:left="0"/>
            </w:pPr>
          </w:p>
        </w:tc>
        <w:tc>
          <w:tcPr>
            <w:tcW w:w="4410" w:type="dxa"/>
            <w:shd w:val="clear" w:color="auto" w:fill="002060"/>
          </w:tcPr>
          <w:p w14:paraId="1625A8EB" w14:textId="77777777" w:rsidR="00FB153E" w:rsidRPr="004841E2" w:rsidRDefault="00FB153E" w:rsidP="00C67642">
            <w:pPr>
              <w:pStyle w:val="ListParagraph"/>
              <w:spacing w:before="60" w:after="60"/>
              <w:ind w:left="0"/>
              <w:jc w:val="center"/>
              <w:rPr>
                <w:b/>
              </w:rPr>
            </w:pPr>
            <w:r w:rsidRPr="004841E2">
              <w:rPr>
                <w:b/>
              </w:rPr>
              <w:t>Model 1: Loans</w:t>
            </w:r>
          </w:p>
        </w:tc>
        <w:tc>
          <w:tcPr>
            <w:tcW w:w="3960" w:type="dxa"/>
            <w:shd w:val="clear" w:color="auto" w:fill="002060"/>
          </w:tcPr>
          <w:p w14:paraId="3DCDF792" w14:textId="77777777" w:rsidR="00FB153E" w:rsidRPr="004841E2" w:rsidRDefault="00FB153E" w:rsidP="00C67642">
            <w:pPr>
              <w:pStyle w:val="ListParagraph"/>
              <w:spacing w:before="60" w:after="60"/>
              <w:ind w:left="0"/>
              <w:jc w:val="center"/>
              <w:rPr>
                <w:b/>
                <w:color w:val="FFFFFF"/>
              </w:rPr>
            </w:pPr>
            <w:r w:rsidRPr="004841E2">
              <w:rPr>
                <w:b/>
              </w:rPr>
              <w:t>Model 2: Energy Services Agreements</w:t>
            </w:r>
          </w:p>
        </w:tc>
      </w:tr>
      <w:tr w:rsidR="00FB153E" w14:paraId="3FEDA107" w14:textId="77777777" w:rsidTr="00C67642">
        <w:tc>
          <w:tcPr>
            <w:tcW w:w="1098" w:type="dxa"/>
            <w:shd w:val="clear" w:color="auto" w:fill="C6D9F1"/>
          </w:tcPr>
          <w:p w14:paraId="7C7FF5A8" w14:textId="77777777" w:rsidR="00FB153E" w:rsidRPr="001B3B45" w:rsidRDefault="00FB153E" w:rsidP="00C67642">
            <w:pPr>
              <w:pStyle w:val="ListParagraph"/>
              <w:spacing w:before="60" w:after="60"/>
              <w:ind w:left="0"/>
              <w:rPr>
                <w:rFonts w:ascii="Times New Roman" w:hAnsi="Times New Roman" w:cs="Times New Roman"/>
                <w:sz w:val="22"/>
                <w:szCs w:val="22"/>
              </w:rPr>
            </w:pPr>
            <w:r w:rsidRPr="001B3B45">
              <w:rPr>
                <w:rFonts w:ascii="Times New Roman" w:hAnsi="Times New Roman" w:cs="Times New Roman"/>
                <w:sz w:val="22"/>
                <w:szCs w:val="22"/>
              </w:rPr>
              <w:t>Step 1</w:t>
            </w:r>
          </w:p>
        </w:tc>
        <w:tc>
          <w:tcPr>
            <w:tcW w:w="4410" w:type="dxa"/>
            <w:shd w:val="clear" w:color="auto" w:fill="C6D9F1"/>
          </w:tcPr>
          <w:p w14:paraId="54003B0C" w14:textId="77777777" w:rsidR="00FB153E" w:rsidRPr="004841E2" w:rsidRDefault="00FB153E" w:rsidP="00C67642">
            <w:pPr>
              <w:spacing w:before="60" w:after="60"/>
              <w:rPr>
                <w:sz w:val="20"/>
              </w:rPr>
            </w:pPr>
            <w:r w:rsidRPr="004841E2">
              <w:rPr>
                <w:sz w:val="20"/>
              </w:rPr>
              <w:t>Fund manager prepares and announces the availability of loan funds for EE projects in municipalities and other public entities and invites Expressions of Interest (EOIs) from municipalities and public facilities to borrow funds for projects.</w:t>
            </w:r>
          </w:p>
        </w:tc>
        <w:tc>
          <w:tcPr>
            <w:tcW w:w="3960" w:type="dxa"/>
            <w:shd w:val="clear" w:color="auto" w:fill="C6D9F1"/>
          </w:tcPr>
          <w:p w14:paraId="27E60F81" w14:textId="77777777" w:rsidR="00FB153E" w:rsidRPr="004841E2" w:rsidRDefault="00FB153E" w:rsidP="00771116">
            <w:pPr>
              <w:spacing w:before="60" w:after="60"/>
              <w:rPr>
                <w:sz w:val="20"/>
              </w:rPr>
            </w:pPr>
            <w:r w:rsidRPr="004841E2">
              <w:rPr>
                <w:sz w:val="20"/>
              </w:rPr>
              <w:t xml:space="preserve">Fund manager prepares and announces the availability of ESAs for public sector EE projects and invites EOIs from municipalities and public facilities to participate in such </w:t>
            </w:r>
            <w:r w:rsidR="00771116">
              <w:rPr>
                <w:sz w:val="20"/>
              </w:rPr>
              <w:t>a</w:t>
            </w:r>
            <w:r w:rsidR="00771116" w:rsidRPr="004841E2">
              <w:rPr>
                <w:sz w:val="20"/>
              </w:rPr>
              <w:t>greements</w:t>
            </w:r>
            <w:r w:rsidRPr="004841E2">
              <w:rPr>
                <w:sz w:val="20"/>
              </w:rPr>
              <w:t xml:space="preserve">. </w:t>
            </w:r>
          </w:p>
        </w:tc>
      </w:tr>
      <w:tr w:rsidR="00FB153E" w14:paraId="55D3324A" w14:textId="77777777" w:rsidTr="00C67642">
        <w:tc>
          <w:tcPr>
            <w:tcW w:w="1098" w:type="dxa"/>
            <w:shd w:val="clear" w:color="auto" w:fill="C6D9F1"/>
          </w:tcPr>
          <w:p w14:paraId="1A47693B" w14:textId="77777777" w:rsidR="00FB153E" w:rsidRPr="001B3B45" w:rsidRDefault="00FB153E" w:rsidP="00C67642">
            <w:pPr>
              <w:pStyle w:val="ListParagraph"/>
              <w:spacing w:before="60" w:after="60"/>
              <w:ind w:left="0"/>
              <w:rPr>
                <w:rFonts w:ascii="Times New Roman" w:hAnsi="Times New Roman" w:cs="Times New Roman"/>
                <w:sz w:val="22"/>
                <w:szCs w:val="22"/>
              </w:rPr>
            </w:pPr>
            <w:r w:rsidRPr="001B3B45">
              <w:rPr>
                <w:rFonts w:ascii="Times New Roman" w:hAnsi="Times New Roman" w:cs="Times New Roman"/>
                <w:sz w:val="22"/>
                <w:szCs w:val="22"/>
              </w:rPr>
              <w:t>Step 2</w:t>
            </w:r>
          </w:p>
        </w:tc>
        <w:tc>
          <w:tcPr>
            <w:tcW w:w="8370" w:type="dxa"/>
            <w:gridSpan w:val="2"/>
            <w:shd w:val="clear" w:color="auto" w:fill="C6D9F1"/>
          </w:tcPr>
          <w:p w14:paraId="409CAE30" w14:textId="77777777" w:rsidR="00FB153E" w:rsidRPr="004841E2" w:rsidRDefault="00FB153E" w:rsidP="00C67642">
            <w:pPr>
              <w:spacing w:before="60" w:after="60"/>
              <w:jc w:val="center"/>
              <w:rPr>
                <w:sz w:val="20"/>
              </w:rPr>
            </w:pPr>
            <w:r w:rsidRPr="004841E2">
              <w:rPr>
                <w:sz w:val="20"/>
              </w:rPr>
              <w:t>Fund Manager receives applications from municipalities and public entities.</w:t>
            </w:r>
          </w:p>
        </w:tc>
      </w:tr>
      <w:tr w:rsidR="00FB153E" w14:paraId="1C335170" w14:textId="77777777" w:rsidTr="00C67642">
        <w:tc>
          <w:tcPr>
            <w:tcW w:w="1098" w:type="dxa"/>
            <w:shd w:val="clear" w:color="auto" w:fill="C6D9F1"/>
          </w:tcPr>
          <w:p w14:paraId="223D2C55" w14:textId="77777777" w:rsidR="00FB153E" w:rsidRPr="001B3B45" w:rsidRDefault="00FB153E" w:rsidP="00C67642">
            <w:pPr>
              <w:pStyle w:val="ListParagraph"/>
              <w:spacing w:before="60" w:after="60"/>
              <w:ind w:left="0"/>
              <w:rPr>
                <w:rFonts w:ascii="Times New Roman" w:hAnsi="Times New Roman" w:cs="Times New Roman"/>
                <w:sz w:val="22"/>
                <w:szCs w:val="22"/>
              </w:rPr>
            </w:pPr>
            <w:r w:rsidRPr="001B3B45">
              <w:rPr>
                <w:rFonts w:ascii="Times New Roman" w:hAnsi="Times New Roman" w:cs="Times New Roman"/>
                <w:sz w:val="22"/>
                <w:szCs w:val="22"/>
              </w:rPr>
              <w:t>Step 3</w:t>
            </w:r>
          </w:p>
        </w:tc>
        <w:tc>
          <w:tcPr>
            <w:tcW w:w="8370" w:type="dxa"/>
            <w:gridSpan w:val="2"/>
            <w:shd w:val="clear" w:color="auto" w:fill="C6D9F1"/>
          </w:tcPr>
          <w:p w14:paraId="1FDA7E7D" w14:textId="77777777" w:rsidR="00FB153E" w:rsidRPr="004841E2" w:rsidRDefault="00FB153E" w:rsidP="00C67642">
            <w:pPr>
              <w:spacing w:before="60" w:after="60"/>
              <w:jc w:val="center"/>
              <w:rPr>
                <w:sz w:val="20"/>
              </w:rPr>
            </w:pPr>
            <w:r w:rsidRPr="004841E2">
              <w:rPr>
                <w:sz w:val="20"/>
              </w:rPr>
              <w:t>Fund Manager conducts preliminary screening of EOIs and selects promising candidates.</w:t>
            </w:r>
          </w:p>
        </w:tc>
      </w:tr>
      <w:tr w:rsidR="00FB153E" w14:paraId="082AF971" w14:textId="77777777" w:rsidTr="00C67642">
        <w:tc>
          <w:tcPr>
            <w:tcW w:w="1098" w:type="dxa"/>
            <w:shd w:val="clear" w:color="auto" w:fill="C6D9F1"/>
          </w:tcPr>
          <w:p w14:paraId="77C7E8DC" w14:textId="77777777" w:rsidR="00FB153E" w:rsidRPr="001B3B45" w:rsidRDefault="00FB153E" w:rsidP="00C67642">
            <w:pPr>
              <w:pStyle w:val="ListParagraph"/>
              <w:spacing w:before="60" w:after="60"/>
              <w:ind w:left="0"/>
              <w:rPr>
                <w:rFonts w:ascii="Times New Roman" w:hAnsi="Times New Roman" w:cs="Times New Roman"/>
                <w:sz w:val="22"/>
                <w:szCs w:val="22"/>
              </w:rPr>
            </w:pPr>
            <w:r w:rsidRPr="001B3B45">
              <w:rPr>
                <w:rFonts w:ascii="Times New Roman" w:hAnsi="Times New Roman" w:cs="Times New Roman"/>
                <w:sz w:val="22"/>
                <w:szCs w:val="22"/>
              </w:rPr>
              <w:t>Step 4</w:t>
            </w:r>
          </w:p>
        </w:tc>
        <w:tc>
          <w:tcPr>
            <w:tcW w:w="8370" w:type="dxa"/>
            <w:gridSpan w:val="2"/>
            <w:shd w:val="clear" w:color="auto" w:fill="C6D9F1"/>
          </w:tcPr>
          <w:p w14:paraId="4B3D4272" w14:textId="77777777" w:rsidR="00FB153E" w:rsidRPr="004841E2" w:rsidRDefault="00FB153E" w:rsidP="00C67642">
            <w:pPr>
              <w:spacing w:before="60" w:after="60"/>
              <w:jc w:val="center"/>
              <w:rPr>
                <w:sz w:val="20"/>
              </w:rPr>
            </w:pPr>
            <w:r w:rsidRPr="004841E2">
              <w:rPr>
                <w:sz w:val="20"/>
              </w:rPr>
              <w:t>Fund Manager conducts preliminary assessment of energy savings opportunities including a walk-through audit.</w:t>
            </w:r>
          </w:p>
        </w:tc>
      </w:tr>
      <w:tr w:rsidR="00FB153E" w14:paraId="001E7FDE" w14:textId="77777777" w:rsidTr="00C67642">
        <w:tc>
          <w:tcPr>
            <w:tcW w:w="1098" w:type="dxa"/>
            <w:shd w:val="clear" w:color="auto" w:fill="C6D9F1"/>
          </w:tcPr>
          <w:p w14:paraId="73B01859" w14:textId="77777777" w:rsidR="00FB153E" w:rsidRPr="001B3B45" w:rsidRDefault="00FB153E" w:rsidP="00C67642">
            <w:pPr>
              <w:pStyle w:val="ListParagraph"/>
              <w:spacing w:before="60" w:after="60"/>
              <w:ind w:left="0"/>
              <w:rPr>
                <w:rFonts w:ascii="Times New Roman" w:hAnsi="Times New Roman" w:cs="Times New Roman"/>
                <w:sz w:val="22"/>
                <w:szCs w:val="22"/>
              </w:rPr>
            </w:pPr>
            <w:r w:rsidRPr="001B3B45">
              <w:rPr>
                <w:rFonts w:ascii="Times New Roman" w:hAnsi="Times New Roman" w:cs="Times New Roman"/>
                <w:sz w:val="22"/>
                <w:szCs w:val="22"/>
              </w:rPr>
              <w:t>Step 5</w:t>
            </w:r>
          </w:p>
        </w:tc>
        <w:tc>
          <w:tcPr>
            <w:tcW w:w="4410" w:type="dxa"/>
            <w:shd w:val="clear" w:color="auto" w:fill="C6D9F1"/>
          </w:tcPr>
          <w:p w14:paraId="45A3064B" w14:textId="77777777" w:rsidR="00FB153E" w:rsidRPr="004841E2" w:rsidRDefault="00FB153E" w:rsidP="00D46186">
            <w:pPr>
              <w:spacing w:before="60" w:after="60"/>
              <w:rPr>
                <w:sz w:val="20"/>
              </w:rPr>
            </w:pPr>
            <w:r w:rsidRPr="004841E2">
              <w:rPr>
                <w:sz w:val="20"/>
              </w:rPr>
              <w:t>If walk-through audit shows promising opportunities for energy savings, a project design is prepared by the borrower; the P</w:t>
            </w:r>
            <w:r w:rsidR="00B516DF">
              <w:rPr>
                <w:sz w:val="20"/>
              </w:rPr>
              <w:t>I</w:t>
            </w:r>
            <w:r w:rsidRPr="004841E2">
              <w:rPr>
                <w:sz w:val="20"/>
              </w:rPr>
              <w:t xml:space="preserve">U may provide assistance in the preparation of the project design. The borrower needs to obtain approval from MOF for the loan. A </w:t>
            </w:r>
            <w:r w:rsidR="0043799F">
              <w:rPr>
                <w:sz w:val="20"/>
              </w:rPr>
              <w:t xml:space="preserve">LA </w:t>
            </w:r>
            <w:r w:rsidRPr="004841E2">
              <w:rPr>
                <w:sz w:val="20"/>
              </w:rPr>
              <w:t>is then negotiated between the Fund and the borrower. The LA specifies the responsibilities of the Fund and the borrower, the EE measures to be implemented, the total project costs and the amount to be loaned by the Fund, assignment of collateral, the length of the agreement, the terms of the loan repayment, the selection of the M&amp;V methodology and M&amp;V agent, etc. The LA also specifies the responsibilities of the borrower for conducting the project implementation activities, the services that are to be provided by the Fund to assist the borrower with implementation, and the terms for payment for such services, if any.</w:t>
            </w:r>
          </w:p>
        </w:tc>
        <w:tc>
          <w:tcPr>
            <w:tcW w:w="3960" w:type="dxa"/>
            <w:shd w:val="clear" w:color="auto" w:fill="C6D9F1"/>
          </w:tcPr>
          <w:p w14:paraId="1A353DBF" w14:textId="77777777" w:rsidR="00FB153E" w:rsidRPr="004841E2" w:rsidRDefault="00FB153E" w:rsidP="00C67642">
            <w:pPr>
              <w:spacing w:before="60" w:after="60"/>
              <w:rPr>
                <w:sz w:val="20"/>
              </w:rPr>
            </w:pPr>
            <w:r w:rsidRPr="004841E2">
              <w:rPr>
                <w:sz w:val="20"/>
              </w:rPr>
              <w:t xml:space="preserve">If walk-through audit shows promising opportunities for energy savings, an ESA is negotiated between the Fund and the facility. The ESA specifies that the facility will pay the Fund a fixed amount equal to </w:t>
            </w:r>
            <w:r w:rsidR="008C54F9">
              <w:rPr>
                <w:sz w:val="20"/>
              </w:rPr>
              <w:t>between</w:t>
            </w:r>
            <w:r w:rsidR="008C54F9" w:rsidRPr="004841E2">
              <w:rPr>
                <w:sz w:val="20"/>
              </w:rPr>
              <w:t xml:space="preserve"> </w:t>
            </w:r>
            <w:r w:rsidRPr="004841E2">
              <w:rPr>
                <w:sz w:val="20"/>
              </w:rPr>
              <w:t>95</w:t>
            </w:r>
            <w:r w:rsidR="008C54F9">
              <w:rPr>
                <w:sz w:val="20"/>
              </w:rPr>
              <w:t xml:space="preserve"> and </w:t>
            </w:r>
            <w:r w:rsidRPr="004841E2">
              <w:rPr>
                <w:sz w:val="20"/>
              </w:rPr>
              <w:t>100</w:t>
            </w:r>
            <w:r w:rsidR="00D46186">
              <w:rPr>
                <w:sz w:val="20"/>
              </w:rPr>
              <w:t xml:space="preserve"> percent</w:t>
            </w:r>
            <w:r w:rsidR="00D46186" w:rsidRPr="004841E2">
              <w:rPr>
                <w:sz w:val="20"/>
              </w:rPr>
              <w:t xml:space="preserve"> </w:t>
            </w:r>
            <w:r w:rsidRPr="004841E2">
              <w:rPr>
                <w:sz w:val="20"/>
              </w:rPr>
              <w:t xml:space="preserve">of the baseline energy costs for a fixed period of time as determined and agreed to after a detailed assessment is conducted of the facility's baseline energy use and costs and operating characteristics. The ESA also specifies the adjustments to be made to the fixed payments in case of any changes to the facility characteristics, operating conditions, or other baseline parameters. </w:t>
            </w:r>
          </w:p>
          <w:p w14:paraId="078E7B57" w14:textId="77777777" w:rsidR="00FB153E" w:rsidRPr="004841E2" w:rsidRDefault="00FB153E" w:rsidP="00C67642">
            <w:pPr>
              <w:spacing w:before="60" w:after="60"/>
              <w:rPr>
                <w:sz w:val="20"/>
              </w:rPr>
            </w:pPr>
            <w:r w:rsidRPr="004841E2">
              <w:rPr>
                <w:sz w:val="20"/>
              </w:rPr>
              <w:t xml:space="preserve">An ESA would most likely not be considered as a liability on the balance sheet and therefore may not be part of the entity’s debt ceiling. </w:t>
            </w:r>
          </w:p>
        </w:tc>
      </w:tr>
      <w:tr w:rsidR="00FB153E" w14:paraId="53CCFF6D" w14:textId="77777777" w:rsidTr="00C67642">
        <w:tc>
          <w:tcPr>
            <w:tcW w:w="1098" w:type="dxa"/>
            <w:shd w:val="clear" w:color="auto" w:fill="C6D9F1"/>
          </w:tcPr>
          <w:p w14:paraId="2D1C1129" w14:textId="77777777" w:rsidR="00FB153E" w:rsidRPr="001B3B45" w:rsidRDefault="00FB153E" w:rsidP="00C67642">
            <w:pPr>
              <w:pStyle w:val="ListParagraph"/>
              <w:spacing w:before="60" w:after="60"/>
              <w:ind w:left="0"/>
              <w:rPr>
                <w:rFonts w:ascii="Times New Roman" w:hAnsi="Times New Roman" w:cs="Times New Roman"/>
                <w:sz w:val="22"/>
                <w:szCs w:val="22"/>
              </w:rPr>
            </w:pPr>
            <w:r w:rsidRPr="001B3B45">
              <w:rPr>
                <w:rFonts w:ascii="Times New Roman" w:hAnsi="Times New Roman" w:cs="Times New Roman"/>
                <w:sz w:val="22"/>
                <w:szCs w:val="22"/>
              </w:rPr>
              <w:t>Step 6</w:t>
            </w:r>
          </w:p>
        </w:tc>
        <w:tc>
          <w:tcPr>
            <w:tcW w:w="4410" w:type="dxa"/>
            <w:shd w:val="clear" w:color="auto" w:fill="C6D9F1"/>
          </w:tcPr>
          <w:p w14:paraId="28CB1D80" w14:textId="77777777" w:rsidR="00FB153E" w:rsidRPr="004841E2" w:rsidRDefault="00FB153E" w:rsidP="00C67642">
            <w:pPr>
              <w:spacing w:before="60" w:after="60"/>
              <w:rPr>
                <w:sz w:val="20"/>
              </w:rPr>
            </w:pPr>
            <w:r w:rsidRPr="004841E2">
              <w:rPr>
                <w:sz w:val="20"/>
              </w:rPr>
              <w:t>A detailed audit is commissioned to identify the investment cost, energy savings, and implementation requirements.</w:t>
            </w:r>
          </w:p>
        </w:tc>
        <w:tc>
          <w:tcPr>
            <w:tcW w:w="3960" w:type="dxa"/>
            <w:shd w:val="clear" w:color="auto" w:fill="C6D9F1"/>
          </w:tcPr>
          <w:p w14:paraId="133783EE" w14:textId="77777777" w:rsidR="00FB153E" w:rsidRPr="004841E2" w:rsidRDefault="00FB153E" w:rsidP="00BC13FC">
            <w:pPr>
              <w:spacing w:before="60" w:after="60"/>
            </w:pPr>
            <w:r w:rsidRPr="004841E2">
              <w:rPr>
                <w:sz w:val="20"/>
              </w:rPr>
              <w:t>A detailed audit is conducted by the Fund to identify the baseline conditions.</w:t>
            </w:r>
          </w:p>
        </w:tc>
      </w:tr>
      <w:tr w:rsidR="00FB153E" w14:paraId="372D7E2B" w14:textId="77777777" w:rsidTr="00C67642">
        <w:tc>
          <w:tcPr>
            <w:tcW w:w="1098" w:type="dxa"/>
            <w:shd w:val="clear" w:color="auto" w:fill="C6D9F1"/>
          </w:tcPr>
          <w:p w14:paraId="7A6FDAC0" w14:textId="77777777" w:rsidR="00FB153E" w:rsidRPr="001B3B45" w:rsidRDefault="00FB153E" w:rsidP="00C67642">
            <w:pPr>
              <w:pStyle w:val="ListParagraph"/>
              <w:spacing w:before="60" w:after="60"/>
              <w:ind w:left="0"/>
              <w:rPr>
                <w:rFonts w:ascii="Times New Roman" w:hAnsi="Times New Roman" w:cs="Times New Roman"/>
                <w:sz w:val="22"/>
                <w:szCs w:val="22"/>
              </w:rPr>
            </w:pPr>
            <w:r w:rsidRPr="001B3B45">
              <w:rPr>
                <w:rFonts w:ascii="Times New Roman" w:hAnsi="Times New Roman" w:cs="Times New Roman"/>
                <w:sz w:val="22"/>
                <w:szCs w:val="22"/>
              </w:rPr>
              <w:t>Step 7</w:t>
            </w:r>
          </w:p>
        </w:tc>
        <w:tc>
          <w:tcPr>
            <w:tcW w:w="4410" w:type="dxa"/>
            <w:shd w:val="clear" w:color="auto" w:fill="C6D9F1"/>
          </w:tcPr>
          <w:p w14:paraId="3027F601" w14:textId="77777777" w:rsidR="00FB153E" w:rsidRPr="004841E2" w:rsidRDefault="00FB153E" w:rsidP="00C67642">
            <w:pPr>
              <w:spacing w:before="60" w:after="60"/>
              <w:rPr>
                <w:sz w:val="20"/>
              </w:rPr>
            </w:pPr>
            <w:r w:rsidRPr="004841E2">
              <w:rPr>
                <w:sz w:val="20"/>
              </w:rPr>
              <w:t>The Fund prepares performance-based bidding documents for project implementation services and provides these to the borrower.</w:t>
            </w:r>
          </w:p>
        </w:tc>
        <w:tc>
          <w:tcPr>
            <w:tcW w:w="3960" w:type="dxa"/>
            <w:shd w:val="clear" w:color="auto" w:fill="C6D9F1"/>
          </w:tcPr>
          <w:p w14:paraId="081560C1" w14:textId="77777777" w:rsidR="00FB153E" w:rsidRPr="00D35D7F" w:rsidRDefault="00FB153E" w:rsidP="001B3B45">
            <w:pPr>
              <w:spacing w:before="60" w:after="60"/>
            </w:pPr>
            <w:r w:rsidRPr="001B3B45">
              <w:rPr>
                <w:sz w:val="20"/>
              </w:rPr>
              <w:t>The Fund prepares and issues performance-based bidding documents for project implementation services.</w:t>
            </w:r>
          </w:p>
        </w:tc>
      </w:tr>
      <w:tr w:rsidR="00FB153E" w14:paraId="633F3DF6" w14:textId="77777777" w:rsidTr="00C67642">
        <w:tc>
          <w:tcPr>
            <w:tcW w:w="1098" w:type="dxa"/>
            <w:shd w:val="clear" w:color="auto" w:fill="C6D9F1"/>
          </w:tcPr>
          <w:p w14:paraId="674DF7FC" w14:textId="77777777" w:rsidR="00FB153E" w:rsidRPr="001B3B45" w:rsidRDefault="00FB153E" w:rsidP="00C67642">
            <w:pPr>
              <w:pStyle w:val="ListParagraph"/>
              <w:spacing w:before="60" w:after="60"/>
              <w:ind w:left="0"/>
              <w:rPr>
                <w:rFonts w:ascii="Times New Roman" w:hAnsi="Times New Roman" w:cs="Times New Roman"/>
                <w:sz w:val="22"/>
                <w:szCs w:val="22"/>
              </w:rPr>
            </w:pPr>
            <w:r w:rsidRPr="001B3B45">
              <w:rPr>
                <w:rFonts w:ascii="Times New Roman" w:hAnsi="Times New Roman" w:cs="Times New Roman"/>
                <w:sz w:val="22"/>
                <w:szCs w:val="22"/>
              </w:rPr>
              <w:t>Step 8</w:t>
            </w:r>
          </w:p>
        </w:tc>
        <w:tc>
          <w:tcPr>
            <w:tcW w:w="4410" w:type="dxa"/>
            <w:shd w:val="clear" w:color="auto" w:fill="C6D9F1"/>
          </w:tcPr>
          <w:p w14:paraId="352F5983" w14:textId="77777777" w:rsidR="00FB153E" w:rsidRPr="004841E2" w:rsidRDefault="00FB153E" w:rsidP="0043799F">
            <w:pPr>
              <w:spacing w:before="60" w:after="60"/>
              <w:rPr>
                <w:sz w:val="20"/>
              </w:rPr>
            </w:pPr>
            <w:r w:rsidRPr="004841E2">
              <w:rPr>
                <w:sz w:val="20"/>
              </w:rPr>
              <w:t>The borrower approves the bidding documents and the procurement of the service providers is conducted either by the borrower or by the Fund as specified in the LA. The contracts for the project implementation services are partly performance-based as specified in the bidding documents.</w:t>
            </w:r>
          </w:p>
        </w:tc>
        <w:tc>
          <w:tcPr>
            <w:tcW w:w="3960" w:type="dxa"/>
            <w:shd w:val="clear" w:color="auto" w:fill="C6D9F1"/>
          </w:tcPr>
          <w:p w14:paraId="7489BDB2" w14:textId="77777777" w:rsidR="00FB153E" w:rsidRPr="004841E2" w:rsidRDefault="00FB153E" w:rsidP="00C67642">
            <w:pPr>
              <w:spacing w:before="60" w:after="60"/>
              <w:rPr>
                <w:sz w:val="20"/>
              </w:rPr>
            </w:pPr>
            <w:r w:rsidRPr="004841E2">
              <w:rPr>
                <w:sz w:val="20"/>
              </w:rPr>
              <w:t>The Fund conducts the procurement of the service providers. The contracts for the project implementation services are partly performance-based as specified in the bidding documents.</w:t>
            </w:r>
          </w:p>
        </w:tc>
      </w:tr>
      <w:tr w:rsidR="00FB153E" w14:paraId="5AE95C3B" w14:textId="77777777" w:rsidTr="00C67642">
        <w:tc>
          <w:tcPr>
            <w:tcW w:w="1098" w:type="dxa"/>
            <w:shd w:val="clear" w:color="auto" w:fill="C6D9F1"/>
          </w:tcPr>
          <w:p w14:paraId="0C390094" w14:textId="77777777" w:rsidR="00FB153E" w:rsidRPr="001B3B45" w:rsidRDefault="00FB153E" w:rsidP="00C67642">
            <w:pPr>
              <w:pStyle w:val="ListParagraph"/>
              <w:spacing w:before="60" w:after="60"/>
              <w:ind w:left="0"/>
              <w:rPr>
                <w:rFonts w:ascii="Times New Roman" w:hAnsi="Times New Roman" w:cs="Times New Roman"/>
                <w:sz w:val="22"/>
                <w:szCs w:val="22"/>
              </w:rPr>
            </w:pPr>
            <w:r w:rsidRPr="001B3B45">
              <w:rPr>
                <w:rFonts w:ascii="Times New Roman" w:hAnsi="Times New Roman" w:cs="Times New Roman"/>
                <w:sz w:val="22"/>
                <w:szCs w:val="22"/>
              </w:rPr>
              <w:t>Step 9</w:t>
            </w:r>
          </w:p>
        </w:tc>
        <w:tc>
          <w:tcPr>
            <w:tcW w:w="4410" w:type="dxa"/>
            <w:shd w:val="clear" w:color="auto" w:fill="C6D9F1"/>
          </w:tcPr>
          <w:p w14:paraId="01D7EB10" w14:textId="77777777" w:rsidR="00FB153E" w:rsidRPr="004841E2" w:rsidRDefault="00FB153E" w:rsidP="00C67642">
            <w:pPr>
              <w:spacing w:before="60" w:after="60"/>
              <w:rPr>
                <w:sz w:val="20"/>
              </w:rPr>
            </w:pPr>
            <w:r w:rsidRPr="004841E2">
              <w:rPr>
                <w:sz w:val="20"/>
              </w:rPr>
              <w:t>The energy service providers implement and commission the project under the supervision of the borrower or the Fund staff.</w:t>
            </w:r>
          </w:p>
        </w:tc>
        <w:tc>
          <w:tcPr>
            <w:tcW w:w="3960" w:type="dxa"/>
            <w:shd w:val="clear" w:color="auto" w:fill="C6D9F1"/>
          </w:tcPr>
          <w:p w14:paraId="53616841" w14:textId="77777777" w:rsidR="00FB153E" w:rsidRPr="004841E2" w:rsidRDefault="00FB153E" w:rsidP="00C67642">
            <w:pPr>
              <w:spacing w:before="60" w:after="60"/>
              <w:rPr>
                <w:sz w:val="20"/>
              </w:rPr>
            </w:pPr>
            <w:r w:rsidRPr="004841E2">
              <w:rPr>
                <w:sz w:val="20"/>
              </w:rPr>
              <w:t>The energy service providers implement and commission the project under the supervision of the Fund staff.</w:t>
            </w:r>
          </w:p>
        </w:tc>
      </w:tr>
      <w:tr w:rsidR="00FB153E" w14:paraId="1E42E9C9" w14:textId="77777777" w:rsidTr="00C67642">
        <w:tc>
          <w:tcPr>
            <w:tcW w:w="1098" w:type="dxa"/>
            <w:shd w:val="clear" w:color="auto" w:fill="C6D9F1"/>
          </w:tcPr>
          <w:p w14:paraId="45843360" w14:textId="77777777" w:rsidR="00FB153E" w:rsidRPr="001B3B45" w:rsidRDefault="00FB153E" w:rsidP="00C67642">
            <w:pPr>
              <w:pStyle w:val="ListParagraph"/>
              <w:spacing w:before="60" w:after="60"/>
              <w:ind w:left="0"/>
              <w:rPr>
                <w:rFonts w:ascii="Times New Roman" w:hAnsi="Times New Roman" w:cs="Times New Roman"/>
                <w:sz w:val="22"/>
                <w:szCs w:val="22"/>
              </w:rPr>
            </w:pPr>
            <w:r w:rsidRPr="001B3B45">
              <w:rPr>
                <w:rFonts w:ascii="Times New Roman" w:hAnsi="Times New Roman" w:cs="Times New Roman"/>
                <w:sz w:val="22"/>
                <w:szCs w:val="22"/>
              </w:rPr>
              <w:t>Step 10</w:t>
            </w:r>
          </w:p>
        </w:tc>
        <w:tc>
          <w:tcPr>
            <w:tcW w:w="4410" w:type="dxa"/>
            <w:shd w:val="clear" w:color="auto" w:fill="C6D9F1"/>
          </w:tcPr>
          <w:p w14:paraId="7BB3D1F2" w14:textId="77777777" w:rsidR="00FB153E" w:rsidRPr="004841E2" w:rsidRDefault="00FB153E" w:rsidP="00BC13FC">
            <w:pPr>
              <w:spacing w:before="60" w:after="60"/>
              <w:rPr>
                <w:sz w:val="20"/>
              </w:rPr>
            </w:pPr>
            <w:r w:rsidRPr="004841E2">
              <w:rPr>
                <w:sz w:val="20"/>
              </w:rPr>
              <w:t xml:space="preserve">Upon completion of the implementation and commissioning, the M&amp;V agent conducts the </w:t>
            </w:r>
            <w:r w:rsidR="00BC13FC">
              <w:rPr>
                <w:sz w:val="20"/>
              </w:rPr>
              <w:t>M&amp;V</w:t>
            </w:r>
            <w:r w:rsidRPr="004841E2">
              <w:rPr>
                <w:sz w:val="20"/>
              </w:rPr>
              <w:t xml:space="preserve"> of project results. Payments are made to the service providers by the borrower or the Fund based on the performance criteria.</w:t>
            </w:r>
          </w:p>
        </w:tc>
        <w:tc>
          <w:tcPr>
            <w:tcW w:w="3960" w:type="dxa"/>
            <w:shd w:val="clear" w:color="auto" w:fill="C6D9F1"/>
          </w:tcPr>
          <w:p w14:paraId="3C8A3C95" w14:textId="77777777" w:rsidR="00FB153E" w:rsidRPr="004841E2" w:rsidRDefault="00FB153E" w:rsidP="00C67642">
            <w:pPr>
              <w:spacing w:before="60" w:after="60"/>
              <w:rPr>
                <w:sz w:val="20"/>
              </w:rPr>
            </w:pPr>
            <w:r w:rsidRPr="004841E2">
              <w:rPr>
                <w:sz w:val="20"/>
              </w:rPr>
              <w:t xml:space="preserve">Upon completion of the implementation and commissioning, the Fund conducts the M&amp;V (using its own staff or an M&amp;V agent). Payments are made to the service providers by the Fund based on the performance criteria. </w:t>
            </w:r>
          </w:p>
        </w:tc>
      </w:tr>
      <w:tr w:rsidR="00FB153E" w14:paraId="2ADF7277" w14:textId="77777777" w:rsidTr="00C67642">
        <w:tc>
          <w:tcPr>
            <w:tcW w:w="1098" w:type="dxa"/>
            <w:shd w:val="clear" w:color="auto" w:fill="C6D9F1"/>
          </w:tcPr>
          <w:p w14:paraId="080F8CB4" w14:textId="77777777" w:rsidR="00FB153E" w:rsidRPr="001B3B45" w:rsidRDefault="00FB153E" w:rsidP="00C67642">
            <w:pPr>
              <w:pStyle w:val="ListParagraph"/>
              <w:spacing w:before="60" w:after="60"/>
              <w:ind w:left="0"/>
              <w:rPr>
                <w:rFonts w:ascii="Times New Roman" w:hAnsi="Times New Roman" w:cs="Times New Roman"/>
                <w:sz w:val="22"/>
                <w:szCs w:val="22"/>
              </w:rPr>
            </w:pPr>
            <w:r w:rsidRPr="001B3B45">
              <w:rPr>
                <w:rFonts w:ascii="Times New Roman" w:hAnsi="Times New Roman" w:cs="Times New Roman"/>
                <w:sz w:val="22"/>
                <w:szCs w:val="22"/>
              </w:rPr>
              <w:t>Step 11</w:t>
            </w:r>
          </w:p>
        </w:tc>
        <w:tc>
          <w:tcPr>
            <w:tcW w:w="4410" w:type="dxa"/>
            <w:shd w:val="clear" w:color="auto" w:fill="C6D9F1"/>
          </w:tcPr>
          <w:p w14:paraId="57959035" w14:textId="77777777" w:rsidR="00FB153E" w:rsidRPr="00FB153E" w:rsidRDefault="00FB153E" w:rsidP="00C67642">
            <w:pPr>
              <w:pStyle w:val="ListParagraph"/>
              <w:spacing w:before="60" w:after="60"/>
              <w:ind w:left="0"/>
              <w:rPr>
                <w:rFonts w:ascii="Times New Roman" w:hAnsi="Times New Roman" w:cs="Times New Roman"/>
              </w:rPr>
            </w:pPr>
            <w:r w:rsidRPr="00FB153E">
              <w:rPr>
                <w:rFonts w:ascii="Times New Roman" w:hAnsi="Times New Roman" w:cs="Times New Roman"/>
              </w:rPr>
              <w:t>The borrower repays the loan over the term of the agreement from the savings achieved.</w:t>
            </w:r>
          </w:p>
        </w:tc>
        <w:tc>
          <w:tcPr>
            <w:tcW w:w="3960" w:type="dxa"/>
            <w:shd w:val="clear" w:color="auto" w:fill="C6D9F1"/>
          </w:tcPr>
          <w:p w14:paraId="1FCA31A6" w14:textId="77777777" w:rsidR="00FB153E" w:rsidRPr="00FB153E" w:rsidRDefault="00FB153E" w:rsidP="000B659E">
            <w:pPr>
              <w:pStyle w:val="ListParagraph"/>
              <w:spacing w:before="60" w:after="60"/>
              <w:ind w:left="0"/>
              <w:rPr>
                <w:rFonts w:ascii="Times New Roman" w:hAnsi="Times New Roman" w:cs="Times New Roman"/>
              </w:rPr>
            </w:pPr>
            <w:r w:rsidRPr="00FB153E">
              <w:rPr>
                <w:rFonts w:ascii="Times New Roman" w:hAnsi="Times New Roman" w:cs="Times New Roman"/>
              </w:rPr>
              <w:t>The Fund receives the fixed payments as specified in the ESA (adjusted, if appropriate) for the specified time period. The Fund pays the facility</w:t>
            </w:r>
            <w:r w:rsidR="000B659E">
              <w:rPr>
                <w:rFonts w:ascii="Times New Roman" w:hAnsi="Times New Roman" w:cs="Times New Roman"/>
              </w:rPr>
              <w:t>’</w:t>
            </w:r>
            <w:r w:rsidRPr="00FB153E">
              <w:rPr>
                <w:rFonts w:ascii="Times New Roman" w:hAnsi="Times New Roman" w:cs="Times New Roman"/>
              </w:rPr>
              <w:t>s energy bills and retains the remaining amount to cover its investment and service costs.</w:t>
            </w:r>
          </w:p>
        </w:tc>
      </w:tr>
    </w:tbl>
    <w:p w14:paraId="59370BCE" w14:textId="77777777" w:rsidR="00FB153E" w:rsidRDefault="00FA3BDB" w:rsidP="00BC13FC">
      <w:pPr>
        <w:spacing w:before="240"/>
      </w:pPr>
      <w:r>
        <w:t>The investment models for the debt financing option and the ES</w:t>
      </w:r>
      <w:r w:rsidR="00FB153E">
        <w:t xml:space="preserve">A option are shown in Figures </w:t>
      </w:r>
      <w:r>
        <w:t>5</w:t>
      </w:r>
      <w:r w:rsidR="00FB153E">
        <w:t xml:space="preserve">.6 and 5.7. </w:t>
      </w:r>
    </w:p>
    <w:p w14:paraId="2FCCD01A" w14:textId="77777777" w:rsidR="00FB153E" w:rsidRDefault="00C44E0D" w:rsidP="000B659E">
      <w:pPr>
        <w:pStyle w:val="FiguresandTables"/>
        <w:spacing w:after="20"/>
        <w:jc w:val="left"/>
      </w:pPr>
      <w:r>
        <w:t xml:space="preserve">  </w:t>
      </w:r>
      <w:r w:rsidR="00FB153E">
        <w:t>Figure 5.6 – Investment Model – Debt</w:t>
      </w:r>
      <w:r w:rsidR="00FB153E">
        <w:tab/>
      </w:r>
      <w:r>
        <w:t xml:space="preserve">      </w:t>
      </w:r>
      <w:r w:rsidR="00FB153E">
        <w:t>Figure 5.7 – Investment Model - ESA</w:t>
      </w:r>
    </w:p>
    <w:p w14:paraId="5F584F5C" w14:textId="77777777" w:rsidR="00FA3BDB" w:rsidRDefault="007535A0" w:rsidP="000B659E">
      <w:pPr>
        <w:spacing w:before="20" w:after="20"/>
        <w:jc w:val="center"/>
      </w:pPr>
      <w:r w:rsidRPr="007535A0">
        <w:rPr>
          <w:noProof/>
        </w:rPr>
        <w:drawing>
          <wp:inline distT="0" distB="0" distL="0" distR="0" wp14:anchorId="2D74748A" wp14:editId="124926A8">
            <wp:extent cx="5007683" cy="2610843"/>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07683" cy="2610843"/>
                    </a:xfrm>
                    <a:prstGeom prst="rect">
                      <a:avLst/>
                    </a:prstGeom>
                    <a:noFill/>
                    <a:ln>
                      <a:noFill/>
                    </a:ln>
                  </pic:spPr>
                </pic:pic>
              </a:graphicData>
            </a:graphic>
          </wp:inline>
        </w:drawing>
      </w:r>
    </w:p>
    <w:p w14:paraId="59E95510" w14:textId="77777777" w:rsidR="00FA3BDB" w:rsidRPr="00AE0F49" w:rsidRDefault="00AE0F49" w:rsidP="00BC13FC">
      <w:pPr>
        <w:spacing w:before="0"/>
        <w:rPr>
          <w:i/>
          <w:sz w:val="22"/>
          <w:szCs w:val="22"/>
        </w:rPr>
      </w:pPr>
      <w:r>
        <w:tab/>
      </w:r>
      <w:r w:rsidRPr="00AE0F49">
        <w:rPr>
          <w:i/>
          <w:sz w:val="22"/>
          <w:szCs w:val="22"/>
        </w:rPr>
        <w:t xml:space="preserve">Source: </w:t>
      </w:r>
      <w:r w:rsidR="00CB6F66">
        <w:rPr>
          <w:i/>
          <w:sz w:val="22"/>
          <w:szCs w:val="22"/>
        </w:rPr>
        <w:t>World Bank</w:t>
      </w:r>
    </w:p>
    <w:p w14:paraId="67711C14" w14:textId="77777777" w:rsidR="00FA3BDB" w:rsidRDefault="0020774C" w:rsidP="0043799F">
      <w:pPr>
        <w:pStyle w:val="Heading3"/>
        <w:spacing w:before="200"/>
      </w:pPr>
      <w:bookmarkStart w:id="87" w:name="_Toc441236133"/>
      <w:bookmarkStart w:id="88" w:name="_Toc461093954"/>
      <w:r>
        <w:t>How the</w:t>
      </w:r>
      <w:r w:rsidR="00FA3BDB">
        <w:t xml:space="preserve"> </w:t>
      </w:r>
      <w:r w:rsidR="007535A0">
        <w:t>GEERF</w:t>
      </w:r>
      <w:r w:rsidR="00FA3BDB">
        <w:t xml:space="preserve"> Can Address the Barriers</w:t>
      </w:r>
      <w:bookmarkEnd w:id="87"/>
      <w:r w:rsidR="00C44E0D">
        <w:t xml:space="preserve"> to EE Implementation</w:t>
      </w:r>
      <w:bookmarkEnd w:id="88"/>
    </w:p>
    <w:p w14:paraId="794F203A" w14:textId="77777777" w:rsidR="00FA3BDB" w:rsidRDefault="00FA3BDB" w:rsidP="00FA3BDB">
      <w:r>
        <w:t xml:space="preserve">Table </w:t>
      </w:r>
      <w:r w:rsidR="00C44E0D">
        <w:t>5.</w:t>
      </w:r>
      <w:r>
        <w:t>3 shows how</w:t>
      </w:r>
      <w:r w:rsidR="00D46186">
        <w:t xml:space="preserve"> the</w:t>
      </w:r>
      <w:r>
        <w:t xml:space="preserve"> </w:t>
      </w:r>
      <w:r w:rsidR="007535A0">
        <w:t>GEERF</w:t>
      </w:r>
      <w:r>
        <w:t xml:space="preserve"> can address the barriers to EE implementation</w:t>
      </w:r>
      <w:r w:rsidR="00B516DF">
        <w:t>, identified in Section 3</w:t>
      </w:r>
      <w:r>
        <w:t>.</w:t>
      </w:r>
    </w:p>
    <w:p w14:paraId="6B943FAA" w14:textId="77777777" w:rsidR="00FA3BDB" w:rsidRDefault="00FA3BDB" w:rsidP="00CC0230">
      <w:pPr>
        <w:pStyle w:val="Heading-FiguresandTables"/>
        <w:spacing w:before="120" w:after="60"/>
      </w:pPr>
      <w:r>
        <w:t xml:space="preserve">Table </w:t>
      </w:r>
      <w:r w:rsidR="00C44E0D">
        <w:t>5.3</w:t>
      </w:r>
      <w:r w:rsidR="0020774C">
        <w:t xml:space="preserve"> – How the</w:t>
      </w:r>
      <w:r>
        <w:t xml:space="preserve"> </w:t>
      </w:r>
      <w:r w:rsidR="007535A0">
        <w:t>GEERF</w:t>
      </w:r>
      <w:r>
        <w:t xml:space="preserve"> </w:t>
      </w:r>
      <w:r w:rsidR="00B25A44">
        <w:t xml:space="preserve">Can </w:t>
      </w:r>
      <w:r>
        <w:t>Address EE Implementation Barriers</w:t>
      </w:r>
    </w:p>
    <w:p w14:paraId="336BB05A" w14:textId="1D40FDBC" w:rsidR="00815413" w:rsidRDefault="00815413" w:rsidP="00815413">
      <w:pPr>
        <w:pStyle w:val="Heading-FiguresandTables"/>
        <w:spacing w:before="0" w:after="60"/>
      </w:pPr>
      <w:r w:rsidRPr="00815413">
        <w:rPr>
          <w:noProof/>
        </w:rPr>
        <w:drawing>
          <wp:inline distT="0" distB="0" distL="0" distR="0" wp14:anchorId="6152C3FA" wp14:editId="4F2D847F">
            <wp:extent cx="4201552" cy="2885188"/>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2906" cy="2906719"/>
                    </a:xfrm>
                    <a:prstGeom prst="rect">
                      <a:avLst/>
                    </a:prstGeom>
                  </pic:spPr>
                </pic:pic>
              </a:graphicData>
            </a:graphic>
          </wp:inline>
        </w:drawing>
      </w:r>
    </w:p>
    <w:p w14:paraId="13DFD69B" w14:textId="77777777" w:rsidR="00FA3BDB" w:rsidRPr="00BC13FC" w:rsidRDefault="00FA3BDB" w:rsidP="00BC13FC">
      <w:pPr>
        <w:pStyle w:val="Sourcenote"/>
        <w:spacing w:after="0"/>
        <w:ind w:left="720" w:firstLine="720"/>
        <w:contextualSpacing w:val="0"/>
        <w:rPr>
          <w:i/>
          <w:sz w:val="16"/>
        </w:rPr>
      </w:pPr>
      <w:r w:rsidRPr="00BC13FC">
        <w:rPr>
          <w:rFonts w:ascii="Times New Roman" w:hAnsi="Times New Roman"/>
          <w:i/>
          <w:sz w:val="20"/>
          <w:szCs w:val="22"/>
        </w:rPr>
        <w:t xml:space="preserve">Source: </w:t>
      </w:r>
      <w:r w:rsidR="007535A0" w:rsidRPr="00BC13FC">
        <w:rPr>
          <w:rFonts w:ascii="Times New Roman" w:hAnsi="Times New Roman"/>
          <w:i/>
          <w:sz w:val="20"/>
          <w:szCs w:val="22"/>
        </w:rPr>
        <w:t>A</w:t>
      </w:r>
      <w:r w:rsidR="0020774C" w:rsidRPr="00BC13FC">
        <w:rPr>
          <w:rFonts w:ascii="Times New Roman" w:hAnsi="Times New Roman"/>
          <w:i/>
          <w:sz w:val="20"/>
          <w:szCs w:val="22"/>
        </w:rPr>
        <w:t xml:space="preserve">dapted from </w:t>
      </w:r>
      <w:r w:rsidRPr="00BC13FC">
        <w:rPr>
          <w:rFonts w:ascii="Times New Roman" w:hAnsi="Times New Roman"/>
          <w:i/>
          <w:sz w:val="20"/>
          <w:szCs w:val="22"/>
        </w:rPr>
        <w:t>World Bank</w:t>
      </w:r>
      <w:r w:rsidR="00C44E0D" w:rsidRPr="00BC13FC">
        <w:rPr>
          <w:rFonts w:ascii="Times New Roman" w:hAnsi="Times New Roman"/>
          <w:i/>
          <w:sz w:val="20"/>
          <w:szCs w:val="22"/>
        </w:rPr>
        <w:t xml:space="preserve"> 2014</w:t>
      </w:r>
      <w:r w:rsidR="0020774C" w:rsidRPr="00BC13FC">
        <w:rPr>
          <w:rFonts w:ascii="Times New Roman" w:hAnsi="Times New Roman"/>
          <w:i/>
          <w:sz w:val="20"/>
          <w:szCs w:val="22"/>
        </w:rPr>
        <w:t>a</w:t>
      </w:r>
    </w:p>
    <w:p w14:paraId="0D38C231" w14:textId="77777777" w:rsidR="00B25A44" w:rsidRDefault="00B25A44" w:rsidP="00B25A44">
      <w:pPr>
        <w:pStyle w:val="Heading2"/>
      </w:pPr>
      <w:bookmarkStart w:id="89" w:name="_Toc446061753"/>
      <w:bookmarkStart w:id="90" w:name="_Toc461093955"/>
      <w:bookmarkStart w:id="91" w:name="_Toc441236134"/>
      <w:r>
        <w:t>Super ESCO</w:t>
      </w:r>
      <w:bookmarkEnd w:id="89"/>
      <w:bookmarkEnd w:id="90"/>
    </w:p>
    <w:p w14:paraId="557E8906" w14:textId="77777777" w:rsidR="00B25A44" w:rsidRDefault="00B25A44" w:rsidP="00B25A44">
      <w:r>
        <w:t xml:space="preserve">There has been much discussion </w:t>
      </w:r>
      <w:r w:rsidR="000F22B6">
        <w:t>about the</w:t>
      </w:r>
      <w:r>
        <w:t xml:space="preserve"> benefits of the ESCO model using performance contracting to help implement EE projects (Singh et al. 2010). Unfortunately, implementing the ESCO model in developing countries has been challenging for many countries (Limaye et al 2016).</w:t>
      </w:r>
    </w:p>
    <w:p w14:paraId="725B7FFF" w14:textId="77777777" w:rsidR="00B25A44" w:rsidRPr="0095121B" w:rsidRDefault="00B25A44" w:rsidP="00B25A44">
      <w:pPr>
        <w:pStyle w:val="Heading3"/>
      </w:pPr>
      <w:bookmarkStart w:id="92" w:name="_Toc446061754"/>
      <w:bookmarkStart w:id="93" w:name="_Toc461093956"/>
      <w:r w:rsidRPr="0095121B">
        <w:t>Limit</w:t>
      </w:r>
      <w:r>
        <w:t xml:space="preserve">ations on </w:t>
      </w:r>
      <w:r w:rsidRPr="0095121B">
        <w:t>Growth of ESCOs in Developing Countries</w:t>
      </w:r>
      <w:bookmarkEnd w:id="92"/>
      <w:bookmarkEnd w:id="93"/>
    </w:p>
    <w:p w14:paraId="3B4A4B27" w14:textId="77777777" w:rsidR="00B25A44" w:rsidRDefault="00B25A44" w:rsidP="00B25A44">
      <w:r>
        <w:t>T</w:t>
      </w:r>
      <w:r w:rsidRPr="0095121B">
        <w:t>he growth and development of the ESCO industry has often been constrained by a number of barriers</w:t>
      </w:r>
      <w:r>
        <w:t xml:space="preserve">, many of which are also present in </w:t>
      </w:r>
      <w:r w:rsidR="007535A0">
        <w:t>Georgia</w:t>
      </w:r>
      <w:r>
        <w:t>:</w:t>
      </w:r>
    </w:p>
    <w:p w14:paraId="2C31F834" w14:textId="77777777" w:rsidR="00B25A44" w:rsidRDefault="00B25A44" w:rsidP="00BC13FC">
      <w:pPr>
        <w:widowControl/>
        <w:numPr>
          <w:ilvl w:val="0"/>
          <w:numId w:val="17"/>
        </w:numPr>
        <w:spacing w:before="40" w:after="40"/>
      </w:pPr>
      <w:r>
        <w:t>There are</w:t>
      </w:r>
      <w:r w:rsidR="007535A0">
        <w:t xml:space="preserve"> very</w:t>
      </w:r>
      <w:r>
        <w:t xml:space="preserve"> few ESCOs. </w:t>
      </w:r>
      <w:r w:rsidR="00875C53">
        <w:t>Existing</w:t>
      </w:r>
      <w:r>
        <w:t xml:space="preserve"> ESCOs have a</w:t>
      </w:r>
      <w:r w:rsidRPr="0095121B">
        <w:t xml:space="preserve"> small capital base and hav</w:t>
      </w:r>
      <w:r>
        <w:t>e difficulties accessing project funding</w:t>
      </w:r>
      <w:r w:rsidRPr="0095121B">
        <w:t xml:space="preserve"> from commercial </w:t>
      </w:r>
      <w:r>
        <w:t>FIs</w:t>
      </w:r>
      <w:r w:rsidR="00D7779F">
        <w:t xml:space="preserve"> </w:t>
      </w:r>
      <w:r>
        <w:t>because they can only provide limited equity financing</w:t>
      </w:r>
      <w:r w:rsidRPr="0095121B">
        <w:t xml:space="preserve">. </w:t>
      </w:r>
    </w:p>
    <w:p w14:paraId="140B9EFC" w14:textId="77777777" w:rsidR="00B25A44" w:rsidRDefault="00B25A44" w:rsidP="00BC13FC">
      <w:pPr>
        <w:widowControl/>
        <w:numPr>
          <w:ilvl w:val="0"/>
          <w:numId w:val="17"/>
        </w:numPr>
        <w:spacing w:before="40" w:after="40"/>
      </w:pPr>
      <w:r>
        <w:t>Due to the immaturity of the EE market, the costs of project development are relatively high, and ESCOs are likely to find it difficult to finance project development costs.</w:t>
      </w:r>
    </w:p>
    <w:p w14:paraId="1CDEF6F3" w14:textId="77777777" w:rsidR="00B25A44" w:rsidRPr="0095121B" w:rsidRDefault="00B25A44" w:rsidP="00BC13FC">
      <w:pPr>
        <w:widowControl/>
        <w:numPr>
          <w:ilvl w:val="0"/>
          <w:numId w:val="17"/>
        </w:numPr>
        <w:spacing w:before="40" w:after="40"/>
      </w:pPr>
      <w:r>
        <w:t>T</w:t>
      </w:r>
      <w:r w:rsidRPr="0095121B">
        <w:t xml:space="preserve">he ESCO model is </w:t>
      </w:r>
      <w:r>
        <w:t xml:space="preserve">relatively </w:t>
      </w:r>
      <w:r w:rsidRPr="0095121B">
        <w:t>new</w:t>
      </w:r>
      <w:r>
        <w:t>,</w:t>
      </w:r>
      <w:r w:rsidRPr="0095121B">
        <w:t xml:space="preserve"> and</w:t>
      </w:r>
      <w:r>
        <w:t xml:space="preserve"> </w:t>
      </w:r>
      <w:r w:rsidRPr="0095121B">
        <w:t xml:space="preserve">ESCOs have not yet developed good credibility with </w:t>
      </w:r>
      <w:r>
        <w:t xml:space="preserve">public sector </w:t>
      </w:r>
      <w:r w:rsidRPr="0095121B">
        <w:t>energy users.</w:t>
      </w:r>
    </w:p>
    <w:p w14:paraId="30B4941B" w14:textId="77777777" w:rsidR="00B25A44" w:rsidRDefault="00B25A44" w:rsidP="00BC13FC">
      <w:pPr>
        <w:widowControl/>
        <w:numPr>
          <w:ilvl w:val="0"/>
          <w:numId w:val="17"/>
        </w:numPr>
        <w:spacing w:before="40" w:after="40"/>
      </w:pPr>
      <w:r>
        <w:t xml:space="preserve">The concept of project financing for ESCO projects is not commonly accepted by FIs. A major reason for this is that FIs require collateral and are generally unwilling to accept the savings stream generated by the project as appropriate collateral. </w:t>
      </w:r>
    </w:p>
    <w:p w14:paraId="1AA2A2C2" w14:textId="77777777" w:rsidR="00B25A44" w:rsidRDefault="00B25A44" w:rsidP="00BC13FC">
      <w:pPr>
        <w:widowControl/>
        <w:numPr>
          <w:ilvl w:val="0"/>
          <w:numId w:val="17"/>
        </w:numPr>
        <w:spacing w:before="40" w:after="40"/>
      </w:pPr>
      <w:r w:rsidRPr="0095121B">
        <w:t>The FIs ha</w:t>
      </w:r>
      <w:r>
        <w:t>ve</w:t>
      </w:r>
      <w:r w:rsidRPr="0095121B">
        <w:t xml:space="preserve"> limited knowledge and understanding of </w:t>
      </w:r>
      <w:r>
        <w:t>EE</w:t>
      </w:r>
      <w:r w:rsidRPr="0095121B">
        <w:t xml:space="preserve"> projects and the ESPC concept. </w:t>
      </w:r>
    </w:p>
    <w:p w14:paraId="6C4AA2DF" w14:textId="77777777" w:rsidR="00B25A44" w:rsidRDefault="00B25A44" w:rsidP="00BC13FC">
      <w:pPr>
        <w:widowControl/>
        <w:numPr>
          <w:ilvl w:val="0"/>
          <w:numId w:val="17"/>
        </w:numPr>
        <w:spacing w:before="40" w:after="40"/>
      </w:pPr>
      <w:r w:rsidRPr="0095121B">
        <w:t xml:space="preserve">FIs also perceive </w:t>
      </w:r>
      <w:r>
        <w:t>EE</w:t>
      </w:r>
      <w:r w:rsidRPr="0095121B">
        <w:t xml:space="preserve"> projects as inherently more risky than other investments, and generally require a large proportion of equity</w:t>
      </w:r>
      <w:r>
        <w:t xml:space="preserve"> funding</w:t>
      </w:r>
      <w:r w:rsidRPr="0095121B">
        <w:t xml:space="preserve"> from the ESCO for a project. </w:t>
      </w:r>
    </w:p>
    <w:p w14:paraId="06574046" w14:textId="77777777" w:rsidR="00B25A44" w:rsidRDefault="00B25A44" w:rsidP="00B25A44">
      <w:r>
        <w:t xml:space="preserve">Also, large-scale implementation of EE projects in the public sector in </w:t>
      </w:r>
      <w:r w:rsidR="007535A0">
        <w:t>Georgia</w:t>
      </w:r>
      <w:r>
        <w:t xml:space="preserve"> is constrained by a number of barriers:</w:t>
      </w:r>
    </w:p>
    <w:p w14:paraId="5C496943" w14:textId="77777777" w:rsidR="00B25A44" w:rsidRDefault="00B25A44" w:rsidP="00BC13FC">
      <w:pPr>
        <w:pStyle w:val="Bulleted"/>
        <w:spacing w:before="40" w:after="40"/>
      </w:pPr>
      <w:r>
        <w:t>Facility managers in public buildings generally do not have a good understanding of the opportunities, costs and benefits of EE options.</w:t>
      </w:r>
    </w:p>
    <w:p w14:paraId="07581326" w14:textId="77777777" w:rsidR="00B25A44" w:rsidRDefault="00B25A44" w:rsidP="00BC13FC">
      <w:pPr>
        <w:pStyle w:val="Bulleted"/>
        <w:spacing w:before="40" w:after="40"/>
      </w:pPr>
      <w:r>
        <w:t>There is very limited technical capacity in public agencies for conducting energy audits, designing and engineering projects, and/or contracting with and managing ESCOs or other energy service providers to implement projects</w:t>
      </w:r>
    </w:p>
    <w:p w14:paraId="58E34A2E" w14:textId="77777777" w:rsidR="00B25A44" w:rsidRDefault="00B25A44" w:rsidP="00BC13FC">
      <w:pPr>
        <w:pStyle w:val="Bulleted"/>
        <w:spacing w:before="40" w:after="40"/>
      </w:pPr>
      <w:r>
        <w:t>There is little or no incentive to staffs of public facilities to save energy as the resulting cost savings may simply lead to reduced operational budgets in future years (which may actually represent a disincentive to save energy).</w:t>
      </w:r>
    </w:p>
    <w:p w14:paraId="22A1BB74" w14:textId="77777777" w:rsidR="00B25A44" w:rsidRDefault="00B25A44" w:rsidP="00BC13FC">
      <w:pPr>
        <w:pStyle w:val="Bulleted"/>
        <w:spacing w:before="40" w:after="40"/>
      </w:pPr>
      <w:r>
        <w:t>Public sector contracting and procurement rules are often rather restrictive; for example, they require the selection of the low bidder which may make it difficult to adopt the performance contracting approach.</w:t>
      </w:r>
    </w:p>
    <w:p w14:paraId="31A10478" w14:textId="77777777" w:rsidR="00B25A44" w:rsidRDefault="00B25A44" w:rsidP="00BC13FC">
      <w:pPr>
        <w:pStyle w:val="Bulleted"/>
        <w:spacing w:before="40" w:after="40"/>
      </w:pPr>
      <w:r>
        <w:t>Responsibilities for capital and operating budgets in public agencies are often dispersed, making it difficult to deploy funds from capital budget to reduce operating costs.</w:t>
      </w:r>
    </w:p>
    <w:p w14:paraId="09353355" w14:textId="77777777" w:rsidR="00B25A44" w:rsidRDefault="00B25A44" w:rsidP="00BC13FC">
      <w:pPr>
        <w:pStyle w:val="Bulleted"/>
        <w:spacing w:before="40" w:after="40"/>
      </w:pPr>
      <w:r>
        <w:t xml:space="preserve">Commercial banks in </w:t>
      </w:r>
      <w:r w:rsidR="007535A0">
        <w:t>Georgia</w:t>
      </w:r>
      <w:r>
        <w:t xml:space="preserve"> are likely to be unwilling to provide project financing for ESCO projects with public agencies.</w:t>
      </w:r>
    </w:p>
    <w:p w14:paraId="58FEFF25" w14:textId="77777777" w:rsidR="00B25A44" w:rsidRDefault="007535A0" w:rsidP="00B25A44">
      <w:pPr>
        <w:pStyle w:val="Heading3"/>
      </w:pPr>
      <w:bookmarkStart w:id="94" w:name="_Toc446061755"/>
      <w:bookmarkStart w:id="95" w:name="_Toc461093957"/>
      <w:r>
        <w:t>Georgia</w:t>
      </w:r>
      <w:r w:rsidR="00B25A44">
        <w:t xml:space="preserve"> </w:t>
      </w:r>
      <w:r w:rsidR="00B25A44" w:rsidRPr="0040711B">
        <w:t>Su</w:t>
      </w:r>
      <w:r w:rsidR="00B25A44">
        <w:t>per ESCO</w:t>
      </w:r>
      <w:bookmarkEnd w:id="94"/>
      <w:bookmarkEnd w:id="95"/>
    </w:p>
    <w:p w14:paraId="498F2248" w14:textId="77777777" w:rsidR="00B25A44" w:rsidRDefault="00B25A44" w:rsidP="00B25A44">
      <w:pPr>
        <w:rPr>
          <w:bCs/>
        </w:rPr>
      </w:pPr>
      <w:r w:rsidRPr="0095121B">
        <w:t xml:space="preserve">The concept of a Super ESCO has recently evolved as </w:t>
      </w:r>
      <w:r>
        <w:t>one of the</w:t>
      </w:r>
      <w:r w:rsidRPr="0095121B">
        <w:t xml:space="preserve"> mechanism</w:t>
      </w:r>
      <w:r>
        <w:t>s</w:t>
      </w:r>
      <w:r w:rsidRPr="0095121B">
        <w:t xml:space="preserve"> </w:t>
      </w:r>
      <w:r>
        <w:t>for</w:t>
      </w:r>
      <w:r w:rsidRPr="0095121B">
        <w:t xml:space="preserve"> overcoming some of the limitations and barriers hindering the </w:t>
      </w:r>
      <w:r>
        <w:t>large-scale implementation of EE projects.</w:t>
      </w:r>
      <w:r w:rsidRPr="0095121B">
        <w:t xml:space="preserve"> </w:t>
      </w:r>
      <w:r>
        <w:t xml:space="preserve">The </w:t>
      </w:r>
      <w:r w:rsidRPr="0095121B">
        <w:t xml:space="preserve">Super ESCO is </w:t>
      </w:r>
      <w:r>
        <w:t xml:space="preserve">a special case of a public ESCO. It is </w:t>
      </w:r>
      <w:r>
        <w:rPr>
          <w:bCs/>
        </w:rPr>
        <w:t>established by the G</w:t>
      </w:r>
      <w:r w:rsidRPr="0095121B">
        <w:rPr>
          <w:bCs/>
        </w:rPr>
        <w:t>overnment</w:t>
      </w:r>
      <w:r w:rsidRPr="002402A5">
        <w:rPr>
          <w:rStyle w:val="FootnoteReference"/>
          <w:bCs/>
        </w:rPr>
        <w:footnoteReference w:id="23"/>
      </w:r>
      <w:r w:rsidRPr="002402A5">
        <w:rPr>
          <w:bCs/>
          <w:vertAlign w:val="superscript"/>
        </w:rPr>
        <w:t xml:space="preserve"> </w:t>
      </w:r>
      <w:r w:rsidRPr="0095121B">
        <w:rPr>
          <w:bCs/>
        </w:rPr>
        <w:t xml:space="preserve">and functions as an ESCO for the public sector </w:t>
      </w:r>
      <w:r>
        <w:rPr>
          <w:bCs/>
        </w:rPr>
        <w:t>market</w:t>
      </w:r>
      <w:r w:rsidR="00F17D2E">
        <w:rPr>
          <w:bCs/>
        </w:rPr>
        <w:t>,</w:t>
      </w:r>
      <w:r w:rsidR="00CB6F66">
        <w:rPr>
          <w:bCs/>
        </w:rPr>
        <w:t xml:space="preserve"> </w:t>
      </w:r>
      <w:r w:rsidR="002B01EE">
        <w:rPr>
          <w:bCs/>
        </w:rPr>
        <w:t>including</w:t>
      </w:r>
      <w:r>
        <w:rPr>
          <w:bCs/>
        </w:rPr>
        <w:t xml:space="preserve"> </w:t>
      </w:r>
      <w:r w:rsidRPr="0095121B">
        <w:rPr>
          <w:bCs/>
        </w:rPr>
        <w:t>hospitals, schools, municipalities, government buildings</w:t>
      </w:r>
      <w:r>
        <w:rPr>
          <w:bCs/>
        </w:rPr>
        <w:t>,</w:t>
      </w:r>
      <w:r w:rsidRPr="0095121B">
        <w:rPr>
          <w:bCs/>
        </w:rPr>
        <w:t xml:space="preserve"> and other public facilities</w:t>
      </w:r>
      <w:r w:rsidR="002C3905">
        <w:rPr>
          <w:bCs/>
        </w:rPr>
        <w:t>.</w:t>
      </w:r>
      <w:r w:rsidR="002B01EE">
        <w:rPr>
          <w:bCs/>
        </w:rPr>
        <w:t xml:space="preserve"> </w:t>
      </w:r>
      <w:r w:rsidR="002C3905">
        <w:rPr>
          <w:bCs/>
        </w:rPr>
        <w:t xml:space="preserve">It </w:t>
      </w:r>
      <w:r w:rsidRPr="0095121B">
        <w:rPr>
          <w:bCs/>
        </w:rPr>
        <w:t>also supports capacity development and project development activities of existing p</w:t>
      </w:r>
      <w:r>
        <w:rPr>
          <w:bCs/>
        </w:rPr>
        <w:t>rivate sector ESCOs including helping</w:t>
      </w:r>
      <w:r w:rsidRPr="0095121B">
        <w:rPr>
          <w:bCs/>
        </w:rPr>
        <w:t xml:space="preserve"> create new ESCOs</w:t>
      </w:r>
      <w:r>
        <w:rPr>
          <w:bCs/>
        </w:rPr>
        <w:t xml:space="preserve"> </w:t>
      </w:r>
      <w:r w:rsidR="001410B2">
        <w:t>(Limaye and Limaye 2011).</w:t>
      </w:r>
    </w:p>
    <w:p w14:paraId="1322F6F4" w14:textId="77777777" w:rsidR="00B25A44" w:rsidRDefault="002C3905" w:rsidP="00B25A44">
      <w:pPr>
        <w:rPr>
          <w:bCs/>
        </w:rPr>
      </w:pPr>
      <w:r>
        <w:rPr>
          <w:bCs/>
        </w:rPr>
        <w:t>The GOG</w:t>
      </w:r>
      <w:r w:rsidR="00B25A44">
        <w:rPr>
          <w:bCs/>
        </w:rPr>
        <w:t xml:space="preserve">, with the assistance of the World Bank and/or other donors, can capitalize the </w:t>
      </w:r>
      <w:r w:rsidR="007535A0">
        <w:rPr>
          <w:bCs/>
        </w:rPr>
        <w:t>Georgia</w:t>
      </w:r>
      <w:r w:rsidR="00B25A44" w:rsidRPr="0095121B">
        <w:rPr>
          <w:bCs/>
        </w:rPr>
        <w:t xml:space="preserve"> Super ESCO </w:t>
      </w:r>
      <w:r w:rsidR="00875C53">
        <w:rPr>
          <w:bCs/>
        </w:rPr>
        <w:t>(“G</w:t>
      </w:r>
      <w:r w:rsidR="00B25A44">
        <w:rPr>
          <w:bCs/>
        </w:rPr>
        <w:t xml:space="preserve">ESCO”) </w:t>
      </w:r>
      <w:r w:rsidR="00B25A44" w:rsidRPr="0095121B">
        <w:rPr>
          <w:bCs/>
        </w:rPr>
        <w:t xml:space="preserve">with sufficient funds to undertake public sector ESPC projects and to leverage commercial financing. A primary function of </w:t>
      </w:r>
      <w:r w:rsidR="00875C53">
        <w:rPr>
          <w:bCs/>
        </w:rPr>
        <w:t>GESCO</w:t>
      </w:r>
      <w:r w:rsidR="00B25A44" w:rsidRPr="0095121B">
        <w:rPr>
          <w:bCs/>
        </w:rPr>
        <w:t xml:space="preserve"> </w:t>
      </w:r>
      <w:r w:rsidR="00B25A44">
        <w:rPr>
          <w:bCs/>
        </w:rPr>
        <w:t xml:space="preserve">will then be </w:t>
      </w:r>
      <w:r w:rsidR="00B25A44" w:rsidRPr="0095121B">
        <w:rPr>
          <w:bCs/>
        </w:rPr>
        <w:t xml:space="preserve">to facilitate access to project financing by developing relationships with local or international financial institutions. </w:t>
      </w:r>
      <w:r w:rsidR="00875C53">
        <w:rPr>
          <w:bCs/>
        </w:rPr>
        <w:t>GESCO</w:t>
      </w:r>
      <w:r w:rsidR="00B25A44" w:rsidRPr="0095121B">
        <w:rPr>
          <w:bCs/>
        </w:rPr>
        <w:t xml:space="preserve"> may also</w:t>
      </w:r>
      <w:r w:rsidR="00B25A44">
        <w:rPr>
          <w:bCs/>
        </w:rPr>
        <w:t xml:space="preserve"> provide credit or risk guarantees for ESCO projects, or</w:t>
      </w:r>
      <w:r w:rsidR="00B25A44" w:rsidRPr="0095121B">
        <w:rPr>
          <w:bCs/>
        </w:rPr>
        <w:t xml:space="preserve"> act as a leasing or financing company to provide ESCOs and/or customers </w:t>
      </w:r>
      <w:r>
        <w:rPr>
          <w:bCs/>
        </w:rPr>
        <w:t>energy-efficient</w:t>
      </w:r>
      <w:r w:rsidRPr="0095121B">
        <w:rPr>
          <w:bCs/>
        </w:rPr>
        <w:t xml:space="preserve"> </w:t>
      </w:r>
      <w:r w:rsidR="00B25A44" w:rsidRPr="0095121B">
        <w:rPr>
          <w:bCs/>
        </w:rPr>
        <w:t>equipment on lease or on benefit-sharing terms.</w:t>
      </w:r>
      <w:r w:rsidR="00B25A44" w:rsidRPr="00C50BF6">
        <w:rPr>
          <w:rStyle w:val="FootnoteReference"/>
          <w:bCs/>
        </w:rPr>
        <w:footnoteReference w:id="24"/>
      </w:r>
      <w:r w:rsidR="00B25A44" w:rsidRPr="0095121B">
        <w:rPr>
          <w:bCs/>
        </w:rPr>
        <w:t xml:space="preserve"> </w:t>
      </w:r>
    </w:p>
    <w:p w14:paraId="3F68BD77" w14:textId="77777777" w:rsidR="001410B2" w:rsidRDefault="001410B2" w:rsidP="001410B2">
      <w:r>
        <w:rPr>
          <w:bCs/>
        </w:rPr>
        <w:t xml:space="preserve">The </w:t>
      </w:r>
      <w:r w:rsidRPr="0095121B">
        <w:rPr>
          <w:bCs/>
        </w:rPr>
        <w:t>World Bank study</w:t>
      </w:r>
      <w:r>
        <w:rPr>
          <w:bCs/>
        </w:rPr>
        <w:t xml:space="preserve"> of</w:t>
      </w:r>
      <w:r w:rsidRPr="0095121B">
        <w:rPr>
          <w:bCs/>
        </w:rPr>
        <w:t xml:space="preserve"> the international experience in public procurement of </w:t>
      </w:r>
      <w:r>
        <w:rPr>
          <w:bCs/>
        </w:rPr>
        <w:t>EE</w:t>
      </w:r>
      <w:r w:rsidRPr="0095121B">
        <w:rPr>
          <w:bCs/>
        </w:rPr>
        <w:t xml:space="preserve"> ser</w:t>
      </w:r>
      <w:r>
        <w:rPr>
          <w:bCs/>
        </w:rPr>
        <w:t>vices (Singh et al 2010)</w:t>
      </w:r>
      <w:r w:rsidRPr="0095121B">
        <w:rPr>
          <w:bCs/>
        </w:rPr>
        <w:t xml:space="preserve"> identified the Super ESCO as a potentially viable model for developing countries. </w:t>
      </w:r>
      <w:r w:rsidR="00875C53">
        <w:rPr>
          <w:bCs/>
        </w:rPr>
        <w:t>GESCO</w:t>
      </w:r>
      <w:r>
        <w:t xml:space="preserve"> may be</w:t>
      </w:r>
      <w:r w:rsidRPr="0095121B">
        <w:t xml:space="preserve"> uniquely positioned to overcome a number of the barriers faced by smaller ESCO companies. With </w:t>
      </w:r>
      <w:r>
        <w:t>its</w:t>
      </w:r>
      <w:r w:rsidRPr="0095121B">
        <w:t xml:space="preserve"> size and credibility as a public institution, </w:t>
      </w:r>
      <w:r w:rsidR="00875C53">
        <w:rPr>
          <w:bCs/>
        </w:rPr>
        <w:t>GESCO</w:t>
      </w:r>
      <w:r>
        <w:t xml:space="preserve"> can</w:t>
      </w:r>
      <w:r w:rsidRPr="0095121B">
        <w:t xml:space="preserve"> </w:t>
      </w:r>
      <w:r>
        <w:t>have the capability</w:t>
      </w:r>
      <w:r w:rsidRPr="0095121B">
        <w:t xml:space="preserve"> to support the growth of a nation’s private domestic ESCO business and </w:t>
      </w:r>
      <w:r>
        <w:t xml:space="preserve">can have the capacity to provide </w:t>
      </w:r>
      <w:r w:rsidRPr="0095121B">
        <w:t xml:space="preserve">financing for EE projects. </w:t>
      </w:r>
      <w:r>
        <w:t>Figure 5.8 illustrates the structure of a Super ESCO.</w:t>
      </w:r>
    </w:p>
    <w:p w14:paraId="30395B5E" w14:textId="77777777" w:rsidR="00B516DF" w:rsidRDefault="00B516DF" w:rsidP="00B516DF">
      <w:pPr>
        <w:spacing w:before="200" w:after="200"/>
      </w:pPr>
      <w:r>
        <w:t>A Super ESCO can have</w:t>
      </w:r>
      <w:r w:rsidRPr="0095121B">
        <w:t xml:space="preserve"> a unique ability to target the largely untapped </w:t>
      </w:r>
      <w:r>
        <w:t>EE</w:t>
      </w:r>
      <w:r w:rsidRPr="0095121B">
        <w:t xml:space="preserve"> market in the public sector. </w:t>
      </w:r>
      <w:r>
        <w:t>The EE</w:t>
      </w:r>
      <w:r w:rsidRPr="0095121B">
        <w:t xml:space="preserve"> potential in the public sector is </w:t>
      </w:r>
      <w:r>
        <w:t xml:space="preserve">generally </w:t>
      </w:r>
      <w:r w:rsidRPr="0095121B">
        <w:t xml:space="preserve">substantial, but the implementation of energy savings programs is complicated by numerous factors, including a lack of commercial orientation of public agencies, limited incentives to lower energy costs, complex and strict budgeting and procurement procedures, and limited access to budgetary or </w:t>
      </w:r>
      <w:r>
        <w:t xml:space="preserve">commercial </w:t>
      </w:r>
      <w:r w:rsidRPr="0095121B">
        <w:t>project financing. Many public agencies</w:t>
      </w:r>
      <w:r>
        <w:t xml:space="preserve"> </w:t>
      </w:r>
      <w:r w:rsidRPr="0095121B">
        <w:t xml:space="preserve">face budget constraints and often focus on the upfront cost as a matter of necessity. </w:t>
      </w:r>
    </w:p>
    <w:p w14:paraId="2372F686" w14:textId="77777777" w:rsidR="00B25A44" w:rsidRPr="005F3D32" w:rsidRDefault="00B25A44" w:rsidP="00BC13FC">
      <w:pPr>
        <w:spacing w:before="180" w:after="40"/>
        <w:jc w:val="center"/>
        <w:rPr>
          <w:b/>
        </w:rPr>
      </w:pPr>
      <w:r>
        <w:rPr>
          <w:b/>
        </w:rPr>
        <w:t>Figure 5.8</w:t>
      </w:r>
      <w:r w:rsidRPr="005F3D32">
        <w:rPr>
          <w:b/>
        </w:rPr>
        <w:t xml:space="preserve"> - </w:t>
      </w:r>
      <w:r>
        <w:rPr>
          <w:b/>
        </w:rPr>
        <w:t xml:space="preserve">Typical </w:t>
      </w:r>
      <w:r w:rsidRPr="005F3D32">
        <w:rPr>
          <w:b/>
        </w:rPr>
        <w:t>Structure of a Super ESCO</w:t>
      </w:r>
    </w:p>
    <w:p w14:paraId="0C683033" w14:textId="77777777" w:rsidR="00B25A44" w:rsidRPr="0095121B" w:rsidRDefault="00875C53" w:rsidP="00BC13FC">
      <w:pPr>
        <w:spacing w:before="60" w:after="60"/>
        <w:jc w:val="center"/>
      </w:pPr>
      <w:r w:rsidRPr="00875C53">
        <w:rPr>
          <w:noProof/>
        </w:rPr>
        <w:drawing>
          <wp:inline distT="0" distB="0" distL="0" distR="0" wp14:anchorId="69F4834D" wp14:editId="775E4889">
            <wp:extent cx="3719437" cy="2090057"/>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28804" cy="2095321"/>
                    </a:xfrm>
                    <a:prstGeom prst="rect">
                      <a:avLst/>
                    </a:prstGeom>
                    <a:noFill/>
                    <a:ln>
                      <a:noFill/>
                    </a:ln>
                  </pic:spPr>
                </pic:pic>
              </a:graphicData>
            </a:graphic>
          </wp:inline>
        </w:drawing>
      </w:r>
    </w:p>
    <w:p w14:paraId="140DCCE0" w14:textId="77777777" w:rsidR="00B25A44" w:rsidRPr="00E005BA" w:rsidRDefault="00B25A44" w:rsidP="00BC13FC">
      <w:pPr>
        <w:spacing w:before="60" w:after="200"/>
        <w:rPr>
          <w:i/>
          <w:sz w:val="22"/>
          <w:szCs w:val="22"/>
        </w:rPr>
      </w:pPr>
      <w:r>
        <w:tab/>
      </w:r>
      <w:r>
        <w:tab/>
      </w:r>
      <w:r>
        <w:rPr>
          <w:i/>
          <w:sz w:val="22"/>
          <w:szCs w:val="22"/>
        </w:rPr>
        <w:t xml:space="preserve">Source: </w:t>
      </w:r>
      <w:r w:rsidR="00875C53">
        <w:rPr>
          <w:i/>
          <w:sz w:val="22"/>
          <w:szCs w:val="22"/>
        </w:rPr>
        <w:t xml:space="preserve">Adapted from </w:t>
      </w:r>
      <w:r>
        <w:rPr>
          <w:i/>
          <w:sz w:val="22"/>
          <w:szCs w:val="22"/>
        </w:rPr>
        <w:t>Limaye 2013b</w:t>
      </w:r>
      <w:r>
        <w:rPr>
          <w:i/>
          <w:szCs w:val="22"/>
        </w:rPr>
        <w:t xml:space="preserve"> </w:t>
      </w:r>
    </w:p>
    <w:p w14:paraId="707977A0" w14:textId="77777777" w:rsidR="00B25A44" w:rsidRDefault="00875C53" w:rsidP="00B25A44">
      <w:r>
        <w:t>GESCO</w:t>
      </w:r>
      <w:r w:rsidR="00B25A44">
        <w:t xml:space="preserve"> will also be assigned a major responsibility to help build the capacity of the local private sector ESCOs and create a competitive private market for ESCO services. An appropriate role for </w:t>
      </w:r>
      <w:r>
        <w:t>GESCO</w:t>
      </w:r>
      <w:r w:rsidR="00B25A44">
        <w:t xml:space="preserve"> will be to engage private ESCOs as subcontractors for parts of the implementation (such as installation, commissioning</w:t>
      </w:r>
      <w:r w:rsidR="005410FA">
        <w:t>,</w:t>
      </w:r>
      <w:r w:rsidR="00B25A44">
        <w:t xml:space="preserve"> and performance monitoring), thereby helping to build their capacity. </w:t>
      </w:r>
      <w:r>
        <w:t>GESCO</w:t>
      </w:r>
      <w:r w:rsidR="00B25A44">
        <w:t xml:space="preserve"> may also be in a position to arrange financing for small private ESCOs to help them implement projects and build their capacity and credentials.</w:t>
      </w:r>
    </w:p>
    <w:p w14:paraId="7EEF358C" w14:textId="77777777" w:rsidR="00B25A44" w:rsidRDefault="00B25A44" w:rsidP="00B25A44">
      <w:r>
        <w:t xml:space="preserve">The payments from the municipalities and other public clients for the services provided by </w:t>
      </w:r>
      <w:r w:rsidR="00875C53">
        <w:t>GESCO</w:t>
      </w:r>
      <w:r>
        <w:t xml:space="preserve"> may need to be secured through a payment security mechanism such as an escrow account. For central government agencies, </w:t>
      </w:r>
      <w:r w:rsidR="00875C53">
        <w:t>GESCO</w:t>
      </w:r>
      <w:r>
        <w:t xml:space="preserve"> may sign a framework agreement with </w:t>
      </w:r>
      <w:r w:rsidR="005410FA">
        <w:t xml:space="preserve">the </w:t>
      </w:r>
      <w:r>
        <w:t>MOF (or the Ministry responsible for payment of the energy bills) to secure payments from the energy savings generated by the EE projects.</w:t>
      </w:r>
      <w:r w:rsidR="00B516DF">
        <w:t xml:space="preserve"> (</w:t>
      </w:r>
      <w:r>
        <w:t xml:space="preserve">Information on a number of Super ESCOs </w:t>
      </w:r>
      <w:r w:rsidR="004116EA">
        <w:t>is</w:t>
      </w:r>
      <w:r>
        <w:t xml:space="preserve"> provided in Annex C.</w:t>
      </w:r>
      <w:r w:rsidR="00B516DF">
        <w:t>)</w:t>
      </w:r>
    </w:p>
    <w:p w14:paraId="39E648F3" w14:textId="77777777" w:rsidR="001410B2" w:rsidRPr="0095121B" w:rsidRDefault="001410B2" w:rsidP="001410B2">
      <w:pPr>
        <w:pStyle w:val="Heading3"/>
        <w:rPr>
          <w:lang w:eastAsia="zh-CN"/>
        </w:rPr>
      </w:pPr>
      <w:bookmarkStart w:id="96" w:name="_Toc446061756"/>
      <w:bookmarkStart w:id="97" w:name="_Toc461093958"/>
      <w:r>
        <w:rPr>
          <w:lang w:eastAsia="zh-CN"/>
        </w:rPr>
        <w:t xml:space="preserve">How </w:t>
      </w:r>
      <w:r w:rsidR="00875C53">
        <w:rPr>
          <w:lang w:eastAsia="zh-CN"/>
        </w:rPr>
        <w:t>GESCO</w:t>
      </w:r>
      <w:r>
        <w:rPr>
          <w:lang w:eastAsia="zh-CN"/>
        </w:rPr>
        <w:t xml:space="preserve"> Can Address EE Financing Barriers</w:t>
      </w:r>
      <w:bookmarkEnd w:id="96"/>
      <w:bookmarkEnd w:id="97"/>
      <w:r w:rsidR="00795807">
        <w:rPr>
          <w:lang w:eastAsia="zh-CN"/>
        </w:rPr>
        <w:t xml:space="preserve"> </w:t>
      </w:r>
    </w:p>
    <w:p w14:paraId="52896D50" w14:textId="77777777" w:rsidR="001410B2" w:rsidRDefault="001410B2" w:rsidP="001410B2">
      <w:pPr>
        <w:spacing w:before="200" w:after="200"/>
      </w:pPr>
      <w:r w:rsidRPr="0095121B">
        <w:t xml:space="preserve">The key contributions that </w:t>
      </w:r>
      <w:r w:rsidR="00875C53">
        <w:t>GESCO</w:t>
      </w:r>
      <w:r w:rsidRPr="0095121B">
        <w:t xml:space="preserve"> can make to the scaling up of </w:t>
      </w:r>
      <w:r>
        <w:t>EE</w:t>
      </w:r>
      <w:r w:rsidRPr="0095121B">
        <w:t xml:space="preserve"> project implementation </w:t>
      </w:r>
      <w:r>
        <w:t>are summarized in Table 5.4.</w:t>
      </w:r>
    </w:p>
    <w:p w14:paraId="7D338A7F" w14:textId="77777777" w:rsidR="00B516DF" w:rsidRPr="00B06B9B" w:rsidRDefault="00B516DF" w:rsidP="00B516DF">
      <w:pPr>
        <w:pStyle w:val="Heading2"/>
      </w:pPr>
      <w:bookmarkStart w:id="98" w:name="_Toc461093959"/>
      <w:r>
        <w:t xml:space="preserve">The </w:t>
      </w:r>
      <w:r w:rsidRPr="00B06B9B">
        <w:t xml:space="preserve">Potential Role of </w:t>
      </w:r>
      <w:r>
        <w:t>IFIs and Donors</w:t>
      </w:r>
      <w:bookmarkEnd w:id="98"/>
    </w:p>
    <w:p w14:paraId="3D5534AE" w14:textId="77777777" w:rsidR="00B516DF" w:rsidRPr="00C77EE1" w:rsidRDefault="00B516DF" w:rsidP="00B516DF">
      <w:r>
        <w:t>For all three shortlisted financing options, IFIs and donors can play a major role in their establishment and operation in three ways: (a) f</w:t>
      </w:r>
      <w:r w:rsidRPr="00B50734">
        <w:t xml:space="preserve">inancial </w:t>
      </w:r>
      <w:r>
        <w:t>a</w:t>
      </w:r>
      <w:r w:rsidRPr="00B50734">
        <w:t>ssistance</w:t>
      </w:r>
      <w:r>
        <w:t>, (b) capacity building, and (c) other technical assistance.</w:t>
      </w:r>
    </w:p>
    <w:p w14:paraId="08D2CB82" w14:textId="77777777" w:rsidR="00B516DF" w:rsidRPr="004D77B9" w:rsidRDefault="00B516DF" w:rsidP="00B516DF">
      <w:pPr>
        <w:pStyle w:val="Heading3"/>
      </w:pPr>
      <w:bookmarkStart w:id="99" w:name="_Toc461093960"/>
      <w:r w:rsidRPr="004D77B9">
        <w:t>Financial Assistance</w:t>
      </w:r>
      <w:bookmarkEnd w:id="99"/>
    </w:p>
    <w:p w14:paraId="19D5FAF8" w14:textId="77777777" w:rsidR="00B516DF" w:rsidRPr="00C77EE1" w:rsidRDefault="00B516DF" w:rsidP="00B516DF">
      <w:r>
        <w:t>Financial assistance may be provided in the form of loans, grants</w:t>
      </w:r>
      <w:r w:rsidR="00B03D4B">
        <w:t>,</w:t>
      </w:r>
      <w:r>
        <w:t xml:space="preserve"> and guarantees. The loans would have the structures and characteristics of typical IFI loans, with sovereign guarantees. IFIs may also provide or arrange for grant funds (from t</w:t>
      </w:r>
      <w:r w:rsidR="00875C53">
        <w:t xml:space="preserve">he Global Environment Facility or the Global Climate Fund, </w:t>
      </w:r>
      <w:r>
        <w:t xml:space="preserve">for example). Another financing option would be risk-sharing facilities (such as partial credit or risk guarantees) to the </w:t>
      </w:r>
      <w:r w:rsidR="007535A0">
        <w:t>GEERF</w:t>
      </w:r>
      <w:r>
        <w:t xml:space="preserve"> or to </w:t>
      </w:r>
      <w:r w:rsidR="00875C53">
        <w:t>GESCO</w:t>
      </w:r>
      <w:r>
        <w:t>.</w:t>
      </w:r>
    </w:p>
    <w:p w14:paraId="4109AD2C" w14:textId="77777777" w:rsidR="00B25A44" w:rsidRDefault="00B25A44" w:rsidP="006D6F72">
      <w:pPr>
        <w:spacing w:before="0" w:after="0"/>
        <w:jc w:val="center"/>
        <w:rPr>
          <w:b/>
          <w:kern w:val="1"/>
        </w:rPr>
      </w:pPr>
      <w:r w:rsidRPr="0095121B">
        <w:rPr>
          <w:b/>
          <w:kern w:val="1"/>
        </w:rPr>
        <w:t xml:space="preserve">Table </w:t>
      </w:r>
      <w:r>
        <w:rPr>
          <w:b/>
          <w:kern w:val="1"/>
        </w:rPr>
        <w:t xml:space="preserve">5.4 - </w:t>
      </w:r>
      <w:r w:rsidRPr="0095121B">
        <w:rPr>
          <w:b/>
          <w:kern w:val="1"/>
        </w:rPr>
        <w:t xml:space="preserve">How </w:t>
      </w:r>
      <w:r w:rsidR="00875C53">
        <w:rPr>
          <w:b/>
          <w:kern w:val="1"/>
        </w:rPr>
        <w:t>GESCO</w:t>
      </w:r>
      <w:r w:rsidRPr="0095121B">
        <w:rPr>
          <w:b/>
          <w:kern w:val="1"/>
        </w:rPr>
        <w:t xml:space="preserve"> Can Address Barriers to Implementation in the Public Sector</w:t>
      </w:r>
    </w:p>
    <w:p w14:paraId="2B4549DA" w14:textId="77777777" w:rsidR="007B43AF" w:rsidRDefault="007B43AF" w:rsidP="006D6F72">
      <w:pPr>
        <w:spacing w:before="0" w:after="0"/>
        <w:jc w:val="center"/>
        <w:rPr>
          <w:b/>
          <w:kern w:val="1"/>
        </w:rPr>
      </w:pPr>
      <w:r w:rsidRPr="007B43AF">
        <w:rPr>
          <w:noProof/>
        </w:rPr>
        <w:drawing>
          <wp:inline distT="0" distB="0" distL="0" distR="0" wp14:anchorId="4A79DCD8" wp14:editId="1ECBD891">
            <wp:extent cx="5674995" cy="3515600"/>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4995" cy="3515600"/>
                    </a:xfrm>
                    <a:prstGeom prst="rect">
                      <a:avLst/>
                    </a:prstGeom>
                    <a:noFill/>
                    <a:ln>
                      <a:noFill/>
                    </a:ln>
                  </pic:spPr>
                </pic:pic>
              </a:graphicData>
            </a:graphic>
          </wp:inline>
        </w:drawing>
      </w:r>
    </w:p>
    <w:p w14:paraId="1C2EF402" w14:textId="77777777" w:rsidR="00B25A44" w:rsidRPr="00E92155" w:rsidRDefault="00B25A44" w:rsidP="006D6F72">
      <w:pPr>
        <w:spacing w:before="20" w:after="240"/>
        <w:jc w:val="left"/>
        <w:rPr>
          <w:i/>
          <w:kern w:val="1"/>
          <w:sz w:val="22"/>
          <w:szCs w:val="22"/>
        </w:rPr>
      </w:pPr>
      <w:r w:rsidRPr="004110D4">
        <w:rPr>
          <w:i/>
          <w:kern w:val="1"/>
          <w:sz w:val="22"/>
          <w:szCs w:val="22"/>
        </w:rPr>
        <w:t xml:space="preserve">Source: </w:t>
      </w:r>
      <w:r w:rsidR="005410FA">
        <w:rPr>
          <w:i/>
          <w:sz w:val="22"/>
          <w:szCs w:val="22"/>
        </w:rPr>
        <w:t>World Bank</w:t>
      </w:r>
      <w:r w:rsidRPr="006D3C75">
        <w:rPr>
          <w:i/>
          <w:sz w:val="22"/>
          <w:szCs w:val="22"/>
        </w:rPr>
        <w:t>, 2011</w:t>
      </w:r>
    </w:p>
    <w:p w14:paraId="5053B2F6" w14:textId="77777777" w:rsidR="00EC4C4D" w:rsidRPr="00B06B9B" w:rsidRDefault="00EC4C4D" w:rsidP="00EC4C4D">
      <w:pPr>
        <w:pStyle w:val="Heading3"/>
      </w:pPr>
      <w:bookmarkStart w:id="100" w:name="_Toc430985739"/>
      <w:bookmarkStart w:id="101" w:name="_Toc431130564"/>
      <w:bookmarkStart w:id="102" w:name="_Toc461093961"/>
      <w:bookmarkEnd w:id="91"/>
      <w:r w:rsidRPr="00B06B9B">
        <w:t>Capacity Building</w:t>
      </w:r>
      <w:bookmarkEnd w:id="100"/>
      <w:bookmarkEnd w:id="101"/>
      <w:bookmarkEnd w:id="102"/>
    </w:p>
    <w:p w14:paraId="36057716" w14:textId="77777777" w:rsidR="00EC4C4D" w:rsidRPr="00C77EE1" w:rsidRDefault="00EC4C4D" w:rsidP="00EC4C4D">
      <w:r>
        <w:t>One of the most important ways in which IFI</w:t>
      </w:r>
      <w:r w:rsidR="00B516DF">
        <w:t>s</w:t>
      </w:r>
      <w:r>
        <w:t xml:space="preserve"> can assist is through </w:t>
      </w:r>
      <w:r w:rsidR="00B516DF">
        <w:t>TA</w:t>
      </w:r>
      <w:r>
        <w:t xml:space="preserve"> for capacity building. </w:t>
      </w:r>
      <w:r w:rsidR="00B516DF">
        <w:t>TA</w:t>
      </w:r>
      <w:r>
        <w:t xml:space="preserve"> may be provided to:</w:t>
      </w:r>
    </w:p>
    <w:p w14:paraId="0AB65A2B" w14:textId="77777777" w:rsidR="005451A2" w:rsidRPr="007F6360" w:rsidRDefault="0020774C" w:rsidP="005451A2">
      <w:pPr>
        <w:pStyle w:val="Bulleted"/>
      </w:pPr>
      <w:r>
        <w:rPr>
          <w:i/>
        </w:rPr>
        <w:t>PI</w:t>
      </w:r>
      <w:r w:rsidR="005451A2" w:rsidRPr="005451A2">
        <w:rPr>
          <w:i/>
        </w:rPr>
        <w:t xml:space="preserve">U </w:t>
      </w:r>
      <w:r w:rsidR="005451A2">
        <w:t xml:space="preserve">– the </w:t>
      </w:r>
      <w:r>
        <w:t>TA would address training of PI</w:t>
      </w:r>
      <w:r w:rsidR="005451A2" w:rsidRPr="007F6360">
        <w:t xml:space="preserve">U staff to </w:t>
      </w:r>
      <w:r w:rsidR="005451A2">
        <w:t xml:space="preserve">build their capacity </w:t>
      </w:r>
      <w:r w:rsidR="005451A2" w:rsidRPr="007F6360">
        <w:t xml:space="preserve">to manage the financing and implementation of the </w:t>
      </w:r>
      <w:r w:rsidR="005451A2">
        <w:t>EE</w:t>
      </w:r>
      <w:r w:rsidR="005451A2" w:rsidRPr="007F6360">
        <w:t xml:space="preserve"> projects. The TA would include training related to </w:t>
      </w:r>
      <w:r w:rsidR="005451A2">
        <w:t>EE</w:t>
      </w:r>
      <w:r w:rsidR="005451A2" w:rsidRPr="007F6360">
        <w:t xml:space="preserve"> technologies and relevant implementation strategies; basic concepts and tools for performance-based contracts; guidelines and procedures for measurement and verification of energy savings; and monitoring and reporting of the overall program results to the financing sources. In addition, in the case of the </w:t>
      </w:r>
      <w:r w:rsidR="005451A2">
        <w:t xml:space="preserve">Budget Financing and </w:t>
      </w:r>
      <w:r w:rsidR="007535A0">
        <w:t>GEERF</w:t>
      </w:r>
      <w:r w:rsidR="005451A2" w:rsidRPr="007F6360">
        <w:t>, the capacity building TA may also include funding for the initial set-up, administration and operation of the P</w:t>
      </w:r>
      <w:r>
        <w:t>I</w:t>
      </w:r>
      <w:r w:rsidR="005451A2" w:rsidRPr="007F6360">
        <w:t>U, and for purchase of equipment for auditing, data collection, and measurement and verification.</w:t>
      </w:r>
    </w:p>
    <w:p w14:paraId="10ADC890" w14:textId="77777777" w:rsidR="0020774C" w:rsidRDefault="0020774C" w:rsidP="0020774C">
      <w:pPr>
        <w:pStyle w:val="Bulleted"/>
      </w:pPr>
      <w:r>
        <w:rPr>
          <w:i/>
        </w:rPr>
        <w:t xml:space="preserve">Central government agencies </w:t>
      </w:r>
      <w:r>
        <w:t xml:space="preserve">– to help facility managers and engineers identify the opportunities for EE implementation in their buildings, conduct energy audits, and develop EE </w:t>
      </w:r>
      <w:r w:rsidR="005410FA">
        <w:t>A</w:t>
      </w:r>
      <w:r>
        <w:t xml:space="preserve">ction </w:t>
      </w:r>
      <w:r w:rsidR="005410FA">
        <w:t>P</w:t>
      </w:r>
      <w:r>
        <w:t>lans.</w:t>
      </w:r>
    </w:p>
    <w:p w14:paraId="75F404D7" w14:textId="77777777" w:rsidR="00EC4C4D" w:rsidRDefault="00EC4C4D" w:rsidP="005451A2">
      <w:pPr>
        <w:pStyle w:val="Bulleted"/>
      </w:pPr>
      <w:r w:rsidRPr="004B6FBF">
        <w:rPr>
          <w:i/>
        </w:rPr>
        <w:t>Municipalities</w:t>
      </w:r>
      <w:r>
        <w:t xml:space="preserve"> – to help mayors, city councils, utility executives, facility managers, and facility engineers understand the need for and the importance of EE implementation, and to obtain information on the technical options for </w:t>
      </w:r>
      <w:r w:rsidR="00D7779F">
        <w:t>EE</w:t>
      </w:r>
      <w:r>
        <w:t xml:space="preserve"> in municipal utilities and public buildings and facilities;</w:t>
      </w:r>
      <w:r w:rsidR="008202D6">
        <w:t xml:space="preserve"> also to conduct energy audits</w:t>
      </w:r>
      <w:r w:rsidR="005451A2">
        <w:t xml:space="preserve"> and develop EE Action Plans.</w:t>
      </w:r>
    </w:p>
    <w:p w14:paraId="2D6AA5B7" w14:textId="77777777" w:rsidR="00EC4C4D" w:rsidRDefault="00EC4C4D" w:rsidP="005451A2">
      <w:pPr>
        <w:pStyle w:val="Bulleted"/>
      </w:pPr>
      <w:r w:rsidRPr="004B6FBF">
        <w:rPr>
          <w:i/>
        </w:rPr>
        <w:t>Banks and financial institutions</w:t>
      </w:r>
      <w:r>
        <w:t xml:space="preserve"> – to provide information on the characteristics of EE projects, implementation business models, financial and technical appraisal, M&amp;V, and business opportunities in financing EE </w:t>
      </w:r>
      <w:r w:rsidR="005451A2">
        <w:t>projects.</w:t>
      </w:r>
    </w:p>
    <w:p w14:paraId="6F642FD3" w14:textId="77777777" w:rsidR="00EC4C4D" w:rsidRDefault="00EC4C4D" w:rsidP="00C67642">
      <w:pPr>
        <w:pStyle w:val="Bulleted"/>
      </w:pPr>
      <w:r w:rsidRPr="005451A2">
        <w:rPr>
          <w:i/>
        </w:rPr>
        <w:t>Energy service providers</w:t>
      </w:r>
      <w:r>
        <w:t xml:space="preserve"> – </w:t>
      </w:r>
      <w:r w:rsidRPr="005451A2">
        <w:t xml:space="preserve">to build their capacity </w:t>
      </w:r>
      <w:r w:rsidR="005451A2" w:rsidRPr="005451A2">
        <w:t xml:space="preserve">to </w:t>
      </w:r>
      <w:r w:rsidR="005451A2">
        <w:t xml:space="preserve">develop projects; </w:t>
      </w:r>
      <w:r w:rsidR="005451A2" w:rsidRPr="005451A2">
        <w:t xml:space="preserve">conduct </w:t>
      </w:r>
      <w:r w:rsidR="008202D6" w:rsidRPr="005451A2">
        <w:t>energy audit</w:t>
      </w:r>
      <w:r w:rsidR="005451A2" w:rsidRPr="005451A2">
        <w:t xml:space="preserve">s; screen, design, evaluate, appraise/finance, implement, measure and verify EE investments in the public </w:t>
      </w:r>
      <w:r w:rsidR="005451A2" w:rsidRPr="00865140">
        <w:t xml:space="preserve">sector; </w:t>
      </w:r>
      <w:r w:rsidR="00537256" w:rsidRPr="00865140">
        <w:t xml:space="preserve">and </w:t>
      </w:r>
      <w:r w:rsidR="005451A2" w:rsidRPr="00865140">
        <w:t>understand</w:t>
      </w:r>
      <w:r>
        <w:t xml:space="preserve"> the perspectives of banks and financial institutions, M&amp;V protocols, and preparation of “bankable” project proposals</w:t>
      </w:r>
      <w:r w:rsidR="005451A2">
        <w:t xml:space="preserve">. </w:t>
      </w:r>
    </w:p>
    <w:p w14:paraId="718BA364" w14:textId="77777777" w:rsidR="00EC4C4D" w:rsidRPr="006A0D4C" w:rsidRDefault="00EC4C4D" w:rsidP="005451A2">
      <w:pPr>
        <w:pStyle w:val="Bulleted"/>
      </w:pPr>
      <w:r w:rsidRPr="004B6FBF">
        <w:rPr>
          <w:i/>
        </w:rPr>
        <w:t>M&amp;V agencies</w:t>
      </w:r>
      <w:r>
        <w:t xml:space="preserve"> – to create the M&amp;V infrastructure and provide </w:t>
      </w:r>
      <w:r w:rsidR="007535A0">
        <w:t>Georgia</w:t>
      </w:r>
      <w:r w:rsidR="00665681">
        <w:t xml:space="preserve">-specific </w:t>
      </w:r>
      <w:r>
        <w:t>protocols and supporting tools for conducting M&amp;V of EE projects.</w:t>
      </w:r>
    </w:p>
    <w:p w14:paraId="15082958" w14:textId="77777777" w:rsidR="00EC4C4D" w:rsidRPr="00B06B9B" w:rsidRDefault="00EC4C4D" w:rsidP="00EC4C4D">
      <w:pPr>
        <w:pStyle w:val="Heading3"/>
      </w:pPr>
      <w:bookmarkStart w:id="103" w:name="_Toc430985740"/>
      <w:bookmarkStart w:id="104" w:name="_Toc431130565"/>
      <w:bookmarkStart w:id="105" w:name="_Toc461093962"/>
      <w:r w:rsidRPr="00B06B9B">
        <w:t>Other Technical Assistance</w:t>
      </w:r>
      <w:bookmarkEnd w:id="103"/>
      <w:bookmarkEnd w:id="104"/>
      <w:bookmarkEnd w:id="105"/>
    </w:p>
    <w:p w14:paraId="7526CBBD" w14:textId="77777777" w:rsidR="0001426A" w:rsidRDefault="00EC4C4D" w:rsidP="00EC4C4D">
      <w:pPr>
        <w:contextualSpacing/>
      </w:pPr>
      <w:r>
        <w:t xml:space="preserve">IFIs </w:t>
      </w:r>
      <w:r w:rsidR="00EC64E3">
        <w:t xml:space="preserve">and donors </w:t>
      </w:r>
      <w:r>
        <w:t xml:space="preserve">may also provide other types of </w:t>
      </w:r>
      <w:r w:rsidR="00B516DF">
        <w:t>TA</w:t>
      </w:r>
      <w:r>
        <w:t xml:space="preserve"> to facilitate the scaling-up of financing of EE projects. This may include</w:t>
      </w:r>
      <w:r w:rsidR="0001426A">
        <w:t xml:space="preserve"> the following:</w:t>
      </w:r>
    </w:p>
    <w:p w14:paraId="6C630965" w14:textId="77777777" w:rsidR="0001426A" w:rsidRDefault="0001426A" w:rsidP="00665681">
      <w:pPr>
        <w:pStyle w:val="Heading4"/>
      </w:pPr>
      <w:r>
        <w:t>Building Energy Databases</w:t>
      </w:r>
    </w:p>
    <w:p w14:paraId="2E6C4BB9" w14:textId="77777777" w:rsidR="0001426A" w:rsidRDefault="00EC64E3" w:rsidP="00665681">
      <w:r>
        <w:t>D</w:t>
      </w:r>
      <w:r w:rsidR="0001426A">
        <w:t>evelopment of a national inventory of public buildings and establish a database containing information by building type on floor area, annual energy use, and fuel type</w:t>
      </w:r>
      <w:r>
        <w:t xml:space="preserve"> would be useful</w:t>
      </w:r>
      <w:r w:rsidR="005410FA">
        <w:t xml:space="preserve">. </w:t>
      </w:r>
      <w:r w:rsidR="0001426A">
        <w:t>An analysis can then be conducted to develop benchmarks such as energy use per square meter and identify the high and low energy users. The database can also be used to estimate EE potential and investment needs.</w:t>
      </w:r>
    </w:p>
    <w:p w14:paraId="0BA1BE91" w14:textId="77777777" w:rsidR="0001426A" w:rsidRDefault="0001426A" w:rsidP="00665681">
      <w:pPr>
        <w:pStyle w:val="Heading4"/>
      </w:pPr>
      <w:r>
        <w:t>Public Sector EE Programs and Projects</w:t>
      </w:r>
    </w:p>
    <w:p w14:paraId="571889A8" w14:textId="77777777" w:rsidR="0001426A" w:rsidRDefault="0001426A" w:rsidP="00665681">
      <w:r>
        <w:t xml:space="preserve">IFIs can help develop and document information on existing and planned public sector EE programs, their costs, results and energy savings achieved. </w:t>
      </w:r>
    </w:p>
    <w:p w14:paraId="6365C8B9" w14:textId="77777777" w:rsidR="00881048" w:rsidRDefault="00881048" w:rsidP="00665681">
      <w:pPr>
        <w:pStyle w:val="Heading4"/>
      </w:pPr>
      <w:r>
        <w:t xml:space="preserve">Incentives and Recognition </w:t>
      </w:r>
    </w:p>
    <w:p w14:paraId="52D2411D" w14:textId="77777777" w:rsidR="00881048" w:rsidRDefault="00EC64E3" w:rsidP="00665681">
      <w:r>
        <w:t>T</w:t>
      </w:r>
      <w:r w:rsidR="00881048">
        <w:t>he creation of a mix of voluntary and mandatory measures to identify and publicize the high and low energy performers (“fame and shame” program)</w:t>
      </w:r>
      <w:r>
        <w:t xml:space="preserve"> could also be done</w:t>
      </w:r>
      <w:r w:rsidR="00881048">
        <w:t xml:space="preserve">. </w:t>
      </w:r>
      <w:r>
        <w:t xml:space="preserve">Such </w:t>
      </w:r>
      <w:r w:rsidR="00881048">
        <w:t xml:space="preserve">TA could </w:t>
      </w:r>
      <w:r>
        <w:t xml:space="preserve">also </w:t>
      </w:r>
      <w:r w:rsidR="00881048">
        <w:t xml:space="preserve">help establish EE targets and reporting requirements. These TA activities can be designed to achieve long-term, sustainable cultural changes in the public sector. </w:t>
      </w:r>
    </w:p>
    <w:p w14:paraId="6718E28E" w14:textId="77777777" w:rsidR="00881048" w:rsidRDefault="00881048" w:rsidP="00665681">
      <w:pPr>
        <w:pStyle w:val="Heading4"/>
      </w:pPr>
      <w:r>
        <w:t>Appliance Labeling and Standards</w:t>
      </w:r>
    </w:p>
    <w:p w14:paraId="40B84671" w14:textId="77777777" w:rsidR="00881048" w:rsidRDefault="00881048" w:rsidP="00665681">
      <w:r>
        <w:t>There is a need to transform the market towards more efficient energy-using appliances and equipment. TA can be designed to:</w:t>
      </w:r>
    </w:p>
    <w:p w14:paraId="78732341" w14:textId="77777777" w:rsidR="00881048" w:rsidRDefault="00881048" w:rsidP="00665681">
      <w:pPr>
        <w:pStyle w:val="Bulleted"/>
      </w:pPr>
      <w:r>
        <w:t>Ensure that building materials and appliances a</w:t>
      </w:r>
      <w:r w:rsidR="00792F4A">
        <w:t>re</w:t>
      </w:r>
      <w:r>
        <w:t xml:space="preserve"> properly tested and certified</w:t>
      </w:r>
      <w:r w:rsidR="008644B9">
        <w:t>.</w:t>
      </w:r>
    </w:p>
    <w:p w14:paraId="741C7C61" w14:textId="77777777" w:rsidR="00881048" w:rsidRDefault="00881048" w:rsidP="00665681">
      <w:pPr>
        <w:pStyle w:val="Bulleted"/>
      </w:pPr>
      <w:r>
        <w:t>Develop procedures to assure enforcement of the standards and labeling requirements</w:t>
      </w:r>
      <w:r w:rsidR="008644B9">
        <w:t>.</w:t>
      </w:r>
    </w:p>
    <w:p w14:paraId="03DC9A8A" w14:textId="77777777" w:rsidR="00881048" w:rsidRDefault="00881048" w:rsidP="00665681">
      <w:pPr>
        <w:pStyle w:val="Bulleted"/>
      </w:pPr>
      <w:r>
        <w:t>Accelerate the implementation of building energy certificates</w:t>
      </w:r>
      <w:r w:rsidR="008644B9">
        <w:t>.</w:t>
      </w:r>
    </w:p>
    <w:p w14:paraId="41215901" w14:textId="77777777" w:rsidR="00881048" w:rsidRDefault="00875C53" w:rsidP="00665681">
      <w:pPr>
        <w:pStyle w:val="Bulleted"/>
      </w:pPr>
      <w:r>
        <w:t>Develop an</w:t>
      </w:r>
      <w:r w:rsidR="00881048">
        <w:t xml:space="preserve"> ESCO certification scheme.</w:t>
      </w:r>
    </w:p>
    <w:p w14:paraId="37605008" w14:textId="77777777" w:rsidR="00881048" w:rsidRPr="00881048" w:rsidRDefault="00881048" w:rsidP="00665681">
      <w:pPr>
        <w:pStyle w:val="Heading4"/>
      </w:pPr>
      <w:r>
        <w:t>Templates and Standard C</w:t>
      </w:r>
      <w:r w:rsidR="00421A0E">
        <w:t>ontracts</w:t>
      </w:r>
    </w:p>
    <w:p w14:paraId="04EB267D" w14:textId="77777777" w:rsidR="0001426A" w:rsidRPr="0001426A" w:rsidRDefault="00421A0E" w:rsidP="00665681">
      <w:r>
        <w:t>Other important areas of TA include:</w:t>
      </w:r>
    </w:p>
    <w:p w14:paraId="4C304C3F" w14:textId="77777777" w:rsidR="00421A0E" w:rsidRDefault="00421A0E" w:rsidP="00665681">
      <w:pPr>
        <w:pStyle w:val="Bulleted"/>
      </w:pPr>
      <w:r>
        <w:t>Developing and publishing case studies of EE project</w:t>
      </w:r>
      <w:r w:rsidR="00792F4A">
        <w:t>s</w:t>
      </w:r>
      <w:r>
        <w:t xml:space="preserve"> and documenting the lessons learned</w:t>
      </w:r>
      <w:r w:rsidR="008644B9">
        <w:t>.</w:t>
      </w:r>
    </w:p>
    <w:p w14:paraId="73E9E79F" w14:textId="77777777" w:rsidR="00421A0E" w:rsidRDefault="00421A0E" w:rsidP="00665681">
      <w:pPr>
        <w:pStyle w:val="Bulleted"/>
      </w:pPr>
      <w:r>
        <w:t>P</w:t>
      </w:r>
      <w:r w:rsidR="00EC4C4D">
        <w:t>roviding templates for conducting energy audits</w:t>
      </w:r>
      <w:r w:rsidR="008644B9">
        <w:t>.</w:t>
      </w:r>
      <w:r w:rsidR="00EC4C4D">
        <w:t xml:space="preserve"> </w:t>
      </w:r>
    </w:p>
    <w:p w14:paraId="6F67BDB0" w14:textId="77777777" w:rsidR="00421A0E" w:rsidRDefault="00421A0E" w:rsidP="00665681">
      <w:pPr>
        <w:pStyle w:val="Bulleted"/>
      </w:pPr>
      <w:r>
        <w:t xml:space="preserve">Preparing </w:t>
      </w:r>
      <w:r w:rsidR="00EC4C4D">
        <w:t>standard contract terms and conditions for ESPCs</w:t>
      </w:r>
      <w:r w:rsidR="008644B9">
        <w:t>.</w:t>
      </w:r>
    </w:p>
    <w:p w14:paraId="79E4FDBF" w14:textId="77777777" w:rsidR="00EC4C4D" w:rsidRDefault="00421A0E" w:rsidP="00665681">
      <w:pPr>
        <w:pStyle w:val="Bulleted"/>
      </w:pPr>
      <w:r>
        <w:t>Preparing a</w:t>
      </w:r>
      <w:r w:rsidR="00EC64E3">
        <w:t>n</w:t>
      </w:r>
      <w:r>
        <w:t xml:space="preserve"> </w:t>
      </w:r>
      <w:r w:rsidR="00EC4C4D">
        <w:t xml:space="preserve">M&amp;V User Guide. </w:t>
      </w:r>
    </w:p>
    <w:p w14:paraId="60E78F7B" w14:textId="77777777" w:rsidR="005949CE" w:rsidRDefault="005949CE">
      <w:pPr>
        <w:widowControl/>
        <w:spacing w:before="0" w:after="0"/>
        <w:jc w:val="left"/>
      </w:pPr>
      <w:r>
        <w:br w:type="page"/>
      </w:r>
    </w:p>
    <w:p w14:paraId="2E784EB5" w14:textId="77777777" w:rsidR="00630DC0" w:rsidRPr="00EC4C4D" w:rsidRDefault="00630DC0" w:rsidP="00EC4C4D">
      <w:pPr>
        <w:pStyle w:val="Heading1"/>
      </w:pPr>
      <w:bookmarkStart w:id="106" w:name="_Toc461093963"/>
      <w:r w:rsidRPr="00EC4C4D">
        <w:t>Section 6 - Moving Forwa</w:t>
      </w:r>
      <w:r w:rsidR="00EC4C4D" w:rsidRPr="00EC4C4D">
        <w:t>RD</w:t>
      </w:r>
      <w:bookmarkEnd w:id="106"/>
    </w:p>
    <w:p w14:paraId="5870343E" w14:textId="77777777" w:rsidR="00630DC0" w:rsidRDefault="00CF5D03" w:rsidP="00630DC0">
      <w:pPr>
        <w:pStyle w:val="Heading2"/>
      </w:pPr>
      <w:bookmarkStart w:id="107" w:name="_Toc461093964"/>
      <w:r>
        <w:t xml:space="preserve">Advantages and Limitations of </w:t>
      </w:r>
      <w:r w:rsidR="00C93BB3">
        <w:t>the T</w:t>
      </w:r>
      <w:r w:rsidR="00630DC0" w:rsidRPr="00630DC0">
        <w:t xml:space="preserve">hree </w:t>
      </w:r>
      <w:r w:rsidR="00C93BB3">
        <w:t>O</w:t>
      </w:r>
      <w:r w:rsidR="00630DC0" w:rsidRPr="00630DC0">
        <w:t>ptions</w:t>
      </w:r>
      <w:bookmarkEnd w:id="107"/>
    </w:p>
    <w:p w14:paraId="63911B18" w14:textId="77777777" w:rsidR="00E14268" w:rsidRDefault="00E14268" w:rsidP="00E14268">
      <w:bookmarkStart w:id="108" w:name="_Toc444616366"/>
      <w:bookmarkStart w:id="109" w:name="_Toc419947492"/>
      <w:r>
        <w:t xml:space="preserve">A summary of the advantages and limitations of Budget Financing, </w:t>
      </w:r>
      <w:r w:rsidR="007535A0">
        <w:t>GEERF</w:t>
      </w:r>
      <w:r w:rsidR="008644B9">
        <w:t>,</w:t>
      </w:r>
      <w:r>
        <w:t xml:space="preserve"> and </w:t>
      </w:r>
      <w:r w:rsidR="00875C53">
        <w:t>GESCO</w:t>
      </w:r>
      <w:r>
        <w:t xml:space="preserve"> is provided in </w:t>
      </w:r>
      <w:r w:rsidR="003F2954">
        <w:t>T</w:t>
      </w:r>
      <w:r>
        <w:t>able 6.1.</w:t>
      </w:r>
    </w:p>
    <w:p w14:paraId="50C94920" w14:textId="77777777" w:rsidR="00E14268" w:rsidRDefault="00E14268" w:rsidP="002D1110">
      <w:pPr>
        <w:pStyle w:val="Heading-FiguresandTables"/>
        <w:spacing w:before="120" w:after="40"/>
      </w:pPr>
      <w:r>
        <w:t>Table 6.1 – Comparison of Public Sector Financing Options</w:t>
      </w:r>
    </w:p>
    <w:tbl>
      <w:tblPr>
        <w:tblStyle w:val="TableGrid8"/>
        <w:tblW w:w="0" w:type="auto"/>
        <w:tblLook w:val="04A0" w:firstRow="1" w:lastRow="0" w:firstColumn="1" w:lastColumn="0" w:noHBand="0" w:noVBand="1"/>
      </w:tblPr>
      <w:tblGrid>
        <w:gridCol w:w="2062"/>
        <w:gridCol w:w="2250"/>
        <w:gridCol w:w="2250"/>
        <w:gridCol w:w="2359"/>
      </w:tblGrid>
      <w:tr w:rsidR="00865140" w:rsidRPr="0026593F" w14:paraId="625D0FF1" w14:textId="77777777" w:rsidTr="00831B24">
        <w:trPr>
          <w:cnfStyle w:val="100000000000" w:firstRow="1" w:lastRow="0" w:firstColumn="0" w:lastColumn="0" w:oddVBand="0" w:evenVBand="0" w:oddHBand="0" w:evenHBand="0" w:firstRowFirstColumn="0" w:firstRowLastColumn="0" w:lastRowFirstColumn="0" w:lastRowLastColumn="0"/>
        </w:trPr>
        <w:tc>
          <w:tcPr>
            <w:tcW w:w="2062" w:type="dxa"/>
          </w:tcPr>
          <w:p w14:paraId="55072F8F" w14:textId="77777777" w:rsidR="00865140" w:rsidRPr="0026593F" w:rsidRDefault="00865140" w:rsidP="002D1110">
            <w:pPr>
              <w:pStyle w:val="Heading-FiguresandTables"/>
              <w:spacing w:before="120" w:after="40"/>
              <w:rPr>
                <w:sz w:val="21"/>
                <w:szCs w:val="21"/>
              </w:rPr>
            </w:pPr>
            <w:r w:rsidRPr="0026593F">
              <w:rPr>
                <w:sz w:val="21"/>
                <w:szCs w:val="21"/>
              </w:rPr>
              <w:t>Characteristics</w:t>
            </w:r>
          </w:p>
        </w:tc>
        <w:tc>
          <w:tcPr>
            <w:tcW w:w="2250" w:type="dxa"/>
          </w:tcPr>
          <w:p w14:paraId="0FB8601D" w14:textId="77777777" w:rsidR="00865140" w:rsidRPr="0026593F" w:rsidRDefault="00E45E3B" w:rsidP="002D1110">
            <w:pPr>
              <w:pStyle w:val="Heading-FiguresandTables"/>
              <w:spacing w:before="120" w:after="40"/>
              <w:rPr>
                <w:sz w:val="21"/>
                <w:szCs w:val="21"/>
              </w:rPr>
            </w:pPr>
            <w:r w:rsidRPr="0026593F">
              <w:rPr>
                <w:sz w:val="21"/>
                <w:szCs w:val="21"/>
              </w:rPr>
              <w:t>Budget Financing</w:t>
            </w:r>
          </w:p>
        </w:tc>
        <w:tc>
          <w:tcPr>
            <w:tcW w:w="2250" w:type="dxa"/>
          </w:tcPr>
          <w:p w14:paraId="2F4BDFE0" w14:textId="77777777" w:rsidR="00865140" w:rsidRPr="0026593F" w:rsidRDefault="00E45E3B" w:rsidP="002D1110">
            <w:pPr>
              <w:pStyle w:val="Heading-FiguresandTables"/>
              <w:spacing w:before="120" w:after="40"/>
              <w:rPr>
                <w:sz w:val="21"/>
                <w:szCs w:val="21"/>
              </w:rPr>
            </w:pPr>
            <w:r w:rsidRPr="0026593F">
              <w:rPr>
                <w:sz w:val="21"/>
                <w:szCs w:val="21"/>
              </w:rPr>
              <w:t>GEERF</w:t>
            </w:r>
          </w:p>
        </w:tc>
        <w:tc>
          <w:tcPr>
            <w:tcW w:w="2359" w:type="dxa"/>
          </w:tcPr>
          <w:p w14:paraId="0CD855B7" w14:textId="77777777" w:rsidR="00865140" w:rsidRPr="0026593F" w:rsidRDefault="00E45E3B" w:rsidP="002D1110">
            <w:pPr>
              <w:pStyle w:val="Heading-FiguresandTables"/>
              <w:spacing w:before="120" w:after="40"/>
              <w:rPr>
                <w:sz w:val="21"/>
                <w:szCs w:val="21"/>
              </w:rPr>
            </w:pPr>
            <w:r w:rsidRPr="0026593F">
              <w:rPr>
                <w:sz w:val="21"/>
                <w:szCs w:val="21"/>
              </w:rPr>
              <w:t>GESCO</w:t>
            </w:r>
          </w:p>
        </w:tc>
      </w:tr>
      <w:tr w:rsidR="00865140" w14:paraId="2594091C" w14:textId="77777777" w:rsidTr="00831B24">
        <w:tc>
          <w:tcPr>
            <w:tcW w:w="2062" w:type="dxa"/>
          </w:tcPr>
          <w:p w14:paraId="27396ED0" w14:textId="77777777" w:rsidR="00865140" w:rsidRPr="0026593F" w:rsidRDefault="00E45E3B" w:rsidP="002D1110">
            <w:pPr>
              <w:pStyle w:val="Heading-FiguresandTables"/>
              <w:spacing w:before="120" w:after="40"/>
              <w:rPr>
                <w:sz w:val="21"/>
                <w:szCs w:val="21"/>
              </w:rPr>
            </w:pPr>
            <w:r w:rsidRPr="0026593F">
              <w:rPr>
                <w:sz w:val="21"/>
                <w:szCs w:val="21"/>
              </w:rPr>
              <w:t>Types of financing</w:t>
            </w:r>
          </w:p>
        </w:tc>
        <w:tc>
          <w:tcPr>
            <w:tcW w:w="2250" w:type="dxa"/>
          </w:tcPr>
          <w:p w14:paraId="615CE85E" w14:textId="77777777" w:rsidR="00865140" w:rsidRPr="0026593F" w:rsidRDefault="00E45E3B"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Loans and TA; may include some grants</w:t>
            </w:r>
          </w:p>
        </w:tc>
        <w:tc>
          <w:tcPr>
            <w:tcW w:w="2250" w:type="dxa"/>
          </w:tcPr>
          <w:p w14:paraId="444B50F0" w14:textId="77777777" w:rsidR="00865140" w:rsidRPr="0026593F" w:rsidRDefault="00E45E3B"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Loans, TA, ESAs</w:t>
            </w:r>
          </w:p>
        </w:tc>
        <w:tc>
          <w:tcPr>
            <w:tcW w:w="2359" w:type="dxa"/>
          </w:tcPr>
          <w:p w14:paraId="186CEB85" w14:textId="77777777" w:rsidR="00865140" w:rsidRPr="0026593F" w:rsidRDefault="00E45E3B"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Loans, TA, ESAs</w:t>
            </w:r>
          </w:p>
        </w:tc>
      </w:tr>
      <w:tr w:rsidR="00E45E3B" w14:paraId="5149A76C" w14:textId="77777777" w:rsidTr="00831B24">
        <w:trPr>
          <w:trHeight w:val="247"/>
        </w:trPr>
        <w:tc>
          <w:tcPr>
            <w:tcW w:w="2062" w:type="dxa"/>
            <w:vMerge w:val="restart"/>
          </w:tcPr>
          <w:p w14:paraId="3B2E4F10" w14:textId="77777777" w:rsidR="00E45E3B" w:rsidRPr="0026593F" w:rsidRDefault="00E45E3B" w:rsidP="00E45E3B">
            <w:pPr>
              <w:pStyle w:val="Heading-FiguresandTables"/>
              <w:spacing w:before="120" w:after="40"/>
              <w:rPr>
                <w:sz w:val="21"/>
                <w:szCs w:val="21"/>
              </w:rPr>
            </w:pPr>
            <w:r w:rsidRPr="0026593F">
              <w:rPr>
                <w:sz w:val="21"/>
                <w:szCs w:val="21"/>
              </w:rPr>
              <w:t>Governance and management</w:t>
            </w:r>
          </w:p>
        </w:tc>
        <w:tc>
          <w:tcPr>
            <w:tcW w:w="2250" w:type="dxa"/>
            <w:vMerge w:val="restart"/>
          </w:tcPr>
          <w:p w14:paraId="7A9BF51F" w14:textId="77777777" w:rsidR="00E45E3B" w:rsidRPr="0026593F" w:rsidRDefault="00E45E3B"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PIU</w:t>
            </w:r>
          </w:p>
        </w:tc>
        <w:tc>
          <w:tcPr>
            <w:tcW w:w="2250" w:type="dxa"/>
          </w:tcPr>
          <w:p w14:paraId="4C179E12" w14:textId="77777777" w:rsidR="00E45E3B" w:rsidRPr="0026593F" w:rsidRDefault="00E45E3B"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Board of Directors</w:t>
            </w:r>
          </w:p>
        </w:tc>
        <w:tc>
          <w:tcPr>
            <w:tcW w:w="2359" w:type="dxa"/>
          </w:tcPr>
          <w:p w14:paraId="41180376" w14:textId="77777777" w:rsidR="00E45E3B" w:rsidRPr="0026593F" w:rsidRDefault="00E45E3B"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Board of Directors</w:t>
            </w:r>
          </w:p>
        </w:tc>
      </w:tr>
      <w:tr w:rsidR="00E45E3B" w14:paraId="52F8A6EF" w14:textId="77777777" w:rsidTr="00831B24">
        <w:trPr>
          <w:trHeight w:val="247"/>
        </w:trPr>
        <w:tc>
          <w:tcPr>
            <w:tcW w:w="2062" w:type="dxa"/>
            <w:vMerge/>
          </w:tcPr>
          <w:p w14:paraId="11A8C71C" w14:textId="77777777" w:rsidR="00E45E3B" w:rsidRPr="00815413" w:rsidRDefault="00E45E3B" w:rsidP="00E45E3B">
            <w:pPr>
              <w:pStyle w:val="Heading-FiguresandTables"/>
              <w:spacing w:before="120" w:after="40"/>
              <w:rPr>
                <w:sz w:val="21"/>
                <w:szCs w:val="21"/>
              </w:rPr>
            </w:pPr>
          </w:p>
        </w:tc>
        <w:tc>
          <w:tcPr>
            <w:tcW w:w="2250" w:type="dxa"/>
            <w:vMerge/>
          </w:tcPr>
          <w:p w14:paraId="12EB2DBA" w14:textId="77777777" w:rsidR="00E45E3B" w:rsidRPr="0026593F" w:rsidRDefault="00E45E3B" w:rsidP="00116ACB">
            <w:pPr>
              <w:pStyle w:val="Heading-FiguresandTables"/>
              <w:spacing w:before="40" w:after="40" w:line="240" w:lineRule="auto"/>
              <w:rPr>
                <w:rFonts w:ascii="Times New Roman" w:hAnsi="Times New Roman"/>
                <w:b w:val="0"/>
                <w:sz w:val="20"/>
                <w:szCs w:val="21"/>
              </w:rPr>
            </w:pPr>
          </w:p>
        </w:tc>
        <w:tc>
          <w:tcPr>
            <w:tcW w:w="2250" w:type="dxa"/>
          </w:tcPr>
          <w:p w14:paraId="63460705" w14:textId="77777777" w:rsidR="00E45E3B" w:rsidRPr="0026593F" w:rsidRDefault="00E45E3B"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Fund management team</w:t>
            </w:r>
          </w:p>
        </w:tc>
        <w:tc>
          <w:tcPr>
            <w:tcW w:w="2359" w:type="dxa"/>
          </w:tcPr>
          <w:p w14:paraId="10882B7A" w14:textId="77777777" w:rsidR="00E45E3B" w:rsidRPr="0026593F" w:rsidRDefault="00E45E3B"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GESCO management team</w:t>
            </w:r>
          </w:p>
        </w:tc>
      </w:tr>
      <w:tr w:rsidR="00E45E3B" w14:paraId="128F6AB6" w14:textId="77777777" w:rsidTr="00831B24">
        <w:tc>
          <w:tcPr>
            <w:tcW w:w="2062" w:type="dxa"/>
          </w:tcPr>
          <w:p w14:paraId="282900D5" w14:textId="77777777" w:rsidR="00E45E3B" w:rsidRPr="0026593F" w:rsidRDefault="00E45E3B" w:rsidP="00E45E3B">
            <w:pPr>
              <w:pStyle w:val="Heading-FiguresandTables"/>
              <w:spacing w:before="120" w:after="40"/>
              <w:rPr>
                <w:sz w:val="21"/>
                <w:szCs w:val="21"/>
              </w:rPr>
            </w:pPr>
            <w:r w:rsidRPr="0026593F">
              <w:rPr>
                <w:sz w:val="21"/>
                <w:szCs w:val="21"/>
              </w:rPr>
              <w:t>Project development</w:t>
            </w:r>
          </w:p>
        </w:tc>
        <w:tc>
          <w:tcPr>
            <w:tcW w:w="2250" w:type="dxa"/>
          </w:tcPr>
          <w:p w14:paraId="4811B555" w14:textId="77777777" w:rsidR="00E45E3B" w:rsidRPr="0026593F" w:rsidRDefault="00E45E3B"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PIU</w:t>
            </w:r>
          </w:p>
        </w:tc>
        <w:tc>
          <w:tcPr>
            <w:tcW w:w="2250" w:type="dxa"/>
          </w:tcPr>
          <w:p w14:paraId="6A66626E" w14:textId="77777777" w:rsidR="00E45E3B" w:rsidRPr="0026593F" w:rsidRDefault="00E45E3B"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Fund management team</w:t>
            </w:r>
          </w:p>
        </w:tc>
        <w:tc>
          <w:tcPr>
            <w:tcW w:w="2359" w:type="dxa"/>
          </w:tcPr>
          <w:p w14:paraId="74DB0D05" w14:textId="77777777" w:rsidR="00E45E3B" w:rsidRPr="0026593F" w:rsidRDefault="00E45E3B"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GESCO management team</w:t>
            </w:r>
          </w:p>
        </w:tc>
      </w:tr>
      <w:tr w:rsidR="00E45E3B" w14:paraId="6B2B9F5F" w14:textId="77777777" w:rsidTr="00831B24">
        <w:trPr>
          <w:trHeight w:val="247"/>
        </w:trPr>
        <w:tc>
          <w:tcPr>
            <w:tcW w:w="2062" w:type="dxa"/>
            <w:vMerge w:val="restart"/>
          </w:tcPr>
          <w:p w14:paraId="22FD7F31" w14:textId="77777777" w:rsidR="00E45E3B" w:rsidRPr="0026593F" w:rsidRDefault="00E45E3B" w:rsidP="002D1110">
            <w:pPr>
              <w:pStyle w:val="Heading-FiguresandTables"/>
              <w:spacing w:before="120" w:after="40"/>
              <w:rPr>
                <w:sz w:val="21"/>
                <w:szCs w:val="21"/>
              </w:rPr>
            </w:pPr>
            <w:r w:rsidRPr="0026593F">
              <w:rPr>
                <w:sz w:val="21"/>
                <w:szCs w:val="21"/>
              </w:rPr>
              <w:t>Project implementation</w:t>
            </w:r>
          </w:p>
        </w:tc>
        <w:tc>
          <w:tcPr>
            <w:tcW w:w="2250" w:type="dxa"/>
            <w:vMerge w:val="restart"/>
          </w:tcPr>
          <w:p w14:paraId="720541AE" w14:textId="77777777" w:rsidR="00E45E3B" w:rsidRPr="0026593F" w:rsidRDefault="00E45E3B"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Public agencies</w:t>
            </w:r>
          </w:p>
        </w:tc>
        <w:tc>
          <w:tcPr>
            <w:tcW w:w="2250" w:type="dxa"/>
          </w:tcPr>
          <w:p w14:paraId="4EB5A9F8" w14:textId="77777777" w:rsidR="00E45E3B" w:rsidRPr="0026593F" w:rsidRDefault="00E45E3B"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Public agencies (for debt financing)</w:t>
            </w:r>
          </w:p>
        </w:tc>
        <w:tc>
          <w:tcPr>
            <w:tcW w:w="2359" w:type="dxa"/>
            <w:vMerge w:val="restart"/>
          </w:tcPr>
          <w:p w14:paraId="2A466F61" w14:textId="77777777" w:rsidR="00E45E3B" w:rsidRPr="0026593F" w:rsidRDefault="00E45E3B"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GESCO management team</w:t>
            </w:r>
          </w:p>
        </w:tc>
      </w:tr>
      <w:tr w:rsidR="00E45E3B" w14:paraId="566B14D0" w14:textId="77777777" w:rsidTr="00831B24">
        <w:trPr>
          <w:trHeight w:val="247"/>
        </w:trPr>
        <w:tc>
          <w:tcPr>
            <w:tcW w:w="2062" w:type="dxa"/>
            <w:vMerge/>
          </w:tcPr>
          <w:p w14:paraId="038DF621" w14:textId="77777777" w:rsidR="00E45E3B" w:rsidRPr="00815413" w:rsidRDefault="00E45E3B" w:rsidP="002D1110">
            <w:pPr>
              <w:pStyle w:val="Heading-FiguresandTables"/>
              <w:spacing w:before="120" w:after="40"/>
              <w:rPr>
                <w:sz w:val="21"/>
                <w:szCs w:val="21"/>
              </w:rPr>
            </w:pPr>
          </w:p>
        </w:tc>
        <w:tc>
          <w:tcPr>
            <w:tcW w:w="2250" w:type="dxa"/>
            <w:vMerge/>
          </w:tcPr>
          <w:p w14:paraId="7827F1C7" w14:textId="77777777" w:rsidR="00E45E3B" w:rsidRPr="0026593F" w:rsidRDefault="00E45E3B" w:rsidP="00116ACB">
            <w:pPr>
              <w:pStyle w:val="Heading-FiguresandTables"/>
              <w:spacing w:before="40" w:after="40" w:line="240" w:lineRule="auto"/>
              <w:rPr>
                <w:rFonts w:ascii="Times New Roman" w:hAnsi="Times New Roman"/>
                <w:b w:val="0"/>
                <w:sz w:val="20"/>
                <w:szCs w:val="21"/>
              </w:rPr>
            </w:pPr>
          </w:p>
        </w:tc>
        <w:tc>
          <w:tcPr>
            <w:tcW w:w="2250" w:type="dxa"/>
          </w:tcPr>
          <w:p w14:paraId="2F735C6D" w14:textId="77777777" w:rsidR="00E45E3B" w:rsidRPr="0026593F" w:rsidRDefault="00E45E3B"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Fund management team (for ESAs)</w:t>
            </w:r>
          </w:p>
        </w:tc>
        <w:tc>
          <w:tcPr>
            <w:tcW w:w="2359" w:type="dxa"/>
            <w:vMerge/>
          </w:tcPr>
          <w:p w14:paraId="77AD8242" w14:textId="77777777" w:rsidR="00E45E3B" w:rsidRPr="0026593F" w:rsidRDefault="00E45E3B" w:rsidP="00116ACB">
            <w:pPr>
              <w:pStyle w:val="Heading-FiguresandTables"/>
              <w:spacing w:before="40" w:after="40" w:line="240" w:lineRule="auto"/>
              <w:rPr>
                <w:rFonts w:ascii="Times New Roman" w:hAnsi="Times New Roman"/>
                <w:b w:val="0"/>
                <w:sz w:val="20"/>
                <w:szCs w:val="21"/>
              </w:rPr>
            </w:pPr>
          </w:p>
        </w:tc>
      </w:tr>
      <w:tr w:rsidR="00865140" w14:paraId="6D47B105" w14:textId="77777777" w:rsidTr="00831B24">
        <w:tc>
          <w:tcPr>
            <w:tcW w:w="2062" w:type="dxa"/>
          </w:tcPr>
          <w:p w14:paraId="650A4CB2" w14:textId="77777777" w:rsidR="00865140" w:rsidRPr="0026593F" w:rsidRDefault="00E45E3B" w:rsidP="002D1110">
            <w:pPr>
              <w:pStyle w:val="Heading-FiguresandTables"/>
              <w:spacing w:before="120" w:after="40"/>
              <w:rPr>
                <w:sz w:val="21"/>
                <w:szCs w:val="21"/>
              </w:rPr>
            </w:pPr>
            <w:r w:rsidRPr="0026593F">
              <w:rPr>
                <w:sz w:val="21"/>
                <w:szCs w:val="21"/>
              </w:rPr>
              <w:t>Sustainability</w:t>
            </w:r>
          </w:p>
        </w:tc>
        <w:tc>
          <w:tcPr>
            <w:tcW w:w="2250" w:type="dxa"/>
          </w:tcPr>
          <w:p w14:paraId="572D4066" w14:textId="77777777" w:rsidR="00865140" w:rsidRPr="0026593F" w:rsidRDefault="00E45E3B"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Based on GOG decisions</w:t>
            </w:r>
          </w:p>
        </w:tc>
        <w:tc>
          <w:tcPr>
            <w:tcW w:w="2250" w:type="dxa"/>
          </w:tcPr>
          <w:p w14:paraId="7E0C6CEE" w14:textId="77777777" w:rsidR="00865140" w:rsidRPr="0026593F" w:rsidRDefault="00116ACB"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Yes, due to</w:t>
            </w:r>
            <w:r w:rsidR="00E45E3B" w:rsidRPr="0026593F">
              <w:rPr>
                <w:rFonts w:ascii="Times New Roman" w:hAnsi="Times New Roman"/>
                <w:b w:val="0"/>
                <w:sz w:val="20"/>
                <w:szCs w:val="21"/>
              </w:rPr>
              <w:t xml:space="preserve"> revolving investment capital and fees to cover operating costs</w:t>
            </w:r>
          </w:p>
        </w:tc>
        <w:tc>
          <w:tcPr>
            <w:tcW w:w="2359" w:type="dxa"/>
          </w:tcPr>
          <w:p w14:paraId="3DBBEB89" w14:textId="77777777" w:rsidR="00865140" w:rsidRPr="0026593F" w:rsidRDefault="00116ACB"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Yes, due to c</w:t>
            </w:r>
            <w:r w:rsidR="00E45E3B" w:rsidRPr="0026593F">
              <w:rPr>
                <w:rFonts w:ascii="Times New Roman" w:hAnsi="Times New Roman"/>
                <w:b w:val="0"/>
                <w:sz w:val="20"/>
                <w:szCs w:val="21"/>
              </w:rPr>
              <w:t>ommercial operation</w:t>
            </w:r>
            <w:r w:rsidRPr="0026593F">
              <w:rPr>
                <w:rFonts w:ascii="Times New Roman" w:hAnsi="Times New Roman"/>
                <w:b w:val="0"/>
                <w:sz w:val="20"/>
                <w:szCs w:val="21"/>
              </w:rPr>
              <w:t>s</w:t>
            </w:r>
            <w:r w:rsidR="00E45E3B" w:rsidRPr="0026593F">
              <w:rPr>
                <w:rFonts w:ascii="Times New Roman" w:hAnsi="Times New Roman"/>
                <w:b w:val="0"/>
                <w:sz w:val="20"/>
                <w:szCs w:val="21"/>
              </w:rPr>
              <w:t xml:space="preserve"> </w:t>
            </w:r>
            <w:r w:rsidRPr="0026593F">
              <w:rPr>
                <w:rFonts w:ascii="Times New Roman" w:hAnsi="Times New Roman"/>
                <w:b w:val="0"/>
                <w:sz w:val="20"/>
                <w:szCs w:val="21"/>
              </w:rPr>
              <w:t>and</w:t>
            </w:r>
            <w:r w:rsidR="00E45E3B" w:rsidRPr="0026593F">
              <w:rPr>
                <w:rFonts w:ascii="Times New Roman" w:hAnsi="Times New Roman"/>
                <w:b w:val="0"/>
                <w:sz w:val="20"/>
                <w:szCs w:val="21"/>
              </w:rPr>
              <w:t xml:space="preserve"> leverage </w:t>
            </w:r>
            <w:r w:rsidRPr="0026593F">
              <w:rPr>
                <w:rFonts w:ascii="Times New Roman" w:hAnsi="Times New Roman"/>
                <w:b w:val="0"/>
                <w:sz w:val="20"/>
                <w:szCs w:val="21"/>
              </w:rPr>
              <w:t xml:space="preserve">of </w:t>
            </w:r>
            <w:r w:rsidR="00E45E3B" w:rsidRPr="0026593F">
              <w:rPr>
                <w:rFonts w:ascii="Times New Roman" w:hAnsi="Times New Roman"/>
                <w:b w:val="0"/>
                <w:sz w:val="20"/>
                <w:szCs w:val="21"/>
              </w:rPr>
              <w:t>private financing</w:t>
            </w:r>
          </w:p>
        </w:tc>
      </w:tr>
      <w:tr w:rsidR="00865140" w14:paraId="620C832E" w14:textId="77777777" w:rsidTr="00831B24">
        <w:tc>
          <w:tcPr>
            <w:tcW w:w="2062" w:type="dxa"/>
          </w:tcPr>
          <w:p w14:paraId="725F0D3E" w14:textId="77777777" w:rsidR="00865140" w:rsidRPr="0026593F" w:rsidRDefault="00E45E3B" w:rsidP="002D1110">
            <w:pPr>
              <w:pStyle w:val="Heading-FiguresandTables"/>
              <w:spacing w:before="120" w:after="40"/>
              <w:rPr>
                <w:sz w:val="21"/>
                <w:szCs w:val="21"/>
              </w:rPr>
            </w:pPr>
            <w:r w:rsidRPr="0026593F">
              <w:rPr>
                <w:sz w:val="21"/>
                <w:szCs w:val="21"/>
              </w:rPr>
              <w:t>Repayment risk</w:t>
            </w:r>
          </w:p>
        </w:tc>
        <w:tc>
          <w:tcPr>
            <w:tcW w:w="2250" w:type="dxa"/>
          </w:tcPr>
          <w:p w14:paraId="438BEA40" w14:textId="77777777" w:rsidR="00865140" w:rsidRPr="0026593F" w:rsidRDefault="00494324"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None</w:t>
            </w:r>
          </w:p>
        </w:tc>
        <w:tc>
          <w:tcPr>
            <w:tcW w:w="2250" w:type="dxa"/>
          </w:tcPr>
          <w:p w14:paraId="69A67449" w14:textId="77777777" w:rsidR="00865140" w:rsidRPr="0026593F" w:rsidRDefault="00494324"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Assumed by GEERF</w:t>
            </w:r>
          </w:p>
        </w:tc>
        <w:tc>
          <w:tcPr>
            <w:tcW w:w="2359" w:type="dxa"/>
          </w:tcPr>
          <w:p w14:paraId="31C808F6" w14:textId="77777777" w:rsidR="00865140" w:rsidRPr="0026593F" w:rsidRDefault="00494324"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Assumed by GESCO</w:t>
            </w:r>
          </w:p>
        </w:tc>
      </w:tr>
      <w:tr w:rsidR="00865140" w14:paraId="0A70BE42" w14:textId="77777777" w:rsidTr="00831B24">
        <w:tc>
          <w:tcPr>
            <w:tcW w:w="2062" w:type="dxa"/>
          </w:tcPr>
          <w:p w14:paraId="1511764C" w14:textId="77777777" w:rsidR="00865140" w:rsidRPr="0026593F" w:rsidRDefault="00E45E3B" w:rsidP="002D1110">
            <w:pPr>
              <w:pStyle w:val="Heading-FiguresandTables"/>
              <w:spacing w:before="120" w:after="40"/>
              <w:rPr>
                <w:sz w:val="21"/>
                <w:szCs w:val="21"/>
              </w:rPr>
            </w:pPr>
            <w:r w:rsidRPr="0026593F">
              <w:rPr>
                <w:sz w:val="21"/>
                <w:szCs w:val="21"/>
              </w:rPr>
              <w:t>Advantages</w:t>
            </w:r>
          </w:p>
        </w:tc>
        <w:tc>
          <w:tcPr>
            <w:tcW w:w="2250" w:type="dxa"/>
          </w:tcPr>
          <w:p w14:paraId="59F3FB61" w14:textId="77777777" w:rsidR="00865140" w:rsidRPr="0026593F" w:rsidRDefault="00494324" w:rsidP="00116ACB">
            <w:pPr>
              <w:pStyle w:val="Heading-FiguresandTables"/>
              <w:numPr>
                <w:ilvl w:val="0"/>
                <w:numId w:val="48"/>
              </w:numPr>
              <w:spacing w:before="40" w:after="40" w:line="240" w:lineRule="auto"/>
              <w:ind w:left="173" w:hanging="173"/>
              <w:jc w:val="left"/>
              <w:rPr>
                <w:rFonts w:ascii="Times New Roman" w:hAnsi="Times New Roman"/>
                <w:b w:val="0"/>
                <w:sz w:val="20"/>
                <w:szCs w:val="21"/>
              </w:rPr>
            </w:pPr>
            <w:r w:rsidRPr="0026593F">
              <w:rPr>
                <w:rFonts w:ascii="Times New Roman" w:hAnsi="Times New Roman"/>
                <w:b w:val="0"/>
                <w:sz w:val="20"/>
                <w:szCs w:val="21"/>
              </w:rPr>
              <w:t>Easy to implement</w:t>
            </w:r>
          </w:p>
          <w:p w14:paraId="7FFF93CC" w14:textId="77777777" w:rsidR="00494324" w:rsidRPr="0026593F" w:rsidRDefault="00494324" w:rsidP="00116ACB">
            <w:pPr>
              <w:pStyle w:val="Heading-FiguresandTables"/>
              <w:numPr>
                <w:ilvl w:val="0"/>
                <w:numId w:val="48"/>
              </w:numPr>
              <w:spacing w:before="40" w:after="40" w:line="240" w:lineRule="auto"/>
              <w:ind w:left="173" w:hanging="173"/>
              <w:jc w:val="left"/>
              <w:rPr>
                <w:rFonts w:ascii="Times New Roman" w:hAnsi="Times New Roman"/>
                <w:b w:val="0"/>
                <w:sz w:val="20"/>
                <w:szCs w:val="21"/>
              </w:rPr>
            </w:pPr>
            <w:r w:rsidRPr="0026593F">
              <w:rPr>
                <w:rFonts w:ascii="Times New Roman" w:hAnsi="Times New Roman"/>
                <w:b w:val="0"/>
                <w:sz w:val="20"/>
                <w:szCs w:val="21"/>
              </w:rPr>
              <w:t>Analogous to some existing models</w:t>
            </w:r>
          </w:p>
          <w:p w14:paraId="0AD5F7F7" w14:textId="77777777" w:rsidR="00494324" w:rsidRPr="0026593F" w:rsidRDefault="00494324" w:rsidP="00116ACB">
            <w:pPr>
              <w:pStyle w:val="Heading-FiguresandTables"/>
              <w:numPr>
                <w:ilvl w:val="0"/>
                <w:numId w:val="48"/>
              </w:numPr>
              <w:spacing w:before="40" w:after="40" w:line="240" w:lineRule="auto"/>
              <w:ind w:left="173" w:hanging="173"/>
              <w:jc w:val="left"/>
              <w:rPr>
                <w:rFonts w:ascii="Times New Roman" w:hAnsi="Times New Roman"/>
                <w:b w:val="0"/>
                <w:sz w:val="20"/>
                <w:szCs w:val="21"/>
              </w:rPr>
            </w:pPr>
            <w:r w:rsidRPr="0026593F">
              <w:rPr>
                <w:rFonts w:ascii="Times New Roman" w:hAnsi="Times New Roman"/>
                <w:b w:val="0"/>
                <w:sz w:val="20"/>
                <w:szCs w:val="21"/>
              </w:rPr>
              <w:t>Can serve all public agencies</w:t>
            </w:r>
          </w:p>
          <w:p w14:paraId="4D968623" w14:textId="77777777" w:rsidR="00494324" w:rsidRPr="0026593F" w:rsidRDefault="00494324" w:rsidP="00116ACB">
            <w:pPr>
              <w:pStyle w:val="Heading-FiguresandTables"/>
              <w:numPr>
                <w:ilvl w:val="0"/>
                <w:numId w:val="48"/>
              </w:numPr>
              <w:spacing w:before="40" w:after="40" w:line="240" w:lineRule="auto"/>
              <w:ind w:left="173" w:hanging="173"/>
              <w:jc w:val="left"/>
              <w:rPr>
                <w:rFonts w:ascii="Times New Roman" w:hAnsi="Times New Roman"/>
                <w:b w:val="0"/>
                <w:sz w:val="20"/>
                <w:szCs w:val="21"/>
              </w:rPr>
            </w:pPr>
            <w:r w:rsidRPr="0026593F">
              <w:rPr>
                <w:rFonts w:ascii="Times New Roman" w:hAnsi="Times New Roman"/>
                <w:b w:val="0"/>
                <w:sz w:val="20"/>
                <w:szCs w:val="21"/>
              </w:rPr>
              <w:t>Does not require any investment from the public agencies</w:t>
            </w:r>
          </w:p>
        </w:tc>
        <w:tc>
          <w:tcPr>
            <w:tcW w:w="2250" w:type="dxa"/>
          </w:tcPr>
          <w:p w14:paraId="22A4CA87" w14:textId="77777777" w:rsidR="00865140" w:rsidRPr="0026593F" w:rsidRDefault="00494324" w:rsidP="00116ACB">
            <w:pPr>
              <w:pStyle w:val="Heading-FiguresandTables"/>
              <w:numPr>
                <w:ilvl w:val="0"/>
                <w:numId w:val="48"/>
              </w:numPr>
              <w:spacing w:before="40" w:after="40" w:line="240" w:lineRule="auto"/>
              <w:ind w:left="193" w:hanging="193"/>
              <w:jc w:val="left"/>
              <w:rPr>
                <w:rFonts w:ascii="Times New Roman" w:hAnsi="Times New Roman"/>
                <w:b w:val="0"/>
                <w:sz w:val="20"/>
                <w:szCs w:val="21"/>
              </w:rPr>
            </w:pPr>
            <w:r w:rsidRPr="0026593F">
              <w:rPr>
                <w:rFonts w:ascii="Times New Roman" w:hAnsi="Times New Roman"/>
                <w:b w:val="0"/>
                <w:sz w:val="20"/>
                <w:szCs w:val="21"/>
              </w:rPr>
              <w:t>Can address needs of all public agencies</w:t>
            </w:r>
          </w:p>
          <w:p w14:paraId="26FA6068" w14:textId="77777777" w:rsidR="00494324" w:rsidRPr="0026593F" w:rsidRDefault="00494324" w:rsidP="00116ACB">
            <w:pPr>
              <w:pStyle w:val="Heading-FiguresandTables"/>
              <w:numPr>
                <w:ilvl w:val="0"/>
                <w:numId w:val="48"/>
              </w:numPr>
              <w:spacing w:before="40" w:after="40" w:line="240" w:lineRule="auto"/>
              <w:ind w:left="193" w:hanging="193"/>
              <w:jc w:val="left"/>
              <w:rPr>
                <w:rFonts w:ascii="Times New Roman" w:hAnsi="Times New Roman"/>
                <w:b w:val="0"/>
                <w:sz w:val="20"/>
                <w:szCs w:val="21"/>
              </w:rPr>
            </w:pPr>
            <w:r w:rsidRPr="0026593F">
              <w:rPr>
                <w:rFonts w:ascii="Times New Roman" w:hAnsi="Times New Roman"/>
                <w:b w:val="0"/>
                <w:sz w:val="20"/>
                <w:szCs w:val="21"/>
              </w:rPr>
              <w:t>Multiple windows to address financing needs and evolving capacity of public agencies</w:t>
            </w:r>
          </w:p>
          <w:p w14:paraId="6E513492" w14:textId="77777777" w:rsidR="00494324" w:rsidRPr="0026593F" w:rsidRDefault="00494324" w:rsidP="00116ACB">
            <w:pPr>
              <w:pStyle w:val="Heading-FiguresandTables"/>
              <w:numPr>
                <w:ilvl w:val="0"/>
                <w:numId w:val="48"/>
              </w:numPr>
              <w:spacing w:before="40" w:after="40" w:line="240" w:lineRule="auto"/>
              <w:ind w:left="193" w:hanging="193"/>
              <w:jc w:val="left"/>
              <w:rPr>
                <w:rFonts w:ascii="Times New Roman" w:hAnsi="Times New Roman"/>
                <w:b w:val="0"/>
                <w:sz w:val="20"/>
                <w:szCs w:val="21"/>
              </w:rPr>
            </w:pPr>
            <w:r w:rsidRPr="0026593F">
              <w:rPr>
                <w:rFonts w:ascii="Times New Roman" w:hAnsi="Times New Roman"/>
                <w:b w:val="0"/>
                <w:sz w:val="20"/>
                <w:szCs w:val="21"/>
              </w:rPr>
              <w:t>ESA model useful for smaller and weaker public agencies</w:t>
            </w:r>
          </w:p>
          <w:p w14:paraId="3C5AA71F" w14:textId="77777777" w:rsidR="00494324" w:rsidRPr="0026593F" w:rsidRDefault="00494324" w:rsidP="00234282">
            <w:pPr>
              <w:pStyle w:val="Heading-FiguresandTables"/>
              <w:numPr>
                <w:ilvl w:val="0"/>
                <w:numId w:val="48"/>
              </w:numPr>
              <w:spacing w:before="40" w:after="40" w:line="240" w:lineRule="auto"/>
              <w:ind w:left="193" w:hanging="193"/>
              <w:jc w:val="left"/>
              <w:rPr>
                <w:rFonts w:ascii="Times New Roman" w:hAnsi="Times New Roman"/>
                <w:b w:val="0"/>
                <w:sz w:val="20"/>
                <w:szCs w:val="21"/>
              </w:rPr>
            </w:pPr>
            <w:r w:rsidRPr="0026593F">
              <w:rPr>
                <w:rFonts w:ascii="Times New Roman" w:hAnsi="Times New Roman"/>
                <w:b w:val="0"/>
                <w:sz w:val="20"/>
                <w:szCs w:val="21"/>
              </w:rPr>
              <w:t xml:space="preserve">Helps </w:t>
            </w:r>
            <w:r w:rsidR="0026593F" w:rsidRPr="0026593F">
              <w:rPr>
                <w:rFonts w:ascii="Times New Roman" w:hAnsi="Times New Roman"/>
                <w:b w:val="0"/>
                <w:sz w:val="20"/>
                <w:szCs w:val="21"/>
              </w:rPr>
              <w:t xml:space="preserve">introduce ESPCs </w:t>
            </w:r>
            <w:r w:rsidR="0026593F">
              <w:rPr>
                <w:rFonts w:ascii="Times New Roman" w:hAnsi="Times New Roman"/>
                <w:b w:val="0"/>
                <w:sz w:val="20"/>
                <w:szCs w:val="21"/>
              </w:rPr>
              <w:t xml:space="preserve">and </w:t>
            </w:r>
            <w:r w:rsidRPr="0026593F">
              <w:rPr>
                <w:rFonts w:ascii="Times New Roman" w:hAnsi="Times New Roman"/>
                <w:b w:val="0"/>
                <w:sz w:val="20"/>
                <w:szCs w:val="21"/>
              </w:rPr>
              <w:t>build local ESCO industry</w:t>
            </w:r>
          </w:p>
        </w:tc>
        <w:tc>
          <w:tcPr>
            <w:tcW w:w="2359" w:type="dxa"/>
          </w:tcPr>
          <w:p w14:paraId="7CCA2141" w14:textId="77777777" w:rsidR="00865140" w:rsidRPr="0026593F" w:rsidRDefault="00494324" w:rsidP="00116ACB">
            <w:pPr>
              <w:pStyle w:val="Heading-FiguresandTables"/>
              <w:numPr>
                <w:ilvl w:val="0"/>
                <w:numId w:val="48"/>
              </w:numPr>
              <w:spacing w:before="40" w:after="40" w:line="240" w:lineRule="auto"/>
              <w:ind w:left="213" w:hanging="213"/>
              <w:jc w:val="left"/>
              <w:rPr>
                <w:rFonts w:ascii="Times New Roman" w:hAnsi="Times New Roman"/>
                <w:b w:val="0"/>
                <w:sz w:val="20"/>
                <w:szCs w:val="21"/>
              </w:rPr>
            </w:pPr>
            <w:r w:rsidRPr="0026593F">
              <w:rPr>
                <w:rFonts w:ascii="Times New Roman" w:hAnsi="Times New Roman"/>
                <w:b w:val="0"/>
                <w:sz w:val="20"/>
                <w:szCs w:val="21"/>
              </w:rPr>
              <w:t>Can address needs of all public agencies</w:t>
            </w:r>
          </w:p>
          <w:p w14:paraId="716AC860" w14:textId="77777777" w:rsidR="00494324" w:rsidRPr="0026593F" w:rsidRDefault="00494324" w:rsidP="00116ACB">
            <w:pPr>
              <w:pStyle w:val="Heading-FiguresandTables"/>
              <w:numPr>
                <w:ilvl w:val="0"/>
                <w:numId w:val="48"/>
              </w:numPr>
              <w:spacing w:before="40" w:after="40" w:line="240" w:lineRule="auto"/>
              <w:ind w:left="213" w:hanging="213"/>
              <w:jc w:val="left"/>
              <w:rPr>
                <w:rFonts w:ascii="Times New Roman" w:hAnsi="Times New Roman"/>
                <w:b w:val="0"/>
                <w:sz w:val="20"/>
                <w:szCs w:val="21"/>
              </w:rPr>
            </w:pPr>
            <w:r w:rsidRPr="0026593F">
              <w:rPr>
                <w:rFonts w:ascii="Times New Roman" w:hAnsi="Times New Roman"/>
                <w:b w:val="0"/>
                <w:sz w:val="20"/>
                <w:szCs w:val="21"/>
              </w:rPr>
              <w:t>Multiple windows to address financing needs and evolving capacity of public agencies</w:t>
            </w:r>
          </w:p>
          <w:p w14:paraId="2895FE31" w14:textId="77777777" w:rsidR="00494324" w:rsidRPr="0026593F" w:rsidRDefault="00494324" w:rsidP="00831B24">
            <w:pPr>
              <w:pStyle w:val="Heading-FiguresandTables"/>
              <w:numPr>
                <w:ilvl w:val="0"/>
                <w:numId w:val="48"/>
              </w:numPr>
              <w:spacing w:before="40" w:after="40" w:line="240" w:lineRule="auto"/>
              <w:ind w:left="213" w:hanging="213"/>
              <w:jc w:val="left"/>
              <w:rPr>
                <w:rFonts w:ascii="Times New Roman" w:hAnsi="Times New Roman"/>
                <w:b w:val="0"/>
                <w:sz w:val="20"/>
                <w:szCs w:val="21"/>
              </w:rPr>
            </w:pPr>
            <w:r w:rsidRPr="0026593F">
              <w:rPr>
                <w:rFonts w:ascii="Times New Roman" w:hAnsi="Times New Roman"/>
                <w:b w:val="0"/>
                <w:sz w:val="20"/>
                <w:szCs w:val="21"/>
              </w:rPr>
              <w:t>Can provide ESA</w:t>
            </w:r>
            <w:r w:rsidR="00831B24" w:rsidRPr="0026593F">
              <w:rPr>
                <w:rFonts w:ascii="Times New Roman" w:hAnsi="Times New Roman"/>
                <w:b w:val="0"/>
                <w:sz w:val="20"/>
                <w:szCs w:val="21"/>
              </w:rPr>
              <w:t>s and</w:t>
            </w:r>
            <w:r w:rsidRPr="0026593F">
              <w:rPr>
                <w:rFonts w:ascii="Times New Roman" w:hAnsi="Times New Roman"/>
                <w:b w:val="0"/>
                <w:sz w:val="20"/>
                <w:szCs w:val="21"/>
              </w:rPr>
              <w:t xml:space="preserve"> introduce </w:t>
            </w:r>
            <w:r w:rsidR="00831B24" w:rsidRPr="0026593F">
              <w:rPr>
                <w:rFonts w:ascii="Times New Roman" w:hAnsi="Times New Roman"/>
                <w:b w:val="0"/>
                <w:sz w:val="20"/>
                <w:szCs w:val="21"/>
              </w:rPr>
              <w:t>ESPCs</w:t>
            </w:r>
          </w:p>
          <w:p w14:paraId="1D456642" w14:textId="77777777" w:rsidR="00494324" w:rsidRPr="0026593F" w:rsidRDefault="00494324" w:rsidP="00116ACB">
            <w:pPr>
              <w:pStyle w:val="Heading-FiguresandTables"/>
              <w:numPr>
                <w:ilvl w:val="0"/>
                <w:numId w:val="48"/>
              </w:numPr>
              <w:spacing w:before="40" w:after="40" w:line="240" w:lineRule="auto"/>
              <w:ind w:left="213" w:hanging="213"/>
              <w:jc w:val="left"/>
              <w:rPr>
                <w:rFonts w:ascii="Times New Roman" w:hAnsi="Times New Roman"/>
                <w:b w:val="0"/>
                <w:sz w:val="20"/>
                <w:szCs w:val="21"/>
              </w:rPr>
            </w:pPr>
            <w:r w:rsidRPr="0026593F">
              <w:rPr>
                <w:rFonts w:ascii="Times New Roman" w:hAnsi="Times New Roman"/>
                <w:b w:val="0"/>
                <w:sz w:val="20"/>
                <w:szCs w:val="21"/>
              </w:rPr>
              <w:t>Can help build capacity of private sector ESCOs</w:t>
            </w:r>
          </w:p>
        </w:tc>
      </w:tr>
      <w:tr w:rsidR="00E45E3B" w14:paraId="4CB9BA52" w14:textId="77777777" w:rsidTr="00831B24">
        <w:tc>
          <w:tcPr>
            <w:tcW w:w="2062" w:type="dxa"/>
          </w:tcPr>
          <w:p w14:paraId="223F9A02" w14:textId="77777777" w:rsidR="00E45E3B" w:rsidRPr="0026593F" w:rsidRDefault="00E45E3B" w:rsidP="002D1110">
            <w:pPr>
              <w:pStyle w:val="Heading-FiguresandTables"/>
              <w:spacing w:before="120" w:after="40"/>
              <w:rPr>
                <w:sz w:val="21"/>
                <w:szCs w:val="21"/>
              </w:rPr>
            </w:pPr>
            <w:r w:rsidRPr="0026593F">
              <w:rPr>
                <w:sz w:val="21"/>
                <w:szCs w:val="21"/>
              </w:rPr>
              <w:t>Limitations</w:t>
            </w:r>
          </w:p>
        </w:tc>
        <w:tc>
          <w:tcPr>
            <w:tcW w:w="2250" w:type="dxa"/>
          </w:tcPr>
          <w:p w14:paraId="7D0402C2" w14:textId="77777777" w:rsidR="00E45E3B" w:rsidRPr="0026593F" w:rsidRDefault="00494324" w:rsidP="00116ACB">
            <w:pPr>
              <w:pStyle w:val="Heading-FiguresandTables"/>
              <w:numPr>
                <w:ilvl w:val="0"/>
                <w:numId w:val="49"/>
              </w:numPr>
              <w:spacing w:before="40" w:after="40" w:line="240" w:lineRule="auto"/>
              <w:ind w:left="173" w:hanging="173"/>
              <w:jc w:val="left"/>
              <w:rPr>
                <w:rFonts w:ascii="Times New Roman" w:hAnsi="Times New Roman"/>
                <w:b w:val="0"/>
                <w:sz w:val="20"/>
                <w:szCs w:val="21"/>
              </w:rPr>
            </w:pPr>
            <w:r w:rsidRPr="0026593F">
              <w:rPr>
                <w:rFonts w:ascii="Times New Roman" w:hAnsi="Times New Roman"/>
                <w:b w:val="0"/>
                <w:sz w:val="20"/>
                <w:szCs w:val="21"/>
              </w:rPr>
              <w:t>Requires active participation of MOF</w:t>
            </w:r>
          </w:p>
          <w:p w14:paraId="1DEAC9FC" w14:textId="77777777" w:rsidR="00494324" w:rsidRPr="0026593F" w:rsidRDefault="00494324" w:rsidP="00116ACB">
            <w:pPr>
              <w:pStyle w:val="Heading-FiguresandTables"/>
              <w:numPr>
                <w:ilvl w:val="0"/>
                <w:numId w:val="49"/>
              </w:numPr>
              <w:spacing w:before="40" w:after="40" w:line="240" w:lineRule="auto"/>
              <w:ind w:left="173" w:hanging="173"/>
              <w:jc w:val="left"/>
              <w:rPr>
                <w:rFonts w:ascii="Times New Roman" w:hAnsi="Times New Roman"/>
                <w:b w:val="0"/>
                <w:sz w:val="20"/>
                <w:szCs w:val="21"/>
              </w:rPr>
            </w:pPr>
            <w:r w:rsidRPr="0026593F">
              <w:rPr>
                <w:rFonts w:ascii="Times New Roman" w:hAnsi="Times New Roman"/>
                <w:b w:val="0"/>
                <w:sz w:val="20"/>
                <w:szCs w:val="21"/>
              </w:rPr>
              <w:t>May need changes in budgeting procedures</w:t>
            </w:r>
          </w:p>
          <w:p w14:paraId="5353859D" w14:textId="77777777" w:rsidR="00494324" w:rsidRPr="0026593F" w:rsidRDefault="00494324" w:rsidP="00116ACB">
            <w:pPr>
              <w:pStyle w:val="Heading-FiguresandTables"/>
              <w:numPr>
                <w:ilvl w:val="0"/>
                <w:numId w:val="49"/>
              </w:numPr>
              <w:spacing w:before="40" w:after="40" w:line="240" w:lineRule="auto"/>
              <w:ind w:left="173" w:hanging="173"/>
              <w:jc w:val="left"/>
              <w:rPr>
                <w:rFonts w:ascii="Times New Roman" w:hAnsi="Times New Roman"/>
                <w:b w:val="0"/>
                <w:sz w:val="20"/>
                <w:szCs w:val="21"/>
              </w:rPr>
            </w:pPr>
            <w:r w:rsidRPr="0026593F">
              <w:rPr>
                <w:rFonts w:ascii="Times New Roman" w:hAnsi="Times New Roman"/>
                <w:b w:val="0"/>
                <w:sz w:val="20"/>
                <w:szCs w:val="21"/>
              </w:rPr>
              <w:t>Requires capable PIU</w:t>
            </w:r>
          </w:p>
          <w:p w14:paraId="4639B34C" w14:textId="77777777" w:rsidR="00494324" w:rsidRPr="0026593F" w:rsidRDefault="00494324" w:rsidP="00116ACB">
            <w:pPr>
              <w:pStyle w:val="Heading-FiguresandTables"/>
              <w:numPr>
                <w:ilvl w:val="0"/>
                <w:numId w:val="49"/>
              </w:numPr>
              <w:spacing w:before="40" w:after="40" w:line="240" w:lineRule="auto"/>
              <w:ind w:left="173" w:hanging="173"/>
              <w:jc w:val="left"/>
              <w:rPr>
                <w:rFonts w:ascii="Times New Roman" w:hAnsi="Times New Roman"/>
                <w:b w:val="0"/>
                <w:sz w:val="20"/>
                <w:szCs w:val="21"/>
              </w:rPr>
            </w:pPr>
            <w:r w:rsidRPr="0026593F">
              <w:rPr>
                <w:rFonts w:ascii="Times New Roman" w:hAnsi="Times New Roman"/>
                <w:b w:val="0"/>
                <w:sz w:val="20"/>
                <w:szCs w:val="21"/>
              </w:rPr>
              <w:t>Sustainability is not assured</w:t>
            </w:r>
          </w:p>
        </w:tc>
        <w:tc>
          <w:tcPr>
            <w:tcW w:w="2250" w:type="dxa"/>
          </w:tcPr>
          <w:p w14:paraId="2EA04D97" w14:textId="77777777" w:rsidR="00E45E3B" w:rsidRPr="0026593F" w:rsidRDefault="00831B24" w:rsidP="00116ACB">
            <w:pPr>
              <w:pStyle w:val="Heading-FiguresandTables"/>
              <w:numPr>
                <w:ilvl w:val="0"/>
                <w:numId w:val="49"/>
              </w:numPr>
              <w:spacing w:before="40" w:after="40" w:line="240" w:lineRule="auto"/>
              <w:ind w:left="159" w:hanging="159"/>
              <w:jc w:val="left"/>
              <w:rPr>
                <w:rFonts w:ascii="Times New Roman" w:hAnsi="Times New Roman"/>
                <w:b w:val="0"/>
                <w:sz w:val="20"/>
                <w:szCs w:val="21"/>
              </w:rPr>
            </w:pPr>
            <w:r w:rsidRPr="0026593F">
              <w:rPr>
                <w:rFonts w:ascii="Times New Roman" w:hAnsi="Times New Roman"/>
                <w:b w:val="0"/>
                <w:sz w:val="20"/>
                <w:szCs w:val="21"/>
              </w:rPr>
              <w:t>N</w:t>
            </w:r>
            <w:r w:rsidR="00494324" w:rsidRPr="0026593F">
              <w:rPr>
                <w:rFonts w:ascii="Times New Roman" w:hAnsi="Times New Roman"/>
                <w:b w:val="0"/>
                <w:sz w:val="20"/>
                <w:szCs w:val="21"/>
              </w:rPr>
              <w:t>eed legislation for implementation</w:t>
            </w:r>
          </w:p>
          <w:p w14:paraId="56CD71AC" w14:textId="77777777" w:rsidR="00494324" w:rsidRPr="0026593F" w:rsidRDefault="00116ACB" w:rsidP="00116ACB">
            <w:pPr>
              <w:pStyle w:val="Heading-FiguresandTables"/>
              <w:numPr>
                <w:ilvl w:val="0"/>
                <w:numId w:val="49"/>
              </w:numPr>
              <w:spacing w:before="40" w:after="40" w:line="240" w:lineRule="auto"/>
              <w:ind w:left="159" w:hanging="159"/>
              <w:jc w:val="left"/>
              <w:rPr>
                <w:rFonts w:ascii="Times New Roman" w:hAnsi="Times New Roman"/>
                <w:b w:val="0"/>
                <w:sz w:val="20"/>
                <w:szCs w:val="21"/>
              </w:rPr>
            </w:pPr>
            <w:r w:rsidRPr="0026593F">
              <w:rPr>
                <w:rFonts w:ascii="Times New Roman" w:hAnsi="Times New Roman"/>
                <w:b w:val="0"/>
                <w:sz w:val="20"/>
                <w:szCs w:val="21"/>
              </w:rPr>
              <w:t>Need strong</w:t>
            </w:r>
            <w:r w:rsidR="00831B24" w:rsidRPr="0026593F">
              <w:rPr>
                <w:rFonts w:ascii="Times New Roman" w:hAnsi="Times New Roman"/>
                <w:b w:val="0"/>
                <w:sz w:val="20"/>
                <w:szCs w:val="21"/>
              </w:rPr>
              <w:t xml:space="preserve">, </w:t>
            </w:r>
            <w:r w:rsidRPr="0026593F">
              <w:rPr>
                <w:rFonts w:ascii="Times New Roman" w:hAnsi="Times New Roman"/>
                <w:b w:val="0"/>
                <w:sz w:val="20"/>
                <w:szCs w:val="21"/>
              </w:rPr>
              <w:t>capable Fund management team</w:t>
            </w:r>
          </w:p>
          <w:p w14:paraId="228EA8D4" w14:textId="77777777" w:rsidR="00116ACB" w:rsidRPr="0026593F" w:rsidRDefault="00831B24" w:rsidP="00831B24">
            <w:pPr>
              <w:pStyle w:val="Heading-FiguresandTables"/>
              <w:numPr>
                <w:ilvl w:val="0"/>
                <w:numId w:val="49"/>
              </w:numPr>
              <w:spacing w:before="40" w:after="40" w:line="240" w:lineRule="auto"/>
              <w:ind w:left="159" w:hanging="159"/>
              <w:jc w:val="left"/>
              <w:rPr>
                <w:rFonts w:ascii="Times New Roman" w:hAnsi="Times New Roman"/>
                <w:b w:val="0"/>
                <w:sz w:val="20"/>
                <w:szCs w:val="21"/>
              </w:rPr>
            </w:pPr>
            <w:r w:rsidRPr="0026593F">
              <w:rPr>
                <w:rFonts w:ascii="Times New Roman" w:hAnsi="Times New Roman"/>
                <w:b w:val="0"/>
                <w:sz w:val="20"/>
                <w:szCs w:val="21"/>
              </w:rPr>
              <w:t>May n</w:t>
            </w:r>
            <w:r w:rsidR="00116ACB" w:rsidRPr="0026593F">
              <w:rPr>
                <w:rFonts w:ascii="Times New Roman" w:hAnsi="Times New Roman"/>
                <w:b w:val="0"/>
                <w:sz w:val="20"/>
                <w:szCs w:val="21"/>
              </w:rPr>
              <w:t>eed payment security mechanism to assure payments for services</w:t>
            </w:r>
          </w:p>
        </w:tc>
        <w:tc>
          <w:tcPr>
            <w:tcW w:w="2359" w:type="dxa"/>
          </w:tcPr>
          <w:p w14:paraId="55EFA295" w14:textId="77777777" w:rsidR="00E45E3B" w:rsidRPr="0026593F" w:rsidRDefault="00116ACB" w:rsidP="00116ACB">
            <w:pPr>
              <w:pStyle w:val="Heading-FiguresandTables"/>
              <w:numPr>
                <w:ilvl w:val="0"/>
                <w:numId w:val="49"/>
              </w:numPr>
              <w:spacing w:before="40" w:after="40" w:line="240" w:lineRule="auto"/>
              <w:ind w:left="213" w:hanging="213"/>
              <w:jc w:val="left"/>
              <w:rPr>
                <w:rFonts w:ascii="Times New Roman" w:hAnsi="Times New Roman"/>
                <w:b w:val="0"/>
                <w:sz w:val="20"/>
                <w:szCs w:val="21"/>
              </w:rPr>
            </w:pPr>
            <w:r w:rsidRPr="0026593F">
              <w:rPr>
                <w:rFonts w:ascii="Times New Roman" w:hAnsi="Times New Roman"/>
                <w:b w:val="0"/>
                <w:sz w:val="20"/>
                <w:szCs w:val="21"/>
              </w:rPr>
              <w:t>Need legislation to create a new state-owned enterprise</w:t>
            </w:r>
          </w:p>
          <w:p w14:paraId="653D189A" w14:textId="77777777" w:rsidR="00116ACB" w:rsidRPr="0026593F" w:rsidRDefault="00116ACB" w:rsidP="00116ACB">
            <w:pPr>
              <w:pStyle w:val="Heading-FiguresandTables"/>
              <w:numPr>
                <w:ilvl w:val="0"/>
                <w:numId w:val="49"/>
              </w:numPr>
              <w:spacing w:before="40" w:after="40" w:line="240" w:lineRule="auto"/>
              <w:ind w:left="213" w:hanging="213"/>
              <w:jc w:val="left"/>
              <w:rPr>
                <w:rFonts w:ascii="Times New Roman" w:hAnsi="Times New Roman"/>
                <w:b w:val="0"/>
                <w:sz w:val="20"/>
                <w:szCs w:val="21"/>
              </w:rPr>
            </w:pPr>
            <w:r w:rsidRPr="0026593F">
              <w:rPr>
                <w:rFonts w:ascii="Times New Roman" w:hAnsi="Times New Roman"/>
                <w:b w:val="0"/>
                <w:sz w:val="20"/>
                <w:szCs w:val="21"/>
              </w:rPr>
              <w:t>Need strong</w:t>
            </w:r>
            <w:r w:rsidR="00831B24" w:rsidRPr="0026593F">
              <w:rPr>
                <w:rFonts w:ascii="Times New Roman" w:hAnsi="Times New Roman"/>
                <w:b w:val="0"/>
                <w:sz w:val="20"/>
                <w:szCs w:val="21"/>
              </w:rPr>
              <w:t>,</w:t>
            </w:r>
            <w:r w:rsidRPr="0026593F">
              <w:rPr>
                <w:rFonts w:ascii="Times New Roman" w:hAnsi="Times New Roman"/>
                <w:b w:val="0"/>
                <w:sz w:val="20"/>
                <w:szCs w:val="21"/>
              </w:rPr>
              <w:t xml:space="preserve"> capable GESCO management team</w:t>
            </w:r>
          </w:p>
          <w:p w14:paraId="73E5AA0D" w14:textId="77777777" w:rsidR="00116ACB" w:rsidRPr="0026593F" w:rsidRDefault="00116ACB" w:rsidP="00116ACB">
            <w:pPr>
              <w:pStyle w:val="Heading-FiguresandTables"/>
              <w:numPr>
                <w:ilvl w:val="0"/>
                <w:numId w:val="49"/>
              </w:numPr>
              <w:spacing w:before="40" w:after="40" w:line="240" w:lineRule="auto"/>
              <w:ind w:left="213" w:hanging="213"/>
              <w:jc w:val="left"/>
              <w:rPr>
                <w:rFonts w:ascii="Times New Roman" w:hAnsi="Times New Roman"/>
                <w:b w:val="0"/>
                <w:sz w:val="20"/>
                <w:szCs w:val="21"/>
              </w:rPr>
            </w:pPr>
            <w:r w:rsidRPr="0026593F">
              <w:rPr>
                <w:rFonts w:ascii="Times New Roman" w:hAnsi="Times New Roman"/>
                <w:b w:val="0"/>
                <w:sz w:val="20"/>
                <w:szCs w:val="21"/>
              </w:rPr>
              <w:t>Need to develop payment security mechanism to assure payments for services</w:t>
            </w:r>
          </w:p>
        </w:tc>
      </w:tr>
      <w:tr w:rsidR="00E45E3B" w14:paraId="4FA0290D" w14:textId="77777777" w:rsidTr="00831B24">
        <w:tc>
          <w:tcPr>
            <w:tcW w:w="2062" w:type="dxa"/>
          </w:tcPr>
          <w:p w14:paraId="0C2DB089" w14:textId="77777777" w:rsidR="00E45E3B" w:rsidRPr="0026593F" w:rsidRDefault="00234282" w:rsidP="00234282">
            <w:pPr>
              <w:pStyle w:val="Heading-FiguresandTables"/>
              <w:spacing w:before="120" w:after="40"/>
              <w:rPr>
                <w:sz w:val="21"/>
                <w:szCs w:val="21"/>
              </w:rPr>
            </w:pPr>
            <w:r>
              <w:rPr>
                <w:sz w:val="21"/>
                <w:szCs w:val="21"/>
              </w:rPr>
              <w:t>Are legislative changes needed</w:t>
            </w:r>
            <w:r w:rsidR="00116ACB" w:rsidRPr="0026593F">
              <w:rPr>
                <w:sz w:val="21"/>
                <w:szCs w:val="21"/>
              </w:rPr>
              <w:t>?</w:t>
            </w:r>
          </w:p>
        </w:tc>
        <w:tc>
          <w:tcPr>
            <w:tcW w:w="2250" w:type="dxa"/>
          </w:tcPr>
          <w:p w14:paraId="4FDA3BF4" w14:textId="77777777" w:rsidR="00E45E3B" w:rsidRPr="0026593F" w:rsidRDefault="00116ACB"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Yes</w:t>
            </w:r>
          </w:p>
        </w:tc>
        <w:tc>
          <w:tcPr>
            <w:tcW w:w="2250" w:type="dxa"/>
          </w:tcPr>
          <w:p w14:paraId="023AE4B9" w14:textId="77777777" w:rsidR="00E45E3B" w:rsidRPr="0026593F" w:rsidRDefault="00116ACB"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No, requires new legislation; may require creation of a new entity.</w:t>
            </w:r>
          </w:p>
        </w:tc>
        <w:tc>
          <w:tcPr>
            <w:tcW w:w="2359" w:type="dxa"/>
          </w:tcPr>
          <w:p w14:paraId="286541F5" w14:textId="77777777" w:rsidR="00E45E3B" w:rsidRPr="0026593F" w:rsidRDefault="00116ACB" w:rsidP="00116ACB">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No, requires new legislation and creation of a new state enterprise</w:t>
            </w:r>
          </w:p>
        </w:tc>
      </w:tr>
    </w:tbl>
    <w:p w14:paraId="4E53A86B" w14:textId="77777777" w:rsidR="00E14268" w:rsidRDefault="00E14268" w:rsidP="00234282">
      <w:pPr>
        <w:spacing w:before="0"/>
        <w:rPr>
          <w:i/>
          <w:sz w:val="22"/>
          <w:szCs w:val="22"/>
        </w:rPr>
      </w:pPr>
      <w:r w:rsidRPr="00083833">
        <w:rPr>
          <w:i/>
          <w:sz w:val="22"/>
          <w:szCs w:val="22"/>
        </w:rPr>
        <w:t xml:space="preserve">Source: </w:t>
      </w:r>
      <w:r>
        <w:rPr>
          <w:i/>
          <w:sz w:val="22"/>
          <w:szCs w:val="22"/>
        </w:rPr>
        <w:t xml:space="preserve">Prepared by </w:t>
      </w:r>
      <w:r w:rsidR="00D37F82">
        <w:rPr>
          <w:i/>
          <w:sz w:val="22"/>
          <w:szCs w:val="22"/>
        </w:rPr>
        <w:t>World Bank</w:t>
      </w:r>
    </w:p>
    <w:p w14:paraId="7A7102C2" w14:textId="77777777" w:rsidR="00E14268" w:rsidRPr="00D15BB1" w:rsidRDefault="00E14268" w:rsidP="00E14268">
      <w:pPr>
        <w:pStyle w:val="Heading2"/>
      </w:pPr>
      <w:bookmarkStart w:id="110" w:name="_Toc430985741"/>
      <w:bookmarkStart w:id="111" w:name="_Toc431130566"/>
      <w:bookmarkStart w:id="112" w:name="_Toc446061763"/>
      <w:bookmarkStart w:id="113" w:name="_Toc461093965"/>
      <w:r w:rsidRPr="00D15BB1">
        <w:t xml:space="preserve">Moving Forward on the </w:t>
      </w:r>
      <w:r>
        <w:t>Public Sector</w:t>
      </w:r>
      <w:r w:rsidRPr="00D15BB1">
        <w:t xml:space="preserve"> EE Financing Agenda</w:t>
      </w:r>
      <w:bookmarkEnd w:id="110"/>
      <w:bookmarkEnd w:id="111"/>
      <w:bookmarkEnd w:id="112"/>
      <w:bookmarkEnd w:id="113"/>
    </w:p>
    <w:p w14:paraId="5C83D046" w14:textId="77777777" w:rsidR="00E14268" w:rsidRDefault="00E14268" w:rsidP="00E14268">
      <w:r>
        <w:t xml:space="preserve">Pursuing any one of the three potential options will require deliberate efforts by the </w:t>
      </w:r>
      <w:r w:rsidR="00792F4A">
        <w:t>government</w:t>
      </w:r>
      <w:r>
        <w:t xml:space="preserve"> to:</w:t>
      </w:r>
    </w:p>
    <w:p w14:paraId="47D9FAC0" w14:textId="77777777" w:rsidR="00E14268" w:rsidRDefault="00E14268" w:rsidP="00E14268">
      <w:pPr>
        <w:pStyle w:val="Bulleted"/>
      </w:pPr>
      <w:r>
        <w:t>Identify the sources of the needed investment capital</w:t>
      </w:r>
      <w:r w:rsidR="008644B9">
        <w:t>.</w:t>
      </w:r>
    </w:p>
    <w:p w14:paraId="1075721E" w14:textId="77777777" w:rsidR="00E14268" w:rsidRDefault="00E14268" w:rsidP="00E14268">
      <w:pPr>
        <w:pStyle w:val="Bulleted"/>
      </w:pPr>
      <w:r>
        <w:t>Secure the commitments from IFIs as appropriate</w:t>
      </w:r>
      <w:r w:rsidR="008644B9">
        <w:t>.</w:t>
      </w:r>
    </w:p>
    <w:p w14:paraId="04A79EA0" w14:textId="77777777" w:rsidR="00E14268" w:rsidRDefault="00E14268" w:rsidP="00E14268">
      <w:pPr>
        <w:pStyle w:val="Bulleted"/>
      </w:pPr>
      <w:r>
        <w:t>Implement the needed legislative and regulatory initiatives</w:t>
      </w:r>
      <w:r w:rsidR="008644B9">
        <w:t>.</w:t>
      </w:r>
    </w:p>
    <w:p w14:paraId="2D7D1CAB" w14:textId="77777777" w:rsidR="00E14268" w:rsidRDefault="00E14268" w:rsidP="00E14268">
      <w:pPr>
        <w:pStyle w:val="Bulleted"/>
      </w:pPr>
      <w:r>
        <w:t>Design the delivery system</w:t>
      </w:r>
      <w:r w:rsidR="008644B9">
        <w:t>.</w:t>
      </w:r>
    </w:p>
    <w:p w14:paraId="33C19CF8" w14:textId="77777777" w:rsidR="00E14268" w:rsidRDefault="00E14268" w:rsidP="00E14268">
      <w:pPr>
        <w:pStyle w:val="Bulleted"/>
      </w:pPr>
      <w:r>
        <w:t>Build implementation capacity</w:t>
      </w:r>
      <w:r w:rsidR="008644B9">
        <w:t>.</w:t>
      </w:r>
    </w:p>
    <w:p w14:paraId="25AFAF8F" w14:textId="77777777" w:rsidR="00E14268" w:rsidRDefault="00E14268" w:rsidP="00E14268">
      <w:pPr>
        <w:pStyle w:val="Bulleted"/>
      </w:pPr>
      <w:r>
        <w:t xml:space="preserve">Leverage private sector participation. </w:t>
      </w:r>
    </w:p>
    <w:p w14:paraId="5FEED624" w14:textId="77777777" w:rsidR="00E14268" w:rsidRDefault="004A4D52" w:rsidP="00E14268">
      <w:r>
        <w:t xml:space="preserve">The </w:t>
      </w:r>
      <w:r w:rsidR="003225C0">
        <w:t>G</w:t>
      </w:r>
      <w:r>
        <w:t>overnment</w:t>
      </w:r>
      <w:r w:rsidR="00E14268">
        <w:t xml:space="preserve"> should select one of the options </w:t>
      </w:r>
      <w:r w:rsidR="00C21E1F">
        <w:t xml:space="preserve">for implementation only after </w:t>
      </w:r>
      <w:r w:rsidR="00E14268">
        <w:t>review and consultation with all relevant stakeholders</w:t>
      </w:r>
      <w:r w:rsidR="00C3271C">
        <w:t xml:space="preserve"> – </w:t>
      </w:r>
      <w:r w:rsidR="00E14268">
        <w:t>including government officials, mayors and city councils, private sector representatives, banks and financial institutions, consumer groups, and the IFI community. The next step would then be the detailed design and implementation planning for the selected option.</w:t>
      </w:r>
    </w:p>
    <w:p w14:paraId="689A1112" w14:textId="77777777" w:rsidR="00E14268" w:rsidRDefault="00E14268" w:rsidP="00E14268">
      <w:pPr>
        <w:rPr>
          <w:rFonts w:cs="Helv"/>
          <w:color w:val="000000"/>
        </w:rPr>
      </w:pPr>
      <w:r>
        <w:t xml:space="preserve">In view of the analysis and state of the </w:t>
      </w:r>
      <w:r w:rsidR="007535A0">
        <w:t>Georgia</w:t>
      </w:r>
      <w:r>
        <w:t xml:space="preserve"> market, the World Bank recommends creating a dedicated </w:t>
      </w:r>
      <w:r w:rsidR="007535A0">
        <w:t>GEERF</w:t>
      </w:r>
      <w:r>
        <w:t xml:space="preserve"> for the public sector</w:t>
      </w:r>
      <w:r w:rsidR="00925F48">
        <w:t xml:space="preserve">. </w:t>
      </w:r>
      <w:r w:rsidR="00CF3BB6">
        <w:t xml:space="preserve">The </w:t>
      </w:r>
      <w:r w:rsidR="007535A0">
        <w:t>GEERF</w:t>
      </w:r>
      <w:r w:rsidR="00C21E1F">
        <w:t xml:space="preserve"> </w:t>
      </w:r>
      <w:r w:rsidR="00925F48">
        <w:t xml:space="preserve">should </w:t>
      </w:r>
      <w:r w:rsidR="00C21E1F">
        <w:t xml:space="preserve">be </w:t>
      </w:r>
      <w:r w:rsidR="004A4D52">
        <w:t xml:space="preserve">established as a government-owned </w:t>
      </w:r>
      <w:r w:rsidR="00925F48">
        <w:t>organization and either</w:t>
      </w:r>
      <w:r w:rsidR="00C21E1F">
        <w:t xml:space="preserve"> </w:t>
      </w:r>
      <w:r w:rsidR="00925F48">
        <w:t>managed by an existing entity</w:t>
      </w:r>
      <w:r w:rsidR="004A4D52">
        <w:t xml:space="preserve"> </w:t>
      </w:r>
      <w:r w:rsidR="00925F48">
        <w:t>(</w:t>
      </w:r>
      <w:r w:rsidR="004A4D52">
        <w:t xml:space="preserve">such as </w:t>
      </w:r>
      <w:r w:rsidR="00925F48">
        <w:t xml:space="preserve">MDF or GEDF), or established as </w:t>
      </w:r>
      <w:r w:rsidR="004A4D52">
        <w:t>a new entity</w:t>
      </w:r>
      <w:r w:rsidR="00925F48">
        <w:t xml:space="preserve">. </w:t>
      </w:r>
      <w:r>
        <w:t xml:space="preserve">This would fill a critical gap in public sector EE financing in </w:t>
      </w:r>
      <w:r w:rsidR="007535A0">
        <w:t>Georgia</w:t>
      </w:r>
      <w:r w:rsidR="00C21E1F">
        <w:t xml:space="preserve"> </w:t>
      </w:r>
      <w:r>
        <w:t>and help address perhaps some of the most pressing public sector needs.</w:t>
      </w:r>
      <w:r>
        <w:rPr>
          <w:rFonts w:cs="Helv"/>
          <w:color w:val="000000"/>
        </w:rPr>
        <w:t xml:space="preserve"> </w:t>
      </w:r>
    </w:p>
    <w:p w14:paraId="798DD240" w14:textId="77777777" w:rsidR="00C21E1F" w:rsidRDefault="00C21E1F" w:rsidP="00C21E1F">
      <w:pPr>
        <w:pStyle w:val="Heading2"/>
      </w:pPr>
      <w:bookmarkStart w:id="114" w:name="_Toc461093966"/>
      <w:r>
        <w:t>Possible Funding Structure</w:t>
      </w:r>
      <w:bookmarkEnd w:id="114"/>
    </w:p>
    <w:p w14:paraId="50C7E4F9" w14:textId="77777777" w:rsidR="00C21E1F" w:rsidRDefault="00C21E1F" w:rsidP="00C21E1F">
      <w:r>
        <w:t>A preliminary concept for the proposed finding structure of</w:t>
      </w:r>
      <w:r w:rsidR="00CF3BB6">
        <w:t xml:space="preserve"> the </w:t>
      </w:r>
      <w:r w:rsidR="007535A0">
        <w:t>GEERF</w:t>
      </w:r>
      <w:r>
        <w:t xml:space="preserve"> is summarized below</w:t>
      </w:r>
      <w:r w:rsidR="007554B0">
        <w:t xml:space="preserve"> (see Figure 6.1</w:t>
      </w:r>
      <w:r>
        <w:t>:</w:t>
      </w:r>
    </w:p>
    <w:p w14:paraId="1FA80AE3" w14:textId="77777777" w:rsidR="007554B0" w:rsidRDefault="007554B0" w:rsidP="00667DC8">
      <w:pPr>
        <w:pStyle w:val="FiguresandTables"/>
      </w:pPr>
      <w:r>
        <w:t xml:space="preserve">Figure 6.1 – Possible Funding Structure of </w:t>
      </w:r>
      <w:r w:rsidR="00CF3BB6">
        <w:t xml:space="preserve">the </w:t>
      </w:r>
      <w:r w:rsidR="007535A0">
        <w:t>GEERF</w:t>
      </w:r>
    </w:p>
    <w:p w14:paraId="0CB6658F" w14:textId="77777777" w:rsidR="00925F48" w:rsidRDefault="00925F48" w:rsidP="00E50426">
      <w:pPr>
        <w:pStyle w:val="FiguresandTables"/>
        <w:spacing w:before="20"/>
      </w:pPr>
      <w:r w:rsidRPr="00925F48">
        <w:rPr>
          <w:noProof/>
        </w:rPr>
        <w:drawing>
          <wp:inline distT="0" distB="0" distL="0" distR="0" wp14:anchorId="0056B306" wp14:editId="4331B4E7">
            <wp:extent cx="5067300" cy="2179112"/>
            <wp:effectExtent l="0" t="0" r="0" b="0"/>
            <wp:docPr id="28691" name="Picture 2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75927" cy="2182822"/>
                    </a:xfrm>
                    <a:prstGeom prst="rect">
                      <a:avLst/>
                    </a:prstGeom>
                    <a:noFill/>
                    <a:ln>
                      <a:noFill/>
                    </a:ln>
                  </pic:spPr>
                </pic:pic>
              </a:graphicData>
            </a:graphic>
          </wp:inline>
        </w:drawing>
      </w:r>
    </w:p>
    <w:p w14:paraId="4C62D02D" w14:textId="77777777" w:rsidR="00C21E1F" w:rsidRDefault="00CF3BB6" w:rsidP="0025402C">
      <w:pPr>
        <w:pStyle w:val="Bulleted"/>
      </w:pPr>
      <w:r>
        <w:t xml:space="preserve">The </w:t>
      </w:r>
      <w:r w:rsidR="007535A0">
        <w:t>GEERF</w:t>
      </w:r>
      <w:r w:rsidR="00C21E1F">
        <w:t xml:space="preserve"> </w:t>
      </w:r>
      <w:r w:rsidR="004A4D52">
        <w:t>c</w:t>
      </w:r>
      <w:r w:rsidR="00C21E1F">
        <w:t xml:space="preserve">ould be capitalized with equity of </w:t>
      </w:r>
      <w:r w:rsidR="00925F48">
        <w:t>€</w:t>
      </w:r>
      <w:r w:rsidR="00C677DF" w:rsidRPr="00C21E1F">
        <w:t>10</w:t>
      </w:r>
      <w:r w:rsidR="00C21E1F">
        <w:t xml:space="preserve"> </w:t>
      </w:r>
      <w:r w:rsidR="00C677DF" w:rsidRPr="00C21E1F">
        <w:t>m</w:t>
      </w:r>
      <w:r w:rsidR="00C21E1F">
        <w:t>illion. The equity sources could be the Green Climate Fund (GCF)</w:t>
      </w:r>
      <w:r w:rsidR="004A4D52">
        <w:t xml:space="preserve">, Global Environment Facility (GEF), </w:t>
      </w:r>
      <w:r w:rsidR="00A2633D">
        <w:t>g</w:t>
      </w:r>
      <w:r w:rsidR="004A4D52">
        <w:t>overnment contributions</w:t>
      </w:r>
      <w:r w:rsidR="004116EA">
        <w:t>,</w:t>
      </w:r>
      <w:r w:rsidR="00C21E1F">
        <w:t xml:space="preserve"> and </w:t>
      </w:r>
      <w:r w:rsidR="004A4D52">
        <w:t xml:space="preserve">possibly </w:t>
      </w:r>
      <w:r w:rsidR="00C21E1F">
        <w:t xml:space="preserve">other </w:t>
      </w:r>
      <w:r w:rsidR="00C677DF" w:rsidRPr="00C21E1F">
        <w:t>donors</w:t>
      </w:r>
      <w:r w:rsidR="00C21E1F">
        <w:t>.</w:t>
      </w:r>
    </w:p>
    <w:p w14:paraId="05D93527" w14:textId="77777777" w:rsidR="00C677DF" w:rsidRPr="00C21E1F" w:rsidRDefault="00CF3BB6" w:rsidP="00CF3BB6">
      <w:pPr>
        <w:pStyle w:val="Bulleted"/>
      </w:pPr>
      <w:r w:rsidRPr="00CF3BB6">
        <w:t xml:space="preserve">The </w:t>
      </w:r>
      <w:r w:rsidR="007535A0">
        <w:t>GEERF</w:t>
      </w:r>
      <w:r w:rsidR="00C21E1F">
        <w:t xml:space="preserve"> </w:t>
      </w:r>
      <w:r w:rsidR="004A4D52">
        <w:t>c</w:t>
      </w:r>
      <w:r w:rsidR="00C21E1F">
        <w:t xml:space="preserve">ould </w:t>
      </w:r>
      <w:r w:rsidR="004A4D52">
        <w:t>also be eligible for</w:t>
      </w:r>
      <w:r w:rsidR="00C21E1F">
        <w:t xml:space="preserve"> c</w:t>
      </w:r>
      <w:r w:rsidR="00C677DF" w:rsidRPr="00C21E1F">
        <w:t xml:space="preserve">oncessional debt </w:t>
      </w:r>
      <w:r w:rsidR="00C21E1F">
        <w:t xml:space="preserve">financing </w:t>
      </w:r>
      <w:r w:rsidR="00FA5ADE">
        <w:t xml:space="preserve">and IFI loans </w:t>
      </w:r>
      <w:r w:rsidR="00C677DF" w:rsidRPr="00C21E1F">
        <w:t xml:space="preserve">of </w:t>
      </w:r>
      <w:r w:rsidR="00925F48">
        <w:t>€</w:t>
      </w:r>
      <w:r w:rsidR="00FA5ADE">
        <w:t>25</w:t>
      </w:r>
      <w:r w:rsidR="00F770AD">
        <w:t xml:space="preserve"> </w:t>
      </w:r>
      <w:r w:rsidR="00C677DF" w:rsidRPr="00C21E1F">
        <w:t>m</w:t>
      </w:r>
      <w:r w:rsidR="00F770AD">
        <w:t>illion</w:t>
      </w:r>
      <w:r w:rsidR="00C677DF" w:rsidRPr="00C21E1F">
        <w:t xml:space="preserve"> </w:t>
      </w:r>
      <w:r w:rsidR="00C21E1F">
        <w:t>through</w:t>
      </w:r>
      <w:r w:rsidR="00C677DF" w:rsidRPr="00C21E1F">
        <w:t xml:space="preserve"> GCF loans</w:t>
      </w:r>
      <w:r w:rsidR="004116EA">
        <w:t>.</w:t>
      </w:r>
      <w:r w:rsidR="00C677DF" w:rsidRPr="00C21E1F">
        <w:t xml:space="preserve"> </w:t>
      </w:r>
    </w:p>
    <w:p w14:paraId="78D8D4BC" w14:textId="77777777" w:rsidR="00C677DF" w:rsidRPr="00C21E1F" w:rsidRDefault="00CF3BB6" w:rsidP="0025402C">
      <w:pPr>
        <w:pStyle w:val="Bulleted"/>
      </w:pPr>
      <w:r>
        <w:t xml:space="preserve">The </w:t>
      </w:r>
      <w:r w:rsidR="007535A0">
        <w:t>GEERF</w:t>
      </w:r>
      <w:r w:rsidR="00C21E1F">
        <w:t xml:space="preserve"> can be staffed with a s</w:t>
      </w:r>
      <w:r w:rsidR="00C677DF" w:rsidRPr="00C21E1F">
        <w:t>mall permanent Fund staff</w:t>
      </w:r>
      <w:r w:rsidR="00C21E1F">
        <w:t xml:space="preserve"> </w:t>
      </w:r>
      <w:r w:rsidR="00C677DF" w:rsidRPr="00C21E1F">
        <w:t>with use of consultants</w:t>
      </w:r>
      <w:r w:rsidR="004116EA">
        <w:t>.</w:t>
      </w:r>
    </w:p>
    <w:p w14:paraId="316619A6" w14:textId="77777777" w:rsidR="00BB5276" w:rsidRDefault="00C21E1F" w:rsidP="00BB5276">
      <w:pPr>
        <w:pStyle w:val="Bulleted"/>
      </w:pPr>
      <w:r>
        <w:t>The f</w:t>
      </w:r>
      <w:r w:rsidR="00C677DF" w:rsidRPr="00C21E1F">
        <w:t>ee structure to cover admin</w:t>
      </w:r>
      <w:r w:rsidR="00A2633D">
        <w:t>istrative</w:t>
      </w:r>
      <w:r w:rsidR="00C677DF" w:rsidRPr="00C21E1F">
        <w:t xml:space="preserve"> and overhead costs (prelim</w:t>
      </w:r>
      <w:r w:rsidR="00E50426">
        <w:t>inary</w:t>
      </w:r>
      <w:r w:rsidR="00C677DF" w:rsidRPr="00C21E1F">
        <w:t xml:space="preserve"> audit, procurement, financial structuring, oversight, etc.) </w:t>
      </w:r>
      <w:r>
        <w:t>will be established. It</w:t>
      </w:r>
      <w:r w:rsidR="00A2633D">
        <w:t xml:space="preserve"> </w:t>
      </w:r>
      <w:r>
        <w:t xml:space="preserve">is expected that the initial annual costs would be about </w:t>
      </w:r>
      <w:r w:rsidR="00925F48">
        <w:t>€</w:t>
      </w:r>
      <w:r w:rsidR="007B43AF">
        <w:t>600,000</w:t>
      </w:r>
      <w:r w:rsidR="00FA5ADE">
        <w:t>.</w:t>
      </w:r>
      <w:r>
        <w:t xml:space="preserve"> </w:t>
      </w:r>
    </w:p>
    <w:p w14:paraId="34F2B7C4" w14:textId="77777777" w:rsidR="00234282" w:rsidRDefault="00234282" w:rsidP="00234282">
      <w:pPr>
        <w:pStyle w:val="Heading2"/>
      </w:pPr>
      <w:bookmarkStart w:id="115" w:name="_Toc461093967"/>
      <w:r>
        <w:t>Results</w:t>
      </w:r>
      <w:bookmarkEnd w:id="115"/>
    </w:p>
    <w:p w14:paraId="5E80B876" w14:textId="77777777" w:rsidR="00F770AD" w:rsidRDefault="00CF3BB6" w:rsidP="00F770AD">
      <w:r>
        <w:t xml:space="preserve">The </w:t>
      </w:r>
      <w:r w:rsidR="00F770AD">
        <w:t xml:space="preserve">GEERF would make </w:t>
      </w:r>
      <w:r w:rsidR="00810833">
        <w:t>investments in EE projects of €5</w:t>
      </w:r>
      <w:r w:rsidR="00F770AD">
        <w:t xml:space="preserve">.0 million in </w:t>
      </w:r>
      <w:r w:rsidR="00E50426">
        <w:t>Y</w:t>
      </w:r>
      <w:r w:rsidR="00F770AD">
        <w:t xml:space="preserve">ears 1 </w:t>
      </w:r>
      <w:r w:rsidR="00810833">
        <w:t>and 2</w:t>
      </w:r>
      <w:r w:rsidR="00F770AD">
        <w:t>, increasing to €</w:t>
      </w:r>
      <w:r w:rsidR="00810833">
        <w:t>6.0</w:t>
      </w:r>
      <w:r w:rsidR="00F770AD">
        <w:t xml:space="preserve"> million per year from </w:t>
      </w:r>
      <w:r w:rsidR="00E50426">
        <w:t xml:space="preserve">Years </w:t>
      </w:r>
      <w:r w:rsidR="00810833">
        <w:t xml:space="preserve">3 through 5, and </w:t>
      </w:r>
      <w:r w:rsidR="00F770AD">
        <w:t>€</w:t>
      </w:r>
      <w:r w:rsidR="00810833">
        <w:t>7</w:t>
      </w:r>
      <w:r w:rsidR="00F770AD">
        <w:t xml:space="preserve">.0 million from </w:t>
      </w:r>
      <w:r w:rsidR="00E50426">
        <w:t>Y</w:t>
      </w:r>
      <w:r w:rsidR="00F770AD">
        <w:t xml:space="preserve">ears </w:t>
      </w:r>
      <w:r w:rsidR="00810833">
        <w:t>6</w:t>
      </w:r>
      <w:r w:rsidR="00F770AD">
        <w:t xml:space="preserve"> to 15. The typical simple paybacks would be in the range of about 7 years and the GEERF would be likely to achieve breakeven in terms of covering its administrative and overhead costs and fees from its revenues from Year </w:t>
      </w:r>
      <w:r w:rsidR="00810833">
        <w:t>3</w:t>
      </w:r>
      <w:r w:rsidR="00F770AD">
        <w:t xml:space="preserve"> onwards. </w:t>
      </w:r>
      <w:r w:rsidR="00A2633D">
        <w:t xml:space="preserve">The </w:t>
      </w:r>
      <w:r w:rsidR="00F770AD">
        <w:t>GEERF could invest €</w:t>
      </w:r>
      <w:r w:rsidR="00810833">
        <w:t>28</w:t>
      </w:r>
      <w:r w:rsidR="00F770AD">
        <w:t xml:space="preserve"> million by Year 5 and it is assumed that it will ne</w:t>
      </w:r>
      <w:r w:rsidR="00810833">
        <w:t>ed recapitalization of about €20</w:t>
      </w:r>
      <w:r w:rsidR="00F770AD">
        <w:t xml:space="preserve"> million in Year 6.</w:t>
      </w:r>
    </w:p>
    <w:p w14:paraId="0B31740B" w14:textId="77777777" w:rsidR="00F770AD" w:rsidRDefault="00F770AD" w:rsidP="00F770AD">
      <w:pPr>
        <w:spacing w:after="60"/>
      </w:pPr>
      <w:r>
        <w:t>Estimated results based on a preliminary financial model would be:</w:t>
      </w:r>
    </w:p>
    <w:p w14:paraId="033D7010" w14:textId="77777777" w:rsidR="00F770AD" w:rsidRDefault="00F770AD" w:rsidP="00F770AD">
      <w:pPr>
        <w:pStyle w:val="Bulleted"/>
        <w:spacing w:before="20" w:after="20"/>
      </w:pPr>
      <w:r>
        <w:t>Cumulative proje</w:t>
      </w:r>
      <w:r w:rsidR="00810833">
        <w:t>ct investments by Year 15 - €98</w:t>
      </w:r>
      <w:r>
        <w:t xml:space="preserve"> million</w:t>
      </w:r>
    </w:p>
    <w:p w14:paraId="6700D3C7" w14:textId="77777777" w:rsidR="00F770AD" w:rsidRDefault="00F770AD" w:rsidP="00F770AD">
      <w:pPr>
        <w:pStyle w:val="Bulleted"/>
        <w:spacing w:before="20" w:after="20"/>
      </w:pPr>
      <w:r>
        <w:t>Net equity after Year 15 - €</w:t>
      </w:r>
      <w:r w:rsidR="00652B47">
        <w:t>13.0</w:t>
      </w:r>
      <w:r>
        <w:t xml:space="preserve"> million</w:t>
      </w:r>
    </w:p>
    <w:p w14:paraId="25C95B74" w14:textId="77777777" w:rsidR="00F770AD" w:rsidRDefault="00F770AD" w:rsidP="00F770AD">
      <w:pPr>
        <w:pStyle w:val="Bulleted"/>
        <w:spacing w:before="20" w:after="20"/>
      </w:pPr>
      <w:r>
        <w:t xml:space="preserve">Annual </w:t>
      </w:r>
      <w:r w:rsidR="00810833">
        <w:t xml:space="preserve">energy savings - </w:t>
      </w:r>
      <w:r w:rsidR="006B0DE6">
        <w:t>147</w:t>
      </w:r>
      <w:r>
        <w:t xml:space="preserve"> GWh</w:t>
      </w:r>
    </w:p>
    <w:p w14:paraId="38C639AC" w14:textId="77777777" w:rsidR="00F770AD" w:rsidRDefault="00F770AD" w:rsidP="00F770AD">
      <w:pPr>
        <w:pStyle w:val="Bulleted"/>
        <w:spacing w:before="20" w:after="20"/>
      </w:pPr>
      <w:r>
        <w:t xml:space="preserve">Annual government budget savings </w:t>
      </w:r>
      <w:r w:rsidR="00EC189F">
        <w:t xml:space="preserve">by Year 15 </w:t>
      </w:r>
      <w:r>
        <w:t>- about €</w:t>
      </w:r>
      <w:r w:rsidR="00810833">
        <w:t>1</w:t>
      </w:r>
      <w:r>
        <w:t>4 million</w:t>
      </w:r>
    </w:p>
    <w:p w14:paraId="279F4EBB" w14:textId="77777777" w:rsidR="00F770AD" w:rsidRDefault="00F770AD" w:rsidP="00F770AD">
      <w:pPr>
        <w:pStyle w:val="Bulleted"/>
        <w:spacing w:before="20" w:after="20"/>
      </w:pPr>
      <w:r>
        <w:t xml:space="preserve">Lifetime energy savings </w:t>
      </w:r>
      <w:r w:rsidR="00CF4680">
        <w:t>-</w:t>
      </w:r>
      <w:r>
        <w:t xml:space="preserve"> </w:t>
      </w:r>
      <w:r w:rsidR="00CF4680">
        <w:t>2,198</w:t>
      </w:r>
      <w:r>
        <w:t xml:space="preserve"> GWh</w:t>
      </w:r>
    </w:p>
    <w:p w14:paraId="259C2E35" w14:textId="77777777" w:rsidR="00F770AD" w:rsidRDefault="00F770AD" w:rsidP="00F770AD">
      <w:pPr>
        <w:pStyle w:val="Bulleted"/>
        <w:spacing w:before="20" w:after="20"/>
      </w:pPr>
      <w:r>
        <w:t xml:space="preserve">Lifetime GHG reductions </w:t>
      </w:r>
      <w:r w:rsidR="00CF4680">
        <w:t>-</w:t>
      </w:r>
      <w:r>
        <w:t xml:space="preserve"> </w:t>
      </w:r>
      <w:r w:rsidR="00CF4680">
        <w:t>1.1</w:t>
      </w:r>
      <w:r w:rsidR="00810833">
        <w:t xml:space="preserve"> million</w:t>
      </w:r>
      <w:r>
        <w:t xml:space="preserve"> tons of CO</w:t>
      </w:r>
      <w:r w:rsidRPr="001A187D">
        <w:rPr>
          <w:vertAlign w:val="subscript"/>
        </w:rPr>
        <w:t>2</w:t>
      </w:r>
      <w:r>
        <w:t>e</w:t>
      </w:r>
    </w:p>
    <w:p w14:paraId="73A56BA9" w14:textId="77777777" w:rsidR="00CF4680" w:rsidRDefault="00EC189F" w:rsidP="00CF4680">
      <w:pPr>
        <w:pStyle w:val="Bulleted"/>
        <w:spacing w:before="20" w:after="20"/>
      </w:pPr>
      <w:r>
        <w:t xml:space="preserve">Increase in green employment - </w:t>
      </w:r>
      <w:r w:rsidR="00CF4680">
        <w:t>1,</w:t>
      </w:r>
      <w:r>
        <w:t>6</w:t>
      </w:r>
      <w:r w:rsidR="00CF4680">
        <w:t>00 jobs</w:t>
      </w:r>
    </w:p>
    <w:p w14:paraId="2C202C61" w14:textId="77777777" w:rsidR="00E14268" w:rsidRPr="00BB3617" w:rsidRDefault="00E14268" w:rsidP="00E14268">
      <w:pPr>
        <w:pStyle w:val="Heading2"/>
      </w:pPr>
      <w:bookmarkStart w:id="116" w:name="_Toc446061764"/>
      <w:bookmarkStart w:id="117" w:name="_Toc461093968"/>
      <w:r w:rsidRPr="00BB3617">
        <w:t>Road</w:t>
      </w:r>
      <w:r>
        <w:t>map for E</w:t>
      </w:r>
      <w:r w:rsidRPr="00BB3617">
        <w:t xml:space="preserve">stablishing </w:t>
      </w:r>
      <w:r>
        <w:t xml:space="preserve">the </w:t>
      </w:r>
      <w:r w:rsidR="007535A0">
        <w:t>GEERF</w:t>
      </w:r>
      <w:bookmarkEnd w:id="116"/>
      <w:bookmarkEnd w:id="117"/>
    </w:p>
    <w:p w14:paraId="695353FC" w14:textId="77777777" w:rsidR="00E14268" w:rsidRPr="00BB3617" w:rsidRDefault="00E14268" w:rsidP="00E14268">
      <w:r w:rsidRPr="00BB3617">
        <w:t xml:space="preserve">The </w:t>
      </w:r>
      <w:r>
        <w:t>major</w:t>
      </w:r>
      <w:r w:rsidRPr="00BB3617">
        <w:t xml:space="preserve"> steps in establishing </w:t>
      </w:r>
      <w:r>
        <w:t xml:space="preserve">the </w:t>
      </w:r>
      <w:r w:rsidR="007535A0">
        <w:t>GEERF</w:t>
      </w:r>
      <w:r>
        <w:t xml:space="preserve"> </w:t>
      </w:r>
      <w:r w:rsidRPr="00BB3617">
        <w:t xml:space="preserve">are shown in Figure </w:t>
      </w:r>
      <w:r>
        <w:t>6.1</w:t>
      </w:r>
      <w:r w:rsidRPr="00BB3617">
        <w:t>.</w:t>
      </w:r>
    </w:p>
    <w:p w14:paraId="3CC9E714" w14:textId="77777777" w:rsidR="00E14268" w:rsidRDefault="00E14268" w:rsidP="00E14268">
      <w:pPr>
        <w:pStyle w:val="FiguresandTables"/>
      </w:pPr>
      <w:r w:rsidRPr="00BB3617">
        <w:t xml:space="preserve">Figure </w:t>
      </w:r>
      <w:r>
        <w:t>6.1</w:t>
      </w:r>
      <w:r w:rsidRPr="00BB3617">
        <w:t xml:space="preserve"> – Road Map for Establishing </w:t>
      </w:r>
      <w:r>
        <w:t xml:space="preserve">the </w:t>
      </w:r>
      <w:r w:rsidR="007535A0">
        <w:t>GEERF</w:t>
      </w:r>
      <w:r w:rsidRPr="00BB3617">
        <w:t xml:space="preserve"> </w:t>
      </w:r>
    </w:p>
    <w:p w14:paraId="28B2BFC3" w14:textId="77777777" w:rsidR="00E14268" w:rsidRDefault="00E14268" w:rsidP="004116EA">
      <w:pPr>
        <w:spacing w:before="60" w:after="0"/>
        <w:jc w:val="center"/>
        <w:rPr>
          <w:i/>
          <w:sz w:val="22"/>
          <w:szCs w:val="22"/>
        </w:rPr>
      </w:pPr>
      <w:r w:rsidRPr="00061B71">
        <w:rPr>
          <w:noProof/>
        </w:rPr>
        <w:drawing>
          <wp:inline distT="0" distB="0" distL="0" distR="0" wp14:anchorId="62B2FFD6" wp14:editId="080DA0DE">
            <wp:extent cx="4593991" cy="36986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08561" cy="3710361"/>
                    </a:xfrm>
                    <a:prstGeom prst="rect">
                      <a:avLst/>
                    </a:prstGeom>
                    <a:noFill/>
                    <a:ln>
                      <a:noFill/>
                    </a:ln>
                  </pic:spPr>
                </pic:pic>
              </a:graphicData>
            </a:graphic>
          </wp:inline>
        </w:drawing>
      </w:r>
    </w:p>
    <w:p w14:paraId="6C7358FB" w14:textId="77777777" w:rsidR="007554B0" w:rsidRDefault="007554B0" w:rsidP="00E14268">
      <w:pPr>
        <w:spacing w:before="60" w:after="0"/>
        <w:rPr>
          <w:i/>
          <w:sz w:val="22"/>
          <w:szCs w:val="22"/>
        </w:rPr>
      </w:pPr>
    </w:p>
    <w:p w14:paraId="2029776B" w14:textId="77777777" w:rsidR="007554B0" w:rsidRDefault="00BC17E0" w:rsidP="007554B0">
      <w:pPr>
        <w:pStyle w:val="Heading2"/>
      </w:pPr>
      <w:bookmarkStart w:id="118" w:name="_Toc461093969"/>
      <w:r>
        <w:t xml:space="preserve">Advantages of </w:t>
      </w:r>
      <w:r w:rsidR="00C17E4C">
        <w:t xml:space="preserve">the </w:t>
      </w:r>
      <w:r w:rsidR="007535A0">
        <w:t>GEERF</w:t>
      </w:r>
      <w:bookmarkEnd w:id="118"/>
    </w:p>
    <w:p w14:paraId="71D6FC70" w14:textId="77777777" w:rsidR="00BC17E0" w:rsidRPr="00BC17E0" w:rsidRDefault="00BC17E0" w:rsidP="00BC17E0">
      <w:r>
        <w:t xml:space="preserve">It is recommended that </w:t>
      </w:r>
      <w:r w:rsidR="00C17E4C">
        <w:t xml:space="preserve">the </w:t>
      </w:r>
      <w:r w:rsidR="007535A0">
        <w:t>GEERF</w:t>
      </w:r>
      <w:r>
        <w:t xml:space="preserve"> be initially established </w:t>
      </w:r>
      <w:r w:rsidR="004116EA">
        <w:t xml:space="preserve">as a government-owned </w:t>
      </w:r>
      <w:r w:rsidR="00FA5ADE">
        <w:t xml:space="preserve">organization </w:t>
      </w:r>
      <w:r w:rsidR="004116EA">
        <w:t xml:space="preserve">managed by </w:t>
      </w:r>
      <w:r w:rsidR="00FA5ADE">
        <w:t xml:space="preserve">MDF, or established as a new, independent entity </w:t>
      </w:r>
      <w:r w:rsidR="009E48C0">
        <w:t xml:space="preserve">to </w:t>
      </w:r>
      <w:r>
        <w:t xml:space="preserve">serve the needs of central government agencies. </w:t>
      </w:r>
      <w:r w:rsidR="00C17E4C">
        <w:t xml:space="preserve">It </w:t>
      </w:r>
      <w:r>
        <w:t xml:space="preserve">will be </w:t>
      </w:r>
      <w:r w:rsidRPr="009E48C0">
        <w:rPr>
          <w:iCs/>
        </w:rPr>
        <w:t xml:space="preserve">governed by a </w:t>
      </w:r>
      <w:r w:rsidR="00FA5ADE">
        <w:rPr>
          <w:iCs/>
        </w:rPr>
        <w:t>GOG</w:t>
      </w:r>
      <w:r w:rsidR="009E48C0" w:rsidRPr="009E48C0">
        <w:rPr>
          <w:iCs/>
        </w:rPr>
        <w:t>-</w:t>
      </w:r>
      <w:r w:rsidRPr="009E48C0">
        <w:rPr>
          <w:iCs/>
        </w:rPr>
        <w:t xml:space="preserve">appointed </w:t>
      </w:r>
      <w:r w:rsidR="009E48C0" w:rsidRPr="009E48C0">
        <w:rPr>
          <w:iCs/>
        </w:rPr>
        <w:t>B</w:t>
      </w:r>
      <w:r w:rsidRPr="009E48C0">
        <w:rPr>
          <w:iCs/>
        </w:rPr>
        <w:t>oard of Directors compris</w:t>
      </w:r>
      <w:r w:rsidR="00906258">
        <w:rPr>
          <w:iCs/>
        </w:rPr>
        <w:t>ed</w:t>
      </w:r>
      <w:r w:rsidRPr="009E48C0">
        <w:rPr>
          <w:iCs/>
        </w:rPr>
        <w:t xml:space="preserve"> of public and private sector members.</w:t>
      </w:r>
      <w:r w:rsidR="009E48C0">
        <w:rPr>
          <w:iCs/>
        </w:rPr>
        <w:t xml:space="preserve"> It will </w:t>
      </w:r>
      <w:r w:rsidR="00095360">
        <w:rPr>
          <w:iCs/>
        </w:rPr>
        <w:t>offer</w:t>
      </w:r>
      <w:r w:rsidR="009E48C0">
        <w:rPr>
          <w:iCs/>
        </w:rPr>
        <w:t xml:space="preserve"> the following advantages:</w:t>
      </w:r>
    </w:p>
    <w:p w14:paraId="5F9F5A35" w14:textId="77777777" w:rsidR="00C677DF" w:rsidRPr="00BC17E0" w:rsidRDefault="00C17E4C" w:rsidP="00BC17E0">
      <w:pPr>
        <w:pStyle w:val="Bulleted"/>
      </w:pPr>
      <w:r>
        <w:t xml:space="preserve">The </w:t>
      </w:r>
      <w:r w:rsidR="007535A0">
        <w:t>GEERF</w:t>
      </w:r>
      <w:r w:rsidR="009E48C0">
        <w:t xml:space="preserve"> will </w:t>
      </w:r>
      <w:r w:rsidR="00095360">
        <w:t>represent</w:t>
      </w:r>
      <w:r w:rsidR="00C677DF" w:rsidRPr="00BC17E0">
        <w:t xml:space="preserve"> the interests of all the relevant stakeholders (including various Ministries and private sector stakeholders)</w:t>
      </w:r>
      <w:r w:rsidR="00A2633D">
        <w:t>.</w:t>
      </w:r>
    </w:p>
    <w:p w14:paraId="7F549777" w14:textId="77777777" w:rsidR="00C677DF" w:rsidRPr="00BC17E0" w:rsidRDefault="00C677DF" w:rsidP="00BC17E0">
      <w:pPr>
        <w:pStyle w:val="Bulleted"/>
      </w:pPr>
      <w:r w:rsidRPr="00BC17E0">
        <w:t>Fund management can be independent and thus avoid political influence.</w:t>
      </w:r>
    </w:p>
    <w:p w14:paraId="6B43A5DE" w14:textId="77777777" w:rsidR="00C677DF" w:rsidRPr="00BC17E0" w:rsidRDefault="00C17E4C" w:rsidP="00BC17E0">
      <w:pPr>
        <w:pStyle w:val="Bulleted"/>
      </w:pPr>
      <w:r>
        <w:t xml:space="preserve">The </w:t>
      </w:r>
      <w:r w:rsidR="00FA5ADE">
        <w:t>GEERF can</w:t>
      </w:r>
      <w:r w:rsidR="009E48C0">
        <w:t xml:space="preserve"> allow pooling of government and </w:t>
      </w:r>
      <w:r w:rsidR="00C677DF" w:rsidRPr="00BC17E0">
        <w:t>donor funds to avoid parallel initiatives</w:t>
      </w:r>
      <w:r w:rsidR="00A2633D">
        <w:t>.</w:t>
      </w:r>
    </w:p>
    <w:p w14:paraId="1D3F1662" w14:textId="77777777" w:rsidR="00C677DF" w:rsidRPr="00BC17E0" w:rsidRDefault="00C677DF" w:rsidP="00BC17E0">
      <w:pPr>
        <w:pStyle w:val="Bulleted"/>
      </w:pPr>
      <w:r w:rsidRPr="00BC17E0">
        <w:t>The Board can select a highly qualified management team</w:t>
      </w:r>
      <w:r w:rsidR="00A2633D">
        <w:t>.</w:t>
      </w:r>
      <w:r w:rsidRPr="00BC17E0">
        <w:t xml:space="preserve"> </w:t>
      </w:r>
    </w:p>
    <w:p w14:paraId="184A7443" w14:textId="77777777" w:rsidR="00C677DF" w:rsidRPr="00BC17E0" w:rsidRDefault="00C677DF" w:rsidP="00BC17E0">
      <w:pPr>
        <w:pStyle w:val="Bulleted"/>
      </w:pPr>
      <w:r w:rsidRPr="00BC17E0">
        <w:t>Fund management staff would be long-term and could be compensated at market-based levels</w:t>
      </w:r>
      <w:r w:rsidR="00A2633D">
        <w:t>.</w:t>
      </w:r>
    </w:p>
    <w:p w14:paraId="7B5AECD4" w14:textId="77777777" w:rsidR="00C677DF" w:rsidRPr="00BC17E0" w:rsidRDefault="00C677DF" w:rsidP="00BC17E0">
      <w:pPr>
        <w:pStyle w:val="Bulleted"/>
      </w:pPr>
      <w:r w:rsidRPr="00BC17E0">
        <w:t>The Fund may not have to comply with government procurement rules and bureaucratic procedures.</w:t>
      </w:r>
    </w:p>
    <w:p w14:paraId="6A3C6D96" w14:textId="77777777" w:rsidR="00C677DF" w:rsidRPr="00BC17E0" w:rsidRDefault="009E48C0" w:rsidP="00BC17E0">
      <w:pPr>
        <w:pStyle w:val="Bulleted"/>
      </w:pPr>
      <w:r>
        <w:t>It can</w:t>
      </w:r>
      <w:r w:rsidR="00C677DF" w:rsidRPr="00BC17E0">
        <w:t xml:space="preserve"> operate with more flexibility and faster decision-making than a government agency.</w:t>
      </w:r>
    </w:p>
    <w:p w14:paraId="2B44F4FA" w14:textId="77777777" w:rsidR="00BC17E0" w:rsidRDefault="009E48C0" w:rsidP="009E48C0">
      <w:pPr>
        <w:pStyle w:val="Heading2"/>
      </w:pPr>
      <w:bookmarkStart w:id="119" w:name="_Toc461093970"/>
      <w:r>
        <w:t>Concluding Remarks</w:t>
      </w:r>
      <w:bookmarkEnd w:id="119"/>
    </w:p>
    <w:p w14:paraId="0F76DA5D" w14:textId="77777777" w:rsidR="00C677DF" w:rsidRPr="009E48C0" w:rsidRDefault="00B220C9" w:rsidP="004116EA">
      <w:r w:rsidRPr="006D6F72">
        <w:t xml:space="preserve">It is anticipated that </w:t>
      </w:r>
      <w:r w:rsidR="00C17E4C">
        <w:t xml:space="preserve">the </w:t>
      </w:r>
      <w:r w:rsidR="007535A0" w:rsidRPr="006D6F72">
        <w:t>GEERF</w:t>
      </w:r>
      <w:r w:rsidR="00C677DF" w:rsidRPr="006D6F72">
        <w:t xml:space="preserve"> can </w:t>
      </w:r>
      <w:r w:rsidR="00C677DF" w:rsidRPr="006D6F72">
        <w:rPr>
          <w:bCs/>
          <w:iCs/>
        </w:rPr>
        <w:t xml:space="preserve">reduce annual </w:t>
      </w:r>
      <w:r w:rsidR="009E48C0" w:rsidRPr="006D6F72">
        <w:rPr>
          <w:bCs/>
          <w:iCs/>
        </w:rPr>
        <w:t>central government</w:t>
      </w:r>
      <w:r w:rsidR="00C677DF" w:rsidRPr="006D6F72">
        <w:rPr>
          <w:bCs/>
          <w:iCs/>
        </w:rPr>
        <w:t xml:space="preserve"> energy spending by </w:t>
      </w:r>
      <w:r w:rsidR="00925F48" w:rsidRPr="006D6F72">
        <w:t>€</w:t>
      </w:r>
      <w:r w:rsidR="006D6F72">
        <w:t>4</w:t>
      </w:r>
      <w:r w:rsidR="00CE5F06">
        <w:t xml:space="preserve"> to </w:t>
      </w:r>
      <w:r w:rsidR="00FA5ADE" w:rsidRPr="006D6F72">
        <w:t>5</w:t>
      </w:r>
      <w:r w:rsidR="00C677DF" w:rsidRPr="006D6F72">
        <w:t xml:space="preserve"> million</w:t>
      </w:r>
      <w:r w:rsidR="009E48C0" w:rsidRPr="006D6F72">
        <w:t xml:space="preserve"> and</w:t>
      </w:r>
      <w:r w:rsidR="00C677DF" w:rsidRPr="006D6F72">
        <w:t xml:space="preserve"> help meet national EE targets</w:t>
      </w:r>
      <w:r w:rsidRPr="006D6F72">
        <w:t xml:space="preserve">. </w:t>
      </w:r>
      <w:r w:rsidR="00C17E4C">
        <w:rPr>
          <w:bCs/>
          <w:iCs/>
        </w:rPr>
        <w:t>It</w:t>
      </w:r>
      <w:r w:rsidR="00C17E4C" w:rsidRPr="006D6F72">
        <w:rPr>
          <w:bCs/>
          <w:iCs/>
        </w:rPr>
        <w:t xml:space="preserve"> </w:t>
      </w:r>
      <w:r w:rsidR="009E48C0" w:rsidRPr="006D6F72">
        <w:rPr>
          <w:bCs/>
          <w:iCs/>
        </w:rPr>
        <w:t xml:space="preserve">will </w:t>
      </w:r>
      <w:r w:rsidRPr="006D6F72">
        <w:rPr>
          <w:bCs/>
          <w:iCs/>
        </w:rPr>
        <w:t xml:space="preserve">also </w:t>
      </w:r>
      <w:r w:rsidR="009E48C0" w:rsidRPr="006D6F72">
        <w:rPr>
          <w:bCs/>
          <w:iCs/>
        </w:rPr>
        <w:t>provide s</w:t>
      </w:r>
      <w:r w:rsidR="00C677DF" w:rsidRPr="006D6F72">
        <w:rPr>
          <w:bCs/>
          <w:iCs/>
        </w:rPr>
        <w:t>ignificant co-benefits</w:t>
      </w:r>
      <w:r w:rsidR="009E48C0" w:rsidRPr="006D6F72">
        <w:rPr>
          <w:bCs/>
          <w:iCs/>
        </w:rPr>
        <w:t>,</w:t>
      </w:r>
      <w:r w:rsidR="00C677DF" w:rsidRPr="006D6F72">
        <w:rPr>
          <w:bCs/>
          <w:iCs/>
        </w:rPr>
        <w:t xml:space="preserve"> </w:t>
      </w:r>
      <w:r w:rsidR="00C677DF" w:rsidRPr="006D6F72">
        <w:t>includ</w:t>
      </w:r>
      <w:r w:rsidR="009E48C0" w:rsidRPr="006D6F72">
        <w:t>ing</w:t>
      </w:r>
      <w:r w:rsidR="00C677DF" w:rsidRPr="006D6F72">
        <w:rPr>
          <w:bCs/>
          <w:iCs/>
        </w:rPr>
        <w:t xml:space="preserve"> </w:t>
      </w:r>
      <w:r w:rsidR="00C677DF" w:rsidRPr="006D6F72">
        <w:t>reduced energy imports and public energy costs, improved comfort levels,</w:t>
      </w:r>
      <w:r w:rsidR="00C677DF" w:rsidRPr="009E48C0">
        <w:t xml:space="preserve"> refurbished public building stock, creation of </w:t>
      </w:r>
      <w:r w:rsidR="009E48C0">
        <w:t xml:space="preserve">an ESCO industry and new </w:t>
      </w:r>
      <w:r w:rsidR="00C677DF" w:rsidRPr="009E48C0">
        <w:t xml:space="preserve">jobs, </w:t>
      </w:r>
      <w:r w:rsidR="009E48C0">
        <w:t xml:space="preserve">and </w:t>
      </w:r>
      <w:r w:rsidR="00C677DF" w:rsidRPr="009E48C0">
        <w:t>reduced GHG emissions</w:t>
      </w:r>
      <w:r w:rsidR="002D1110">
        <w:t>.</w:t>
      </w:r>
    </w:p>
    <w:p w14:paraId="5DA3D675" w14:textId="77777777" w:rsidR="00C677DF" w:rsidRPr="009E48C0" w:rsidRDefault="00C17E4C" w:rsidP="004116EA">
      <w:r>
        <w:t>It</w:t>
      </w:r>
      <w:r w:rsidRPr="009E48C0">
        <w:t xml:space="preserve"> </w:t>
      </w:r>
      <w:r w:rsidR="00C677DF" w:rsidRPr="009E48C0">
        <w:t xml:space="preserve">will be </w:t>
      </w:r>
      <w:r w:rsidR="00C677DF" w:rsidRPr="009E48C0">
        <w:rPr>
          <w:bCs/>
          <w:iCs/>
        </w:rPr>
        <w:t>sustainable</w:t>
      </w:r>
      <w:r w:rsidR="00B220C9">
        <w:rPr>
          <w:bCs/>
          <w:iCs/>
        </w:rPr>
        <w:t>,</w:t>
      </w:r>
      <w:r w:rsidR="00C677DF" w:rsidRPr="009E48C0">
        <w:rPr>
          <w:bCs/>
          <w:iCs/>
        </w:rPr>
        <w:t xml:space="preserve"> </w:t>
      </w:r>
      <w:r w:rsidR="00B220C9">
        <w:rPr>
          <w:bCs/>
          <w:iCs/>
        </w:rPr>
        <w:t xml:space="preserve">since </w:t>
      </w:r>
      <w:r w:rsidR="00C677DF" w:rsidRPr="009E48C0">
        <w:t xml:space="preserve">no recurring </w:t>
      </w:r>
      <w:r w:rsidR="00CE5F06">
        <w:t>g</w:t>
      </w:r>
      <w:r w:rsidR="00C677DF" w:rsidRPr="009E48C0">
        <w:t xml:space="preserve">overnment budget </w:t>
      </w:r>
      <w:r w:rsidR="009E48C0">
        <w:t xml:space="preserve">will be </w:t>
      </w:r>
      <w:r w:rsidR="00C677DF" w:rsidRPr="009E48C0">
        <w:t>needed</w:t>
      </w:r>
      <w:r w:rsidR="00B220C9">
        <w:t>,</w:t>
      </w:r>
      <w:r w:rsidR="00C677DF" w:rsidRPr="009E48C0">
        <w:t xml:space="preserve"> and </w:t>
      </w:r>
      <w:r w:rsidR="00C677DF" w:rsidRPr="009E48C0">
        <w:rPr>
          <w:bCs/>
          <w:iCs/>
        </w:rPr>
        <w:t xml:space="preserve">operate on a revolving basis for </w:t>
      </w:r>
      <w:r>
        <w:rPr>
          <w:bCs/>
          <w:iCs/>
        </w:rPr>
        <w:t xml:space="preserve">more than </w:t>
      </w:r>
      <w:r w:rsidR="00C677DF" w:rsidRPr="009E48C0">
        <w:rPr>
          <w:bCs/>
          <w:iCs/>
        </w:rPr>
        <w:t>20</w:t>
      </w:r>
      <w:r w:rsidRPr="009E48C0">
        <w:rPr>
          <w:bCs/>
          <w:iCs/>
        </w:rPr>
        <w:t xml:space="preserve"> </w:t>
      </w:r>
      <w:r w:rsidR="00C677DF" w:rsidRPr="009E48C0">
        <w:rPr>
          <w:bCs/>
          <w:iCs/>
        </w:rPr>
        <w:t>years</w:t>
      </w:r>
      <w:r w:rsidR="00B220C9">
        <w:rPr>
          <w:bCs/>
          <w:iCs/>
        </w:rPr>
        <w:t xml:space="preserve">. It </w:t>
      </w:r>
      <w:r w:rsidR="00C677DF" w:rsidRPr="009E48C0">
        <w:t xml:space="preserve">can provide </w:t>
      </w:r>
      <w:r w:rsidR="00B220C9">
        <w:t xml:space="preserve">the </w:t>
      </w:r>
      <w:r w:rsidR="00C677DF" w:rsidRPr="009E48C0">
        <w:rPr>
          <w:bCs/>
          <w:iCs/>
        </w:rPr>
        <w:t xml:space="preserve">basis for extension or replication </w:t>
      </w:r>
      <w:r w:rsidR="00C677DF" w:rsidRPr="009E48C0">
        <w:t xml:space="preserve">to other municipal sectors (e.g., </w:t>
      </w:r>
      <w:r w:rsidR="00B220C9">
        <w:t xml:space="preserve">street </w:t>
      </w:r>
      <w:r w:rsidR="00C677DF" w:rsidRPr="009E48C0">
        <w:t>lighting, water</w:t>
      </w:r>
      <w:r w:rsidR="00B220C9">
        <w:t xml:space="preserve"> pumping, etc.</w:t>
      </w:r>
      <w:r w:rsidR="00C677DF" w:rsidRPr="009E48C0">
        <w:t>)</w:t>
      </w:r>
      <w:r w:rsidR="00210143">
        <w:t>.</w:t>
      </w:r>
    </w:p>
    <w:p w14:paraId="71673AF1" w14:textId="77777777" w:rsidR="00EC64C4" w:rsidRDefault="00E14268" w:rsidP="00E14268">
      <w:pPr>
        <w:pStyle w:val="Heading1"/>
      </w:pPr>
      <w:r>
        <w:rPr>
          <w:rFonts w:cs="Helv"/>
          <w:color w:val="000000"/>
        </w:rPr>
        <w:br w:type="page"/>
      </w:r>
      <w:bookmarkStart w:id="120" w:name="_Toc461093971"/>
      <w:r w:rsidR="00EC64C4">
        <w:t xml:space="preserve">SECTION 7 - </w:t>
      </w:r>
      <w:r w:rsidR="00EC64C4">
        <w:rPr>
          <w:caps w:val="0"/>
        </w:rPr>
        <w:t>REFERENCES</w:t>
      </w:r>
      <w:bookmarkEnd w:id="108"/>
      <w:bookmarkEnd w:id="120"/>
      <w:r w:rsidR="00EC64C4">
        <w:t xml:space="preserve"> </w:t>
      </w:r>
    </w:p>
    <w:p w14:paraId="204D13BB" w14:textId="77777777" w:rsidR="00B05301" w:rsidRPr="009F76E4" w:rsidRDefault="00B05301" w:rsidP="00B05301">
      <w:pPr>
        <w:ind w:left="360" w:hanging="360"/>
        <w:rPr>
          <w:szCs w:val="24"/>
        </w:rPr>
      </w:pPr>
      <w:r>
        <w:rPr>
          <w:szCs w:val="24"/>
        </w:rPr>
        <w:t>Arabidze. 2016a</w:t>
      </w:r>
      <w:r w:rsidRPr="009F76E4">
        <w:rPr>
          <w:szCs w:val="24"/>
        </w:rPr>
        <w:t xml:space="preserve">. </w:t>
      </w:r>
      <w:r>
        <w:rPr>
          <w:szCs w:val="24"/>
        </w:rPr>
        <w:t xml:space="preserve">Margalita Arabidze, </w:t>
      </w:r>
      <w:r w:rsidRPr="009F76E4">
        <w:rPr>
          <w:szCs w:val="24"/>
        </w:rPr>
        <w:t xml:space="preserve">Georgia: First national Energy Efficiency Action Plan, presentation to the </w:t>
      </w:r>
      <w:r w:rsidRPr="009F76E4">
        <w:rPr>
          <w:iCs/>
          <w:snapToGrid/>
          <w:color w:val="1E477B"/>
          <w:szCs w:val="24"/>
        </w:rPr>
        <w:t>10th EECG Meeting, Vienna</w:t>
      </w:r>
      <w:r>
        <w:rPr>
          <w:iCs/>
          <w:snapToGrid/>
          <w:color w:val="1E477B"/>
          <w:szCs w:val="24"/>
        </w:rPr>
        <w:t>, Austria.</w:t>
      </w:r>
    </w:p>
    <w:p w14:paraId="47FAC13A" w14:textId="77777777" w:rsidR="00B05301" w:rsidRPr="00B85228" w:rsidRDefault="00B05301" w:rsidP="00B05301">
      <w:pPr>
        <w:pStyle w:val="Default"/>
        <w:ind w:left="360" w:hanging="360"/>
        <w:rPr>
          <w:rFonts w:ascii="Times New Roman" w:hAnsi="Times New Roman" w:cs="Times New Roman"/>
          <w:color w:val="000000" w:themeColor="text1"/>
        </w:rPr>
      </w:pPr>
      <w:r w:rsidRPr="00B85228">
        <w:rPr>
          <w:rFonts w:ascii="Times New Roman" w:hAnsi="Times New Roman" w:cs="Times New Roman"/>
        </w:rPr>
        <w:t xml:space="preserve">Arabidze. 2016b. </w:t>
      </w:r>
      <w:r w:rsidRPr="00B85228">
        <w:rPr>
          <w:rFonts w:ascii="Times New Roman" w:eastAsiaTheme="minorHAnsi" w:hAnsi="Times New Roman" w:cs="Times New Roman"/>
          <w:iCs/>
          <w:color w:val="000000" w:themeColor="text1"/>
        </w:rPr>
        <w:t>Plans for Energy Efficiency in Public Sector, presentation at EE Roundtable, Tbilisi</w:t>
      </w:r>
      <w:r>
        <w:rPr>
          <w:rFonts w:ascii="Times New Roman" w:eastAsiaTheme="minorHAnsi" w:hAnsi="Times New Roman" w:cs="Times New Roman"/>
          <w:iCs/>
          <w:color w:val="000000" w:themeColor="text1"/>
        </w:rPr>
        <w:t>, Georgia</w:t>
      </w:r>
    </w:p>
    <w:p w14:paraId="79D3B52B" w14:textId="77777777" w:rsidR="00B05301" w:rsidRPr="00EC64C4" w:rsidRDefault="00B05301" w:rsidP="00B05301">
      <w:pPr>
        <w:tabs>
          <w:tab w:val="left" w:pos="450"/>
        </w:tabs>
        <w:ind w:left="360" w:hanging="360"/>
      </w:pPr>
      <w:r w:rsidRPr="00EC64C4">
        <w:rPr>
          <w:szCs w:val="24"/>
        </w:rPr>
        <w:t>Business Standard. 2009. "Four power PSUs to Establish Energy Efficiency Company”, June 23, 2009.</w:t>
      </w:r>
    </w:p>
    <w:p w14:paraId="49DA306D" w14:textId="77777777" w:rsidR="00B05301" w:rsidRDefault="00B05301" w:rsidP="00B05301">
      <w:pPr>
        <w:pStyle w:val="Ecotext"/>
        <w:spacing w:line="240" w:lineRule="auto"/>
        <w:ind w:left="360" w:hanging="360"/>
      </w:pPr>
      <w:r w:rsidRPr="008B6DF3">
        <w:rPr>
          <w:rFonts w:ascii="Times New Roman" w:hAnsi="Times New Roman" w:cs="Times New Roman"/>
          <w:sz w:val="24"/>
          <w:szCs w:val="24"/>
        </w:rPr>
        <w:t>ECT. 2008. Energy Efficiency in the Public Sector, Policies and Programmes in ECT Member Countries, Energy Chapter Secretariat, Brussels</w:t>
      </w:r>
      <w:r>
        <w:t>.</w:t>
      </w:r>
    </w:p>
    <w:p w14:paraId="52809E89" w14:textId="77777777" w:rsidR="00B05301" w:rsidRDefault="00B05301" w:rsidP="00B05301">
      <w:pPr>
        <w:ind w:left="360" w:hanging="360"/>
      </w:pPr>
      <w:r>
        <w:t>ECO</w:t>
      </w:r>
      <w:r w:rsidRPr="00120306">
        <w:rPr>
          <w:rFonts w:ascii="Arial" w:hAnsi="Arial" w:cstheme="minorBidi"/>
          <w:sz w:val="22"/>
        </w:rPr>
        <w:t>-</w:t>
      </w:r>
      <w:r>
        <w:t xml:space="preserve">Asia. 2009. USAID ECO-Asia Clean Development and Climate Program, DSM Financing Annex: </w:t>
      </w:r>
      <w:r w:rsidRPr="00120306">
        <w:rPr>
          <w:iCs/>
        </w:rPr>
        <w:t>Financing DSM and Energy Efficiency Programs</w:t>
      </w:r>
      <w:r>
        <w:rPr>
          <w:iCs/>
        </w:rPr>
        <w:t>, Bangkok, Thailand.</w:t>
      </w:r>
    </w:p>
    <w:p w14:paraId="2B4EDEEA" w14:textId="77777777" w:rsidR="00B05301" w:rsidRPr="00EC64C4" w:rsidRDefault="00B05301" w:rsidP="00B05301">
      <w:pPr>
        <w:tabs>
          <w:tab w:val="left" w:pos="450"/>
          <w:tab w:val="left" w:pos="720"/>
        </w:tabs>
        <w:ind w:left="360" w:hanging="360"/>
        <w:jc w:val="left"/>
        <w:rPr>
          <w:szCs w:val="24"/>
        </w:rPr>
      </w:pPr>
      <w:r w:rsidRPr="00EC64C4">
        <w:rPr>
          <w:szCs w:val="24"/>
        </w:rPr>
        <w:t>FEDESCO. 2011. Lieven Venstraelen, Experiences on the Bidding Process for Energy Services, FEDESCO, Belgium, November 2010.</w:t>
      </w:r>
    </w:p>
    <w:p w14:paraId="0BCA7520" w14:textId="77777777" w:rsidR="00B05301" w:rsidRPr="00EC64C4" w:rsidRDefault="00B05301" w:rsidP="00B05301">
      <w:pPr>
        <w:tabs>
          <w:tab w:val="left" w:pos="450"/>
        </w:tabs>
        <w:ind w:left="360" w:hanging="360"/>
        <w:rPr>
          <w:szCs w:val="24"/>
        </w:rPr>
      </w:pPr>
      <w:r w:rsidRPr="00EC64C4">
        <w:rPr>
          <w:szCs w:val="24"/>
        </w:rPr>
        <w:t xml:space="preserve">Hebei DRC. 2009. Hebei Development and Reform Commission, The Medium and Long-Term Plan for DSM in Hebei Province (2009-2013), Shijiazuang, China, 2009 </w:t>
      </w:r>
    </w:p>
    <w:p w14:paraId="70FC165A" w14:textId="77777777" w:rsidR="00B05301" w:rsidRPr="00EC64C4" w:rsidRDefault="00B05301" w:rsidP="00B05301">
      <w:pPr>
        <w:tabs>
          <w:tab w:val="left" w:pos="450"/>
        </w:tabs>
        <w:ind w:left="360" w:hanging="360"/>
      </w:pPr>
      <w:r w:rsidRPr="00EC64C4">
        <w:t>IEA. 2015. Key World Energy Statistics, Paris, France.</w:t>
      </w:r>
    </w:p>
    <w:p w14:paraId="11F270B6" w14:textId="77777777" w:rsidR="00B05301" w:rsidRPr="00EC64C4" w:rsidRDefault="00B05301" w:rsidP="00B05301">
      <w:pPr>
        <w:tabs>
          <w:tab w:val="left" w:pos="450"/>
        </w:tabs>
        <w:ind w:left="360" w:hanging="360"/>
        <w:rPr>
          <w:bCs/>
          <w:szCs w:val="24"/>
        </w:rPr>
      </w:pPr>
      <w:r w:rsidRPr="00EC64C4">
        <w:rPr>
          <w:szCs w:val="24"/>
        </w:rPr>
        <w:t xml:space="preserve">JRC. 2010. </w:t>
      </w:r>
      <w:r w:rsidRPr="00EC64C4">
        <w:rPr>
          <w:bCs/>
          <w:szCs w:val="24"/>
        </w:rPr>
        <w:t>Angelica Marino, Paolo Bertoldi, Silvia Rezessy, Energy Service Companies Market in Europe - Status Report 2010, Joint Research Centre, European Commission, Brussels.</w:t>
      </w:r>
    </w:p>
    <w:p w14:paraId="1CDAACE4" w14:textId="77777777" w:rsidR="00B05301" w:rsidRPr="00EC64C4" w:rsidRDefault="00B05301" w:rsidP="00B05301">
      <w:pPr>
        <w:tabs>
          <w:tab w:val="left" w:pos="450"/>
        </w:tabs>
        <w:ind w:left="360" w:hanging="360"/>
      </w:pPr>
      <w:r>
        <w:rPr>
          <w:szCs w:val="24"/>
        </w:rPr>
        <w:t xml:space="preserve">Limaye and Limaye. 2011. Dilip R. </w:t>
      </w:r>
      <w:r w:rsidRPr="00EC64C4">
        <w:rPr>
          <w:szCs w:val="24"/>
        </w:rPr>
        <w:t xml:space="preserve">Limaye and Emily S. Limaye. 2011. “Scaling Up Energy Efficiency: The Case for a Super ESCO.” </w:t>
      </w:r>
      <w:r w:rsidRPr="00EC64C4">
        <w:rPr>
          <w:i/>
          <w:szCs w:val="24"/>
        </w:rPr>
        <w:t>Energy Efficiency Journal</w:t>
      </w:r>
      <w:r w:rsidRPr="00EC64C4">
        <w:rPr>
          <w:szCs w:val="24"/>
        </w:rPr>
        <w:t xml:space="preserve"> </w:t>
      </w:r>
      <w:r w:rsidRPr="00EC64C4">
        <w:rPr>
          <w:rFonts w:eastAsia="Calibri"/>
          <w:color w:val="131313"/>
          <w:szCs w:val="24"/>
        </w:rPr>
        <w:t>4:133–144.</w:t>
      </w:r>
    </w:p>
    <w:p w14:paraId="0C277834" w14:textId="77777777" w:rsidR="00B05301" w:rsidRPr="00EC64C4" w:rsidRDefault="00B05301" w:rsidP="00B05301">
      <w:pPr>
        <w:tabs>
          <w:tab w:val="left" w:pos="360"/>
        </w:tabs>
        <w:ind w:left="360" w:hanging="360"/>
      </w:pPr>
      <w:r w:rsidRPr="00EC64C4">
        <w:t>Limaye</w:t>
      </w:r>
      <w:r>
        <w:t>.</w:t>
      </w:r>
      <w:r w:rsidRPr="00EC64C4">
        <w:t xml:space="preserve"> 2013a. Energy Efficiency Credit Lines: A Synthesis Paper. Prepared for the </w:t>
      </w:r>
      <w:r w:rsidRPr="00EC64C4">
        <w:rPr>
          <w:rFonts w:eastAsia="Calibri"/>
        </w:rPr>
        <w:t xml:space="preserve">Sustainable Energy Department, The </w:t>
      </w:r>
      <w:r w:rsidRPr="00EC64C4">
        <w:t>World Bank,</w:t>
      </w:r>
      <w:r w:rsidRPr="00EC64C4">
        <w:rPr>
          <w:rFonts w:eastAsia="Calibri"/>
        </w:rPr>
        <w:t xml:space="preserve"> </w:t>
      </w:r>
      <w:r w:rsidRPr="00EC64C4">
        <w:t>Washington, DC.</w:t>
      </w:r>
    </w:p>
    <w:p w14:paraId="613B2068" w14:textId="77777777" w:rsidR="00B05301" w:rsidRPr="00EC64C4" w:rsidRDefault="00B05301" w:rsidP="00B05301">
      <w:pPr>
        <w:tabs>
          <w:tab w:val="left" w:pos="450"/>
        </w:tabs>
        <w:ind w:left="360" w:hanging="360"/>
        <w:rPr>
          <w:b/>
        </w:rPr>
      </w:pPr>
      <w:r w:rsidRPr="00EC64C4">
        <w:t>Limaye</w:t>
      </w:r>
      <w:r>
        <w:t xml:space="preserve">. </w:t>
      </w:r>
      <w:r w:rsidRPr="00EC64C4">
        <w:t xml:space="preserve">2013b. “Scaling Up Energy Efficiency: The Emerging Model of the Super-ESCO.” Presentation at the IFC </w:t>
      </w:r>
      <w:r w:rsidRPr="00EC64C4">
        <w:rPr>
          <w:bCs/>
          <w:iCs/>
        </w:rPr>
        <w:t>International ESCO Financing Conference in Johannesburg, South Africa, May 2013.</w:t>
      </w:r>
    </w:p>
    <w:p w14:paraId="3457147E" w14:textId="77777777" w:rsidR="00B05301" w:rsidRPr="00EC64C4" w:rsidRDefault="00B05301" w:rsidP="00B05301">
      <w:pPr>
        <w:tabs>
          <w:tab w:val="left" w:pos="450"/>
        </w:tabs>
        <w:ind w:left="360" w:hanging="450"/>
      </w:pPr>
      <w:r w:rsidRPr="00EC64C4">
        <w:t xml:space="preserve">Limaye et al. 2016. Dilip R. Limaye, Kathrin Hofer and Jas Singh, </w:t>
      </w:r>
      <w:r w:rsidR="00E64E0E" w:rsidRPr="009744D9">
        <w:rPr>
          <w:i/>
          <w:color w:val="000000"/>
          <w:szCs w:val="24"/>
        </w:rPr>
        <w:t>Fostering Development of ESCO Markets for Energy Efficiency</w:t>
      </w:r>
      <w:r w:rsidR="00E64E0E" w:rsidRPr="009744D9">
        <w:rPr>
          <w:color w:val="000000"/>
          <w:szCs w:val="24"/>
        </w:rPr>
        <w:t>. Live Wire 2016/54, World Bank</w:t>
      </w:r>
      <w:r w:rsidR="00E64E0E">
        <w:rPr>
          <w:color w:val="000000"/>
          <w:sz w:val="18"/>
          <w:szCs w:val="18"/>
        </w:rPr>
        <w:t>.</w:t>
      </w:r>
      <w:r w:rsidRPr="00EC64C4">
        <w:t xml:space="preserve"> Washington, DC.</w:t>
      </w:r>
    </w:p>
    <w:p w14:paraId="0BB9F008" w14:textId="77777777" w:rsidR="00B05301" w:rsidRPr="00E878F2" w:rsidRDefault="00B05301" w:rsidP="00B05301">
      <w:pPr>
        <w:pStyle w:val="2FrontpageSubtitle"/>
        <w:spacing w:after="120" w:line="240" w:lineRule="auto"/>
        <w:ind w:left="180" w:hanging="180"/>
        <w:rPr>
          <w:rFonts w:ascii="Times New Roman" w:hAnsi="Times New Roman"/>
          <w:b w:val="0"/>
          <w:color w:val="000000" w:themeColor="text1"/>
          <w:sz w:val="24"/>
          <w:szCs w:val="24"/>
        </w:rPr>
      </w:pPr>
      <w:r w:rsidRPr="00E878F2">
        <w:rPr>
          <w:rFonts w:ascii="Times New Roman" w:hAnsi="Times New Roman"/>
          <w:b w:val="0"/>
          <w:color w:val="000000" w:themeColor="text1"/>
          <w:sz w:val="24"/>
          <w:szCs w:val="24"/>
        </w:rPr>
        <w:t>Mitigation Momentum. 201</w:t>
      </w:r>
      <w:r>
        <w:rPr>
          <w:rFonts w:ascii="Times New Roman" w:hAnsi="Times New Roman"/>
          <w:b w:val="0"/>
          <w:color w:val="000000" w:themeColor="text1"/>
          <w:sz w:val="24"/>
          <w:szCs w:val="24"/>
        </w:rPr>
        <w:t>6</w:t>
      </w:r>
      <w:r w:rsidRPr="00E878F2">
        <w:rPr>
          <w:rFonts w:ascii="Times New Roman" w:hAnsi="Times New Roman"/>
          <w:b w:val="0"/>
          <w:color w:val="000000" w:themeColor="text1"/>
          <w:sz w:val="24"/>
          <w:szCs w:val="24"/>
        </w:rPr>
        <w:t>.</w:t>
      </w:r>
      <w:r>
        <w:t xml:space="preserve"> </w:t>
      </w:r>
      <w:r w:rsidRPr="00E878F2">
        <w:rPr>
          <w:rFonts w:ascii="Times New Roman" w:hAnsi="Times New Roman"/>
          <w:b w:val="0"/>
          <w:color w:val="000000" w:themeColor="text1"/>
          <w:sz w:val="24"/>
          <w:szCs w:val="24"/>
        </w:rPr>
        <w:t xml:space="preserve">Developing a NAMA for energy efficient refurbishment in the </w:t>
      </w:r>
      <w:r>
        <w:rPr>
          <w:rFonts w:ascii="Times New Roman" w:hAnsi="Times New Roman"/>
          <w:b w:val="0"/>
          <w:color w:val="000000" w:themeColor="text1"/>
          <w:sz w:val="24"/>
          <w:szCs w:val="24"/>
        </w:rPr>
        <w:t>Georgian Public B</w:t>
      </w:r>
      <w:r w:rsidRPr="00E878F2">
        <w:rPr>
          <w:rFonts w:ascii="Times New Roman" w:hAnsi="Times New Roman"/>
          <w:b w:val="0"/>
          <w:color w:val="000000" w:themeColor="text1"/>
          <w:sz w:val="24"/>
          <w:szCs w:val="24"/>
        </w:rPr>
        <w:t xml:space="preserve">uilding </w:t>
      </w:r>
      <w:r>
        <w:rPr>
          <w:rFonts w:ascii="Times New Roman" w:hAnsi="Times New Roman"/>
          <w:b w:val="0"/>
          <w:color w:val="000000" w:themeColor="text1"/>
          <w:sz w:val="24"/>
          <w:szCs w:val="24"/>
        </w:rPr>
        <w:t>S</w:t>
      </w:r>
      <w:r w:rsidRPr="00E878F2">
        <w:rPr>
          <w:rFonts w:ascii="Times New Roman" w:hAnsi="Times New Roman"/>
          <w:b w:val="0"/>
          <w:color w:val="000000" w:themeColor="text1"/>
          <w:sz w:val="24"/>
          <w:szCs w:val="24"/>
        </w:rPr>
        <w:t>ector</w:t>
      </w:r>
      <w:r>
        <w:rPr>
          <w:rFonts w:ascii="Times New Roman" w:hAnsi="Times New Roman"/>
          <w:b w:val="0"/>
          <w:color w:val="000000" w:themeColor="text1"/>
          <w:sz w:val="24"/>
          <w:szCs w:val="24"/>
        </w:rPr>
        <w:t>, Tbilisi, Georgia.</w:t>
      </w:r>
    </w:p>
    <w:p w14:paraId="773A169B" w14:textId="77777777" w:rsidR="00B05301" w:rsidRPr="00EC64C4" w:rsidRDefault="00B05301" w:rsidP="00B05301">
      <w:pPr>
        <w:tabs>
          <w:tab w:val="left" w:pos="450"/>
        </w:tabs>
        <w:ind w:left="360" w:hanging="360"/>
      </w:pPr>
      <w:r w:rsidRPr="00EC64C4">
        <w:t xml:space="preserve">Mostert, Wolfgang. 2010. </w:t>
      </w:r>
      <w:r w:rsidRPr="00EC64C4">
        <w:rPr>
          <w:rFonts w:eastAsiaTheme="minorHAnsi"/>
          <w:iCs/>
          <w:snapToGrid/>
        </w:rPr>
        <w:t>Publicly Backed Guarantees as Policy Instruments to Promote Clean Energy,</w:t>
      </w:r>
      <w:r w:rsidRPr="00EC64C4">
        <w:rPr>
          <w:rFonts w:eastAsiaTheme="minorHAnsi"/>
          <w:snapToGrid/>
        </w:rPr>
        <w:t xml:space="preserve"> Sustainable Energy Finance Alliance, UNEP, Basel, Switzerland.</w:t>
      </w:r>
    </w:p>
    <w:p w14:paraId="0A821EE4" w14:textId="77777777" w:rsidR="00B05301" w:rsidRPr="00EB7D41" w:rsidRDefault="00B05301" w:rsidP="00B05301">
      <w:pPr>
        <w:ind w:left="360" w:hanging="360"/>
        <w:rPr>
          <w:color w:val="002060"/>
          <w:lang w:val="en-GB" w:eastAsia="nb-NO"/>
        </w:rPr>
      </w:pPr>
      <w:r w:rsidRPr="00EC64C4">
        <w:t xml:space="preserve">NPEEB. 2011. </w:t>
      </w:r>
      <w:r>
        <w:rPr>
          <w:rFonts w:cs="Arial"/>
          <w:bCs/>
        </w:rPr>
        <w:t xml:space="preserve">Dilip R. Limaye and </w:t>
      </w:r>
      <w:r w:rsidRPr="007C6990">
        <w:rPr>
          <w:rFonts w:cs="Arial"/>
          <w:bCs/>
        </w:rPr>
        <w:t>Anke S. Meyer</w:t>
      </w:r>
      <w:r>
        <w:rPr>
          <w:rFonts w:cs="Arial"/>
          <w:bCs/>
        </w:rPr>
        <w:t xml:space="preserve">, </w:t>
      </w:r>
      <w:r w:rsidRPr="007C6990">
        <w:rPr>
          <w:lang w:val="en-GB" w:eastAsia="nb-NO"/>
        </w:rPr>
        <w:t xml:space="preserve">National Program for Energy Efficiency in Public Buildings in the </w:t>
      </w:r>
      <w:r>
        <w:rPr>
          <w:lang w:val="en-GB" w:eastAsia="nb-NO"/>
        </w:rPr>
        <w:t xml:space="preserve">Former Yugoslav </w:t>
      </w:r>
      <w:r w:rsidRPr="007C6990">
        <w:rPr>
          <w:lang w:val="en-GB" w:eastAsia="nb-NO"/>
        </w:rPr>
        <w:t xml:space="preserve">Republic of </w:t>
      </w:r>
      <w:r>
        <w:rPr>
          <w:lang w:val="en-GB" w:eastAsia="nb-NO"/>
        </w:rPr>
        <w:t>Macedonia</w:t>
      </w:r>
      <w:r w:rsidRPr="007C6990">
        <w:rPr>
          <w:lang w:val="en-GB" w:eastAsia="nb-NO"/>
        </w:rPr>
        <w:t>, 2012-2018</w:t>
      </w:r>
      <w:r>
        <w:rPr>
          <w:lang w:val="en-GB" w:eastAsia="nb-NO"/>
        </w:rPr>
        <w:t xml:space="preserve">: </w:t>
      </w:r>
      <w:r>
        <w:rPr>
          <w:color w:val="002060"/>
          <w:lang w:val="en-GB" w:eastAsia="nb-NO"/>
        </w:rPr>
        <w:t>Financing a</w:t>
      </w:r>
      <w:r w:rsidRPr="00EB7D41">
        <w:rPr>
          <w:color w:val="002060"/>
          <w:lang w:val="en-GB" w:eastAsia="nb-NO"/>
        </w:rPr>
        <w:t>nd Implementation Plan</w:t>
      </w:r>
      <w:r>
        <w:rPr>
          <w:color w:val="002060"/>
          <w:lang w:val="en-GB" w:eastAsia="nb-NO"/>
        </w:rPr>
        <w:t>, report prepared for the World Bank, Washington, DC.</w:t>
      </w:r>
    </w:p>
    <w:p w14:paraId="3CE7B791" w14:textId="77777777" w:rsidR="00B05301" w:rsidRPr="00EC64C4" w:rsidRDefault="00B05301" w:rsidP="00B05301">
      <w:pPr>
        <w:tabs>
          <w:tab w:val="left" w:pos="450"/>
        </w:tabs>
        <w:ind w:left="360" w:hanging="360"/>
      </w:pPr>
      <w:r w:rsidRPr="00EC64C4">
        <w:t xml:space="preserve">Singh et al. 2010. Jas Singh, Dilip Limaye, Brian Henderson and Xiaoyu Shi, </w:t>
      </w:r>
      <w:r w:rsidRPr="00EC64C4">
        <w:rPr>
          <w:i/>
        </w:rPr>
        <w:t xml:space="preserve">Public Procurement of Energy Efficiency Services, </w:t>
      </w:r>
      <w:r w:rsidRPr="00EC64C4">
        <w:t>World bank, Washington, DC</w:t>
      </w:r>
      <w:r w:rsidRPr="00EC64C4">
        <w:rPr>
          <w:i/>
        </w:rPr>
        <w:t>.</w:t>
      </w:r>
    </w:p>
    <w:p w14:paraId="207A0BFF" w14:textId="77777777" w:rsidR="00B05301" w:rsidRPr="00EC64C4" w:rsidRDefault="00B05301" w:rsidP="00B05301">
      <w:pPr>
        <w:tabs>
          <w:tab w:val="left" w:pos="450"/>
        </w:tabs>
        <w:ind w:left="360" w:hanging="360"/>
        <w:rPr>
          <w:snapToGrid/>
          <w:szCs w:val="24"/>
        </w:rPr>
      </w:pPr>
      <w:r w:rsidRPr="00EC64C4">
        <w:t>SRC Global. 2005. A Strategic Framework for Implementation of Energy Efficiency Projects for Indian Water Utilities, Report prepared for the Public-Private Infrastructure Advisory Facility, The World Bank, Washington, DC.</w:t>
      </w:r>
    </w:p>
    <w:p w14:paraId="052AF2B5" w14:textId="77777777" w:rsidR="00B05301" w:rsidRDefault="00B05301" w:rsidP="00B05301">
      <w:pPr>
        <w:ind w:left="360" w:hanging="360"/>
        <w:rPr>
          <w:szCs w:val="24"/>
        </w:rPr>
      </w:pPr>
      <w:r>
        <w:rPr>
          <w:snapToGrid/>
        </w:rPr>
        <w:t xml:space="preserve">Tsurtsumia. 2013. </w:t>
      </w:r>
      <w:r w:rsidRPr="009F76E4">
        <w:t>Tamar Tsurtsumia,</w:t>
      </w:r>
      <w:r>
        <w:rPr>
          <w:snapToGrid/>
        </w:rPr>
        <w:t xml:space="preserve"> Renewable Energy and Energy Efficiency in Georgia, presentation to the </w:t>
      </w:r>
      <w:r w:rsidRPr="000D6990">
        <w:t xml:space="preserve">21st </w:t>
      </w:r>
      <w:r>
        <w:t>OSCE</w:t>
      </w:r>
      <w:r w:rsidRPr="000D6990">
        <w:t xml:space="preserve"> </w:t>
      </w:r>
      <w:r>
        <w:t>E</w:t>
      </w:r>
      <w:r w:rsidRPr="000D6990">
        <w:t xml:space="preserve">conomic and </w:t>
      </w:r>
      <w:r>
        <w:t>Environmental F</w:t>
      </w:r>
      <w:r w:rsidRPr="000D6990">
        <w:t>orum</w:t>
      </w:r>
      <w:r>
        <w:t>, Prague, Czech Republic.</w:t>
      </w:r>
    </w:p>
    <w:p w14:paraId="5BADBEA7" w14:textId="77777777" w:rsidR="00B05301" w:rsidRDefault="00B05301" w:rsidP="00B05301">
      <w:pPr>
        <w:tabs>
          <w:tab w:val="left" w:pos="0"/>
          <w:tab w:val="left" w:pos="450"/>
        </w:tabs>
        <w:autoSpaceDE w:val="0"/>
        <w:autoSpaceDN w:val="0"/>
        <w:adjustRightInd w:val="0"/>
        <w:ind w:left="360" w:hanging="360"/>
        <w:jc w:val="left"/>
        <w:rPr>
          <w:szCs w:val="24"/>
        </w:rPr>
      </w:pPr>
      <w:r w:rsidRPr="00EC64C4">
        <w:rPr>
          <w:szCs w:val="24"/>
        </w:rPr>
        <w:t>USAID. 2010. U.S. Agency for International Development, Development of a Super ESCO to Implement a 600 MW Energy Efficiency Power Plant, Bangkok, January 2010.</w:t>
      </w:r>
    </w:p>
    <w:p w14:paraId="3377EFA6" w14:textId="77777777" w:rsidR="00B05301" w:rsidRDefault="00B05301" w:rsidP="00B05301">
      <w:pPr>
        <w:tabs>
          <w:tab w:val="left" w:pos="0"/>
          <w:tab w:val="left" w:pos="450"/>
        </w:tabs>
        <w:autoSpaceDE w:val="0"/>
        <w:autoSpaceDN w:val="0"/>
        <w:adjustRightInd w:val="0"/>
        <w:ind w:left="360" w:hanging="360"/>
        <w:jc w:val="left"/>
      </w:pPr>
      <w:r>
        <w:rPr>
          <w:szCs w:val="24"/>
        </w:rPr>
        <w:t xml:space="preserve">USAID. 2015. </w:t>
      </w:r>
      <w:r w:rsidRPr="00F00E71">
        <w:t>Sustain</w:t>
      </w:r>
      <w:r>
        <w:t>able Energy Action Plan for the C</w:t>
      </w:r>
      <w:r w:rsidRPr="00F00E71">
        <w:t>ity of Tbilisi</w:t>
      </w:r>
      <w:r>
        <w:t>, Tbilisi, Georgia.</w:t>
      </w:r>
    </w:p>
    <w:p w14:paraId="1B318B20" w14:textId="77777777" w:rsidR="00B05301" w:rsidRPr="009C2801" w:rsidRDefault="00B05301" w:rsidP="00B05301">
      <w:pPr>
        <w:ind w:left="360" w:hanging="360"/>
        <w:jc w:val="left"/>
        <w:rPr>
          <w:b/>
          <w:color w:val="002060"/>
          <w:sz w:val="26"/>
          <w:szCs w:val="26"/>
          <w:lang w:val="en-GB"/>
        </w:rPr>
      </w:pPr>
      <w:r>
        <w:t>USAID. 2016. Proposal: Low E</w:t>
      </w:r>
      <w:r w:rsidRPr="00E26702">
        <w:t xml:space="preserve">mission </w:t>
      </w:r>
      <w:r>
        <w:t>R</w:t>
      </w:r>
      <w:r w:rsidRPr="00E26702">
        <w:t>estoration</w:t>
      </w:r>
      <w:r>
        <w:t xml:space="preserve"> P</w:t>
      </w:r>
      <w:r w:rsidRPr="00E26702">
        <w:t xml:space="preserve">rogramme of </w:t>
      </w:r>
      <w:r>
        <w:t>K</w:t>
      </w:r>
      <w:r w:rsidRPr="00E26702">
        <w:t xml:space="preserve">indergarten </w:t>
      </w:r>
      <w:r>
        <w:t>B</w:t>
      </w:r>
      <w:r w:rsidRPr="00E26702">
        <w:t>uildings in Tbilisi city</w:t>
      </w:r>
      <w:r>
        <w:t>, Tbilisi, Georgia.</w:t>
      </w:r>
    </w:p>
    <w:p w14:paraId="56B2F99B" w14:textId="77777777" w:rsidR="00B05301" w:rsidRPr="00EC64C4" w:rsidRDefault="00B05301" w:rsidP="00B05301">
      <w:pPr>
        <w:tabs>
          <w:tab w:val="left" w:pos="450"/>
        </w:tabs>
        <w:ind w:left="360" w:hanging="360"/>
        <w:rPr>
          <w:szCs w:val="24"/>
        </w:rPr>
      </w:pPr>
      <w:r w:rsidRPr="00EC64C4">
        <w:rPr>
          <w:snapToGrid/>
          <w:szCs w:val="24"/>
        </w:rPr>
        <w:t>World Bank. 2001. Project Appraisal Document on a Proposed Loan in the Amount of Euro 9.0 Million and US$7.5 Million to Miejskie Przedsiebiorstwo Energetyki Cieplnej S.A. W Krakowie (The Municipal District Heating Enterprise of Krakow)</w:t>
      </w:r>
      <w:r w:rsidRPr="00EC64C4">
        <w:rPr>
          <w:i/>
          <w:snapToGrid/>
          <w:szCs w:val="24"/>
        </w:rPr>
        <w:t>,</w:t>
      </w:r>
      <w:r w:rsidRPr="00EC64C4">
        <w:rPr>
          <w:snapToGrid/>
          <w:szCs w:val="24"/>
        </w:rPr>
        <w:t xml:space="preserve"> Washington, DC: World Bank.</w:t>
      </w:r>
    </w:p>
    <w:p w14:paraId="2B1E84E1" w14:textId="77777777" w:rsidR="00B05301" w:rsidRPr="00EC64C4" w:rsidRDefault="00B05301" w:rsidP="00B05301">
      <w:pPr>
        <w:tabs>
          <w:tab w:val="left" w:pos="450"/>
          <w:tab w:val="left" w:pos="720"/>
        </w:tabs>
        <w:autoSpaceDE w:val="0"/>
        <w:autoSpaceDN w:val="0"/>
        <w:adjustRightInd w:val="0"/>
        <w:ind w:left="360" w:hanging="360"/>
        <w:jc w:val="left"/>
        <w:rPr>
          <w:szCs w:val="24"/>
        </w:rPr>
      </w:pPr>
      <w:r w:rsidRPr="00EC64C4">
        <w:rPr>
          <w:szCs w:val="24"/>
        </w:rPr>
        <w:t xml:space="preserve">World Bank. 2003. Croatia Energy Efficiency - Project Appraisal Document, World Bank Report No. 25592-HR.  </w:t>
      </w:r>
      <w:r>
        <w:rPr>
          <w:szCs w:val="24"/>
        </w:rPr>
        <w:t>Washington DC.</w:t>
      </w:r>
    </w:p>
    <w:p w14:paraId="4CDC6FD9" w14:textId="77777777" w:rsidR="00B05301" w:rsidRPr="00EC64C4" w:rsidRDefault="00B05301" w:rsidP="00B05301">
      <w:pPr>
        <w:tabs>
          <w:tab w:val="left" w:pos="450"/>
        </w:tabs>
        <w:ind w:left="360" w:hanging="360"/>
      </w:pPr>
      <w:r w:rsidRPr="00EC64C4">
        <w:rPr>
          <w:szCs w:val="24"/>
        </w:rPr>
        <w:t xml:space="preserve">World Bank. 2009. </w:t>
      </w:r>
      <w:r w:rsidRPr="00EC64C4">
        <w:rPr>
          <w:i/>
          <w:szCs w:val="24"/>
        </w:rPr>
        <w:t>Project Appraisal Document on a Proposed Loan in the Amount of Euro 18.9 Million (US$25 Million Equivalent) to Former Yugoslav Republic of Macedonia for a Municipal Services Improvement Project.</w:t>
      </w:r>
      <w:r w:rsidRPr="00EC64C4">
        <w:rPr>
          <w:snapToGrid/>
          <w:szCs w:val="24"/>
        </w:rPr>
        <w:t xml:space="preserve"> Washington, DC.</w:t>
      </w:r>
    </w:p>
    <w:p w14:paraId="3FBBB5F1" w14:textId="77777777" w:rsidR="00B05301" w:rsidRPr="00EC64C4" w:rsidRDefault="00B05301" w:rsidP="00B05301">
      <w:pPr>
        <w:tabs>
          <w:tab w:val="left" w:pos="450"/>
        </w:tabs>
        <w:ind w:left="360" w:hanging="360"/>
        <w:rPr>
          <w:szCs w:val="24"/>
        </w:rPr>
      </w:pPr>
      <w:r w:rsidRPr="00EC64C4">
        <w:rPr>
          <w:szCs w:val="24"/>
        </w:rPr>
        <w:t xml:space="preserve">World Bank. 2010a. </w:t>
      </w:r>
      <w:r w:rsidRPr="00EC64C4">
        <w:rPr>
          <w:i/>
          <w:szCs w:val="24"/>
        </w:rPr>
        <w:t xml:space="preserve">Implementation, Completion and Results Report </w:t>
      </w:r>
      <w:r w:rsidRPr="00EC64C4">
        <w:rPr>
          <w:i/>
        </w:rPr>
        <w:t xml:space="preserve">(TF-54515) </w:t>
      </w:r>
      <w:r w:rsidRPr="00EC64C4">
        <w:rPr>
          <w:i/>
          <w:szCs w:val="24"/>
        </w:rPr>
        <w:t>on a Grant from the Global Environment Facility Trust Fund in the Amount of US$10 mil to the Rep of Bulgaria for an Energy Efficiency Project</w:t>
      </w:r>
      <w:r w:rsidRPr="00EC64C4">
        <w:rPr>
          <w:szCs w:val="24"/>
        </w:rPr>
        <w:t xml:space="preserve">. Washington, DC. </w:t>
      </w:r>
    </w:p>
    <w:p w14:paraId="1F3FBDC9" w14:textId="77777777" w:rsidR="00B05301" w:rsidRDefault="00B05301" w:rsidP="00B05301">
      <w:pPr>
        <w:pStyle w:val="FootnoteText"/>
        <w:tabs>
          <w:tab w:val="left" w:pos="450"/>
        </w:tabs>
        <w:ind w:left="360" w:hanging="360"/>
        <w:rPr>
          <w:snapToGrid w:val="0"/>
          <w:sz w:val="24"/>
          <w:szCs w:val="24"/>
          <w:lang w:val="en-US"/>
        </w:rPr>
      </w:pPr>
      <w:r w:rsidRPr="00EC64C4">
        <w:rPr>
          <w:snapToGrid w:val="0"/>
          <w:sz w:val="24"/>
          <w:szCs w:val="24"/>
          <w:lang w:val="en-US"/>
        </w:rPr>
        <w:t xml:space="preserve">World Bank. 2010b. Public Procurement of Energy Efficiency Services: Getting Started. Guidance Note. Washington, DC. </w:t>
      </w:r>
    </w:p>
    <w:p w14:paraId="6B609CB0" w14:textId="77777777" w:rsidR="00B05301" w:rsidRPr="00EC64C4" w:rsidRDefault="00B05301" w:rsidP="00B05301">
      <w:pPr>
        <w:tabs>
          <w:tab w:val="left" w:pos="450"/>
        </w:tabs>
        <w:ind w:left="360" w:hanging="360"/>
        <w:rPr>
          <w:szCs w:val="24"/>
        </w:rPr>
      </w:pPr>
      <w:r w:rsidRPr="00EC64C4">
        <w:rPr>
          <w:szCs w:val="24"/>
        </w:rPr>
        <w:t xml:space="preserve">World Bank. 2012a. </w:t>
      </w:r>
      <w:r w:rsidRPr="00EC64C4">
        <w:rPr>
          <w:i/>
          <w:szCs w:val="24"/>
        </w:rPr>
        <w:t>Project Appraisal Document for an Energy Efficiency Project in Armenia.</w:t>
      </w:r>
      <w:r w:rsidRPr="00EC64C4">
        <w:rPr>
          <w:szCs w:val="24"/>
        </w:rPr>
        <w:t xml:space="preserve"> Report No. 67035-AM. Washington, DC: World Bank.</w:t>
      </w:r>
    </w:p>
    <w:p w14:paraId="7467EF84" w14:textId="77777777" w:rsidR="00B05301" w:rsidRPr="00EC64C4" w:rsidRDefault="00B05301" w:rsidP="00B05301">
      <w:pPr>
        <w:pStyle w:val="Default"/>
        <w:tabs>
          <w:tab w:val="left" w:pos="450"/>
        </w:tabs>
        <w:ind w:left="360" w:hanging="360"/>
        <w:rPr>
          <w:rFonts w:ascii="Times New Roman" w:hAnsi="Times New Roman" w:cs="Times New Roman"/>
        </w:rPr>
      </w:pPr>
      <w:r w:rsidRPr="00EC64C4">
        <w:rPr>
          <w:rFonts w:ascii="Times New Roman" w:hAnsi="Times New Roman" w:cs="Times New Roman"/>
          <w:lang w:val="en-GB" w:eastAsia="nb-NO"/>
        </w:rPr>
        <w:t xml:space="preserve">World Bank. 2012b. </w:t>
      </w:r>
      <w:r w:rsidRPr="00EC64C4">
        <w:rPr>
          <w:rFonts w:ascii="Times New Roman" w:hAnsi="Times New Roman" w:cs="Times New Roman"/>
          <w:i/>
          <w:lang w:val="en-GB" w:eastAsia="nb-NO"/>
        </w:rPr>
        <w:t>National Program for Energy Efficiency in Public Buildings in the Former Yugoslav Republic of Macedonia, 2012-2018</w:t>
      </w:r>
      <w:r w:rsidRPr="00EC64C4">
        <w:rPr>
          <w:rFonts w:ascii="Times New Roman" w:hAnsi="Times New Roman" w:cs="Times New Roman"/>
          <w:lang w:val="en-GB" w:eastAsia="nb-NO"/>
        </w:rPr>
        <w:t xml:space="preserve">. </w:t>
      </w:r>
      <w:r w:rsidRPr="00EC64C4">
        <w:rPr>
          <w:rFonts w:ascii="Times New Roman" w:hAnsi="Times New Roman" w:cs="Times New Roman"/>
        </w:rPr>
        <w:t>Financing and Implementation Plan. Washington, DC: World Bank.</w:t>
      </w:r>
    </w:p>
    <w:p w14:paraId="525C843A" w14:textId="77777777" w:rsidR="00B05301" w:rsidRPr="00EC64C4" w:rsidRDefault="00B05301" w:rsidP="00B05301">
      <w:pPr>
        <w:tabs>
          <w:tab w:val="left" w:pos="360"/>
        </w:tabs>
        <w:ind w:left="360" w:hanging="360"/>
      </w:pPr>
      <w:r>
        <w:rPr>
          <w:szCs w:val="24"/>
        </w:rPr>
        <w:t>World Bank. 2013</w:t>
      </w:r>
      <w:r w:rsidRPr="00EC64C4">
        <w:rPr>
          <w:szCs w:val="24"/>
        </w:rPr>
        <w:t xml:space="preserve">. Scaling Up Energy Efficiency in Buildings in the Western Balkans, Interim Report, Washington, DC. </w:t>
      </w:r>
    </w:p>
    <w:p w14:paraId="424986DA" w14:textId="77777777" w:rsidR="00B05301" w:rsidRPr="00EC64C4" w:rsidRDefault="00B05301" w:rsidP="00B05301">
      <w:pPr>
        <w:tabs>
          <w:tab w:val="left" w:pos="450"/>
        </w:tabs>
        <w:ind w:left="360" w:hanging="360"/>
        <w:rPr>
          <w:szCs w:val="24"/>
        </w:rPr>
      </w:pPr>
      <w:r>
        <w:rPr>
          <w:szCs w:val="24"/>
        </w:rPr>
        <w:t>World Bank. 2014a</w:t>
      </w:r>
      <w:r w:rsidRPr="00EC64C4">
        <w:rPr>
          <w:szCs w:val="24"/>
        </w:rPr>
        <w:t>. Guidance Note: Energy Efficiency Revolving Funds, Washington, DC.</w:t>
      </w:r>
    </w:p>
    <w:p w14:paraId="19C7349C" w14:textId="77777777" w:rsidR="00B05301" w:rsidRPr="00EC64C4" w:rsidRDefault="00B05301" w:rsidP="00B05301">
      <w:pPr>
        <w:tabs>
          <w:tab w:val="left" w:pos="450"/>
        </w:tabs>
        <w:ind w:left="360" w:hanging="360"/>
        <w:rPr>
          <w:szCs w:val="24"/>
        </w:rPr>
      </w:pPr>
      <w:r>
        <w:rPr>
          <w:szCs w:val="24"/>
        </w:rPr>
        <w:t>World Bank. 2014b</w:t>
      </w:r>
      <w:r w:rsidRPr="00EC64C4">
        <w:rPr>
          <w:szCs w:val="24"/>
        </w:rPr>
        <w:t>. Guidance Note: Energy Services Market Development,</w:t>
      </w:r>
      <w:r w:rsidRPr="00EC64C4">
        <w:rPr>
          <w:i/>
          <w:szCs w:val="24"/>
        </w:rPr>
        <w:t xml:space="preserve"> </w:t>
      </w:r>
      <w:r w:rsidRPr="00EC64C4">
        <w:rPr>
          <w:szCs w:val="24"/>
        </w:rPr>
        <w:t xml:space="preserve">Washington, DC. </w:t>
      </w:r>
    </w:p>
    <w:p w14:paraId="0A3A0F3B" w14:textId="77777777" w:rsidR="006D6F72" w:rsidRDefault="006D6F72">
      <w:pPr>
        <w:widowControl/>
        <w:spacing w:before="0" w:after="0"/>
        <w:jc w:val="left"/>
        <w:sectPr w:rsidR="006D6F72" w:rsidSect="00EC64C4">
          <w:headerReference w:type="even" r:id="rId52"/>
          <w:footerReference w:type="default" r:id="rId53"/>
          <w:headerReference w:type="first" r:id="rId54"/>
          <w:endnotePr>
            <w:numFmt w:val="decimal"/>
          </w:endnotePr>
          <w:pgSz w:w="11907" w:h="16840" w:code="9"/>
          <w:pgMar w:top="1440" w:right="1440" w:bottom="1440" w:left="1530" w:header="720" w:footer="720" w:gutter="0"/>
          <w:cols w:space="720"/>
          <w:noEndnote/>
          <w:docGrid w:linePitch="326"/>
        </w:sectPr>
      </w:pPr>
    </w:p>
    <w:p w14:paraId="7066F3A4" w14:textId="77777777" w:rsidR="003902CC" w:rsidRDefault="003902CC" w:rsidP="003902CC"/>
    <w:p w14:paraId="389DD709" w14:textId="77777777" w:rsidR="00E42A0A" w:rsidRDefault="00B667E8" w:rsidP="001A414E">
      <w:pPr>
        <w:pStyle w:val="Heading1"/>
        <w:rPr>
          <w:caps w:val="0"/>
        </w:rPr>
      </w:pPr>
      <w:bookmarkStart w:id="121" w:name="_Toc461093972"/>
      <w:r w:rsidRPr="00B667E8">
        <w:rPr>
          <w:caps w:val="0"/>
        </w:rPr>
        <w:t>ANNEX</w:t>
      </w:r>
      <w:r>
        <w:rPr>
          <w:caps w:val="0"/>
        </w:rPr>
        <w:t xml:space="preserve"> A </w:t>
      </w:r>
      <w:r w:rsidR="001A414E">
        <w:rPr>
          <w:caps w:val="0"/>
        </w:rPr>
        <w:t>–</w:t>
      </w:r>
      <w:r>
        <w:rPr>
          <w:caps w:val="0"/>
        </w:rPr>
        <w:t xml:space="preserve"> </w:t>
      </w:r>
      <w:r w:rsidR="001A414E">
        <w:rPr>
          <w:caps w:val="0"/>
        </w:rPr>
        <w:t>AUDIT RESULTS</w:t>
      </w:r>
      <w:bookmarkEnd w:id="121"/>
      <w:r w:rsidR="001A414E">
        <w:rPr>
          <w:caps w:val="0"/>
        </w:rPr>
        <w:t xml:space="preserve"> </w:t>
      </w:r>
    </w:p>
    <w:p w14:paraId="1A4F42DF" w14:textId="77777777" w:rsidR="00B05301" w:rsidRDefault="00B05301" w:rsidP="00B05301"/>
    <w:p w14:paraId="6DC52D3D" w14:textId="77777777" w:rsidR="00DA3255" w:rsidRDefault="00DA3255" w:rsidP="00B05301">
      <w:pPr>
        <w:rPr>
          <w:b/>
        </w:rPr>
      </w:pPr>
      <w:r>
        <w:rPr>
          <w:b/>
        </w:rPr>
        <w:t xml:space="preserve">  List of </w:t>
      </w:r>
      <w:r w:rsidRPr="00DA3255">
        <w:rPr>
          <w:b/>
        </w:rPr>
        <w:t xml:space="preserve">Energy Efficiency Measures </w:t>
      </w:r>
      <w:r>
        <w:rPr>
          <w:b/>
        </w:rPr>
        <w:t>Studied in Audits</w:t>
      </w:r>
    </w:p>
    <w:tbl>
      <w:tblPr>
        <w:tblW w:w="4050" w:type="dxa"/>
        <w:tblLook w:val="04A0" w:firstRow="1" w:lastRow="0" w:firstColumn="1" w:lastColumn="0" w:noHBand="0" w:noVBand="1"/>
      </w:tblPr>
      <w:tblGrid>
        <w:gridCol w:w="4050"/>
      </w:tblGrid>
      <w:tr w:rsidR="00DA3255" w:rsidRPr="00DA3255" w14:paraId="111CA3CF" w14:textId="77777777" w:rsidTr="00DA3255">
        <w:trPr>
          <w:trHeight w:val="290"/>
        </w:trPr>
        <w:tc>
          <w:tcPr>
            <w:tcW w:w="4050" w:type="dxa"/>
            <w:tcBorders>
              <w:top w:val="nil"/>
              <w:left w:val="nil"/>
              <w:bottom w:val="nil"/>
              <w:right w:val="nil"/>
            </w:tcBorders>
            <w:shd w:val="clear" w:color="auto" w:fill="auto"/>
            <w:noWrap/>
            <w:vAlign w:val="bottom"/>
            <w:hideMark/>
          </w:tcPr>
          <w:p w14:paraId="40658142" w14:textId="77777777" w:rsidR="00DA3255" w:rsidRPr="00DA3255" w:rsidRDefault="00DA3255" w:rsidP="00DA3255">
            <w:pPr>
              <w:widowControl/>
              <w:spacing w:before="0" w:after="0"/>
              <w:jc w:val="left"/>
              <w:rPr>
                <w:snapToGrid/>
                <w:color w:val="000000"/>
                <w:szCs w:val="24"/>
              </w:rPr>
            </w:pPr>
            <w:r w:rsidRPr="00DA3255">
              <w:rPr>
                <w:snapToGrid/>
                <w:color w:val="000000"/>
                <w:szCs w:val="24"/>
              </w:rPr>
              <w:t>Wall Insulation</w:t>
            </w:r>
          </w:p>
        </w:tc>
      </w:tr>
      <w:tr w:rsidR="00DA3255" w:rsidRPr="00DA3255" w14:paraId="2B870ADA" w14:textId="77777777" w:rsidTr="00DA3255">
        <w:trPr>
          <w:trHeight w:val="290"/>
        </w:trPr>
        <w:tc>
          <w:tcPr>
            <w:tcW w:w="4050" w:type="dxa"/>
            <w:tcBorders>
              <w:top w:val="nil"/>
              <w:left w:val="nil"/>
              <w:bottom w:val="nil"/>
              <w:right w:val="nil"/>
            </w:tcBorders>
            <w:shd w:val="clear" w:color="auto" w:fill="auto"/>
            <w:noWrap/>
            <w:vAlign w:val="bottom"/>
            <w:hideMark/>
          </w:tcPr>
          <w:p w14:paraId="12C50615" w14:textId="77777777" w:rsidR="00DA3255" w:rsidRPr="00DA3255" w:rsidRDefault="00DA3255" w:rsidP="00DA3255">
            <w:pPr>
              <w:widowControl/>
              <w:spacing w:before="0" w:after="0"/>
              <w:jc w:val="left"/>
              <w:rPr>
                <w:snapToGrid/>
                <w:color w:val="000000"/>
                <w:szCs w:val="24"/>
              </w:rPr>
            </w:pPr>
            <w:r w:rsidRPr="00DA3255">
              <w:rPr>
                <w:snapToGrid/>
                <w:color w:val="000000"/>
                <w:szCs w:val="24"/>
              </w:rPr>
              <w:t>Ceiling Insulation</w:t>
            </w:r>
          </w:p>
        </w:tc>
      </w:tr>
      <w:tr w:rsidR="00DA3255" w:rsidRPr="00DA3255" w14:paraId="10FDBE9C" w14:textId="77777777" w:rsidTr="00DA3255">
        <w:trPr>
          <w:trHeight w:val="290"/>
        </w:trPr>
        <w:tc>
          <w:tcPr>
            <w:tcW w:w="4050" w:type="dxa"/>
            <w:tcBorders>
              <w:top w:val="nil"/>
              <w:left w:val="nil"/>
              <w:bottom w:val="nil"/>
              <w:right w:val="nil"/>
            </w:tcBorders>
            <w:shd w:val="clear" w:color="auto" w:fill="auto"/>
            <w:noWrap/>
            <w:vAlign w:val="bottom"/>
            <w:hideMark/>
          </w:tcPr>
          <w:p w14:paraId="76B82203" w14:textId="77777777" w:rsidR="00DA3255" w:rsidRPr="00DA3255" w:rsidRDefault="00DA3255" w:rsidP="00DA3255">
            <w:pPr>
              <w:widowControl/>
              <w:spacing w:before="0" w:after="0"/>
              <w:jc w:val="left"/>
              <w:rPr>
                <w:snapToGrid/>
                <w:color w:val="000000"/>
                <w:szCs w:val="24"/>
              </w:rPr>
            </w:pPr>
            <w:r w:rsidRPr="00DA3255">
              <w:rPr>
                <w:snapToGrid/>
                <w:color w:val="000000"/>
                <w:szCs w:val="24"/>
              </w:rPr>
              <w:t>Efficient Lighting</w:t>
            </w:r>
          </w:p>
        </w:tc>
      </w:tr>
      <w:tr w:rsidR="00DA3255" w:rsidRPr="00DA3255" w14:paraId="41B9E910" w14:textId="77777777" w:rsidTr="00DA3255">
        <w:trPr>
          <w:trHeight w:val="290"/>
        </w:trPr>
        <w:tc>
          <w:tcPr>
            <w:tcW w:w="4050" w:type="dxa"/>
            <w:tcBorders>
              <w:top w:val="nil"/>
              <w:left w:val="nil"/>
              <w:bottom w:val="nil"/>
              <w:right w:val="nil"/>
            </w:tcBorders>
            <w:shd w:val="clear" w:color="auto" w:fill="auto"/>
            <w:noWrap/>
            <w:vAlign w:val="bottom"/>
            <w:hideMark/>
          </w:tcPr>
          <w:p w14:paraId="71862157" w14:textId="77777777" w:rsidR="00DA3255" w:rsidRPr="00DA3255" w:rsidRDefault="00DA3255" w:rsidP="00DA3255">
            <w:pPr>
              <w:widowControl/>
              <w:spacing w:before="0" w:after="0"/>
              <w:jc w:val="left"/>
              <w:rPr>
                <w:snapToGrid/>
                <w:color w:val="000000"/>
                <w:szCs w:val="24"/>
              </w:rPr>
            </w:pPr>
            <w:r w:rsidRPr="00DA3255">
              <w:rPr>
                <w:snapToGrid/>
                <w:color w:val="000000"/>
                <w:szCs w:val="24"/>
              </w:rPr>
              <w:t>Helio System (Efficient Boiler)</w:t>
            </w:r>
          </w:p>
        </w:tc>
      </w:tr>
      <w:tr w:rsidR="00DA3255" w:rsidRPr="00DA3255" w14:paraId="642F418C" w14:textId="77777777" w:rsidTr="00DA3255">
        <w:trPr>
          <w:trHeight w:val="290"/>
        </w:trPr>
        <w:tc>
          <w:tcPr>
            <w:tcW w:w="4050" w:type="dxa"/>
            <w:tcBorders>
              <w:top w:val="nil"/>
              <w:left w:val="nil"/>
              <w:bottom w:val="nil"/>
              <w:right w:val="nil"/>
            </w:tcBorders>
            <w:shd w:val="clear" w:color="auto" w:fill="auto"/>
            <w:noWrap/>
            <w:vAlign w:val="bottom"/>
            <w:hideMark/>
          </w:tcPr>
          <w:p w14:paraId="142ED85E" w14:textId="77777777" w:rsidR="00DA3255" w:rsidRPr="00DA3255" w:rsidRDefault="00DA3255" w:rsidP="00DA3255">
            <w:pPr>
              <w:widowControl/>
              <w:spacing w:before="0" w:after="0"/>
              <w:jc w:val="left"/>
              <w:rPr>
                <w:snapToGrid/>
                <w:color w:val="000000"/>
                <w:szCs w:val="24"/>
              </w:rPr>
            </w:pPr>
            <w:r w:rsidRPr="00DA3255">
              <w:rPr>
                <w:snapToGrid/>
                <w:color w:val="000000"/>
                <w:szCs w:val="24"/>
              </w:rPr>
              <w:t>Window Replacement</w:t>
            </w:r>
          </w:p>
        </w:tc>
      </w:tr>
    </w:tbl>
    <w:p w14:paraId="03F288EE" w14:textId="77777777" w:rsidR="006D6F72" w:rsidRDefault="006D6F72" w:rsidP="00B05301">
      <w:pPr>
        <w:pStyle w:val="FiguresandTables"/>
      </w:pPr>
    </w:p>
    <w:p w14:paraId="0A7BC99D" w14:textId="77777777" w:rsidR="00B05301" w:rsidRDefault="00B05301" w:rsidP="00B05301">
      <w:pPr>
        <w:pStyle w:val="FiguresandTables"/>
      </w:pPr>
      <w:r>
        <w:t xml:space="preserve">Table A.2 – Audit </w:t>
      </w:r>
      <w:r w:rsidR="005C17DB">
        <w:t>Results</w:t>
      </w:r>
    </w:p>
    <w:p w14:paraId="49F23386" w14:textId="77777777" w:rsidR="00B05301" w:rsidRDefault="00B05301" w:rsidP="00B05301"/>
    <w:p w14:paraId="6BAF6AF4" w14:textId="77777777" w:rsidR="00B05301" w:rsidRPr="00B05301" w:rsidRDefault="00B05301" w:rsidP="00B05301">
      <w:r w:rsidRPr="00B05301">
        <w:rPr>
          <w:noProof/>
        </w:rPr>
        <w:drawing>
          <wp:inline distT="0" distB="0" distL="0" distR="0" wp14:anchorId="2F102ED3" wp14:editId="47BFEE1E">
            <wp:extent cx="8864600" cy="1888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64600" cy="1888825"/>
                    </a:xfrm>
                    <a:prstGeom prst="rect">
                      <a:avLst/>
                    </a:prstGeom>
                    <a:noFill/>
                    <a:ln>
                      <a:noFill/>
                    </a:ln>
                  </pic:spPr>
                </pic:pic>
              </a:graphicData>
            </a:graphic>
          </wp:inline>
        </w:drawing>
      </w:r>
    </w:p>
    <w:p w14:paraId="43A6F339" w14:textId="77777777" w:rsidR="00E42A0A" w:rsidRDefault="00B05301" w:rsidP="00B05301">
      <w:pPr>
        <w:ind w:firstLine="720"/>
        <w:rPr>
          <w:i/>
          <w:sz w:val="22"/>
          <w:szCs w:val="22"/>
        </w:rPr>
      </w:pPr>
      <w:r w:rsidRPr="00B05301">
        <w:rPr>
          <w:i/>
          <w:sz w:val="22"/>
          <w:szCs w:val="22"/>
        </w:rPr>
        <w:t xml:space="preserve">Source: </w:t>
      </w:r>
      <w:r>
        <w:rPr>
          <w:i/>
          <w:sz w:val="22"/>
          <w:szCs w:val="22"/>
        </w:rPr>
        <w:t>Energy Audits conducted by USAID</w:t>
      </w:r>
    </w:p>
    <w:p w14:paraId="76CDB0CA" w14:textId="77777777" w:rsidR="00B05301" w:rsidRPr="00B05301" w:rsidRDefault="00B05301" w:rsidP="00B05301">
      <w:pPr>
        <w:ind w:firstLine="720"/>
        <w:rPr>
          <w:i/>
          <w:sz w:val="22"/>
          <w:szCs w:val="22"/>
        </w:rPr>
      </w:pPr>
    </w:p>
    <w:p w14:paraId="4C04227A" w14:textId="77777777" w:rsidR="00E42A0A" w:rsidRDefault="00E42A0A" w:rsidP="00E42A0A">
      <w:pPr>
        <w:widowControl/>
        <w:spacing w:before="0" w:after="0"/>
        <w:jc w:val="left"/>
        <w:rPr>
          <w:i/>
        </w:rPr>
      </w:pPr>
      <w:r>
        <w:rPr>
          <w:i/>
        </w:rPr>
        <w:br w:type="page"/>
      </w:r>
    </w:p>
    <w:p w14:paraId="55AB8E24" w14:textId="77777777" w:rsidR="00B05301" w:rsidRDefault="00B05301" w:rsidP="003902CC">
      <w:pPr>
        <w:pStyle w:val="Heading1"/>
        <w:sectPr w:rsidR="00B05301" w:rsidSect="00B05301">
          <w:footerReference w:type="default" r:id="rId56"/>
          <w:endnotePr>
            <w:numFmt w:val="decimal"/>
          </w:endnotePr>
          <w:pgSz w:w="16840" w:h="11907" w:orient="landscape" w:code="9"/>
          <w:pgMar w:top="1530" w:right="1440" w:bottom="1440" w:left="1440" w:header="720" w:footer="720" w:gutter="0"/>
          <w:cols w:space="720"/>
          <w:noEndnote/>
          <w:docGrid w:linePitch="326"/>
        </w:sectPr>
      </w:pPr>
      <w:bookmarkStart w:id="122" w:name="_Toc446061769"/>
      <w:bookmarkEnd w:id="109"/>
    </w:p>
    <w:p w14:paraId="3178E388" w14:textId="77777777" w:rsidR="006F6392" w:rsidRDefault="006F6392" w:rsidP="003902CC">
      <w:pPr>
        <w:pStyle w:val="Heading1"/>
      </w:pPr>
      <w:bookmarkStart w:id="123" w:name="_Toc461093973"/>
      <w:r>
        <w:t>Annex B – Additional Information on Selected Financing Mechanisms</w:t>
      </w:r>
      <w:bookmarkEnd w:id="122"/>
      <w:bookmarkEnd w:id="123"/>
    </w:p>
    <w:p w14:paraId="05BD93D4" w14:textId="77777777" w:rsidR="006F6392" w:rsidRDefault="006F6392" w:rsidP="006F6392">
      <w:pPr>
        <w:pStyle w:val="Heading2"/>
      </w:pPr>
      <w:bookmarkStart w:id="124" w:name="_Toc446061770"/>
      <w:bookmarkStart w:id="125" w:name="_Toc461093974"/>
      <w:r>
        <w:t>Budget Financing with Capital Recovery</w:t>
      </w:r>
      <w:bookmarkEnd w:id="124"/>
      <w:bookmarkEnd w:id="125"/>
    </w:p>
    <w:p w14:paraId="54DCE110" w14:textId="77777777" w:rsidR="006F6392" w:rsidRDefault="006F6392" w:rsidP="006F6392">
      <w:r>
        <w:t xml:space="preserve">Figure B.1 shows a typical structure of a public EE improvement project using budget financing. An illustrative example of this approach is a project financed by the World Bank in the </w:t>
      </w:r>
      <w:r w:rsidR="00214DE3">
        <w:t xml:space="preserve">former </w:t>
      </w:r>
      <w:r>
        <w:t xml:space="preserve">Yugoslav Republic of Macedonia (see Box B.1). </w:t>
      </w:r>
    </w:p>
    <w:p w14:paraId="38B313BB" w14:textId="77777777" w:rsidR="006F6392" w:rsidRDefault="006F6392" w:rsidP="006F6392">
      <w:pPr>
        <w:pStyle w:val="FiguresandTables"/>
        <w:spacing w:after="60"/>
      </w:pPr>
      <w:r>
        <w:t>Figure B.1 - Structure of a Municipal EE Improvement Project Using Budget Financing</w:t>
      </w:r>
    </w:p>
    <w:p w14:paraId="4908BC82" w14:textId="77777777" w:rsidR="006F6392" w:rsidRPr="001E53D7" w:rsidRDefault="006F6392" w:rsidP="006F6392">
      <w:pPr>
        <w:spacing w:before="60" w:after="60"/>
        <w:jc w:val="center"/>
      </w:pPr>
      <w:r w:rsidRPr="001E53D7">
        <w:rPr>
          <w:noProof/>
        </w:rPr>
        <w:drawing>
          <wp:inline distT="0" distB="0" distL="0" distR="0" wp14:anchorId="34808620" wp14:editId="41A640E2">
            <wp:extent cx="3754710" cy="3390572"/>
            <wp:effectExtent l="19050" t="19050" r="17780" b="19685"/>
            <wp:docPr id="28674" name="Picture 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54710" cy="3390572"/>
                    </a:xfrm>
                    <a:prstGeom prst="rect">
                      <a:avLst/>
                    </a:prstGeom>
                    <a:noFill/>
                    <a:ln>
                      <a:solidFill>
                        <a:srgbClr val="002060"/>
                      </a:solidFill>
                    </a:ln>
                  </pic:spPr>
                </pic:pic>
              </a:graphicData>
            </a:graphic>
          </wp:inline>
        </w:drawing>
      </w:r>
    </w:p>
    <w:p w14:paraId="6F349D51" w14:textId="77777777" w:rsidR="006F6392" w:rsidRPr="00345436" w:rsidRDefault="006F6392" w:rsidP="006F6392">
      <w:pPr>
        <w:ind w:left="1440"/>
        <w:rPr>
          <w:i/>
          <w:sz w:val="22"/>
          <w:szCs w:val="22"/>
        </w:rPr>
      </w:pPr>
      <w:r w:rsidRPr="00345436">
        <w:rPr>
          <w:i/>
          <w:sz w:val="22"/>
          <w:szCs w:val="22"/>
        </w:rPr>
        <w:t xml:space="preserve">Source: </w:t>
      </w:r>
      <w:r w:rsidR="00CE5F06">
        <w:rPr>
          <w:i/>
          <w:sz w:val="22"/>
          <w:szCs w:val="22"/>
        </w:rPr>
        <w:t>World Bank</w:t>
      </w:r>
    </w:p>
    <w:p w14:paraId="50842150" w14:textId="77777777" w:rsidR="006F6392" w:rsidRDefault="006F6392" w:rsidP="006F6392">
      <w:pPr>
        <w:rPr>
          <w:rStyle w:val="Heading2Char"/>
        </w:rPr>
      </w:pPr>
      <w:r>
        <w:rPr>
          <w:noProof/>
        </w:rPr>
        <mc:AlternateContent>
          <mc:Choice Requires="wps">
            <w:drawing>
              <wp:inline distT="0" distB="0" distL="0" distR="0" wp14:anchorId="2213EDFA" wp14:editId="719D5B6C">
                <wp:extent cx="5676900" cy="2584939"/>
                <wp:effectExtent l="0" t="0" r="19050" b="2540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584939"/>
                        </a:xfrm>
                        <a:prstGeom prst="rect">
                          <a:avLst/>
                        </a:prstGeom>
                        <a:solidFill>
                          <a:schemeClr val="accent1">
                            <a:lumMod val="20000"/>
                            <a:lumOff val="80000"/>
                          </a:schemeClr>
                        </a:solidFill>
                        <a:ln w="9525">
                          <a:solidFill>
                            <a:srgbClr val="000000"/>
                          </a:solidFill>
                          <a:miter lim="800000"/>
                          <a:headEnd/>
                          <a:tailEnd/>
                        </a:ln>
                      </wps:spPr>
                      <wps:txbx>
                        <w:txbxContent>
                          <w:p w14:paraId="60421D17" w14:textId="77777777" w:rsidR="00C3446D" w:rsidRPr="00996BE8" w:rsidRDefault="00C3446D" w:rsidP="006F6392">
                            <w:pPr>
                              <w:pStyle w:val="Boxcaption"/>
                              <w:rPr>
                                <w:rFonts w:ascii="Times New Roman" w:hAnsi="Times New Roman"/>
                                <w:sz w:val="20"/>
                              </w:rPr>
                            </w:pPr>
                            <w:r w:rsidRPr="00996BE8">
                              <w:rPr>
                                <w:rFonts w:ascii="Times New Roman" w:hAnsi="Times New Roman"/>
                                <w:sz w:val="20"/>
                              </w:rPr>
                              <w:t xml:space="preserve">Box </w:t>
                            </w:r>
                            <w:r>
                              <w:rPr>
                                <w:rFonts w:ascii="Times New Roman" w:hAnsi="Times New Roman"/>
                                <w:sz w:val="20"/>
                              </w:rPr>
                              <w:t>B.1 -</w:t>
                            </w:r>
                            <w:r w:rsidRPr="00996BE8">
                              <w:rPr>
                                <w:rFonts w:ascii="Times New Roman" w:hAnsi="Times New Roman"/>
                                <w:sz w:val="20"/>
                              </w:rPr>
                              <w:t xml:space="preserve"> Example of Budget Financing</w:t>
                            </w:r>
                            <w:r>
                              <w:rPr>
                                <w:rFonts w:ascii="Times New Roman" w:hAnsi="Times New Roman"/>
                                <w:sz w:val="20"/>
                              </w:rPr>
                              <w:t xml:space="preserve"> with Capital Recovery</w:t>
                            </w:r>
                            <w:r w:rsidRPr="00996BE8">
                              <w:rPr>
                                <w:rFonts w:ascii="Times New Roman" w:hAnsi="Times New Roman"/>
                                <w:sz w:val="20"/>
                              </w:rPr>
                              <w:t>: Macedonia</w:t>
                            </w:r>
                          </w:p>
                          <w:p w14:paraId="6362E980" w14:textId="77777777" w:rsidR="00C3446D" w:rsidRPr="00996BE8" w:rsidRDefault="00C3446D" w:rsidP="006F6392">
                            <w:pPr>
                              <w:pStyle w:val="Boxtext"/>
                              <w:rPr>
                                <w:rFonts w:ascii="Times New Roman" w:hAnsi="Times New Roman"/>
                              </w:rPr>
                            </w:pPr>
                            <w:r w:rsidRPr="00996BE8">
                              <w:rPr>
                                <w:rFonts w:ascii="Times New Roman" w:hAnsi="Times New Roman"/>
                              </w:rPr>
                              <w:t xml:space="preserve">The World Bank provided a loan of </w:t>
                            </w:r>
                            <w:r>
                              <w:rPr>
                                <w:rFonts w:ascii="Times New Roman" w:hAnsi="Times New Roman"/>
                              </w:rPr>
                              <w:t>US</w:t>
                            </w:r>
                            <w:r w:rsidRPr="00996BE8">
                              <w:rPr>
                                <w:rFonts w:ascii="Times New Roman" w:hAnsi="Times New Roman"/>
                              </w:rPr>
                              <w:t xml:space="preserve">$25 million (later expanded to </w:t>
                            </w:r>
                            <w:r>
                              <w:rPr>
                                <w:rFonts w:ascii="Times New Roman" w:hAnsi="Times New Roman"/>
                              </w:rPr>
                              <w:t>US</w:t>
                            </w:r>
                            <w:r w:rsidRPr="00996BE8">
                              <w:rPr>
                                <w:rFonts w:ascii="Times New Roman" w:hAnsi="Times New Roman"/>
                              </w:rPr>
                              <w:t>$75 million) to Macedonia to fund the Municipal Services Improvement Project (approved in 2009), which sought to improve the transparency, financial sustainability</w:t>
                            </w:r>
                            <w:r>
                              <w:rPr>
                                <w:rFonts w:ascii="Times New Roman" w:hAnsi="Times New Roman"/>
                              </w:rPr>
                              <w:t>,</w:t>
                            </w:r>
                            <w:r w:rsidRPr="00996BE8">
                              <w:rPr>
                                <w:rFonts w:ascii="Times New Roman" w:hAnsi="Times New Roman"/>
                              </w:rPr>
                              <w:t xml:space="preserve"> and delivery of municipal services in the participating municipalities through a focus on revenue-generating public services and investment projects with cost-saving potential. The loan funds were managed by the </w:t>
                            </w:r>
                            <w:r>
                              <w:rPr>
                                <w:rFonts w:ascii="Times New Roman" w:hAnsi="Times New Roman"/>
                              </w:rPr>
                              <w:t>MOF</w:t>
                            </w:r>
                            <w:r w:rsidRPr="00996BE8">
                              <w:rPr>
                                <w:rFonts w:ascii="Times New Roman" w:hAnsi="Times New Roman"/>
                              </w:rPr>
                              <w:t xml:space="preserve"> and were on-lent to participating eligible municipalities through sub-loan and grant agreements on the same terms as the World Bank loan. The loan repayments were in the form of reduced budget outlays to the municipalities for energy. </w:t>
                            </w:r>
                          </w:p>
                          <w:p w14:paraId="64A4ADC9" w14:textId="77777777" w:rsidR="00C3446D" w:rsidRPr="00996BE8" w:rsidRDefault="00C3446D" w:rsidP="006F6392">
                            <w:pPr>
                              <w:rPr>
                                <w:snapToGrid/>
                                <w:sz w:val="20"/>
                              </w:rPr>
                            </w:pPr>
                            <w:r w:rsidRPr="00996BE8">
                              <w:rPr>
                                <w:sz w:val="20"/>
                              </w:rPr>
                              <w:t xml:space="preserve">Eligible borrowers were creditworthy municipalities that had received MOF approval to borrow, with publicized budgets and audit reports. The loan program was supplemented by technical assistance funds for capacity building and institutional reform, and also by a performance-based investment grant fund that provided </w:t>
                            </w:r>
                            <w:r w:rsidRPr="00996BE8">
                              <w:rPr>
                                <w:snapToGrid/>
                                <w:sz w:val="20"/>
                              </w:rPr>
                              <w:t>incentives and rewards to municipalities for implementing reform initiatives to improve service delivery performance.</w:t>
                            </w:r>
                          </w:p>
                          <w:p w14:paraId="1CABF381" w14:textId="77777777" w:rsidR="00C3446D" w:rsidRPr="00996BE8" w:rsidRDefault="00C3446D" w:rsidP="006F6392">
                            <w:pPr>
                              <w:pStyle w:val="Sourcenote-Box"/>
                              <w:rPr>
                                <w:rFonts w:ascii="Times New Roman" w:hAnsi="Times New Roman"/>
                                <w:sz w:val="20"/>
                              </w:rPr>
                            </w:pPr>
                            <w:r w:rsidRPr="00996BE8">
                              <w:rPr>
                                <w:rFonts w:ascii="Times New Roman" w:hAnsi="Times New Roman"/>
                                <w:i/>
                                <w:sz w:val="20"/>
                              </w:rPr>
                              <w:t>Source:</w:t>
                            </w:r>
                            <w:r w:rsidRPr="00996BE8">
                              <w:rPr>
                                <w:rFonts w:ascii="Times New Roman" w:hAnsi="Times New Roman"/>
                                <w:sz w:val="20"/>
                              </w:rPr>
                              <w:t xml:space="preserve"> </w:t>
                            </w:r>
                            <w:r>
                              <w:rPr>
                                <w:rFonts w:ascii="Times New Roman" w:hAnsi="Times New Roman"/>
                                <w:i/>
                                <w:sz w:val="20"/>
                              </w:rPr>
                              <w:t xml:space="preserve">World Bank </w:t>
                            </w:r>
                            <w:r w:rsidRPr="00996BE8">
                              <w:rPr>
                                <w:rFonts w:ascii="Times New Roman" w:hAnsi="Times New Roman"/>
                                <w:i/>
                                <w:sz w:val="20"/>
                              </w:rPr>
                              <w:t>2009 and 2012b</w:t>
                            </w:r>
                            <w:r>
                              <w:rPr>
                                <w:rFonts w:ascii="Times New Roman" w:hAnsi="Times New Roman"/>
                                <w:i/>
                                <w:sz w:val="20"/>
                              </w:rPr>
                              <w:t>.</w:t>
                            </w:r>
                          </w:p>
                        </w:txbxContent>
                      </wps:txbx>
                      <wps:bodyPr rot="0" vert="horz" wrap="square" lIns="91440" tIns="45720" rIns="91440" bIns="45720" anchor="t" anchorCtr="0">
                        <a:noAutofit/>
                      </wps:bodyPr>
                    </wps:wsp>
                  </a:graphicData>
                </a:graphic>
              </wp:inline>
            </w:drawing>
          </mc:Choice>
          <mc:Fallback>
            <w:pict>
              <v:shapetype w14:anchorId="2213EDFA" id="_x0000_t202" coordsize="21600,21600" o:spt="202" path="m,l,21600r21600,l21600,xe">
                <v:stroke joinstyle="miter"/>
                <v:path gradientshapeok="t" o:connecttype="rect"/>
              </v:shapetype>
              <v:shape id="Text Box 29" o:spid="_x0000_s1026" type="#_x0000_t202" style="width:447pt;height:20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" fillcolor="#dbe5f1 [660]">
                <v:textbox>
                  <w:txbxContent>
                    <w:p w14:paraId="60421D17" w14:textId="77777777" w:rsidR="00C3446D" w:rsidRPr="00996BE8" w:rsidRDefault="00C3446D" w:rsidP="006F6392">
                      <w:pPr>
                        <w:pStyle w:val="Boxcaption"/>
                        <w:rPr>
                          <w:rFonts w:ascii="Times New Roman" w:hAnsi="Times New Roman"/>
                          <w:sz w:val="20"/>
                        </w:rPr>
                      </w:pPr>
                      <w:r w:rsidRPr="00996BE8">
                        <w:rPr>
                          <w:rFonts w:ascii="Times New Roman" w:hAnsi="Times New Roman"/>
                          <w:sz w:val="20"/>
                        </w:rPr>
                        <w:t xml:space="preserve">Box </w:t>
                      </w:r>
                      <w:r>
                        <w:rPr>
                          <w:rFonts w:ascii="Times New Roman" w:hAnsi="Times New Roman"/>
                          <w:sz w:val="20"/>
                        </w:rPr>
                        <w:t>B.1 -</w:t>
                      </w:r>
                      <w:r w:rsidRPr="00996BE8">
                        <w:rPr>
                          <w:rFonts w:ascii="Times New Roman" w:hAnsi="Times New Roman"/>
                          <w:sz w:val="20"/>
                        </w:rPr>
                        <w:t xml:space="preserve"> Example of Budget Financing</w:t>
                      </w:r>
                      <w:r>
                        <w:rPr>
                          <w:rFonts w:ascii="Times New Roman" w:hAnsi="Times New Roman"/>
                          <w:sz w:val="20"/>
                        </w:rPr>
                        <w:t xml:space="preserve"> with Capital Recovery</w:t>
                      </w:r>
                      <w:r w:rsidRPr="00996BE8">
                        <w:rPr>
                          <w:rFonts w:ascii="Times New Roman" w:hAnsi="Times New Roman"/>
                          <w:sz w:val="20"/>
                        </w:rPr>
                        <w:t>: Macedonia</w:t>
                      </w:r>
                    </w:p>
                    <w:p w14:paraId="6362E980" w14:textId="77777777" w:rsidR="00C3446D" w:rsidRPr="00996BE8" w:rsidRDefault="00C3446D" w:rsidP="006F6392">
                      <w:pPr>
                        <w:pStyle w:val="Boxtext"/>
                        <w:rPr>
                          <w:rFonts w:ascii="Times New Roman" w:hAnsi="Times New Roman"/>
                        </w:rPr>
                      </w:pPr>
                      <w:r w:rsidRPr="00996BE8">
                        <w:rPr>
                          <w:rFonts w:ascii="Times New Roman" w:hAnsi="Times New Roman"/>
                        </w:rPr>
                        <w:t xml:space="preserve">The World Bank provided a loan of </w:t>
                      </w:r>
                      <w:r>
                        <w:rPr>
                          <w:rFonts w:ascii="Times New Roman" w:hAnsi="Times New Roman"/>
                        </w:rPr>
                        <w:t>US</w:t>
                      </w:r>
                      <w:r w:rsidRPr="00996BE8">
                        <w:rPr>
                          <w:rFonts w:ascii="Times New Roman" w:hAnsi="Times New Roman"/>
                        </w:rPr>
                        <w:t xml:space="preserve">$25 million (later expanded to </w:t>
                      </w:r>
                      <w:r>
                        <w:rPr>
                          <w:rFonts w:ascii="Times New Roman" w:hAnsi="Times New Roman"/>
                        </w:rPr>
                        <w:t>US</w:t>
                      </w:r>
                      <w:r w:rsidRPr="00996BE8">
                        <w:rPr>
                          <w:rFonts w:ascii="Times New Roman" w:hAnsi="Times New Roman"/>
                        </w:rPr>
                        <w:t>$75 million) to Macedonia to fund the Municipal Services Improvement Project (approved in 2009), which sought to improve the transparency, financial sustainability</w:t>
                      </w:r>
                      <w:r>
                        <w:rPr>
                          <w:rFonts w:ascii="Times New Roman" w:hAnsi="Times New Roman"/>
                        </w:rPr>
                        <w:t>,</w:t>
                      </w:r>
                      <w:r w:rsidRPr="00996BE8">
                        <w:rPr>
                          <w:rFonts w:ascii="Times New Roman" w:hAnsi="Times New Roman"/>
                        </w:rPr>
                        <w:t xml:space="preserve"> and delivery of municipal services in the participating municipalities through a focus on revenue-generating public services and investment projects with cost-saving potential. The loan funds were managed by the </w:t>
                      </w:r>
                      <w:r>
                        <w:rPr>
                          <w:rFonts w:ascii="Times New Roman" w:hAnsi="Times New Roman"/>
                        </w:rPr>
                        <w:t>MOF</w:t>
                      </w:r>
                      <w:r w:rsidRPr="00996BE8">
                        <w:rPr>
                          <w:rFonts w:ascii="Times New Roman" w:hAnsi="Times New Roman"/>
                        </w:rPr>
                        <w:t xml:space="preserve"> and were on-lent to participating eligible municipalities through sub-loan and grant agreements on the same terms as the World Bank loan. The loan repayments were in the form of reduced budget outlays to the municipalities for energy. </w:t>
                      </w:r>
                    </w:p>
                    <w:p w14:paraId="64A4ADC9" w14:textId="77777777" w:rsidR="00C3446D" w:rsidRPr="00996BE8" w:rsidRDefault="00C3446D" w:rsidP="006F6392">
                      <w:pPr>
                        <w:rPr>
                          <w:snapToGrid/>
                          <w:sz w:val="20"/>
                        </w:rPr>
                      </w:pPr>
                      <w:r w:rsidRPr="00996BE8">
                        <w:rPr>
                          <w:sz w:val="20"/>
                        </w:rPr>
                        <w:t xml:space="preserve">Eligible borrowers were creditworthy municipalities that had received MOF approval to borrow, with publicized budgets and audit reports. The loan program was supplemented by technical assistance funds for capacity building and institutional reform, and also by a performance-based investment grant fund that provided </w:t>
                      </w:r>
                      <w:r w:rsidRPr="00996BE8">
                        <w:rPr>
                          <w:snapToGrid/>
                          <w:sz w:val="20"/>
                        </w:rPr>
                        <w:t>incentives and rewards to municipalities for implementing reform initiatives to improve service delivery performance.</w:t>
                      </w:r>
                    </w:p>
                    <w:p w14:paraId="1CABF381" w14:textId="77777777" w:rsidR="00C3446D" w:rsidRPr="00996BE8" w:rsidRDefault="00C3446D" w:rsidP="006F6392">
                      <w:pPr>
                        <w:pStyle w:val="Sourcenote-Box"/>
                        <w:rPr>
                          <w:rFonts w:ascii="Times New Roman" w:hAnsi="Times New Roman"/>
                          <w:sz w:val="20"/>
                        </w:rPr>
                      </w:pPr>
                      <w:r w:rsidRPr="00996BE8">
                        <w:rPr>
                          <w:rFonts w:ascii="Times New Roman" w:hAnsi="Times New Roman"/>
                          <w:i/>
                          <w:sz w:val="20"/>
                        </w:rPr>
                        <w:t>Source:</w:t>
                      </w:r>
                      <w:r w:rsidRPr="00996BE8">
                        <w:rPr>
                          <w:rFonts w:ascii="Times New Roman" w:hAnsi="Times New Roman"/>
                          <w:sz w:val="20"/>
                        </w:rPr>
                        <w:t xml:space="preserve"> </w:t>
                      </w:r>
                      <w:r>
                        <w:rPr>
                          <w:rFonts w:ascii="Times New Roman" w:hAnsi="Times New Roman"/>
                          <w:i/>
                          <w:sz w:val="20"/>
                        </w:rPr>
                        <w:t xml:space="preserve">World Bank </w:t>
                      </w:r>
                      <w:r w:rsidRPr="00996BE8">
                        <w:rPr>
                          <w:rFonts w:ascii="Times New Roman" w:hAnsi="Times New Roman"/>
                          <w:i/>
                          <w:sz w:val="20"/>
                        </w:rPr>
                        <w:t>2009 and 2012b</w:t>
                      </w:r>
                      <w:r>
                        <w:rPr>
                          <w:rFonts w:ascii="Times New Roman" w:hAnsi="Times New Roman"/>
                          <w:i/>
                          <w:sz w:val="20"/>
                        </w:rPr>
                        <w:t>.</w:t>
                      </w:r>
                    </w:p>
                  </w:txbxContent>
                </v:textbox>
                <w10:anchorlock/>
              </v:shape>
            </w:pict>
          </mc:Fallback>
        </mc:AlternateContent>
      </w:r>
    </w:p>
    <w:p w14:paraId="77FEE1AF" w14:textId="77777777" w:rsidR="006F6392" w:rsidRDefault="006F6392" w:rsidP="006F6392">
      <w:pPr>
        <w:rPr>
          <w:rStyle w:val="Heading2Char"/>
        </w:rPr>
      </w:pPr>
    </w:p>
    <w:p w14:paraId="0824FECC" w14:textId="77777777" w:rsidR="003902CC" w:rsidRDefault="003902CC" w:rsidP="00B05301">
      <w:pPr>
        <w:pStyle w:val="Heading3"/>
        <w:rPr>
          <w:rStyle w:val="Heading2Char"/>
        </w:rPr>
      </w:pPr>
      <w:bookmarkStart w:id="126" w:name="_Toc446061771"/>
    </w:p>
    <w:p w14:paraId="0E4F9448" w14:textId="77777777" w:rsidR="006F6392" w:rsidRDefault="006F6392" w:rsidP="006F6392">
      <w:pPr>
        <w:rPr>
          <w:rStyle w:val="Heading2Char"/>
        </w:rPr>
      </w:pPr>
      <w:bookmarkStart w:id="127" w:name="_Toc461093975"/>
      <w:r>
        <w:rPr>
          <w:rStyle w:val="Heading2Char"/>
        </w:rPr>
        <w:t>Utility On-Bill Financing</w:t>
      </w:r>
      <w:bookmarkEnd w:id="126"/>
      <w:bookmarkEnd w:id="127"/>
    </w:p>
    <w:p w14:paraId="1DF83C2A" w14:textId="77777777" w:rsidR="006F6392" w:rsidRDefault="006F6392" w:rsidP="006F6392">
      <w:r>
        <w:t>A summary of this mechanism was provided in Section 5. Some of the advantages of this mechanism, based on experience in 20 U.S</w:t>
      </w:r>
      <w:r w:rsidR="00214DE3">
        <w:t>.</w:t>
      </w:r>
      <w:r>
        <w:t xml:space="preserve"> </w:t>
      </w:r>
      <w:r w:rsidR="00214DE3">
        <w:t>states</w:t>
      </w:r>
      <w:r>
        <w:t>, are (ACEEE 2011):</w:t>
      </w:r>
    </w:p>
    <w:p w14:paraId="5728DEF7" w14:textId="77777777" w:rsidR="006F6392" w:rsidRDefault="006F6392" w:rsidP="006F6392">
      <w:pPr>
        <w:pStyle w:val="Bulleted"/>
      </w:pPr>
      <w:r>
        <w:t>It provides consumers access to financing using the utility’s relationship with its customers.</w:t>
      </w:r>
    </w:p>
    <w:p w14:paraId="55FE7D0D" w14:textId="77777777" w:rsidR="006F6392" w:rsidRDefault="006F6392" w:rsidP="006F6392">
      <w:pPr>
        <w:pStyle w:val="Bulleted"/>
      </w:pPr>
      <w:r>
        <w:t>It generally provides the customer the advantage of paying for the EE investment from the savings in the utility bills resulting from that investment.</w:t>
      </w:r>
    </w:p>
    <w:p w14:paraId="1F1034F7" w14:textId="77777777" w:rsidR="006F6392" w:rsidRDefault="006F6392" w:rsidP="006F6392">
      <w:pPr>
        <w:pStyle w:val="Bulleted"/>
      </w:pPr>
      <w:r>
        <w:t xml:space="preserve">Such a program may be able to extend financing to otherwise underserved markets, such as consumers renting their facilities and residents of multi-family dwelling units. </w:t>
      </w:r>
    </w:p>
    <w:p w14:paraId="4BCCA805" w14:textId="77777777" w:rsidR="006F6392" w:rsidRDefault="006F6392" w:rsidP="006F6392">
      <w:pPr>
        <w:pStyle w:val="Bulleted"/>
      </w:pPr>
      <w:r>
        <w:t>There is also the possibility of providing financing to consumers whose weak credit limits their ability to obtain conventional financing.</w:t>
      </w:r>
    </w:p>
    <w:p w14:paraId="05569BD1" w14:textId="77777777" w:rsidR="006F6392" w:rsidRDefault="006F6392" w:rsidP="006F6392">
      <w:pPr>
        <w:pStyle w:val="Bulleted"/>
      </w:pPr>
      <w:r>
        <w:t xml:space="preserve">The costs and risks related to the collection of loan repayments from consumers are reduced because very few consumers are delinquent on their utility bill payments. </w:t>
      </w:r>
    </w:p>
    <w:p w14:paraId="66A445CA" w14:textId="77777777" w:rsidR="006F6392" w:rsidRDefault="006F6392" w:rsidP="006F6392">
      <w:pPr>
        <w:pStyle w:val="Heading3"/>
      </w:pPr>
      <w:bookmarkStart w:id="128" w:name="_Toc316616924"/>
      <w:bookmarkStart w:id="129" w:name="_Toc446061772"/>
      <w:bookmarkStart w:id="130" w:name="_Toc461093976"/>
      <w:r>
        <w:t>Key Characteristics</w:t>
      </w:r>
      <w:bookmarkEnd w:id="128"/>
      <w:bookmarkEnd w:id="129"/>
      <w:bookmarkEnd w:id="130"/>
    </w:p>
    <w:p w14:paraId="47163E4F" w14:textId="77777777" w:rsidR="006F6392" w:rsidRDefault="006F6392" w:rsidP="006F6392">
      <w:pPr>
        <w:pStyle w:val="Bulleted"/>
      </w:pPr>
      <w:r>
        <w:t>The financing structure is generally on favorable loan terms. The interest rate is based on the utility’s cost of capital and is therefore usually below the commercial market rate. Some utility financing programs charge a zero interest rate.</w:t>
      </w:r>
    </w:p>
    <w:p w14:paraId="3B613411" w14:textId="77777777" w:rsidR="006F6392" w:rsidRDefault="006F6392" w:rsidP="006F6392">
      <w:pPr>
        <w:pStyle w:val="Bulleted"/>
      </w:pPr>
      <w:r>
        <w:t>The length of the loan is determined based on the type of EE equipment being financed and is designed i</w:t>
      </w:r>
      <w:r w:rsidR="00CE5F06">
        <w:t>n</w:t>
      </w:r>
      <w:r>
        <w:t xml:space="preserve"> such as a way that the consumer’s monthly loan repayment is less than the bill savings generated by the equipment. For </w:t>
      </w:r>
      <w:r w:rsidR="00A01B68">
        <w:t>example, f</w:t>
      </w:r>
      <w:r>
        <w:t xml:space="preserve">inancing of CFLs may for a 9 to </w:t>
      </w:r>
      <w:r w:rsidR="004A0999">
        <w:t>18-month</w:t>
      </w:r>
      <w:r>
        <w:t xml:space="preserve"> period which is commonly the payback period for such efficient lamps. </w:t>
      </w:r>
    </w:p>
    <w:p w14:paraId="1B174213" w14:textId="77777777" w:rsidR="006F6392" w:rsidRDefault="006F6392" w:rsidP="006F6392">
      <w:pPr>
        <w:pStyle w:val="Bulleted"/>
      </w:pPr>
      <w:r>
        <w:t>The equipment is generally owned by the consumer and the utility has a lien on the equipment under the loan agreement.</w:t>
      </w:r>
    </w:p>
    <w:p w14:paraId="664E9AD5" w14:textId="77777777" w:rsidR="006F6392" w:rsidRDefault="006F6392" w:rsidP="006F6392">
      <w:pPr>
        <w:pStyle w:val="Bulleted"/>
      </w:pPr>
      <w:r>
        <w:t>The utility’s financing and administrative costs can be rolled into the equipment price and paid by the consumer as a part of the loan repayment.</w:t>
      </w:r>
    </w:p>
    <w:p w14:paraId="7096C59A" w14:textId="77777777" w:rsidR="006F6392" w:rsidRDefault="006F6392" w:rsidP="006F6392">
      <w:pPr>
        <w:pStyle w:val="Bulleted"/>
      </w:pPr>
      <w:r>
        <w:t>The risk of default is low as most consumers usually are diligent about paying their utility bills. In some cases, the utility may threaten to cut of the electricity service for non-payment of the equipment loan, providing a major incentive to the consumer to not be in default.</w:t>
      </w:r>
    </w:p>
    <w:p w14:paraId="6327982F" w14:textId="77777777" w:rsidR="006F6392" w:rsidRPr="003F17DF" w:rsidRDefault="006F6392" w:rsidP="006F6392">
      <w:pPr>
        <w:pStyle w:val="Bulleted"/>
      </w:pPr>
      <w:r>
        <w:t>Some utilities have found it difficult and cumbersome to modify their billing systems to add loan repayments for EE equipment to the electricity bills.</w:t>
      </w:r>
    </w:p>
    <w:p w14:paraId="01062B01" w14:textId="77777777" w:rsidR="006F6392" w:rsidRDefault="006F6392" w:rsidP="006F6392">
      <w:pPr>
        <w:pStyle w:val="Heading3"/>
      </w:pPr>
      <w:bookmarkStart w:id="131" w:name="_Toc236586305"/>
      <w:bookmarkStart w:id="132" w:name="_Toc316616925"/>
      <w:bookmarkStart w:id="133" w:name="_Toc446061773"/>
      <w:bookmarkStart w:id="134" w:name="_Toc461093977"/>
      <w:r>
        <w:t>Illustrative Examples</w:t>
      </w:r>
      <w:bookmarkEnd w:id="131"/>
      <w:bookmarkEnd w:id="132"/>
      <w:bookmarkEnd w:id="133"/>
      <w:bookmarkEnd w:id="134"/>
    </w:p>
    <w:p w14:paraId="64AC765D" w14:textId="77777777" w:rsidR="006F6392" w:rsidRDefault="006F6392" w:rsidP="006F6392">
      <w:r>
        <w:t>Recent examples of utility financing of EE projects through the billing mechanism include the Bangalore Efficient Lighting Program (BELP) launched by the Bangalore Electricity Supply Company (BESCOM) in India and the PROSOL program in Tunisia for installation of solar water heaters.</w:t>
      </w:r>
    </w:p>
    <w:p w14:paraId="4745C60C" w14:textId="77777777" w:rsidR="006F6392" w:rsidRDefault="006F6392" w:rsidP="006F6392">
      <w:r>
        <w:t>In the BELP program, the electric utility competitively selected manufacturers of energy-efficient Compact Fluorescent Lamps (CFL) based on price, quality</w:t>
      </w:r>
      <w:r w:rsidR="00CE5F06">
        <w:t>,</w:t>
      </w:r>
      <w:r>
        <w:t xml:space="preserve"> and warranties offered. Residential customers of BESCOM were able to obtain the CFLs from the manufacturers’ retail outlets. The customer signed an agreement with BESCOM to pay for the CFLs over a 9-month period through their electric bills (IIEC 2006).</w:t>
      </w:r>
    </w:p>
    <w:p w14:paraId="5ACB8DC1" w14:textId="77777777" w:rsidR="006F6392" w:rsidRDefault="006F6392" w:rsidP="006F6392">
      <w:r>
        <w:t>The Tunisian program (called Programme Solaire or PROSOL) was a joint effort involving the Tunisian Ministry of Industry, Energy, and Small and Medium Enterprises, and the National Agency for Energy Conservation (ANME). The solar water heating manufacturers and suppliers worked with commercial banks to arrange financing for customers interested in purchasing solar water heating systems. The customers agreed to repay the loan through their electricity bill. The electric utility collected the customer payments and repaid the banks. A summary is provided in Box B.2.</w:t>
      </w:r>
      <w:bookmarkStart w:id="135" w:name="_Toc236586306"/>
    </w:p>
    <w:p w14:paraId="4E0A0552" w14:textId="77777777" w:rsidR="006F6392" w:rsidRDefault="006F6392" w:rsidP="006F6392">
      <w:bookmarkStart w:id="136" w:name="_Toc445841666"/>
      <w:bookmarkStart w:id="137" w:name="_Toc446061774"/>
      <w:r>
        <w:rPr>
          <w:noProof/>
        </w:rPr>
        <mc:AlternateContent>
          <mc:Choice Requires="wps">
            <w:drawing>
              <wp:anchor distT="0" distB="0" distL="114300" distR="114300" simplePos="0" relativeHeight="251667456" behindDoc="0" locked="0" layoutInCell="1" allowOverlap="1" wp14:anchorId="3CC922A4" wp14:editId="0B42B058">
                <wp:simplePos x="0" y="0"/>
                <wp:positionH relativeFrom="column">
                  <wp:posOffset>-31750</wp:posOffset>
                </wp:positionH>
                <wp:positionV relativeFrom="paragraph">
                  <wp:posOffset>17780</wp:posOffset>
                </wp:positionV>
                <wp:extent cx="5991225" cy="4083050"/>
                <wp:effectExtent l="0" t="0" r="28575" b="127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4083050"/>
                        </a:xfrm>
                        <a:prstGeom prst="rect">
                          <a:avLst/>
                        </a:prstGeom>
                        <a:solidFill>
                          <a:schemeClr val="accent1">
                            <a:lumMod val="20000"/>
                            <a:lumOff val="80000"/>
                          </a:schemeClr>
                        </a:solidFill>
                        <a:ln w="9525">
                          <a:solidFill>
                            <a:srgbClr val="000000"/>
                          </a:solidFill>
                          <a:miter lim="800000"/>
                          <a:headEnd/>
                          <a:tailEnd/>
                        </a:ln>
                      </wps:spPr>
                      <wps:txbx>
                        <w:txbxContent>
                          <w:p w14:paraId="7B4F7783" w14:textId="77777777" w:rsidR="00C3446D" w:rsidRPr="000A3555" w:rsidRDefault="00C3446D" w:rsidP="006F6392">
                            <w:pPr>
                              <w:jc w:val="left"/>
                              <w:rPr>
                                <w:b/>
                                <w:sz w:val="20"/>
                              </w:rPr>
                            </w:pPr>
                            <w:r w:rsidRPr="000A3555">
                              <w:rPr>
                                <w:b/>
                                <w:sz w:val="20"/>
                              </w:rPr>
                              <w:t>Box B.2 – Tunisia PROSOL Program</w:t>
                            </w:r>
                          </w:p>
                          <w:p w14:paraId="32A8DFF1" w14:textId="77777777" w:rsidR="00C3446D" w:rsidRPr="000A3555" w:rsidRDefault="00C3446D" w:rsidP="006F6392">
                            <w:pPr>
                              <w:rPr>
                                <w:sz w:val="20"/>
                              </w:rPr>
                            </w:pPr>
                            <w:r w:rsidRPr="000A3555">
                              <w:rPr>
                                <w:sz w:val="20"/>
                              </w:rPr>
                              <w:t>The PROSOL project was initiated in 2005 by the Tunisian Minist</w:t>
                            </w:r>
                            <w:r>
                              <w:rPr>
                                <w:sz w:val="20"/>
                              </w:rPr>
                              <w:t>ry</w:t>
                            </w:r>
                            <w:r w:rsidRPr="000A3555">
                              <w:rPr>
                                <w:sz w:val="20"/>
                              </w:rPr>
                              <w:t xml:space="preserve"> for Industry, Energy and Small and Medium Enterprises and the National Agency for Energy Conservation (ANME), with the support of the UNEP-MEDREP Finance Initiative. The objective of PROSOL was to revitalize the declining Tunisian solar water heater market. The innovative component of PROSOL was in its ability to actively involve the finance sector, and turn it into a key player for the promotion of clean energy and sustainable development. By identifying new lending opportunities, banks were able to build dedicated loan portfolios, thus helping to shift from a cash-based to a credit-based market.</w:t>
                            </w:r>
                          </w:p>
                          <w:p w14:paraId="13A3E410" w14:textId="77777777" w:rsidR="00C3446D" w:rsidRPr="000A3555" w:rsidRDefault="00C3446D" w:rsidP="006F6392">
                            <w:pPr>
                              <w:rPr>
                                <w:sz w:val="20"/>
                              </w:rPr>
                            </w:pPr>
                            <w:r w:rsidRPr="000A3555">
                              <w:rPr>
                                <w:sz w:val="20"/>
                              </w:rPr>
                              <w:t>The main features of the PROSOL financing scheme were:</w:t>
                            </w:r>
                          </w:p>
                          <w:p w14:paraId="1171068B" w14:textId="77777777" w:rsidR="00C3446D" w:rsidRPr="000A3555" w:rsidRDefault="00C3446D" w:rsidP="006F6392">
                            <w:pPr>
                              <w:pStyle w:val="ListParagraph"/>
                              <w:numPr>
                                <w:ilvl w:val="0"/>
                                <w:numId w:val="27"/>
                              </w:numPr>
                              <w:spacing w:before="0" w:after="0"/>
                              <w:contextualSpacing/>
                              <w:jc w:val="left"/>
                              <w:rPr>
                                <w:rFonts w:ascii="Times New Roman" w:hAnsi="Times New Roman" w:cs="Times New Roman"/>
                              </w:rPr>
                            </w:pPr>
                            <w:r w:rsidRPr="000A3555">
                              <w:rPr>
                                <w:rFonts w:ascii="Times New Roman" w:hAnsi="Times New Roman" w:cs="Times New Roman"/>
                              </w:rPr>
                              <w:t>Loan mechanism for domestic customers to purchase solar water heaters</w:t>
                            </w:r>
                          </w:p>
                          <w:p w14:paraId="3814B5F9" w14:textId="77777777" w:rsidR="00C3446D" w:rsidRPr="000A3555" w:rsidRDefault="00C3446D" w:rsidP="006F6392">
                            <w:pPr>
                              <w:pStyle w:val="ListParagraph"/>
                              <w:numPr>
                                <w:ilvl w:val="0"/>
                                <w:numId w:val="27"/>
                              </w:numPr>
                              <w:spacing w:before="0" w:after="0"/>
                              <w:contextualSpacing/>
                              <w:jc w:val="left"/>
                              <w:rPr>
                                <w:rFonts w:ascii="Times New Roman" w:hAnsi="Times New Roman" w:cs="Times New Roman"/>
                              </w:rPr>
                            </w:pPr>
                            <w:r w:rsidRPr="000A3555">
                              <w:rPr>
                                <w:rFonts w:ascii="Times New Roman" w:hAnsi="Times New Roman" w:cs="Times New Roman"/>
                              </w:rPr>
                              <w:t>Cost subsidy provided by the Tunisian government, up to 100 dinars (57 Euros) per m</w:t>
                            </w:r>
                            <w:r w:rsidRPr="000A3555">
                              <w:rPr>
                                <w:rFonts w:ascii="Times New Roman" w:hAnsi="Times New Roman" w:cs="Times New Roman"/>
                                <w:vertAlign w:val="superscript"/>
                              </w:rPr>
                              <w:t>2</w:t>
                            </w:r>
                          </w:p>
                          <w:p w14:paraId="0D95E322" w14:textId="77777777" w:rsidR="00C3446D" w:rsidRPr="000A3555" w:rsidRDefault="00C3446D" w:rsidP="006F6392">
                            <w:pPr>
                              <w:pStyle w:val="ListParagraph"/>
                              <w:numPr>
                                <w:ilvl w:val="0"/>
                                <w:numId w:val="27"/>
                              </w:numPr>
                              <w:spacing w:before="0" w:after="0"/>
                              <w:contextualSpacing/>
                              <w:jc w:val="left"/>
                              <w:rPr>
                                <w:rFonts w:ascii="Times New Roman" w:hAnsi="Times New Roman" w:cs="Times New Roman"/>
                              </w:rPr>
                            </w:pPr>
                            <w:r w:rsidRPr="000A3555">
                              <w:rPr>
                                <w:rFonts w:ascii="Times New Roman" w:hAnsi="Times New Roman" w:cs="Times New Roman"/>
                              </w:rPr>
                              <w:t>Discounted interest rates on the loans, progressively phased out.</w:t>
                            </w:r>
                          </w:p>
                          <w:p w14:paraId="4A374261" w14:textId="77777777" w:rsidR="00C3446D" w:rsidRPr="000A3555" w:rsidRDefault="00C3446D" w:rsidP="006F6392">
                            <w:pPr>
                              <w:pStyle w:val="ListParagraph"/>
                              <w:numPr>
                                <w:ilvl w:val="0"/>
                                <w:numId w:val="27"/>
                              </w:numPr>
                              <w:spacing w:before="0" w:after="0"/>
                              <w:contextualSpacing/>
                              <w:jc w:val="left"/>
                              <w:rPr>
                                <w:rFonts w:ascii="Times New Roman" w:hAnsi="Times New Roman" w:cs="Times New Roman"/>
                              </w:rPr>
                            </w:pPr>
                            <w:r w:rsidRPr="000A3555">
                              <w:rPr>
                                <w:rFonts w:ascii="Times New Roman" w:hAnsi="Times New Roman" w:cs="Times New Roman"/>
                              </w:rPr>
                              <w:t>A series of accompanying measures including an awareness raising campaign, a capacity building program and carbon finance.</w:t>
                            </w:r>
                          </w:p>
                          <w:p w14:paraId="44FA5177" w14:textId="77777777" w:rsidR="00C3446D" w:rsidRPr="000A3555" w:rsidRDefault="00C3446D" w:rsidP="006F6392">
                            <w:pPr>
                              <w:pStyle w:val="ListParagraph"/>
                              <w:numPr>
                                <w:ilvl w:val="0"/>
                                <w:numId w:val="27"/>
                              </w:numPr>
                              <w:spacing w:before="0" w:after="0"/>
                              <w:contextualSpacing/>
                              <w:jc w:val="left"/>
                              <w:rPr>
                                <w:rFonts w:ascii="Times New Roman" w:hAnsi="Times New Roman" w:cs="Times New Roman"/>
                              </w:rPr>
                            </w:pPr>
                            <w:r w:rsidRPr="000A3555">
                              <w:rPr>
                                <w:rFonts w:ascii="Times New Roman" w:hAnsi="Times New Roman" w:cs="Times New Roman"/>
                              </w:rPr>
                              <w:t xml:space="preserve">Key partners included: </w:t>
                            </w:r>
                          </w:p>
                          <w:p w14:paraId="52140DFB" w14:textId="77777777" w:rsidR="00C3446D" w:rsidRPr="000A3555" w:rsidRDefault="00C3446D" w:rsidP="006F6392">
                            <w:pPr>
                              <w:pStyle w:val="ListParagraph"/>
                              <w:numPr>
                                <w:ilvl w:val="1"/>
                                <w:numId w:val="27"/>
                              </w:numPr>
                              <w:spacing w:before="0" w:after="0"/>
                              <w:contextualSpacing/>
                              <w:jc w:val="left"/>
                              <w:rPr>
                                <w:rFonts w:ascii="Times New Roman" w:hAnsi="Times New Roman" w:cs="Times New Roman"/>
                              </w:rPr>
                            </w:pPr>
                            <w:r w:rsidRPr="000A3555">
                              <w:rPr>
                                <w:rFonts w:ascii="Times New Roman" w:hAnsi="Times New Roman" w:cs="Times New Roman"/>
                              </w:rPr>
                              <w:t>Société Tunisienne de Banque (STB)</w:t>
                            </w:r>
                          </w:p>
                          <w:p w14:paraId="66694886" w14:textId="77777777" w:rsidR="00C3446D" w:rsidRPr="000A3555" w:rsidRDefault="00C3446D" w:rsidP="006F6392">
                            <w:pPr>
                              <w:pStyle w:val="ListParagraph"/>
                              <w:numPr>
                                <w:ilvl w:val="1"/>
                                <w:numId w:val="27"/>
                              </w:numPr>
                              <w:spacing w:before="0" w:after="0"/>
                              <w:contextualSpacing/>
                              <w:jc w:val="left"/>
                              <w:rPr>
                                <w:rFonts w:ascii="Times New Roman" w:hAnsi="Times New Roman" w:cs="Times New Roman"/>
                              </w:rPr>
                            </w:pPr>
                            <w:r w:rsidRPr="000A3555">
                              <w:rPr>
                                <w:rFonts w:ascii="Times New Roman" w:hAnsi="Times New Roman" w:cs="Times New Roman"/>
                              </w:rPr>
                              <w:t>Two commercial banks (UBCI and Amen bank)</w:t>
                            </w:r>
                          </w:p>
                          <w:p w14:paraId="70101D8F" w14:textId="77777777" w:rsidR="00C3446D" w:rsidRPr="000A3555" w:rsidRDefault="00C3446D" w:rsidP="006F6392">
                            <w:pPr>
                              <w:pStyle w:val="ListParagraph"/>
                              <w:numPr>
                                <w:ilvl w:val="1"/>
                                <w:numId w:val="27"/>
                              </w:numPr>
                              <w:spacing w:before="0" w:after="0"/>
                              <w:contextualSpacing/>
                              <w:jc w:val="left"/>
                              <w:rPr>
                                <w:rFonts w:ascii="Times New Roman" w:hAnsi="Times New Roman" w:cs="Times New Roman"/>
                              </w:rPr>
                            </w:pPr>
                            <w:r w:rsidRPr="000A3555">
                              <w:rPr>
                                <w:rFonts w:ascii="Times New Roman" w:hAnsi="Times New Roman" w:cs="Times New Roman"/>
                              </w:rPr>
                              <w:t>The State electricity utility STEG (Société Tunisienne d’Electricité et du Gaz)</w:t>
                            </w:r>
                          </w:p>
                          <w:p w14:paraId="354AF1D5" w14:textId="77777777" w:rsidR="00C3446D" w:rsidRPr="000A3555" w:rsidRDefault="00C3446D" w:rsidP="006F6392">
                            <w:pPr>
                              <w:pStyle w:val="ListParagraph"/>
                              <w:numPr>
                                <w:ilvl w:val="1"/>
                                <w:numId w:val="27"/>
                              </w:numPr>
                              <w:spacing w:before="0" w:after="0"/>
                              <w:contextualSpacing/>
                              <w:jc w:val="left"/>
                              <w:rPr>
                                <w:rFonts w:ascii="Times New Roman" w:hAnsi="Times New Roman" w:cs="Times New Roman"/>
                              </w:rPr>
                            </w:pPr>
                            <w:r w:rsidRPr="000A3555">
                              <w:rPr>
                                <w:rFonts w:ascii="Times New Roman" w:hAnsi="Times New Roman" w:cs="Times New Roman"/>
                              </w:rPr>
                              <w:t>Manufacturers, importers and installers of solar water heaters</w:t>
                            </w:r>
                          </w:p>
                          <w:p w14:paraId="172C4E06" w14:textId="77777777" w:rsidR="00C3446D" w:rsidRPr="000A3555" w:rsidRDefault="00C3446D" w:rsidP="006F6392">
                            <w:pPr>
                              <w:pStyle w:val="ListParagraph"/>
                              <w:numPr>
                                <w:ilvl w:val="1"/>
                                <w:numId w:val="27"/>
                              </w:numPr>
                              <w:spacing w:before="0" w:after="0"/>
                              <w:contextualSpacing/>
                              <w:jc w:val="left"/>
                              <w:rPr>
                                <w:rFonts w:ascii="Times New Roman" w:hAnsi="Times New Roman" w:cs="Times New Roman"/>
                              </w:rPr>
                            </w:pPr>
                            <w:r w:rsidRPr="000A3555">
                              <w:rPr>
                                <w:rFonts w:ascii="Times New Roman" w:hAnsi="Times New Roman" w:cs="Times New Roman"/>
                              </w:rPr>
                              <w:t>Local consultants</w:t>
                            </w:r>
                          </w:p>
                          <w:p w14:paraId="19BA0743" w14:textId="77777777" w:rsidR="00C3446D" w:rsidRPr="000A3555" w:rsidRDefault="00C3446D" w:rsidP="006F6392">
                            <w:pPr>
                              <w:rPr>
                                <w:sz w:val="20"/>
                              </w:rPr>
                            </w:pPr>
                            <w:r w:rsidRPr="000A3555">
                              <w:rPr>
                                <w:sz w:val="20"/>
                              </w:rPr>
                              <w:t>Launched in April 2005, the PROSOL project achieved immediate success. In less than one year (April-December 2005), sales reached the record figure of 7,400 solar water heating systems, for a total surface installed of 23,000 m</w:t>
                            </w:r>
                            <w:r w:rsidRPr="000A3555">
                              <w:rPr>
                                <w:sz w:val="20"/>
                                <w:vertAlign w:val="superscript"/>
                              </w:rPr>
                              <w:t>2</w:t>
                            </w:r>
                            <w:r w:rsidRPr="000A3555">
                              <w:rPr>
                                <w:sz w:val="20"/>
                              </w:rPr>
                              <w:t>. By the end of 2006, an additional 11,000 units were sold, corresponding to approximately 34,000 m</w:t>
                            </w:r>
                            <w:r w:rsidRPr="000A3555">
                              <w:rPr>
                                <w:sz w:val="20"/>
                                <w:vertAlign w:val="superscript"/>
                              </w:rPr>
                              <w:t>2</w:t>
                            </w:r>
                            <w:r w:rsidRPr="000A3555">
                              <w:rPr>
                                <w:sz w:val="20"/>
                              </w:rPr>
                              <w:t xml:space="preserve">. </w:t>
                            </w:r>
                          </w:p>
                          <w:p w14:paraId="10B548F8" w14:textId="77777777" w:rsidR="00C3446D" w:rsidRPr="00910FFC" w:rsidRDefault="00C3446D" w:rsidP="006F6392">
                            <w:pPr>
                              <w:rPr>
                                <w:rFonts w:eastAsia="Calibri"/>
                                <w:b/>
                                <w:bCs/>
                              </w:rPr>
                            </w:pPr>
                            <w:r w:rsidRPr="006222A9">
                              <w:rPr>
                                <w:i/>
                                <w:sz w:val="20"/>
                              </w:rPr>
                              <w:t xml:space="preserve">Sources: </w:t>
                            </w:r>
                            <w:r>
                              <w:rPr>
                                <w:i/>
                                <w:sz w:val="20"/>
                              </w:rPr>
                              <w:t xml:space="preserve">Touhami 2006, MacLean 2007. </w:t>
                            </w:r>
                          </w:p>
                          <w:p w14:paraId="15BD0B58" w14:textId="77777777" w:rsidR="00C3446D" w:rsidRPr="006222A9" w:rsidRDefault="00C3446D" w:rsidP="006F6392">
                            <w:pPr>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922A4" id="Text Box 31" o:spid="_x0000_s1027" type="#_x0000_t202" style="position:absolute;left:0;text-align:left;margin-left:-2.5pt;margin-top:1.4pt;width:471.75pt;height:3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" fillcolor="#dbe5f1 [660]">
                <v:textbox>
                  <w:txbxContent>
                    <w:p w14:paraId="7B4F7783" w14:textId="77777777" w:rsidR="00C3446D" w:rsidRPr="000A3555" w:rsidRDefault="00C3446D" w:rsidP="006F6392">
                      <w:pPr>
                        <w:jc w:val="left"/>
                        <w:rPr>
                          <w:b/>
                          <w:sz w:val="20"/>
                        </w:rPr>
                      </w:pPr>
                      <w:r w:rsidRPr="000A3555">
                        <w:rPr>
                          <w:b/>
                          <w:sz w:val="20"/>
                        </w:rPr>
                        <w:t>Box B.2 – Tunisia PROSOL Program</w:t>
                      </w:r>
                    </w:p>
                    <w:p w14:paraId="32A8DFF1" w14:textId="77777777" w:rsidR="00C3446D" w:rsidRPr="000A3555" w:rsidRDefault="00C3446D" w:rsidP="006F6392">
                      <w:pPr>
                        <w:rPr>
                          <w:sz w:val="20"/>
                        </w:rPr>
                      </w:pPr>
                      <w:r w:rsidRPr="000A3555">
                        <w:rPr>
                          <w:sz w:val="20"/>
                        </w:rPr>
                        <w:t>The PROSOL project was initiated in 2005 by the Tunisian Minist</w:t>
                      </w:r>
                      <w:r>
                        <w:rPr>
                          <w:sz w:val="20"/>
                        </w:rPr>
                        <w:t>ry</w:t>
                      </w:r>
                      <w:r w:rsidRPr="000A3555">
                        <w:rPr>
                          <w:sz w:val="20"/>
                        </w:rPr>
                        <w:t xml:space="preserve"> for Industry, Energy and Small and Medium Enterprises and the National Agency for Energy Conservation (ANME), with the support of the UNEP-MEDREP Finance Initiative. The objective of PROSOL was to revitalize the declining Tunisian solar water heater market. The innovative component of PROSOL was in its ability to actively involve the finance sector, and turn it into a key player for the promotion of clean energy and sustainable development. By identifying new lending opportunities, banks were able to build dedicated loan portfolios, thus helping to shift from a cash-based to a credit-based market.</w:t>
                      </w:r>
                    </w:p>
                    <w:p w14:paraId="13A3E410" w14:textId="77777777" w:rsidR="00C3446D" w:rsidRPr="000A3555" w:rsidRDefault="00C3446D" w:rsidP="006F6392">
                      <w:pPr>
                        <w:rPr>
                          <w:sz w:val="20"/>
                        </w:rPr>
                      </w:pPr>
                      <w:r w:rsidRPr="000A3555">
                        <w:rPr>
                          <w:sz w:val="20"/>
                        </w:rPr>
                        <w:t>The main features of the PROSOL financing scheme were:</w:t>
                      </w:r>
                    </w:p>
                    <w:p w14:paraId="1171068B" w14:textId="77777777" w:rsidR="00C3446D" w:rsidRPr="000A3555" w:rsidRDefault="00C3446D" w:rsidP="006F6392">
                      <w:pPr>
                        <w:pStyle w:val="ListParagraph"/>
                        <w:numPr>
                          <w:ilvl w:val="0"/>
                          <w:numId w:val="27"/>
                        </w:numPr>
                        <w:spacing w:before="0" w:after="0"/>
                        <w:contextualSpacing/>
                        <w:jc w:val="left"/>
                        <w:rPr>
                          <w:rFonts w:ascii="Times New Roman" w:hAnsi="Times New Roman" w:cs="Times New Roman"/>
                        </w:rPr>
                      </w:pPr>
                      <w:r w:rsidRPr="000A3555">
                        <w:rPr>
                          <w:rFonts w:ascii="Times New Roman" w:hAnsi="Times New Roman" w:cs="Times New Roman"/>
                        </w:rPr>
                        <w:t>Loan mechanism for domestic customers to purchase solar water heaters</w:t>
                      </w:r>
                    </w:p>
                    <w:p w14:paraId="3814B5F9" w14:textId="77777777" w:rsidR="00C3446D" w:rsidRPr="000A3555" w:rsidRDefault="00C3446D" w:rsidP="006F6392">
                      <w:pPr>
                        <w:pStyle w:val="ListParagraph"/>
                        <w:numPr>
                          <w:ilvl w:val="0"/>
                          <w:numId w:val="27"/>
                        </w:numPr>
                        <w:spacing w:before="0" w:after="0"/>
                        <w:contextualSpacing/>
                        <w:jc w:val="left"/>
                        <w:rPr>
                          <w:rFonts w:ascii="Times New Roman" w:hAnsi="Times New Roman" w:cs="Times New Roman"/>
                        </w:rPr>
                      </w:pPr>
                      <w:r w:rsidRPr="000A3555">
                        <w:rPr>
                          <w:rFonts w:ascii="Times New Roman" w:hAnsi="Times New Roman" w:cs="Times New Roman"/>
                        </w:rPr>
                        <w:t>Cost subsidy provided by the Tunisian government, up to 100 dinars (57 Euros) per m</w:t>
                      </w:r>
                      <w:r w:rsidRPr="000A3555">
                        <w:rPr>
                          <w:rFonts w:ascii="Times New Roman" w:hAnsi="Times New Roman" w:cs="Times New Roman"/>
                          <w:vertAlign w:val="superscript"/>
                        </w:rPr>
                        <w:t>2</w:t>
                      </w:r>
                    </w:p>
                    <w:p w14:paraId="0D95E322" w14:textId="77777777" w:rsidR="00C3446D" w:rsidRPr="000A3555" w:rsidRDefault="00C3446D" w:rsidP="006F6392">
                      <w:pPr>
                        <w:pStyle w:val="ListParagraph"/>
                        <w:numPr>
                          <w:ilvl w:val="0"/>
                          <w:numId w:val="27"/>
                        </w:numPr>
                        <w:spacing w:before="0" w:after="0"/>
                        <w:contextualSpacing/>
                        <w:jc w:val="left"/>
                        <w:rPr>
                          <w:rFonts w:ascii="Times New Roman" w:hAnsi="Times New Roman" w:cs="Times New Roman"/>
                        </w:rPr>
                      </w:pPr>
                      <w:r w:rsidRPr="000A3555">
                        <w:rPr>
                          <w:rFonts w:ascii="Times New Roman" w:hAnsi="Times New Roman" w:cs="Times New Roman"/>
                        </w:rPr>
                        <w:t>Discounted interest rates on the loans, progressively phased out.</w:t>
                      </w:r>
                    </w:p>
                    <w:p w14:paraId="4A374261" w14:textId="77777777" w:rsidR="00C3446D" w:rsidRPr="000A3555" w:rsidRDefault="00C3446D" w:rsidP="006F6392">
                      <w:pPr>
                        <w:pStyle w:val="ListParagraph"/>
                        <w:numPr>
                          <w:ilvl w:val="0"/>
                          <w:numId w:val="27"/>
                        </w:numPr>
                        <w:spacing w:before="0" w:after="0"/>
                        <w:contextualSpacing/>
                        <w:jc w:val="left"/>
                        <w:rPr>
                          <w:rFonts w:ascii="Times New Roman" w:hAnsi="Times New Roman" w:cs="Times New Roman"/>
                        </w:rPr>
                      </w:pPr>
                      <w:r w:rsidRPr="000A3555">
                        <w:rPr>
                          <w:rFonts w:ascii="Times New Roman" w:hAnsi="Times New Roman" w:cs="Times New Roman"/>
                        </w:rPr>
                        <w:t>A series of accompanying measures including an awareness raising campaign, a capacity building program and carbon finance.</w:t>
                      </w:r>
                    </w:p>
                    <w:p w14:paraId="44FA5177" w14:textId="77777777" w:rsidR="00C3446D" w:rsidRPr="000A3555" w:rsidRDefault="00C3446D" w:rsidP="006F6392">
                      <w:pPr>
                        <w:pStyle w:val="ListParagraph"/>
                        <w:numPr>
                          <w:ilvl w:val="0"/>
                          <w:numId w:val="27"/>
                        </w:numPr>
                        <w:spacing w:before="0" w:after="0"/>
                        <w:contextualSpacing/>
                        <w:jc w:val="left"/>
                        <w:rPr>
                          <w:rFonts w:ascii="Times New Roman" w:hAnsi="Times New Roman" w:cs="Times New Roman"/>
                        </w:rPr>
                      </w:pPr>
                      <w:r w:rsidRPr="000A3555">
                        <w:rPr>
                          <w:rFonts w:ascii="Times New Roman" w:hAnsi="Times New Roman" w:cs="Times New Roman"/>
                        </w:rPr>
                        <w:t xml:space="preserve">Key partners included: </w:t>
                      </w:r>
                    </w:p>
                    <w:p w14:paraId="52140DFB" w14:textId="77777777" w:rsidR="00C3446D" w:rsidRPr="000A3555" w:rsidRDefault="00C3446D" w:rsidP="006F6392">
                      <w:pPr>
                        <w:pStyle w:val="ListParagraph"/>
                        <w:numPr>
                          <w:ilvl w:val="1"/>
                          <w:numId w:val="27"/>
                        </w:numPr>
                        <w:spacing w:before="0" w:after="0"/>
                        <w:contextualSpacing/>
                        <w:jc w:val="left"/>
                        <w:rPr>
                          <w:rFonts w:ascii="Times New Roman" w:hAnsi="Times New Roman" w:cs="Times New Roman"/>
                        </w:rPr>
                      </w:pPr>
                      <w:r w:rsidRPr="000A3555">
                        <w:rPr>
                          <w:rFonts w:ascii="Times New Roman" w:hAnsi="Times New Roman" w:cs="Times New Roman"/>
                        </w:rPr>
                        <w:t>Société Tunisienne de Banque (STB)</w:t>
                      </w:r>
                    </w:p>
                    <w:p w14:paraId="66694886" w14:textId="77777777" w:rsidR="00C3446D" w:rsidRPr="000A3555" w:rsidRDefault="00C3446D" w:rsidP="006F6392">
                      <w:pPr>
                        <w:pStyle w:val="ListParagraph"/>
                        <w:numPr>
                          <w:ilvl w:val="1"/>
                          <w:numId w:val="27"/>
                        </w:numPr>
                        <w:spacing w:before="0" w:after="0"/>
                        <w:contextualSpacing/>
                        <w:jc w:val="left"/>
                        <w:rPr>
                          <w:rFonts w:ascii="Times New Roman" w:hAnsi="Times New Roman" w:cs="Times New Roman"/>
                        </w:rPr>
                      </w:pPr>
                      <w:r w:rsidRPr="000A3555">
                        <w:rPr>
                          <w:rFonts w:ascii="Times New Roman" w:hAnsi="Times New Roman" w:cs="Times New Roman"/>
                        </w:rPr>
                        <w:t>Two commercial banks (UBCI and Amen bank)</w:t>
                      </w:r>
                    </w:p>
                    <w:p w14:paraId="70101D8F" w14:textId="77777777" w:rsidR="00C3446D" w:rsidRPr="000A3555" w:rsidRDefault="00C3446D" w:rsidP="006F6392">
                      <w:pPr>
                        <w:pStyle w:val="ListParagraph"/>
                        <w:numPr>
                          <w:ilvl w:val="1"/>
                          <w:numId w:val="27"/>
                        </w:numPr>
                        <w:spacing w:before="0" w:after="0"/>
                        <w:contextualSpacing/>
                        <w:jc w:val="left"/>
                        <w:rPr>
                          <w:rFonts w:ascii="Times New Roman" w:hAnsi="Times New Roman" w:cs="Times New Roman"/>
                        </w:rPr>
                      </w:pPr>
                      <w:r w:rsidRPr="000A3555">
                        <w:rPr>
                          <w:rFonts w:ascii="Times New Roman" w:hAnsi="Times New Roman" w:cs="Times New Roman"/>
                        </w:rPr>
                        <w:t>The State electricity utility STEG (Société Tunisienne d’Electricité et du Gaz)</w:t>
                      </w:r>
                    </w:p>
                    <w:p w14:paraId="354AF1D5" w14:textId="77777777" w:rsidR="00C3446D" w:rsidRPr="000A3555" w:rsidRDefault="00C3446D" w:rsidP="006F6392">
                      <w:pPr>
                        <w:pStyle w:val="ListParagraph"/>
                        <w:numPr>
                          <w:ilvl w:val="1"/>
                          <w:numId w:val="27"/>
                        </w:numPr>
                        <w:spacing w:before="0" w:after="0"/>
                        <w:contextualSpacing/>
                        <w:jc w:val="left"/>
                        <w:rPr>
                          <w:rFonts w:ascii="Times New Roman" w:hAnsi="Times New Roman" w:cs="Times New Roman"/>
                        </w:rPr>
                      </w:pPr>
                      <w:r w:rsidRPr="000A3555">
                        <w:rPr>
                          <w:rFonts w:ascii="Times New Roman" w:hAnsi="Times New Roman" w:cs="Times New Roman"/>
                        </w:rPr>
                        <w:t>Manufacturers, importers and installers of solar water heaters</w:t>
                      </w:r>
                    </w:p>
                    <w:p w14:paraId="172C4E06" w14:textId="77777777" w:rsidR="00C3446D" w:rsidRPr="000A3555" w:rsidRDefault="00C3446D" w:rsidP="006F6392">
                      <w:pPr>
                        <w:pStyle w:val="ListParagraph"/>
                        <w:numPr>
                          <w:ilvl w:val="1"/>
                          <w:numId w:val="27"/>
                        </w:numPr>
                        <w:spacing w:before="0" w:after="0"/>
                        <w:contextualSpacing/>
                        <w:jc w:val="left"/>
                        <w:rPr>
                          <w:rFonts w:ascii="Times New Roman" w:hAnsi="Times New Roman" w:cs="Times New Roman"/>
                        </w:rPr>
                      </w:pPr>
                      <w:r w:rsidRPr="000A3555">
                        <w:rPr>
                          <w:rFonts w:ascii="Times New Roman" w:hAnsi="Times New Roman" w:cs="Times New Roman"/>
                        </w:rPr>
                        <w:t>Local consultants</w:t>
                      </w:r>
                    </w:p>
                    <w:p w14:paraId="19BA0743" w14:textId="77777777" w:rsidR="00C3446D" w:rsidRPr="000A3555" w:rsidRDefault="00C3446D" w:rsidP="006F6392">
                      <w:pPr>
                        <w:rPr>
                          <w:sz w:val="20"/>
                        </w:rPr>
                      </w:pPr>
                      <w:r w:rsidRPr="000A3555">
                        <w:rPr>
                          <w:sz w:val="20"/>
                        </w:rPr>
                        <w:t>Launched in April 2005, the PROSOL project achieved immediate success. In less than one year (April-December 2005), sales reached the record figure of 7,400 solar water heating systems, for a total surface installed of 23,000 m</w:t>
                      </w:r>
                      <w:r w:rsidRPr="000A3555">
                        <w:rPr>
                          <w:sz w:val="20"/>
                          <w:vertAlign w:val="superscript"/>
                        </w:rPr>
                        <w:t>2</w:t>
                      </w:r>
                      <w:r w:rsidRPr="000A3555">
                        <w:rPr>
                          <w:sz w:val="20"/>
                        </w:rPr>
                        <w:t>. By the end of 2006, an additional 11,000 units were sold, corresponding to approximately 34,000 m</w:t>
                      </w:r>
                      <w:r w:rsidRPr="000A3555">
                        <w:rPr>
                          <w:sz w:val="20"/>
                          <w:vertAlign w:val="superscript"/>
                        </w:rPr>
                        <w:t>2</w:t>
                      </w:r>
                      <w:r w:rsidRPr="000A3555">
                        <w:rPr>
                          <w:sz w:val="20"/>
                        </w:rPr>
                        <w:t xml:space="preserve">. </w:t>
                      </w:r>
                    </w:p>
                    <w:p w14:paraId="10B548F8" w14:textId="77777777" w:rsidR="00C3446D" w:rsidRPr="00910FFC" w:rsidRDefault="00C3446D" w:rsidP="006F6392">
                      <w:pPr>
                        <w:rPr>
                          <w:rFonts w:eastAsia="Calibri"/>
                          <w:b/>
                          <w:bCs/>
                        </w:rPr>
                      </w:pPr>
                      <w:r w:rsidRPr="006222A9">
                        <w:rPr>
                          <w:i/>
                          <w:sz w:val="20"/>
                        </w:rPr>
                        <w:t xml:space="preserve">Sources: </w:t>
                      </w:r>
                      <w:r>
                        <w:rPr>
                          <w:i/>
                          <w:sz w:val="20"/>
                        </w:rPr>
                        <w:t xml:space="preserve">Touhami 2006, MacLean 2007. </w:t>
                      </w:r>
                    </w:p>
                    <w:p w14:paraId="15BD0B58" w14:textId="77777777" w:rsidR="00C3446D" w:rsidRPr="006222A9" w:rsidRDefault="00C3446D" w:rsidP="006F6392">
                      <w:pPr>
                        <w:rPr>
                          <w:i/>
                          <w:sz w:val="20"/>
                        </w:rPr>
                      </w:pPr>
                    </w:p>
                  </w:txbxContent>
                </v:textbox>
              </v:shape>
            </w:pict>
          </mc:Fallback>
        </mc:AlternateContent>
      </w:r>
      <w:bookmarkEnd w:id="136"/>
      <w:bookmarkEnd w:id="137"/>
    </w:p>
    <w:p w14:paraId="717AFD51" w14:textId="77777777" w:rsidR="006F6392" w:rsidRDefault="006F6392" w:rsidP="006F6392">
      <w:pPr>
        <w:pStyle w:val="Heading3"/>
      </w:pPr>
    </w:p>
    <w:p w14:paraId="16550729" w14:textId="77777777" w:rsidR="006F6392" w:rsidRDefault="006F6392" w:rsidP="006F6392">
      <w:pPr>
        <w:pStyle w:val="Heading3"/>
      </w:pPr>
    </w:p>
    <w:p w14:paraId="570077C0" w14:textId="77777777" w:rsidR="006F6392" w:rsidRDefault="006F6392" w:rsidP="006F6392">
      <w:pPr>
        <w:pStyle w:val="Heading3"/>
      </w:pPr>
    </w:p>
    <w:p w14:paraId="47FEE202" w14:textId="77777777" w:rsidR="006F6392" w:rsidRDefault="006F6392" w:rsidP="006F6392">
      <w:pPr>
        <w:pStyle w:val="Heading3"/>
      </w:pPr>
    </w:p>
    <w:p w14:paraId="183137BA" w14:textId="77777777" w:rsidR="006F6392" w:rsidRDefault="006F6392" w:rsidP="006F6392">
      <w:pPr>
        <w:pStyle w:val="Heading3"/>
      </w:pPr>
    </w:p>
    <w:p w14:paraId="33339B9C" w14:textId="77777777" w:rsidR="006F6392" w:rsidRDefault="006F6392" w:rsidP="006F6392">
      <w:pPr>
        <w:pStyle w:val="Heading3"/>
      </w:pPr>
    </w:p>
    <w:p w14:paraId="5DE57C9F" w14:textId="77777777" w:rsidR="006F6392" w:rsidRDefault="006F6392" w:rsidP="006F6392">
      <w:pPr>
        <w:pStyle w:val="Heading3"/>
      </w:pPr>
    </w:p>
    <w:p w14:paraId="47EACE81" w14:textId="77777777" w:rsidR="006F6392" w:rsidRDefault="006F6392" w:rsidP="006F6392">
      <w:pPr>
        <w:pStyle w:val="Heading3"/>
      </w:pPr>
    </w:p>
    <w:p w14:paraId="1601168A" w14:textId="77777777" w:rsidR="006F6392" w:rsidRDefault="006F6392" w:rsidP="006F6392">
      <w:pPr>
        <w:pStyle w:val="Heading3"/>
      </w:pPr>
    </w:p>
    <w:p w14:paraId="42CA6048" w14:textId="77777777" w:rsidR="006F6392" w:rsidRDefault="006F6392" w:rsidP="006F6392">
      <w:pPr>
        <w:pStyle w:val="Heading3"/>
      </w:pPr>
    </w:p>
    <w:p w14:paraId="68DC942D" w14:textId="77777777" w:rsidR="006F6392" w:rsidRDefault="006F6392" w:rsidP="006F6392">
      <w:pPr>
        <w:pStyle w:val="Heading3"/>
      </w:pPr>
    </w:p>
    <w:p w14:paraId="712D835F" w14:textId="77777777" w:rsidR="006F6392" w:rsidRDefault="006F6392" w:rsidP="006F6392">
      <w:pPr>
        <w:pStyle w:val="Heading3"/>
      </w:pPr>
    </w:p>
    <w:p w14:paraId="7A15CB78" w14:textId="77777777" w:rsidR="006F6392" w:rsidRDefault="006F6392" w:rsidP="006F6392">
      <w:pPr>
        <w:pStyle w:val="Heading3"/>
      </w:pPr>
    </w:p>
    <w:p w14:paraId="312BB374" w14:textId="77777777" w:rsidR="006F6392" w:rsidRDefault="006F6392" w:rsidP="006F6392">
      <w:pPr>
        <w:pStyle w:val="Heading3"/>
      </w:pPr>
      <w:bookmarkStart w:id="138" w:name="_Toc316616926"/>
    </w:p>
    <w:p w14:paraId="74904287" w14:textId="77777777" w:rsidR="006F6392" w:rsidRDefault="006F6392" w:rsidP="006F6392">
      <w:pPr>
        <w:pStyle w:val="Heading3"/>
      </w:pPr>
      <w:bookmarkStart w:id="139" w:name="_Toc446061775"/>
      <w:bookmarkStart w:id="140" w:name="_Toc461093978"/>
      <w:r>
        <w:t>Advantages and Limitations</w:t>
      </w:r>
      <w:bookmarkEnd w:id="135"/>
      <w:bookmarkEnd w:id="138"/>
      <w:bookmarkEnd w:id="139"/>
      <w:bookmarkEnd w:id="140"/>
    </w:p>
    <w:p w14:paraId="5D5529A1" w14:textId="77777777" w:rsidR="006F6392" w:rsidRPr="006F6392" w:rsidRDefault="006F6392" w:rsidP="006F6392"/>
    <w:p w14:paraId="272AF79B" w14:textId="77777777" w:rsidR="006F6392" w:rsidRDefault="006F6392" w:rsidP="006F6392">
      <w:pPr>
        <w:rPr>
          <w:noProof/>
        </w:rPr>
      </w:pPr>
      <w:r>
        <w:rPr>
          <w:noProof/>
        </w:rPr>
        <w:t>The main advantages of utility on-bill financing are:</w:t>
      </w:r>
    </w:p>
    <w:p w14:paraId="3669C149" w14:textId="77777777" w:rsidR="006F6392" w:rsidRDefault="006F6392" w:rsidP="006F6392">
      <w:pPr>
        <w:pStyle w:val="bullet"/>
        <w:rPr>
          <w:noProof/>
        </w:rPr>
      </w:pPr>
      <w:r>
        <w:rPr>
          <w:noProof/>
        </w:rPr>
        <w:t>Allows the customer to purchase EE equipment and pay for it from savings generated by the equipment</w:t>
      </w:r>
      <w:r w:rsidR="00E01887">
        <w:rPr>
          <w:noProof/>
        </w:rPr>
        <w:t>.</w:t>
      </w:r>
    </w:p>
    <w:p w14:paraId="1228EE68" w14:textId="77777777" w:rsidR="006F6392" w:rsidRDefault="006F6392" w:rsidP="006F6392">
      <w:pPr>
        <w:pStyle w:val="bullet"/>
        <w:rPr>
          <w:noProof/>
        </w:rPr>
      </w:pPr>
      <w:r>
        <w:rPr>
          <w:noProof/>
        </w:rPr>
        <w:t>Facilitates the customer’s repayment of the equipment purchase by collecting the payments through the el</w:t>
      </w:r>
      <w:r w:rsidR="00E01887">
        <w:rPr>
          <w:noProof/>
        </w:rPr>
        <w:t>e</w:t>
      </w:r>
      <w:r>
        <w:rPr>
          <w:noProof/>
        </w:rPr>
        <w:t>ctric</w:t>
      </w:r>
      <w:r w:rsidR="00977C7E">
        <w:rPr>
          <w:noProof/>
        </w:rPr>
        <w:t>ity</w:t>
      </w:r>
      <w:r>
        <w:rPr>
          <w:noProof/>
        </w:rPr>
        <w:t xml:space="preserve"> bill</w:t>
      </w:r>
      <w:r w:rsidR="00977C7E">
        <w:rPr>
          <w:noProof/>
        </w:rPr>
        <w:t>.</w:t>
      </w:r>
    </w:p>
    <w:p w14:paraId="474EB9F0" w14:textId="77777777" w:rsidR="006F6392" w:rsidRDefault="006F6392" w:rsidP="006F6392">
      <w:pPr>
        <w:pStyle w:val="bullet"/>
        <w:rPr>
          <w:noProof/>
        </w:rPr>
      </w:pPr>
      <w:r>
        <w:rPr>
          <w:noProof/>
        </w:rPr>
        <w:t>Reduces the transaction cost of recovering the loan repayments from customers</w:t>
      </w:r>
      <w:r w:rsidR="00977C7E">
        <w:rPr>
          <w:noProof/>
        </w:rPr>
        <w:t>.</w:t>
      </w:r>
    </w:p>
    <w:p w14:paraId="324001D5" w14:textId="77777777" w:rsidR="006F6392" w:rsidRDefault="006F6392" w:rsidP="006F6392">
      <w:pPr>
        <w:pStyle w:val="bullet"/>
        <w:rPr>
          <w:noProof/>
        </w:rPr>
      </w:pPr>
      <w:r>
        <w:rPr>
          <w:noProof/>
        </w:rPr>
        <w:t>Reduces the risk of default</w:t>
      </w:r>
      <w:r w:rsidR="00977C7E">
        <w:rPr>
          <w:noProof/>
        </w:rPr>
        <w:t>.</w:t>
      </w:r>
      <w:r>
        <w:rPr>
          <w:noProof/>
        </w:rPr>
        <w:t xml:space="preserve"> </w:t>
      </w:r>
    </w:p>
    <w:p w14:paraId="5C931375" w14:textId="77777777" w:rsidR="006F6392" w:rsidRDefault="006F6392" w:rsidP="006F6392">
      <w:pPr>
        <w:pStyle w:val="bullet"/>
        <w:rPr>
          <w:noProof/>
        </w:rPr>
      </w:pPr>
      <w:r>
        <w:rPr>
          <w:noProof/>
        </w:rPr>
        <w:t>Improves the relationship between the utility and the customer.</w:t>
      </w:r>
    </w:p>
    <w:p w14:paraId="115E497F" w14:textId="77777777" w:rsidR="006F6392" w:rsidRDefault="006F6392" w:rsidP="006F6392">
      <w:pPr>
        <w:rPr>
          <w:noProof/>
        </w:rPr>
      </w:pPr>
      <w:r>
        <w:rPr>
          <w:noProof/>
        </w:rPr>
        <w:t>There are also some limitations and challenges related to the utility consumer financing approach:</w:t>
      </w:r>
    </w:p>
    <w:p w14:paraId="69364661" w14:textId="77777777" w:rsidR="006F6392" w:rsidRDefault="006F6392" w:rsidP="006F6392">
      <w:pPr>
        <w:pStyle w:val="bullet"/>
        <w:rPr>
          <w:noProof/>
        </w:rPr>
      </w:pPr>
      <w:r>
        <w:rPr>
          <w:noProof/>
        </w:rPr>
        <w:t>Many utilities are unwilling to enter into such arrangements to finance equipment purchase through the electricity bill</w:t>
      </w:r>
      <w:r w:rsidR="00977C7E">
        <w:rPr>
          <w:noProof/>
        </w:rPr>
        <w:t>.</w:t>
      </w:r>
      <w:r>
        <w:rPr>
          <w:noProof/>
        </w:rPr>
        <w:t xml:space="preserve"> </w:t>
      </w:r>
    </w:p>
    <w:p w14:paraId="6236EEBF" w14:textId="77777777" w:rsidR="006F6392" w:rsidRDefault="006F6392" w:rsidP="006F6392">
      <w:pPr>
        <w:pStyle w:val="bullet"/>
        <w:rPr>
          <w:noProof/>
        </w:rPr>
      </w:pPr>
      <w:r>
        <w:rPr>
          <w:noProof/>
        </w:rPr>
        <w:t>The utility billing system may not be structured to handle the collection of loan repayments and the cost of modifying the system may be high.</w:t>
      </w:r>
    </w:p>
    <w:p w14:paraId="70720AB9" w14:textId="77777777" w:rsidR="006F6392" w:rsidRDefault="006F6392" w:rsidP="006F6392">
      <w:pPr>
        <w:pStyle w:val="bullet"/>
        <w:rPr>
          <w:noProof/>
        </w:rPr>
      </w:pPr>
      <w:r>
        <w:rPr>
          <w:noProof/>
        </w:rPr>
        <w:t>The regulatory system may not allow the utility to collect payments for equipment loans.</w:t>
      </w:r>
    </w:p>
    <w:p w14:paraId="62124647" w14:textId="77777777" w:rsidR="006F6392" w:rsidRDefault="006F6392" w:rsidP="006F6392">
      <w:pPr>
        <w:pStyle w:val="bullet"/>
        <w:rPr>
          <w:noProof/>
        </w:rPr>
      </w:pPr>
      <w:r>
        <w:rPr>
          <w:noProof/>
        </w:rPr>
        <w:t>While default risks are low in such programs, there are issues with respect to what actions the utility can take in case the customer does not pay the finance charge or only pays a part of the utility bill. While some utilities have included provisions to cut of</w:t>
      </w:r>
      <w:r w:rsidR="00D14ABF">
        <w:rPr>
          <w:noProof/>
        </w:rPr>
        <w:t>f</w:t>
      </w:r>
      <w:r>
        <w:rPr>
          <w:noProof/>
        </w:rPr>
        <w:t xml:space="preserve"> service for non-payment of the EE finance component, consumer advocates have questioned the legal basis to do so.</w:t>
      </w:r>
    </w:p>
    <w:p w14:paraId="721F015C" w14:textId="77777777" w:rsidR="006F6392" w:rsidRDefault="006F6392" w:rsidP="006F6392">
      <w:pPr>
        <w:pStyle w:val="bullet"/>
        <w:rPr>
          <w:noProof/>
        </w:rPr>
      </w:pPr>
      <w:r>
        <w:rPr>
          <w:noProof/>
        </w:rPr>
        <w:t>Some of the other challenges include accurately estimating the utility financing and administration costs, assuring that the monthly payment is less than the bill savings, addressing the payments when the ownership of the property changes, addressing energy savings that are non-electric, etc.</w:t>
      </w:r>
    </w:p>
    <w:p w14:paraId="2A841205" w14:textId="77777777" w:rsidR="006F6392" w:rsidRPr="000A3555" w:rsidRDefault="006F6392" w:rsidP="006F6392">
      <w:pPr>
        <w:rPr>
          <w:rStyle w:val="Heading2Char"/>
        </w:rPr>
      </w:pPr>
      <w:bookmarkStart w:id="141" w:name="_Toc446061776"/>
      <w:bookmarkStart w:id="142" w:name="_Toc461093979"/>
      <w:r w:rsidRPr="000A3555">
        <w:rPr>
          <w:rStyle w:val="Heading2Char"/>
        </w:rPr>
        <w:t>Energy Efficiency Revolving Fund</w:t>
      </w:r>
      <w:bookmarkEnd w:id="141"/>
      <w:bookmarkEnd w:id="142"/>
    </w:p>
    <w:p w14:paraId="27B41D5D" w14:textId="77777777" w:rsidR="006F6392" w:rsidRPr="00996BE8" w:rsidRDefault="006F6392" w:rsidP="006F6392">
      <w:pPr>
        <w:rPr>
          <w:i/>
          <w:sz w:val="22"/>
          <w:szCs w:val="22"/>
        </w:rPr>
      </w:pPr>
      <w:r w:rsidRPr="00BE1959">
        <w:t xml:space="preserve">EERFs have been successfully deployed in Bulgaria, Romania and </w:t>
      </w:r>
      <w:r>
        <w:t xml:space="preserve">(more </w:t>
      </w:r>
      <w:r w:rsidRPr="00BE1959">
        <w:t>recently</w:t>
      </w:r>
      <w:r>
        <w:t>)</w:t>
      </w:r>
      <w:r w:rsidRPr="00BE1959">
        <w:t xml:space="preserve"> in Armenia. </w:t>
      </w:r>
      <w:r>
        <w:t xml:space="preserve">The typical structure of an EERF was presented in Section 5. </w:t>
      </w:r>
      <w:r w:rsidRPr="00BE1959">
        <w:t xml:space="preserve">Box </w:t>
      </w:r>
      <w:r>
        <w:t>B.</w:t>
      </w:r>
      <w:r w:rsidR="00392CEC">
        <w:t>3</w:t>
      </w:r>
      <w:r w:rsidR="00392CEC" w:rsidRPr="00BE1959">
        <w:t xml:space="preserve"> </w:t>
      </w:r>
      <w:r w:rsidRPr="00BE1959">
        <w:t>provides an illustr</w:t>
      </w:r>
      <w:r>
        <w:t>ation of the Armenian R2E2 fund.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27"/>
      </w:tblGrid>
      <w:tr w:rsidR="006F6392" w:rsidRPr="005948E4" w14:paraId="33D4D4F7" w14:textId="77777777" w:rsidTr="00C677DF">
        <w:tc>
          <w:tcPr>
            <w:tcW w:w="9017" w:type="dxa"/>
            <w:tcBorders>
              <w:bottom w:val="nil"/>
            </w:tcBorders>
            <w:shd w:val="clear" w:color="auto" w:fill="C6D9F1"/>
          </w:tcPr>
          <w:p w14:paraId="43D74091" w14:textId="77777777" w:rsidR="006F6392" w:rsidRPr="005948E4" w:rsidRDefault="006F6392" w:rsidP="00392CEC">
            <w:pPr>
              <w:pStyle w:val="Boxcaption"/>
              <w:spacing w:before="60"/>
              <w:rPr>
                <w:rFonts w:ascii="Times New Roman" w:hAnsi="Times New Roman"/>
                <w:sz w:val="20"/>
              </w:rPr>
            </w:pPr>
            <w:r w:rsidRPr="005948E4">
              <w:rPr>
                <w:rFonts w:ascii="Times New Roman" w:hAnsi="Times New Roman"/>
                <w:sz w:val="20"/>
              </w:rPr>
              <w:t xml:space="preserve">Box </w:t>
            </w:r>
            <w:r>
              <w:rPr>
                <w:rFonts w:ascii="Times New Roman" w:hAnsi="Times New Roman"/>
                <w:sz w:val="20"/>
              </w:rPr>
              <w:t>B</w:t>
            </w:r>
            <w:r w:rsidRPr="005948E4">
              <w:rPr>
                <w:rFonts w:ascii="Times New Roman" w:hAnsi="Times New Roman"/>
                <w:sz w:val="20"/>
              </w:rPr>
              <w:t>.</w:t>
            </w:r>
            <w:r w:rsidR="00392CEC">
              <w:rPr>
                <w:rFonts w:ascii="Times New Roman" w:hAnsi="Times New Roman"/>
                <w:sz w:val="20"/>
              </w:rPr>
              <w:t xml:space="preserve">3 </w:t>
            </w:r>
            <w:r>
              <w:rPr>
                <w:rFonts w:ascii="Times New Roman" w:hAnsi="Times New Roman"/>
                <w:sz w:val="20"/>
              </w:rPr>
              <w:t>-</w:t>
            </w:r>
            <w:r w:rsidRPr="005948E4">
              <w:rPr>
                <w:rFonts w:ascii="Times New Roman" w:hAnsi="Times New Roman"/>
                <w:sz w:val="20"/>
              </w:rPr>
              <w:t xml:space="preserve"> Armenia Renewable Resources and Energy Efficiency Fund (R2E2 Fund)</w:t>
            </w:r>
          </w:p>
        </w:tc>
      </w:tr>
      <w:tr w:rsidR="006F6392" w:rsidRPr="005948E4" w14:paraId="0A452E3B" w14:textId="77777777" w:rsidTr="00C677DF">
        <w:tc>
          <w:tcPr>
            <w:tcW w:w="9017" w:type="dxa"/>
            <w:tcBorders>
              <w:top w:val="nil"/>
            </w:tcBorders>
            <w:shd w:val="clear" w:color="auto" w:fill="C6D9F1"/>
          </w:tcPr>
          <w:p w14:paraId="06FADCDA" w14:textId="77777777" w:rsidR="006F6392" w:rsidRPr="005948E4" w:rsidRDefault="006F6392" w:rsidP="00C677DF">
            <w:pPr>
              <w:pStyle w:val="Boxtext"/>
              <w:rPr>
                <w:rFonts w:ascii="Times New Roman" w:hAnsi="Times New Roman"/>
              </w:rPr>
            </w:pPr>
            <w:r w:rsidRPr="005948E4">
              <w:rPr>
                <w:rFonts w:ascii="Times New Roman" w:hAnsi="Times New Roman"/>
              </w:rPr>
              <w:t>The Fund was established in 2005 and capitalized with an US$8 million IDA credit</w:t>
            </w:r>
            <w:r>
              <w:rPr>
                <w:rFonts w:ascii="Times New Roman" w:hAnsi="Times New Roman"/>
              </w:rPr>
              <w:t xml:space="preserve"> and US$0.7 million GEF grant</w:t>
            </w:r>
            <w:r w:rsidRPr="005948E4">
              <w:rPr>
                <w:rFonts w:ascii="Times New Roman" w:hAnsi="Times New Roman"/>
              </w:rPr>
              <w:t xml:space="preserve">. The Fund is overseen by a </w:t>
            </w:r>
            <w:r w:rsidRPr="005948E4">
              <w:rPr>
                <w:rFonts w:ascii="Times New Roman" w:hAnsi="Times New Roman"/>
                <w:bCs/>
                <w:iCs/>
              </w:rPr>
              <w:t>Board of Directors,</w:t>
            </w:r>
            <w:r w:rsidRPr="005948E4">
              <w:rPr>
                <w:rFonts w:ascii="Times New Roman" w:hAnsi="Times New Roman"/>
              </w:rPr>
              <w:t xml:space="preserve"> which includes government</w:t>
            </w:r>
            <w:r w:rsidR="006D6F72">
              <w:rPr>
                <w:rFonts w:ascii="Times New Roman" w:hAnsi="Times New Roman"/>
              </w:rPr>
              <w:t xml:space="preserve"> and NGOs,</w:t>
            </w:r>
            <w:r w:rsidRPr="005948E4">
              <w:rPr>
                <w:rFonts w:ascii="Times New Roman" w:hAnsi="Times New Roman"/>
              </w:rPr>
              <w:t xml:space="preserve"> and operates on a fully </w:t>
            </w:r>
            <w:r w:rsidRPr="005948E4">
              <w:rPr>
                <w:rFonts w:ascii="Times New Roman" w:hAnsi="Times New Roman"/>
                <w:bCs/>
                <w:iCs/>
              </w:rPr>
              <w:t>commercial basis.</w:t>
            </w:r>
          </w:p>
          <w:p w14:paraId="60F757DB" w14:textId="77777777" w:rsidR="006F6392" w:rsidRPr="005948E4" w:rsidRDefault="006F6392" w:rsidP="00C677DF">
            <w:pPr>
              <w:pStyle w:val="Boxtext"/>
              <w:rPr>
                <w:rFonts w:ascii="Times New Roman" w:hAnsi="Times New Roman"/>
              </w:rPr>
            </w:pPr>
            <w:r w:rsidRPr="005948E4">
              <w:rPr>
                <w:rFonts w:ascii="Times New Roman" w:hAnsi="Times New Roman"/>
              </w:rPr>
              <w:t xml:space="preserve">The Fund currently implements a World Bank/GEF project that provides EE services in </w:t>
            </w:r>
            <w:r w:rsidRPr="005948E4">
              <w:rPr>
                <w:rFonts w:ascii="Times New Roman" w:hAnsi="Times New Roman"/>
                <w:bCs/>
                <w:iCs/>
              </w:rPr>
              <w:t>public sector</w:t>
            </w:r>
            <w:r w:rsidRPr="005948E4">
              <w:rPr>
                <w:rFonts w:ascii="Times New Roman" w:hAnsi="Times New Roman"/>
              </w:rPr>
              <w:t xml:space="preserve"> facilities—such as municipal street lighting, schools, hospitals, and administration buildings (average size about US$100,000). It </w:t>
            </w:r>
            <w:r>
              <w:rPr>
                <w:rFonts w:ascii="Times New Roman" w:hAnsi="Times New Roman"/>
              </w:rPr>
              <w:t>has already</w:t>
            </w:r>
            <w:r w:rsidRPr="005948E4">
              <w:rPr>
                <w:rFonts w:ascii="Times New Roman" w:hAnsi="Times New Roman"/>
              </w:rPr>
              <w:t xml:space="preserve"> finance</w:t>
            </w:r>
            <w:r>
              <w:rPr>
                <w:rFonts w:ascii="Times New Roman" w:hAnsi="Times New Roman"/>
              </w:rPr>
              <w:t>d</w:t>
            </w:r>
            <w:r w:rsidRPr="005948E4">
              <w:rPr>
                <w:rFonts w:ascii="Times New Roman" w:hAnsi="Times New Roman"/>
              </w:rPr>
              <w:t xml:space="preserve"> projects worth US$8.</w:t>
            </w:r>
            <w:r>
              <w:rPr>
                <w:rFonts w:ascii="Times New Roman" w:hAnsi="Times New Roman"/>
              </w:rPr>
              <w:t>6</w:t>
            </w:r>
            <w:r w:rsidRPr="005948E4">
              <w:rPr>
                <w:rFonts w:ascii="Times New Roman" w:hAnsi="Times New Roman"/>
              </w:rPr>
              <w:t xml:space="preserve"> million between 2012 and 2015 and provide </w:t>
            </w:r>
            <w:r w:rsidR="006D6F72">
              <w:rPr>
                <w:rFonts w:ascii="Times New Roman" w:hAnsi="Times New Roman"/>
              </w:rPr>
              <w:t>TA</w:t>
            </w:r>
            <w:r w:rsidRPr="005948E4">
              <w:rPr>
                <w:rFonts w:ascii="Times New Roman" w:hAnsi="Times New Roman"/>
              </w:rPr>
              <w:t xml:space="preserve"> for project preparation and capacity building.</w:t>
            </w:r>
          </w:p>
          <w:p w14:paraId="0BF26366" w14:textId="77777777" w:rsidR="006F6392" w:rsidRPr="005948E4" w:rsidRDefault="006F6392" w:rsidP="00C677DF">
            <w:pPr>
              <w:pStyle w:val="Boxtext"/>
              <w:rPr>
                <w:rFonts w:ascii="Times New Roman" w:hAnsi="Times New Roman"/>
              </w:rPr>
            </w:pPr>
            <w:r w:rsidRPr="005948E4">
              <w:rPr>
                <w:rFonts w:ascii="Times New Roman" w:hAnsi="Times New Roman"/>
              </w:rPr>
              <w:t xml:space="preserve">The Fund provides </w:t>
            </w:r>
            <w:r w:rsidRPr="005948E4">
              <w:rPr>
                <w:rFonts w:ascii="Times New Roman" w:hAnsi="Times New Roman"/>
                <w:bCs/>
                <w:iCs/>
              </w:rPr>
              <w:t>loans</w:t>
            </w:r>
            <w:r w:rsidRPr="005948E4">
              <w:rPr>
                <w:rFonts w:ascii="Times New Roman" w:hAnsi="Times New Roman"/>
              </w:rPr>
              <w:t xml:space="preserve"> to municipalities and public entities with revenue streams independent of the state budget, and </w:t>
            </w:r>
            <w:r w:rsidRPr="005948E4">
              <w:rPr>
                <w:rFonts w:ascii="Times New Roman" w:hAnsi="Times New Roman"/>
                <w:bCs/>
                <w:iCs/>
              </w:rPr>
              <w:t>energy service agreements</w:t>
            </w:r>
            <w:r w:rsidRPr="005948E4">
              <w:rPr>
                <w:rFonts w:ascii="Times New Roman" w:hAnsi="Times New Roman"/>
              </w:rPr>
              <w:t xml:space="preserve"> (ESAs) to schools and other public facilities, which are not legally independent:</w:t>
            </w:r>
          </w:p>
          <w:p w14:paraId="6CDBF6AD" w14:textId="77777777" w:rsidR="006F6392" w:rsidRPr="005948E4" w:rsidRDefault="006F6392" w:rsidP="00C677DF">
            <w:pPr>
              <w:pStyle w:val="Boxbullet"/>
              <w:rPr>
                <w:rFonts w:ascii="Times New Roman" w:hAnsi="Times New Roman"/>
              </w:rPr>
            </w:pPr>
            <w:r w:rsidRPr="005948E4">
              <w:rPr>
                <w:rFonts w:ascii="Times New Roman" w:hAnsi="Times New Roman"/>
              </w:rPr>
              <w:t xml:space="preserve">Loans will be provided under an ESA, whereby the Fund will also provide additional services against a service fee (conduct a preliminary screening; carry out the procurement of design and works; oversee construction and commissioning; pay the contractors for services provided; and monitor the sub-projects). The loans will be treated as municipal debt, with fixed repayment obligations to be made within their budget provisions in future years. The amount of the repayments will be designed to allow fund clients to repay the investment costs and service fee from the accrued energy cost savings. </w:t>
            </w:r>
          </w:p>
          <w:p w14:paraId="4D9334A5" w14:textId="77777777" w:rsidR="006F6392" w:rsidRPr="005948E4" w:rsidRDefault="006F6392" w:rsidP="00C677DF">
            <w:pPr>
              <w:pStyle w:val="Boxbullet"/>
              <w:rPr>
                <w:rFonts w:ascii="Times New Roman" w:hAnsi="Times New Roman"/>
              </w:rPr>
            </w:pPr>
            <w:r w:rsidRPr="005948E4">
              <w:rPr>
                <w:rFonts w:ascii="Times New Roman" w:hAnsi="Times New Roman"/>
              </w:rPr>
              <w:t>Energy Service Agreements: The Fund will first determine the average baseline energy use, identify the general scope of a sub-project, develop bidding documents, conduct the procurement, finance the project, oversee construction and commissioning, and monitor the sub-project. The ESA will obligate the facility to pay the baseline energy costs (with adjustments for energy prices, usage, etc.) over the life of the agreement. In such cases, there is no loan or debt incurred by the client entity. With these payments, the Fund will pay the energy bills on the facility’s behalf and retain the balance to cover its investment cost and service fee of up to 10 years.  The agreement will also be designed so that the duration can be adjusted if the Fund recovers its full investment earlier or later.</w:t>
            </w:r>
          </w:p>
          <w:p w14:paraId="23578A11" w14:textId="77777777" w:rsidR="006F6392" w:rsidRPr="005948E4" w:rsidDel="000F305F" w:rsidRDefault="006F6392" w:rsidP="00C677DF">
            <w:pPr>
              <w:pStyle w:val="Boxtext"/>
              <w:rPr>
                <w:rFonts w:ascii="Times New Roman" w:hAnsi="Times New Roman"/>
              </w:rPr>
            </w:pPr>
            <w:r w:rsidRPr="005948E4">
              <w:rPr>
                <w:rFonts w:ascii="Times New Roman" w:hAnsi="Times New Roman"/>
              </w:rPr>
              <w:t xml:space="preserve">To support the build-up of an ESCO industry in Armenia, the Fund uses </w:t>
            </w:r>
            <w:r w:rsidRPr="005948E4">
              <w:rPr>
                <w:rFonts w:ascii="Times New Roman" w:hAnsi="Times New Roman"/>
                <w:bCs/>
                <w:iCs/>
              </w:rPr>
              <w:t>simplified ESCO contracts</w:t>
            </w:r>
            <w:r w:rsidRPr="005948E4">
              <w:rPr>
                <w:rFonts w:ascii="Times New Roman" w:hAnsi="Times New Roman"/>
              </w:rPr>
              <w:t xml:space="preserve"> to shift some performance risks to private construction firms/contractors.</w:t>
            </w:r>
          </w:p>
          <w:p w14:paraId="705865C5" w14:textId="77777777" w:rsidR="006F6392" w:rsidRPr="005948E4" w:rsidRDefault="006F6392" w:rsidP="006D6F72">
            <w:pPr>
              <w:pStyle w:val="Sourcenote-Box"/>
              <w:spacing w:after="60" w:line="240" w:lineRule="auto"/>
              <w:rPr>
                <w:rFonts w:ascii="Times New Roman" w:hAnsi="Times New Roman"/>
                <w:noProof/>
                <w:sz w:val="20"/>
              </w:rPr>
            </w:pPr>
            <w:r w:rsidRPr="005948E4">
              <w:rPr>
                <w:rFonts w:ascii="Times New Roman" w:hAnsi="Times New Roman"/>
                <w:i/>
                <w:sz w:val="20"/>
              </w:rPr>
              <w:t>Source:</w:t>
            </w:r>
            <w:r w:rsidRPr="005948E4">
              <w:rPr>
                <w:rFonts w:ascii="Times New Roman" w:hAnsi="Times New Roman"/>
                <w:sz w:val="20"/>
              </w:rPr>
              <w:t xml:space="preserve">  </w:t>
            </w:r>
            <w:r w:rsidRPr="00852A63">
              <w:rPr>
                <w:rFonts w:ascii="Times New Roman" w:hAnsi="Times New Roman"/>
                <w:i/>
                <w:noProof/>
                <w:sz w:val="20"/>
              </w:rPr>
              <w:t>World Bank</w:t>
            </w:r>
            <w:r w:rsidRPr="00852A63">
              <w:rPr>
                <w:rFonts w:ascii="Times New Roman" w:hAnsi="Times New Roman"/>
                <w:i/>
                <w:sz w:val="20"/>
              </w:rPr>
              <w:t xml:space="preserve"> </w:t>
            </w:r>
            <w:r w:rsidRPr="00852A63">
              <w:rPr>
                <w:rFonts w:ascii="Times New Roman" w:hAnsi="Times New Roman"/>
                <w:i/>
                <w:noProof/>
                <w:sz w:val="20"/>
              </w:rPr>
              <w:t>2012a</w:t>
            </w:r>
            <w:r>
              <w:rPr>
                <w:rFonts w:ascii="Times New Roman" w:hAnsi="Times New Roman"/>
                <w:i/>
                <w:noProof/>
                <w:sz w:val="20"/>
              </w:rPr>
              <w:t>, World Bank progress reports.</w:t>
            </w:r>
          </w:p>
        </w:tc>
      </w:tr>
    </w:tbl>
    <w:p w14:paraId="1B0B440F" w14:textId="77777777" w:rsidR="006F6392" w:rsidRPr="00BB3617" w:rsidRDefault="006F6392" w:rsidP="006F6392">
      <w:pPr>
        <w:pStyle w:val="Heading3"/>
      </w:pPr>
      <w:bookmarkStart w:id="143" w:name="_Toc446061777"/>
      <w:bookmarkStart w:id="144" w:name="_Toc461093980"/>
      <w:r w:rsidRPr="00BB3617">
        <w:t>Financing Windows or Products</w:t>
      </w:r>
      <w:bookmarkEnd w:id="143"/>
      <w:bookmarkEnd w:id="144"/>
    </w:p>
    <w:p w14:paraId="1A3EB6E3" w14:textId="77777777" w:rsidR="006F6392" w:rsidRDefault="006F6392" w:rsidP="006F6392">
      <w:r>
        <w:t xml:space="preserve">An EERF would need to be </w:t>
      </w:r>
      <w:r w:rsidRPr="00BB3617">
        <w:t xml:space="preserve">designed to serve the needs of all </w:t>
      </w:r>
      <w:r>
        <w:t>municipalities and central government agencies</w:t>
      </w:r>
      <w:r w:rsidRPr="00BB3617">
        <w:t xml:space="preserve">. Some of these agencies may not be creditworthy, or have no borrowing history; others may not have available borrowing capacity; and others may not have the internal capacity to identify, design, and manage the implementation of EE projects. To address some of these issues, </w:t>
      </w:r>
      <w:r>
        <w:t>an EERF</w:t>
      </w:r>
      <w:r w:rsidRPr="00BB3617">
        <w:t xml:space="preserve"> may offer several financing products and “windows” </w:t>
      </w:r>
      <w:r>
        <w:t>as shown in Figure B.2:</w:t>
      </w:r>
    </w:p>
    <w:p w14:paraId="72FAE838" w14:textId="77777777" w:rsidR="006F6392" w:rsidRDefault="006F6392" w:rsidP="006D6F72">
      <w:pPr>
        <w:pStyle w:val="FiguresandTables"/>
        <w:spacing w:after="60"/>
      </w:pPr>
      <w:r>
        <w:t>Figure B.2 – Financing Windows of an Energy Efficiency Revolving Fund</w:t>
      </w:r>
    </w:p>
    <w:p w14:paraId="1EABB0AB" w14:textId="77777777" w:rsidR="006F6392" w:rsidRPr="00BB3617" w:rsidRDefault="006F6392" w:rsidP="006D6F72">
      <w:pPr>
        <w:pStyle w:val="FiguresandTables"/>
        <w:spacing w:before="60"/>
      </w:pPr>
      <w:r w:rsidRPr="00F5129C">
        <w:rPr>
          <w:noProof/>
        </w:rPr>
        <w:drawing>
          <wp:inline distT="0" distB="0" distL="0" distR="0" wp14:anchorId="1873CD61" wp14:editId="2D9AB890">
            <wp:extent cx="3994586" cy="236220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02053" cy="2366616"/>
                    </a:xfrm>
                    <a:prstGeom prst="rect">
                      <a:avLst/>
                    </a:prstGeom>
                    <a:noFill/>
                    <a:ln>
                      <a:noFill/>
                    </a:ln>
                  </pic:spPr>
                </pic:pic>
              </a:graphicData>
            </a:graphic>
          </wp:inline>
        </w:drawing>
      </w:r>
    </w:p>
    <w:p w14:paraId="3BA56192" w14:textId="77777777" w:rsidR="006F6392" w:rsidRDefault="006F6392" w:rsidP="006F6392">
      <w:pPr>
        <w:widowControl/>
        <w:spacing w:before="0" w:after="160" w:line="259" w:lineRule="auto"/>
        <w:jc w:val="left"/>
      </w:pPr>
    </w:p>
    <w:p w14:paraId="529CE286" w14:textId="77777777" w:rsidR="006F6392" w:rsidRDefault="006F6392" w:rsidP="006F6392">
      <w:pPr>
        <w:widowControl/>
        <w:spacing w:before="0" w:after="160" w:line="259" w:lineRule="auto"/>
        <w:jc w:val="left"/>
      </w:pPr>
      <w:r>
        <w:t xml:space="preserve">The Debt Financing Window and </w:t>
      </w:r>
      <w:r w:rsidR="00977C7E">
        <w:t>ESAs</w:t>
      </w:r>
      <w:r>
        <w:t xml:space="preserve"> were discussed in detail in Section 5. The other windows are summarized below.</w:t>
      </w:r>
    </w:p>
    <w:p w14:paraId="67AB0944" w14:textId="77777777" w:rsidR="006F6392" w:rsidRPr="00BB3617" w:rsidRDefault="006F6392" w:rsidP="006F6392">
      <w:pPr>
        <w:pStyle w:val="Heading3"/>
      </w:pPr>
      <w:bookmarkStart w:id="145" w:name="_Toc446061778"/>
      <w:bookmarkStart w:id="146" w:name="_Toc461093981"/>
      <w:r w:rsidRPr="00BB3617">
        <w:t>Risk Guarantee Window</w:t>
      </w:r>
      <w:bookmarkEnd w:id="145"/>
      <w:bookmarkEnd w:id="146"/>
    </w:p>
    <w:p w14:paraId="278F66B2" w14:textId="77777777" w:rsidR="006F6392" w:rsidRPr="00BB3617" w:rsidRDefault="006F6392" w:rsidP="006F6392">
      <w:pPr>
        <w:rPr>
          <w:szCs w:val="24"/>
        </w:rPr>
      </w:pPr>
      <w:r>
        <w:t>An E</w:t>
      </w:r>
      <w:r w:rsidRPr="00BB3617">
        <w:t>E</w:t>
      </w:r>
      <w:r>
        <w:t>R</w:t>
      </w:r>
      <w:r w:rsidRPr="00BB3617">
        <w:t xml:space="preserve">F may </w:t>
      </w:r>
      <w:r>
        <w:t>offer</w:t>
      </w:r>
      <w:r w:rsidRPr="00BB3617">
        <w:t xml:space="preserve"> a risk-sharing mechanism by providing credit or risk guarantees to commercial banks and other financial institutions (FIs) in order to leverage commercial financing for </w:t>
      </w:r>
      <w:r>
        <w:t xml:space="preserve">public sector </w:t>
      </w:r>
      <w:r w:rsidRPr="00BB3617">
        <w:t xml:space="preserve">EE projects. Risk-sharing programs are designed primarily to address the common </w:t>
      </w:r>
      <w:r w:rsidRPr="00BB3617">
        <w:rPr>
          <w:bCs/>
        </w:rPr>
        <w:t xml:space="preserve">perception of lenders that EE projects are inherently </w:t>
      </w:r>
      <w:r w:rsidR="00D14ABF">
        <w:rPr>
          <w:bCs/>
        </w:rPr>
        <w:t>riskier</w:t>
      </w:r>
      <w:r w:rsidRPr="00BB3617">
        <w:rPr>
          <w:bCs/>
        </w:rPr>
        <w:t xml:space="preserve"> than traditional investments (a major financing barrier), or to allow them to lend to marginally creditworthy clients with very attractive EE investment opportunities. </w:t>
      </w:r>
      <w:r w:rsidRPr="00BB3617">
        <w:rPr>
          <w:szCs w:val="24"/>
        </w:rPr>
        <w:t>They provide commercial banks/FIs with a partial coverage of the risk involved in extending loans for EE projects. The risk-sharing facility generally includes a subordinated recovery guarantee</w:t>
      </w:r>
      <w:r w:rsidRPr="00BB3617">
        <w:rPr>
          <w:rStyle w:val="FootnoteReference"/>
          <w:szCs w:val="24"/>
        </w:rPr>
        <w:footnoteReference w:id="25"/>
      </w:r>
      <w:r w:rsidRPr="00BB3617">
        <w:rPr>
          <w:szCs w:val="24"/>
        </w:rPr>
        <w:t xml:space="preserve"> and may also have a “first-loss reserve”</w:t>
      </w:r>
      <w:r w:rsidRPr="00BB3617">
        <w:rPr>
          <w:rStyle w:val="FootnoteReference"/>
          <w:szCs w:val="24"/>
        </w:rPr>
        <w:footnoteReference w:id="26"/>
      </w:r>
      <w:r w:rsidRPr="00BB3617">
        <w:rPr>
          <w:szCs w:val="24"/>
        </w:rPr>
        <w:t xml:space="preserve"> that may be used to absorb up to a specified amount of losses before the risk sharing occurs.</w:t>
      </w:r>
    </w:p>
    <w:p w14:paraId="43639135" w14:textId="77777777" w:rsidR="006F6392" w:rsidRPr="00BB3617" w:rsidRDefault="006F6392" w:rsidP="006F6392">
      <w:r>
        <w:rPr>
          <w:szCs w:val="24"/>
        </w:rPr>
        <w:t>For example, t</w:t>
      </w:r>
      <w:r w:rsidRPr="00BB3617">
        <w:rPr>
          <w:szCs w:val="24"/>
        </w:rPr>
        <w:t xml:space="preserve">he Bulgaria EE Fund provides three types of guarantees: (i) a </w:t>
      </w:r>
      <w:r w:rsidRPr="00BB3617">
        <w:t xml:space="preserve">credit guarantee covering up to 80 percent of the credit value to secure loans for EE projects, with individual guarantee commitments not to exceed </w:t>
      </w:r>
      <w:r w:rsidRPr="00BB3617">
        <w:rPr>
          <w:rStyle w:val="Strong"/>
          <w:b w:val="0"/>
        </w:rPr>
        <w:t>Lev 800,000</w:t>
      </w:r>
      <w:r w:rsidRPr="00BB3617">
        <w:t xml:space="preserve"> (about $500,000); (ii) an uncollateralized guarantee to a portfolio of receivables of energy service companies (ESCOs) for their energy performance contracts (EPCs), covering the first </w:t>
      </w:r>
      <w:r w:rsidRPr="00BB3617">
        <w:rPr>
          <w:bCs/>
        </w:rPr>
        <w:t>5 percent</w:t>
      </w:r>
      <w:r w:rsidRPr="00BB3617">
        <w:t xml:space="preserve"> of the delayed payments of the portfolio covered; and (iii) a residential portfolio guarantee covering </w:t>
      </w:r>
      <w:r w:rsidRPr="00BB3617">
        <w:rPr>
          <w:bCs/>
        </w:rPr>
        <w:t>the first 5 percent of defaults</w:t>
      </w:r>
      <w:r w:rsidRPr="00BB3617">
        <w:t xml:space="preserve"> within the portfolio of projects.</w:t>
      </w:r>
      <w:r w:rsidRPr="00BB3617">
        <w:rPr>
          <w:rStyle w:val="FootnoteReference"/>
        </w:rPr>
        <w:footnoteReference w:id="27"/>
      </w:r>
    </w:p>
    <w:p w14:paraId="5DC67039" w14:textId="77777777" w:rsidR="006F6392" w:rsidRPr="00BB3617" w:rsidRDefault="006F6392" w:rsidP="006F6392">
      <w:pPr>
        <w:pStyle w:val="Heading4"/>
      </w:pPr>
      <w:r w:rsidRPr="00BB3617">
        <w:t>Budget Capture</w:t>
      </w:r>
    </w:p>
    <w:p w14:paraId="20CC2FF9" w14:textId="77777777" w:rsidR="006F6392" w:rsidRPr="00BB3617" w:rsidRDefault="006F6392" w:rsidP="006F6392">
      <w:r w:rsidRPr="00BB3617">
        <w:t xml:space="preserve">The budget capture option may be used </w:t>
      </w:r>
      <w:r>
        <w:t xml:space="preserve">by an EERF </w:t>
      </w:r>
      <w:r w:rsidRPr="00BB3617">
        <w:t xml:space="preserve">when the public agency receives dedicated funds from the MOF or another government agency to pay its energy bills. In such cases, after </w:t>
      </w:r>
      <w:r>
        <w:t>the EERF</w:t>
      </w:r>
      <w:r w:rsidRPr="00BB3617">
        <w:t xml:space="preserve"> invests in EE projects implemented by the public agency, the government (i) reduces its budgetary outlays to that public agency by an amount equivalent to the amount of energy cost savings (thereby “capturing” the savings) and (ii) redirects these funds to </w:t>
      </w:r>
      <w:r>
        <w:t>the EERF</w:t>
      </w:r>
      <w:r w:rsidRPr="00BB3617">
        <w:t>. This would require that the government agrees to provide the same amount to the public agency for energy bill payments in subsequent years.</w:t>
      </w:r>
    </w:p>
    <w:p w14:paraId="54592132" w14:textId="77777777" w:rsidR="006F6392" w:rsidRPr="00BB3617" w:rsidRDefault="006F6392" w:rsidP="006F6392">
      <w:pPr>
        <w:pStyle w:val="Heading4"/>
      </w:pPr>
      <w:r w:rsidRPr="00BB3617">
        <w:t>Grants Window</w:t>
      </w:r>
    </w:p>
    <w:p w14:paraId="7A5B6EC6" w14:textId="77777777" w:rsidR="006F6392" w:rsidRPr="00BB3617" w:rsidRDefault="006F6392" w:rsidP="006F6392">
      <w:r w:rsidRPr="00BB3617">
        <w:t>If an independent, sustainable financin</w:t>
      </w:r>
      <w:r>
        <w:t>g source is available, EERF</w:t>
      </w:r>
      <w:r w:rsidRPr="00BB3617">
        <w:t xml:space="preserve"> may also offer a grant window. For example, if a government (through special taxes, levies, or surcharges, for example) or a donor agency commits to funding </w:t>
      </w:r>
      <w:r>
        <w:t>EERF</w:t>
      </w:r>
      <w:r w:rsidRPr="00BB3617">
        <w:t xml:space="preserve"> for a given number of years, a portion of the funding may be used for grants to public agencies to improve the economic</w:t>
      </w:r>
      <w:r>
        <w:t xml:space="preserve"> attractiveness</w:t>
      </w:r>
      <w:r w:rsidRPr="00BB3617">
        <w:t xml:space="preserve"> of the EE project from the public agency perspective.</w:t>
      </w:r>
    </w:p>
    <w:p w14:paraId="20B5AC8D" w14:textId="77777777" w:rsidR="006F6392" w:rsidRPr="00BB3617" w:rsidRDefault="006F6392" w:rsidP="006F6392">
      <w:r w:rsidRPr="00BB3617">
        <w:t xml:space="preserve">However, if </w:t>
      </w:r>
      <w:r>
        <w:t>the EERF</w:t>
      </w:r>
      <w:r w:rsidRPr="00BB3617">
        <w:t xml:space="preserve"> is established to operate on a fully commercial basis, it is unlikely that it will provide grant financing—except when such grant financing is available from another source and can be combined with the loan financing provided by the revolving fund. If such funds are made available, it should be made clear that these are limited; failing to do so may create false expectations for more grants, which may undermine the fund’s long-term sustainability.</w:t>
      </w:r>
    </w:p>
    <w:p w14:paraId="74A95232" w14:textId="77777777" w:rsidR="006F6392" w:rsidRPr="00BB3617" w:rsidRDefault="006F6392" w:rsidP="006F6392">
      <w:pPr>
        <w:pStyle w:val="Heading3"/>
      </w:pPr>
      <w:bookmarkStart w:id="147" w:name="_Toc446061779"/>
      <w:bookmarkStart w:id="148" w:name="_Toc461093982"/>
      <w:r w:rsidRPr="00BB3617">
        <w:t>Forf</w:t>
      </w:r>
      <w:r>
        <w:t>a</w:t>
      </w:r>
      <w:r w:rsidRPr="00BB3617">
        <w:t>iting</w:t>
      </w:r>
      <w:bookmarkEnd w:id="147"/>
      <w:bookmarkEnd w:id="148"/>
    </w:p>
    <w:p w14:paraId="1EC3321D" w14:textId="77777777" w:rsidR="006F6392" w:rsidRDefault="006F6392" w:rsidP="006F6392">
      <w:r w:rsidRPr="00BB3617">
        <w:t xml:space="preserve">A possible service that </w:t>
      </w:r>
      <w:r>
        <w:t>an EERF can provide or arrange is forfa</w:t>
      </w:r>
      <w:r w:rsidRPr="00BB3617">
        <w:t>iting, the sale o</w:t>
      </w:r>
      <w:r>
        <w:t>f receivables form an EE project. Forfa</w:t>
      </w:r>
      <w:r w:rsidRPr="00BB3617">
        <w:t xml:space="preserve">iting is useful in situations where an </w:t>
      </w:r>
      <w:r>
        <w:t>energy service provider (</w:t>
      </w:r>
      <w:r w:rsidRPr="00BB3617">
        <w:t>ESP</w:t>
      </w:r>
      <w:r>
        <w:t>)</w:t>
      </w:r>
      <w:r w:rsidRPr="00BB3617">
        <w:t xml:space="preserve"> is providing its own equity for project financing. It is a form of transfer of future receivables from one party (the seller – an ESP) to another (the buyer – a financial institution).</w:t>
      </w:r>
      <w:r w:rsidRPr="00BB3617">
        <w:rPr>
          <w:rStyle w:val="FootnoteReference"/>
          <w:szCs w:val="23"/>
        </w:rPr>
        <w:footnoteReference w:id="28"/>
      </w:r>
      <w:r w:rsidRPr="00BB3617">
        <w:t xml:space="preserve"> An exam</w:t>
      </w:r>
      <w:r>
        <w:t>ple of forfa</w:t>
      </w:r>
      <w:r w:rsidRPr="00BB3617">
        <w:t>iting is the Bulgarian ESCO Fund (BEF) established under the Law for Special Investment Companies by the Bulgarian company Enemona. This fund received a loan of €7 million from the European Bank for Reconstruction and Development (EBRD) to buy receivables under the energy saving contracts signed by Enemona. The fund allows Enemona to use its capital for further development of projects in both the industrial and public sectors including kindergartens, schools, hospitals, and other municipal buildings.</w:t>
      </w:r>
    </w:p>
    <w:p w14:paraId="41665661" w14:textId="77777777" w:rsidR="006F6392" w:rsidRDefault="006F6392" w:rsidP="006F6392">
      <w:pPr>
        <w:pStyle w:val="Heading2"/>
      </w:pPr>
      <w:bookmarkStart w:id="149" w:name="_Toc446061780"/>
      <w:bookmarkStart w:id="150" w:name="_Toc461093983"/>
      <w:r>
        <w:t>Dedicated EE Credit Lines</w:t>
      </w:r>
      <w:bookmarkEnd w:id="149"/>
      <w:bookmarkEnd w:id="150"/>
    </w:p>
    <w:p w14:paraId="0E0CAAE5" w14:textId="77777777" w:rsidR="006F6392" w:rsidRDefault="006F6392" w:rsidP="006F6392">
      <w:r w:rsidRPr="006D6262">
        <w:t xml:space="preserve">Dedicated </w:t>
      </w:r>
      <w:r>
        <w:t xml:space="preserve">EE </w:t>
      </w:r>
      <w:r w:rsidRPr="006D6262">
        <w:t xml:space="preserve">credit lines for </w:t>
      </w:r>
      <w:r>
        <w:t>public sector projects</w:t>
      </w:r>
      <w:r w:rsidRPr="006D6262">
        <w:t xml:space="preserve"> address many of the issues related to insufficient lending by banks and financial institutions</w:t>
      </w:r>
      <w:r>
        <w:t>.</w:t>
      </w:r>
      <w:r w:rsidRPr="006D6262">
        <w:t xml:space="preserve"> By establishing a credit line and providing funding, governments or donor agencies can help overcome some of the barriers </w:t>
      </w:r>
      <w:r>
        <w:t xml:space="preserve">to commercial financing. </w:t>
      </w:r>
      <w:r w:rsidRPr="006D6262">
        <w:t xml:space="preserve">Most EE credit lines also have a </w:t>
      </w:r>
      <w:r w:rsidR="00482719">
        <w:t>TA</w:t>
      </w:r>
      <w:r w:rsidRPr="006D6262">
        <w:t xml:space="preserve"> component </w:t>
      </w:r>
      <w:r>
        <w:t xml:space="preserve">to build lender </w:t>
      </w:r>
      <w:r w:rsidRPr="006D6262">
        <w:t xml:space="preserve">capacity relative </w:t>
      </w:r>
      <w:r>
        <w:t xml:space="preserve">to </w:t>
      </w:r>
      <w:r w:rsidRPr="006D6262">
        <w:t>EE project financing.</w:t>
      </w:r>
      <w:r>
        <w:t xml:space="preserve"> However, issues related to creditworthiness and adequate collateral limit their use in municipalities.</w:t>
      </w:r>
    </w:p>
    <w:p w14:paraId="1704DD00" w14:textId="77777777" w:rsidR="006F6392" w:rsidRDefault="006F6392" w:rsidP="006F6392">
      <w:r>
        <w:t>The typical structure of an EE credit line is shown in Figure B.3. Box B.</w:t>
      </w:r>
      <w:r w:rsidR="00482719">
        <w:t>4</w:t>
      </w:r>
      <w:r>
        <w:t xml:space="preserve"> provides an illustration of a municipal EE credit line in Serbia.</w:t>
      </w:r>
    </w:p>
    <w:p w14:paraId="309EF941" w14:textId="77777777" w:rsidR="006F6392" w:rsidRDefault="006F6392" w:rsidP="006D6F72">
      <w:pPr>
        <w:pStyle w:val="FiguresandTables"/>
        <w:spacing w:after="60"/>
      </w:pPr>
      <w:r w:rsidRPr="006D6262">
        <w:t xml:space="preserve">Figure </w:t>
      </w:r>
      <w:r>
        <w:t xml:space="preserve">B.3 - </w:t>
      </w:r>
      <w:r w:rsidRPr="006D6262">
        <w:t>Illustrative Structure of EE Credit Line</w:t>
      </w:r>
    </w:p>
    <w:p w14:paraId="5DCD0B8D" w14:textId="77777777" w:rsidR="006F6392" w:rsidRPr="006D6262" w:rsidRDefault="006F6392" w:rsidP="006D6F72">
      <w:pPr>
        <w:spacing w:before="60" w:after="60"/>
        <w:jc w:val="center"/>
        <w:rPr>
          <w:b/>
        </w:rPr>
      </w:pPr>
      <w:r w:rsidRPr="00586DE2">
        <w:rPr>
          <w:noProof/>
        </w:rPr>
        <w:drawing>
          <wp:inline distT="0" distB="0" distL="0" distR="0" wp14:anchorId="23A73A3D" wp14:editId="61720C67">
            <wp:extent cx="3872865" cy="2032000"/>
            <wp:effectExtent l="19050" t="19050" r="13335" b="254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74792" cy="2033011"/>
                    </a:xfrm>
                    <a:prstGeom prst="rect">
                      <a:avLst/>
                    </a:prstGeom>
                    <a:noFill/>
                    <a:ln>
                      <a:solidFill>
                        <a:srgbClr val="002060"/>
                      </a:solidFill>
                    </a:ln>
                  </pic:spPr>
                </pic:pic>
              </a:graphicData>
            </a:graphic>
          </wp:inline>
        </w:drawing>
      </w:r>
    </w:p>
    <w:p w14:paraId="1E41115E" w14:textId="77777777" w:rsidR="006F6392" w:rsidRPr="005948E4" w:rsidRDefault="006F6392" w:rsidP="006F6392">
      <w:pPr>
        <w:ind w:left="1440"/>
        <w:rPr>
          <w:i/>
          <w:sz w:val="22"/>
          <w:szCs w:val="22"/>
        </w:rPr>
      </w:pPr>
      <w:r>
        <w:rPr>
          <w:i/>
          <w:sz w:val="22"/>
          <w:szCs w:val="22"/>
        </w:rPr>
        <w:t>Source: Limaye 2013a</w:t>
      </w:r>
    </w:p>
    <w:tbl>
      <w:tblPr>
        <w:tblW w:w="5000" w:type="pct"/>
        <w:tblBorders>
          <w:top w:val="single" w:sz="4" w:space="0" w:color="000000"/>
          <w:left w:val="single" w:sz="4" w:space="0" w:color="000000"/>
          <w:bottom w:val="single" w:sz="4" w:space="0" w:color="000000"/>
          <w:right w:val="single" w:sz="4" w:space="0" w:color="000000"/>
        </w:tblBorders>
        <w:tblLayout w:type="fixed"/>
        <w:tblLook w:val="00A0" w:firstRow="1" w:lastRow="0" w:firstColumn="1" w:lastColumn="0" w:noHBand="0" w:noVBand="0"/>
      </w:tblPr>
      <w:tblGrid>
        <w:gridCol w:w="8927"/>
      </w:tblGrid>
      <w:tr w:rsidR="006F6392" w:rsidRPr="004841E2" w14:paraId="68F1576E" w14:textId="77777777" w:rsidTr="00C677DF">
        <w:trPr>
          <w:trHeight w:val="528"/>
        </w:trPr>
        <w:tc>
          <w:tcPr>
            <w:tcW w:w="9017" w:type="dxa"/>
            <w:tcBorders>
              <w:top w:val="single" w:sz="4" w:space="0" w:color="000000"/>
            </w:tcBorders>
            <w:shd w:val="clear" w:color="auto" w:fill="C6D9F1"/>
          </w:tcPr>
          <w:p w14:paraId="41440144" w14:textId="77777777" w:rsidR="006F6392" w:rsidRPr="00996BE8" w:rsidRDefault="006F6392" w:rsidP="00392CEC">
            <w:pPr>
              <w:pStyle w:val="Boxcaption"/>
              <w:rPr>
                <w:rFonts w:ascii="Times New Roman" w:hAnsi="Times New Roman"/>
                <w:sz w:val="22"/>
                <w:szCs w:val="22"/>
              </w:rPr>
            </w:pPr>
            <w:r>
              <w:rPr>
                <w:rFonts w:ascii="Times New Roman" w:hAnsi="Times New Roman"/>
                <w:sz w:val="22"/>
                <w:szCs w:val="22"/>
              </w:rPr>
              <w:t>Box B</w:t>
            </w:r>
            <w:r w:rsidRPr="00996BE8">
              <w:rPr>
                <w:rFonts w:ascii="Times New Roman" w:hAnsi="Times New Roman"/>
                <w:sz w:val="22"/>
                <w:szCs w:val="22"/>
              </w:rPr>
              <w:t>.</w:t>
            </w:r>
            <w:r w:rsidR="00392CEC">
              <w:rPr>
                <w:rFonts w:ascii="Times New Roman" w:hAnsi="Times New Roman"/>
                <w:sz w:val="22"/>
                <w:szCs w:val="22"/>
              </w:rPr>
              <w:t>4</w:t>
            </w:r>
            <w:r w:rsidR="00392CEC" w:rsidRPr="00996BE8">
              <w:rPr>
                <w:rFonts w:ascii="Times New Roman" w:hAnsi="Times New Roman"/>
                <w:sz w:val="22"/>
                <w:szCs w:val="22"/>
              </w:rPr>
              <w:t xml:space="preserve"> </w:t>
            </w:r>
            <w:r w:rsidRPr="00996BE8">
              <w:rPr>
                <w:rFonts w:ascii="Times New Roman" w:hAnsi="Times New Roman"/>
                <w:sz w:val="22"/>
                <w:szCs w:val="22"/>
              </w:rPr>
              <w:t>- Example of Municipal Credit Line in Serbia</w:t>
            </w:r>
          </w:p>
        </w:tc>
      </w:tr>
      <w:tr w:rsidR="006F6392" w:rsidRPr="004841E2" w14:paraId="12427DB9" w14:textId="77777777" w:rsidTr="00C677DF">
        <w:tc>
          <w:tcPr>
            <w:tcW w:w="9017" w:type="dxa"/>
            <w:tcBorders>
              <w:bottom w:val="single" w:sz="4" w:space="0" w:color="000000"/>
            </w:tcBorders>
            <w:shd w:val="clear" w:color="auto" w:fill="C6D9F1"/>
          </w:tcPr>
          <w:p w14:paraId="0DB40CFA" w14:textId="77777777" w:rsidR="006F6392" w:rsidRPr="00996BE8" w:rsidRDefault="006F6392" w:rsidP="00C677DF">
            <w:pPr>
              <w:pStyle w:val="Boxtext"/>
              <w:rPr>
                <w:rFonts w:ascii="Times New Roman" w:hAnsi="Times New Roman"/>
                <w:sz w:val="22"/>
                <w:szCs w:val="22"/>
              </w:rPr>
            </w:pPr>
            <w:r w:rsidRPr="00996BE8">
              <w:rPr>
                <w:rFonts w:ascii="Times New Roman" w:hAnsi="Times New Roman"/>
                <w:sz w:val="22"/>
                <w:szCs w:val="22"/>
              </w:rPr>
              <w:t xml:space="preserve">The German </w:t>
            </w:r>
            <w:r>
              <w:rPr>
                <w:rFonts w:ascii="Times New Roman" w:hAnsi="Times New Roman"/>
                <w:sz w:val="22"/>
                <w:szCs w:val="22"/>
              </w:rPr>
              <w:t xml:space="preserve">development </w:t>
            </w:r>
            <w:r w:rsidRPr="00996BE8">
              <w:rPr>
                <w:rFonts w:ascii="Times New Roman" w:hAnsi="Times New Roman"/>
                <w:sz w:val="22"/>
                <w:szCs w:val="22"/>
              </w:rPr>
              <w:t>bank</w:t>
            </w:r>
            <w:r>
              <w:rPr>
                <w:rFonts w:ascii="Times New Roman" w:hAnsi="Times New Roman"/>
                <w:sz w:val="22"/>
                <w:szCs w:val="22"/>
              </w:rPr>
              <w:t>,</w:t>
            </w:r>
            <w:r w:rsidRPr="00996BE8">
              <w:rPr>
                <w:rFonts w:ascii="Times New Roman" w:hAnsi="Times New Roman"/>
                <w:sz w:val="22"/>
                <w:szCs w:val="22"/>
              </w:rPr>
              <w:t xml:space="preserve"> KfW</w:t>
            </w:r>
            <w:r>
              <w:rPr>
                <w:rFonts w:ascii="Times New Roman" w:hAnsi="Times New Roman"/>
                <w:sz w:val="22"/>
                <w:szCs w:val="22"/>
              </w:rPr>
              <w:t>,</w:t>
            </w:r>
            <w:r w:rsidRPr="00996BE8">
              <w:rPr>
                <w:rFonts w:ascii="Times New Roman" w:hAnsi="Times New Roman"/>
                <w:sz w:val="22"/>
                <w:szCs w:val="22"/>
              </w:rPr>
              <w:t xml:space="preserve"> has launched a dedicated credit line for municipal environmental infrastructure and </w:t>
            </w:r>
            <w:r>
              <w:rPr>
                <w:rFonts w:ascii="Times New Roman" w:hAnsi="Times New Roman"/>
                <w:sz w:val="22"/>
                <w:szCs w:val="22"/>
              </w:rPr>
              <w:t>EE</w:t>
            </w:r>
            <w:r w:rsidRPr="00996BE8">
              <w:rPr>
                <w:rFonts w:ascii="Times New Roman" w:hAnsi="Times New Roman"/>
                <w:sz w:val="22"/>
                <w:szCs w:val="22"/>
              </w:rPr>
              <w:t xml:space="preserve"> investments in Serbia. A total of €100 million will be made available and disbursed to eligible municipalities and public sector utility companies via Serbian on-lending banks, following the standard procedures for municipal borrowing. This is a continuation of the current KfW project on </w:t>
            </w:r>
            <w:r w:rsidR="00234282">
              <w:rPr>
                <w:rFonts w:ascii="Times New Roman" w:hAnsi="Times New Roman"/>
                <w:sz w:val="22"/>
                <w:szCs w:val="22"/>
              </w:rPr>
              <w:t>“</w:t>
            </w:r>
            <w:r w:rsidRPr="00996BE8">
              <w:rPr>
                <w:rFonts w:ascii="Times New Roman" w:hAnsi="Times New Roman"/>
                <w:sz w:val="22"/>
                <w:szCs w:val="22"/>
              </w:rPr>
              <w:t>Municipal Infrastructure via the Financial Sector</w:t>
            </w:r>
            <w:r w:rsidR="00234282">
              <w:rPr>
                <w:rFonts w:ascii="Times New Roman" w:hAnsi="Times New Roman"/>
                <w:sz w:val="22"/>
                <w:szCs w:val="22"/>
              </w:rPr>
              <w:t>”</w:t>
            </w:r>
            <w:r w:rsidRPr="00996BE8">
              <w:rPr>
                <w:rFonts w:ascii="Times New Roman" w:hAnsi="Times New Roman"/>
                <w:sz w:val="22"/>
                <w:szCs w:val="22"/>
              </w:rPr>
              <w:t xml:space="preserve">. To provide more incentives for Serbian municipalities to invest in </w:t>
            </w:r>
            <w:r>
              <w:rPr>
                <w:rFonts w:ascii="Times New Roman" w:hAnsi="Times New Roman"/>
                <w:sz w:val="22"/>
                <w:szCs w:val="22"/>
              </w:rPr>
              <w:t>EE</w:t>
            </w:r>
            <w:r w:rsidRPr="00996BE8">
              <w:rPr>
                <w:rFonts w:ascii="Times New Roman" w:hAnsi="Times New Roman"/>
                <w:sz w:val="22"/>
                <w:szCs w:val="22"/>
              </w:rPr>
              <w:t xml:space="preserve"> and environmental projects, KfW and the European Commission </w:t>
            </w:r>
            <w:r w:rsidR="009E0418">
              <w:rPr>
                <w:rFonts w:ascii="Times New Roman" w:hAnsi="Times New Roman"/>
                <w:sz w:val="22"/>
                <w:szCs w:val="22"/>
              </w:rPr>
              <w:t xml:space="preserve"> </w:t>
            </w:r>
            <w:r w:rsidR="00482719">
              <w:rPr>
                <w:rFonts w:ascii="Times New Roman" w:hAnsi="Times New Roman"/>
                <w:sz w:val="22"/>
                <w:szCs w:val="22"/>
              </w:rPr>
              <w:t xml:space="preserve"> </w:t>
            </w:r>
            <w:r w:rsidRPr="00996BE8">
              <w:rPr>
                <w:rFonts w:ascii="Times New Roman" w:hAnsi="Times New Roman"/>
                <w:sz w:val="22"/>
                <w:szCs w:val="22"/>
              </w:rPr>
              <w:t>signed an agreement at the end of 2011. A grant scheme will be implemented to award grants of 15</w:t>
            </w:r>
            <w:r w:rsidR="00482719">
              <w:rPr>
                <w:rFonts w:ascii="Times New Roman" w:hAnsi="Times New Roman"/>
                <w:sz w:val="22"/>
                <w:szCs w:val="22"/>
              </w:rPr>
              <w:t xml:space="preserve"> to </w:t>
            </w:r>
            <w:r w:rsidRPr="00996BE8">
              <w:rPr>
                <w:rFonts w:ascii="Times New Roman" w:hAnsi="Times New Roman"/>
                <w:sz w:val="22"/>
                <w:szCs w:val="22"/>
              </w:rPr>
              <w:t>20</w:t>
            </w:r>
            <w:r w:rsidR="00482719">
              <w:rPr>
                <w:rFonts w:ascii="Times New Roman" w:hAnsi="Times New Roman"/>
                <w:sz w:val="22"/>
                <w:szCs w:val="22"/>
              </w:rPr>
              <w:t xml:space="preserve"> percent</w:t>
            </w:r>
            <w:r w:rsidRPr="00996BE8">
              <w:rPr>
                <w:rFonts w:ascii="Times New Roman" w:hAnsi="Times New Roman"/>
                <w:sz w:val="22"/>
                <w:szCs w:val="22"/>
              </w:rPr>
              <w:t xml:space="preserve"> of the loan amount financed from the KfW credit line after their successful completion.</w:t>
            </w:r>
          </w:p>
          <w:p w14:paraId="4F628984" w14:textId="77777777" w:rsidR="006F6392" w:rsidRPr="00996BE8" w:rsidRDefault="006F6392" w:rsidP="00C677DF">
            <w:pPr>
              <w:pStyle w:val="Sourcenote-Box"/>
              <w:rPr>
                <w:rFonts w:ascii="Times New Roman" w:hAnsi="Times New Roman"/>
                <w:sz w:val="22"/>
                <w:szCs w:val="22"/>
              </w:rPr>
            </w:pPr>
            <w:r w:rsidRPr="00996BE8">
              <w:rPr>
                <w:rFonts w:ascii="Times New Roman" w:hAnsi="Times New Roman"/>
                <w:bCs/>
                <w:i/>
                <w:sz w:val="22"/>
                <w:szCs w:val="22"/>
              </w:rPr>
              <w:t>Source</w:t>
            </w:r>
            <w:r w:rsidRPr="00996BE8">
              <w:rPr>
                <w:rFonts w:ascii="Times New Roman" w:hAnsi="Times New Roman"/>
                <w:sz w:val="22"/>
                <w:szCs w:val="22"/>
              </w:rPr>
              <w:t xml:space="preserve">: </w:t>
            </w:r>
            <w:r w:rsidRPr="00852A63">
              <w:rPr>
                <w:rFonts w:ascii="Times New Roman" w:hAnsi="Times New Roman"/>
                <w:i/>
                <w:sz w:val="22"/>
                <w:szCs w:val="22"/>
              </w:rPr>
              <w:t>http://www.meglip.org/wp/?page_id=4.</w:t>
            </w:r>
            <w:r w:rsidRPr="00996BE8">
              <w:rPr>
                <w:rFonts w:ascii="Times New Roman" w:hAnsi="Times New Roman"/>
                <w:sz w:val="22"/>
                <w:szCs w:val="22"/>
              </w:rPr>
              <w:t xml:space="preserve">  </w:t>
            </w:r>
          </w:p>
        </w:tc>
      </w:tr>
    </w:tbl>
    <w:p w14:paraId="1BDDE3D9" w14:textId="77777777" w:rsidR="006F6392" w:rsidRDefault="006F6392" w:rsidP="006F6392">
      <w:pPr>
        <w:pStyle w:val="Heading2"/>
      </w:pPr>
      <w:bookmarkStart w:id="151" w:name="_Toc446061781"/>
      <w:bookmarkStart w:id="152" w:name="_Toc461093984"/>
      <w:r>
        <w:t>Risk-Sharing Facility</w:t>
      </w:r>
      <w:bookmarkEnd w:id="151"/>
      <w:bookmarkEnd w:id="152"/>
    </w:p>
    <w:p w14:paraId="2A7AB3CE" w14:textId="77777777" w:rsidR="006F6392" w:rsidRDefault="006F6392" w:rsidP="006F6392">
      <w:pPr>
        <w:spacing w:after="0"/>
        <w:rPr>
          <w:spacing w:val="1"/>
          <w:szCs w:val="24"/>
        </w:rPr>
      </w:pPr>
      <w:r>
        <w:rPr>
          <w:spacing w:val="1"/>
          <w:szCs w:val="24"/>
        </w:rPr>
        <w:t>A typical structure of a risk-sharing facility is shown in Figure B.4. Box B.</w:t>
      </w:r>
      <w:r w:rsidR="00482719">
        <w:rPr>
          <w:spacing w:val="1"/>
          <w:szCs w:val="24"/>
        </w:rPr>
        <w:t>5</w:t>
      </w:r>
      <w:r>
        <w:rPr>
          <w:spacing w:val="1"/>
          <w:szCs w:val="24"/>
        </w:rPr>
        <w:t xml:space="preserve"> provides the example of the IFC/GEF risk sharing program for Commercializing Energy Efficiency Finance in Central and Eastern Europe</w:t>
      </w:r>
      <w:r w:rsidR="00482719">
        <w:rPr>
          <w:spacing w:val="1"/>
          <w:szCs w:val="24"/>
        </w:rPr>
        <w:t xml:space="preserve"> (CEEF)</w:t>
      </w:r>
      <w:r>
        <w:rPr>
          <w:spacing w:val="1"/>
          <w:szCs w:val="24"/>
        </w:rPr>
        <w:t>.</w:t>
      </w:r>
    </w:p>
    <w:p w14:paraId="4050B39D" w14:textId="77777777" w:rsidR="006F6392" w:rsidRDefault="006F6392" w:rsidP="006F6392">
      <w:pPr>
        <w:widowControl/>
        <w:spacing w:before="0" w:after="0"/>
        <w:jc w:val="left"/>
        <w:rPr>
          <w:spacing w:val="1"/>
          <w:szCs w:val="24"/>
        </w:rPr>
      </w:pPr>
      <w:r>
        <w:rPr>
          <w:spacing w:val="1"/>
          <w:szCs w:val="24"/>
        </w:rPr>
        <w:br w:type="page"/>
      </w:r>
    </w:p>
    <w:p w14:paraId="73075657" w14:textId="77777777" w:rsidR="006F6392" w:rsidRDefault="006F6392" w:rsidP="006D6F72">
      <w:pPr>
        <w:pStyle w:val="FiguresandTables"/>
        <w:spacing w:after="60"/>
      </w:pPr>
      <w:r>
        <w:t>Figure B.4 - Typical Structure of Risk-Sharing Facility</w:t>
      </w:r>
    </w:p>
    <w:p w14:paraId="7B882C4E" w14:textId="77777777" w:rsidR="006F6392" w:rsidRDefault="006F6392" w:rsidP="006D6F72">
      <w:pPr>
        <w:spacing w:before="60" w:after="60"/>
        <w:jc w:val="center"/>
      </w:pPr>
      <w:r w:rsidRPr="00852A63">
        <w:rPr>
          <w:i/>
          <w:noProof/>
        </w:rPr>
        <w:drawing>
          <wp:inline distT="0" distB="0" distL="0" distR="0" wp14:anchorId="6F52A7E0" wp14:editId="50FF421F">
            <wp:extent cx="5001260" cy="2603500"/>
            <wp:effectExtent l="0" t="0" r="889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0">
                      <a:extLst>
                        <a:ext uri="{28A0092B-C50C-407E-A947-70E740481C1C}">
                          <a14:useLocalDpi xmlns:a14="http://schemas.microsoft.com/office/drawing/2010/main" val="0"/>
                        </a:ext>
                      </a:extLst>
                    </a:blip>
                    <a:srcRect b="9505"/>
                    <a:stretch/>
                  </pic:blipFill>
                  <pic:spPr bwMode="auto">
                    <a:xfrm>
                      <a:off x="0" y="0"/>
                      <a:ext cx="5012064" cy="2609124"/>
                    </a:xfrm>
                    <a:prstGeom prst="rect">
                      <a:avLst/>
                    </a:prstGeom>
                    <a:noFill/>
                    <a:ln>
                      <a:noFill/>
                    </a:ln>
                    <a:extLst>
                      <a:ext uri="{53640926-AAD7-44D8-BBD7-CCE9431645EC}">
                        <a14:shadowObscured xmlns:a14="http://schemas.microsoft.com/office/drawing/2010/main"/>
                      </a:ext>
                    </a:extLst>
                  </pic:spPr>
                </pic:pic>
              </a:graphicData>
            </a:graphic>
          </wp:inline>
        </w:drawing>
      </w:r>
    </w:p>
    <w:p w14:paraId="3218B156" w14:textId="77777777" w:rsidR="006F6392" w:rsidRPr="00996BE8" w:rsidRDefault="00482719" w:rsidP="006D6F72">
      <w:pPr>
        <w:spacing w:before="60"/>
        <w:ind w:firstLine="720"/>
        <w:rPr>
          <w:i/>
          <w:sz w:val="22"/>
          <w:szCs w:val="22"/>
        </w:rPr>
      </w:pPr>
      <w:r>
        <w:rPr>
          <w:noProof/>
        </w:rPr>
        <mc:AlternateContent>
          <mc:Choice Requires="wps">
            <w:drawing>
              <wp:anchor distT="45720" distB="45720" distL="114300" distR="114300" simplePos="0" relativeHeight="251665408" behindDoc="0" locked="0" layoutInCell="1" allowOverlap="1" wp14:anchorId="6B9881F1" wp14:editId="05184B13">
                <wp:simplePos x="0" y="0"/>
                <wp:positionH relativeFrom="margin">
                  <wp:posOffset>105410</wp:posOffset>
                </wp:positionH>
                <wp:positionV relativeFrom="paragraph">
                  <wp:posOffset>394335</wp:posOffset>
                </wp:positionV>
                <wp:extent cx="5434965" cy="2915920"/>
                <wp:effectExtent l="0" t="0" r="13335" b="21590"/>
                <wp:wrapSquare wrapText="bothSides"/>
                <wp:docPr id="28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2915920"/>
                        </a:xfrm>
                        <a:prstGeom prst="rect">
                          <a:avLst/>
                        </a:prstGeom>
                        <a:solidFill>
                          <a:schemeClr val="accent5">
                            <a:lumMod val="20000"/>
                            <a:lumOff val="80000"/>
                          </a:schemeClr>
                        </a:solidFill>
                        <a:ln w="9525">
                          <a:solidFill>
                            <a:srgbClr val="000000"/>
                          </a:solidFill>
                          <a:miter lim="800000"/>
                          <a:headEnd/>
                          <a:tailEnd/>
                        </a:ln>
                      </wps:spPr>
                      <wps:txbx>
                        <w:txbxContent>
                          <w:p w14:paraId="21769017" w14:textId="77777777" w:rsidR="00C3446D" w:rsidRPr="00996BE8" w:rsidRDefault="00C3446D" w:rsidP="006D6F72">
                            <w:pPr>
                              <w:pStyle w:val="Boxcaption"/>
                              <w:spacing w:before="60"/>
                              <w:rPr>
                                <w:rFonts w:ascii="Times New Roman" w:hAnsi="Times New Roman"/>
                                <w:sz w:val="20"/>
                              </w:rPr>
                            </w:pPr>
                            <w:r w:rsidRPr="00996BE8">
                              <w:rPr>
                                <w:rFonts w:ascii="Times New Roman" w:hAnsi="Times New Roman"/>
                                <w:sz w:val="20"/>
                              </w:rPr>
                              <w:t xml:space="preserve">Box </w:t>
                            </w:r>
                            <w:r>
                              <w:rPr>
                                <w:rFonts w:ascii="Times New Roman" w:hAnsi="Times New Roman"/>
                                <w:sz w:val="20"/>
                              </w:rPr>
                              <w:t>B.5</w:t>
                            </w:r>
                            <w:r w:rsidRPr="00996BE8">
                              <w:rPr>
                                <w:rFonts w:ascii="Times New Roman" w:hAnsi="Times New Roman"/>
                                <w:sz w:val="20"/>
                              </w:rPr>
                              <w:t xml:space="preserve"> - Risk Sharing Facility Example – Commercializing EE Finance (CEEF)</w:t>
                            </w:r>
                          </w:p>
                          <w:p w14:paraId="5C828710" w14:textId="77777777" w:rsidR="00C3446D" w:rsidRPr="00996BE8" w:rsidRDefault="00C3446D" w:rsidP="006F6392">
                            <w:pPr>
                              <w:pStyle w:val="Boxtext"/>
                              <w:rPr>
                                <w:rFonts w:ascii="Times New Roman" w:eastAsia="Calibri" w:hAnsi="Times New Roman"/>
                              </w:rPr>
                            </w:pPr>
                            <w:r w:rsidRPr="00996BE8">
                              <w:rPr>
                                <w:rFonts w:ascii="Times New Roman" w:hAnsi="Times New Roman"/>
                              </w:rPr>
                              <w:t>The Commercializing Energy Efficiency Finance (CEEF) Program was launched in April 2003 as a joint program of the IFC and the GEF. The countries included in CEEF were the Czech Republic, Hungary, Estonia, Latvia, Lithuania, and the Slovak Republic. CEEF was designed to</w:t>
                            </w:r>
                            <w:r w:rsidRPr="00996BE8">
                              <w:rPr>
                                <w:rFonts w:ascii="Times New Roman" w:eastAsia="Calibri" w:hAnsi="Times New Roman"/>
                              </w:rPr>
                              <w:t xml:space="preserve"> work in partnership with local lenders </w:t>
                            </w:r>
                            <w:r w:rsidRPr="00996BE8">
                              <w:rPr>
                                <w:rFonts w:ascii="Times New Roman" w:hAnsi="Times New Roman"/>
                              </w:rPr>
                              <w:t>by providing</w:t>
                            </w:r>
                            <w:r w:rsidRPr="00996BE8">
                              <w:rPr>
                                <w:rFonts w:ascii="Times New Roman" w:eastAsia="Calibri" w:hAnsi="Times New Roman"/>
                              </w:rPr>
                              <w:t xml:space="preserve"> partial guarantees to share in the credit risk of EE loan transactions that the partner lenders would fund with their own resources. </w:t>
                            </w:r>
                            <w:r w:rsidRPr="00996BE8">
                              <w:rPr>
                                <w:rFonts w:ascii="Times New Roman" w:hAnsi="Times New Roman"/>
                              </w:rPr>
                              <w:t>The t</w:t>
                            </w:r>
                            <w:r w:rsidRPr="00996BE8">
                              <w:rPr>
                                <w:rFonts w:ascii="Times New Roman" w:eastAsia="Calibri" w:hAnsi="Times New Roman"/>
                              </w:rPr>
                              <w:t>ransac</w:t>
                            </w:r>
                            <w:r w:rsidRPr="00996BE8">
                              <w:rPr>
                                <w:rFonts w:ascii="Times New Roman" w:hAnsi="Times New Roman"/>
                              </w:rPr>
                              <w:t>tions eligible for the program</w:t>
                            </w:r>
                            <w:r w:rsidRPr="00996BE8">
                              <w:rPr>
                                <w:rFonts w:ascii="Times New Roman" w:eastAsia="Calibri" w:hAnsi="Times New Roman"/>
                              </w:rPr>
                              <w:t xml:space="preserve"> </w:t>
                            </w:r>
                            <w:r w:rsidRPr="00996BE8">
                              <w:rPr>
                                <w:rFonts w:ascii="Times New Roman" w:hAnsi="Times New Roman"/>
                              </w:rPr>
                              <w:t xml:space="preserve">included </w:t>
                            </w:r>
                            <w:r w:rsidRPr="00996BE8">
                              <w:rPr>
                                <w:rFonts w:ascii="Times New Roman" w:eastAsia="Calibri" w:hAnsi="Times New Roman"/>
                              </w:rPr>
                              <w:t xml:space="preserve">capital investments aimed at improving </w:t>
                            </w:r>
                            <w:r>
                              <w:rPr>
                                <w:rFonts w:ascii="Times New Roman" w:eastAsia="Calibri" w:hAnsi="Times New Roman"/>
                              </w:rPr>
                              <w:t>EE</w:t>
                            </w:r>
                            <w:r w:rsidRPr="00996BE8">
                              <w:rPr>
                                <w:rFonts w:ascii="Times New Roman" w:eastAsia="Calibri" w:hAnsi="Times New Roman"/>
                              </w:rPr>
                              <w:t xml:space="preserve"> in buildings, industrial processes</w:t>
                            </w:r>
                            <w:r w:rsidRPr="00996BE8">
                              <w:rPr>
                                <w:rFonts w:ascii="Times New Roman" w:hAnsi="Times New Roman"/>
                              </w:rPr>
                              <w:t>,</w:t>
                            </w:r>
                            <w:r w:rsidRPr="00996BE8">
                              <w:rPr>
                                <w:rFonts w:ascii="Times New Roman" w:eastAsia="Calibri" w:hAnsi="Times New Roman"/>
                              </w:rPr>
                              <w:t xml:space="preserve"> and other energy end-use applications. </w:t>
                            </w:r>
                          </w:p>
                          <w:p w14:paraId="1684604F" w14:textId="77777777" w:rsidR="00C3446D" w:rsidRPr="00996BE8" w:rsidRDefault="00C3446D" w:rsidP="006F6392">
                            <w:pPr>
                              <w:pStyle w:val="Boxtext"/>
                              <w:rPr>
                                <w:rFonts w:ascii="Times New Roman" w:hAnsi="Times New Roman"/>
                              </w:rPr>
                            </w:pPr>
                            <w:r w:rsidRPr="00996BE8">
                              <w:rPr>
                                <w:rFonts w:ascii="Times New Roman" w:hAnsi="Times New Roman"/>
                              </w:rPr>
                              <w:t xml:space="preserve">Risk sharing was achieved through a </w:t>
                            </w:r>
                            <w:r w:rsidRPr="00996BE8">
                              <w:rPr>
                                <w:rFonts w:ascii="Times New Roman" w:eastAsia="Calibri" w:hAnsi="Times New Roman"/>
                              </w:rPr>
                              <w:t xml:space="preserve">partial guarantee structure </w:t>
                            </w:r>
                            <w:r w:rsidRPr="00996BE8">
                              <w:rPr>
                                <w:rFonts w:ascii="Times New Roman" w:hAnsi="Times New Roman"/>
                              </w:rPr>
                              <w:t xml:space="preserve">under which the IFC guaranteed 50 percent of the project risk on an equal basis with the participating lenders. </w:t>
                            </w:r>
                          </w:p>
                          <w:p w14:paraId="6F6F74F6" w14:textId="77777777" w:rsidR="00C3446D" w:rsidRPr="00996BE8" w:rsidRDefault="00C3446D" w:rsidP="006F6392">
                            <w:pPr>
                              <w:pStyle w:val="Boxtext"/>
                              <w:rPr>
                                <w:rFonts w:ascii="Times New Roman" w:hAnsi="Times New Roman"/>
                              </w:rPr>
                            </w:pPr>
                            <w:r w:rsidRPr="00996BE8">
                              <w:rPr>
                                <w:rFonts w:ascii="Times New Roman" w:hAnsi="Times New Roman"/>
                              </w:rPr>
                              <w:t xml:space="preserve">Technical assistance was an important component of the program to (a) help prepare projects for investment and (b) build capacity in the EE and lender industries in each country. </w:t>
                            </w:r>
                          </w:p>
                          <w:p w14:paraId="21E6FF66" w14:textId="77777777" w:rsidR="00C3446D" w:rsidRPr="00996BE8" w:rsidRDefault="00C3446D" w:rsidP="006F6392">
                            <w:pPr>
                              <w:pStyle w:val="Boxtext"/>
                              <w:rPr>
                                <w:rFonts w:ascii="Times New Roman" w:hAnsi="Times New Roman"/>
                              </w:rPr>
                            </w:pPr>
                            <w:r w:rsidRPr="00996BE8">
                              <w:rPr>
                                <w:rFonts w:ascii="Times New Roman" w:hAnsi="Times New Roman"/>
                              </w:rPr>
                              <w:t>CEEF resulted in substantial increased investments by commercial lenders for EE projects. Although few of these projects were for municipalities, CEEF did lead to a major lending program for financing EE in schools in Hungary.</w:t>
                            </w:r>
                          </w:p>
                          <w:p w14:paraId="35E0B39D" w14:textId="77777777" w:rsidR="00C3446D" w:rsidRPr="00996BE8" w:rsidRDefault="00C3446D" w:rsidP="006D6F72">
                            <w:pPr>
                              <w:pStyle w:val="Sourcenote-Box"/>
                              <w:spacing w:after="60"/>
                              <w:rPr>
                                <w:rFonts w:ascii="Times New Roman" w:hAnsi="Times New Roman"/>
                                <w:sz w:val="20"/>
                              </w:rPr>
                            </w:pPr>
                            <w:r w:rsidRPr="00996BE8">
                              <w:rPr>
                                <w:rFonts w:ascii="Times New Roman" w:hAnsi="Times New Roman"/>
                                <w:i/>
                                <w:sz w:val="20"/>
                              </w:rPr>
                              <w:t>Source</w:t>
                            </w:r>
                            <w:r w:rsidRPr="00996BE8">
                              <w:rPr>
                                <w:rFonts w:ascii="Times New Roman" w:hAnsi="Times New Roman"/>
                                <w:sz w:val="20"/>
                              </w:rPr>
                              <w:t xml:space="preserve">: </w:t>
                            </w:r>
                            <w:r w:rsidRPr="00996BE8">
                              <w:rPr>
                                <w:rFonts w:ascii="Times New Roman" w:hAnsi="Times New Roman"/>
                                <w:i/>
                                <w:sz w:val="20"/>
                              </w:rPr>
                              <w:t>IFC 2004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9881F1" id="Text Box 2" o:spid="_x0000_s1028" type="#_x0000_t202" style="position:absolute;left:0;text-align:left;margin-left:8.3pt;margin-top:31.05pt;width:427.95pt;height:229.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" fillcolor="#daeef3 [664]">
                <v:textbox style="mso-fit-shape-to-text:t">
                  <w:txbxContent>
                    <w:p w14:paraId="21769017" w14:textId="77777777" w:rsidR="00C3446D" w:rsidRPr="00996BE8" w:rsidRDefault="00C3446D" w:rsidP="006D6F72">
                      <w:pPr>
                        <w:pStyle w:val="Boxcaption"/>
                        <w:spacing w:before="60"/>
                        <w:rPr>
                          <w:rFonts w:ascii="Times New Roman" w:hAnsi="Times New Roman"/>
                          <w:sz w:val="20"/>
                        </w:rPr>
                      </w:pPr>
                      <w:r w:rsidRPr="00996BE8">
                        <w:rPr>
                          <w:rFonts w:ascii="Times New Roman" w:hAnsi="Times New Roman"/>
                          <w:sz w:val="20"/>
                        </w:rPr>
                        <w:t xml:space="preserve">Box </w:t>
                      </w:r>
                      <w:r>
                        <w:rPr>
                          <w:rFonts w:ascii="Times New Roman" w:hAnsi="Times New Roman"/>
                          <w:sz w:val="20"/>
                        </w:rPr>
                        <w:t>B.5</w:t>
                      </w:r>
                      <w:r w:rsidRPr="00996BE8">
                        <w:rPr>
                          <w:rFonts w:ascii="Times New Roman" w:hAnsi="Times New Roman"/>
                          <w:sz w:val="20"/>
                        </w:rPr>
                        <w:t xml:space="preserve"> - Risk Sharing Facility Example – Commercializing EE Finance (CEEF)</w:t>
                      </w:r>
                    </w:p>
                    <w:p w14:paraId="5C828710" w14:textId="77777777" w:rsidR="00C3446D" w:rsidRPr="00996BE8" w:rsidRDefault="00C3446D" w:rsidP="006F6392">
                      <w:pPr>
                        <w:pStyle w:val="Boxtext"/>
                        <w:rPr>
                          <w:rFonts w:ascii="Times New Roman" w:eastAsia="Calibri" w:hAnsi="Times New Roman"/>
                        </w:rPr>
                      </w:pPr>
                      <w:r w:rsidRPr="00996BE8">
                        <w:rPr>
                          <w:rFonts w:ascii="Times New Roman" w:hAnsi="Times New Roman"/>
                        </w:rPr>
                        <w:t>The Commercializing Energy Efficiency Finance (CEEF) Program was launched in April 2003 as a joint program of the IFC and the GEF. The countries included in CEEF were the Czech Republic, Hungary, Estonia, Latvia, Lithuania, and the Slovak Republic. CEEF was designed to</w:t>
                      </w:r>
                      <w:r w:rsidRPr="00996BE8">
                        <w:rPr>
                          <w:rFonts w:ascii="Times New Roman" w:eastAsia="Calibri" w:hAnsi="Times New Roman"/>
                        </w:rPr>
                        <w:t xml:space="preserve"> work in partnership with local lenders </w:t>
                      </w:r>
                      <w:r w:rsidRPr="00996BE8">
                        <w:rPr>
                          <w:rFonts w:ascii="Times New Roman" w:hAnsi="Times New Roman"/>
                        </w:rPr>
                        <w:t>by providing</w:t>
                      </w:r>
                      <w:r w:rsidRPr="00996BE8">
                        <w:rPr>
                          <w:rFonts w:ascii="Times New Roman" w:eastAsia="Calibri" w:hAnsi="Times New Roman"/>
                        </w:rPr>
                        <w:t xml:space="preserve"> partial guarantees to share in the credit risk of EE loan transactions that the partner lenders would fund with their own resources. </w:t>
                      </w:r>
                      <w:r w:rsidRPr="00996BE8">
                        <w:rPr>
                          <w:rFonts w:ascii="Times New Roman" w:hAnsi="Times New Roman"/>
                        </w:rPr>
                        <w:t>The t</w:t>
                      </w:r>
                      <w:r w:rsidRPr="00996BE8">
                        <w:rPr>
                          <w:rFonts w:ascii="Times New Roman" w:eastAsia="Calibri" w:hAnsi="Times New Roman"/>
                        </w:rPr>
                        <w:t>ransac</w:t>
                      </w:r>
                      <w:r w:rsidRPr="00996BE8">
                        <w:rPr>
                          <w:rFonts w:ascii="Times New Roman" w:hAnsi="Times New Roman"/>
                        </w:rPr>
                        <w:t>tions eligible for the program</w:t>
                      </w:r>
                      <w:r w:rsidRPr="00996BE8">
                        <w:rPr>
                          <w:rFonts w:ascii="Times New Roman" w:eastAsia="Calibri" w:hAnsi="Times New Roman"/>
                        </w:rPr>
                        <w:t xml:space="preserve"> </w:t>
                      </w:r>
                      <w:r w:rsidRPr="00996BE8">
                        <w:rPr>
                          <w:rFonts w:ascii="Times New Roman" w:hAnsi="Times New Roman"/>
                        </w:rPr>
                        <w:t xml:space="preserve">included </w:t>
                      </w:r>
                      <w:r w:rsidRPr="00996BE8">
                        <w:rPr>
                          <w:rFonts w:ascii="Times New Roman" w:eastAsia="Calibri" w:hAnsi="Times New Roman"/>
                        </w:rPr>
                        <w:t xml:space="preserve">capital investments aimed at improving </w:t>
                      </w:r>
                      <w:r>
                        <w:rPr>
                          <w:rFonts w:ascii="Times New Roman" w:eastAsia="Calibri" w:hAnsi="Times New Roman"/>
                        </w:rPr>
                        <w:t>EE</w:t>
                      </w:r>
                      <w:r w:rsidRPr="00996BE8">
                        <w:rPr>
                          <w:rFonts w:ascii="Times New Roman" w:eastAsia="Calibri" w:hAnsi="Times New Roman"/>
                        </w:rPr>
                        <w:t xml:space="preserve"> in buildings, industrial processes</w:t>
                      </w:r>
                      <w:r w:rsidRPr="00996BE8">
                        <w:rPr>
                          <w:rFonts w:ascii="Times New Roman" w:hAnsi="Times New Roman"/>
                        </w:rPr>
                        <w:t>,</w:t>
                      </w:r>
                      <w:r w:rsidRPr="00996BE8">
                        <w:rPr>
                          <w:rFonts w:ascii="Times New Roman" w:eastAsia="Calibri" w:hAnsi="Times New Roman"/>
                        </w:rPr>
                        <w:t xml:space="preserve"> and other energy end-use applications. </w:t>
                      </w:r>
                    </w:p>
                    <w:p w14:paraId="1684604F" w14:textId="77777777" w:rsidR="00C3446D" w:rsidRPr="00996BE8" w:rsidRDefault="00C3446D" w:rsidP="006F6392">
                      <w:pPr>
                        <w:pStyle w:val="Boxtext"/>
                        <w:rPr>
                          <w:rFonts w:ascii="Times New Roman" w:hAnsi="Times New Roman"/>
                        </w:rPr>
                      </w:pPr>
                      <w:r w:rsidRPr="00996BE8">
                        <w:rPr>
                          <w:rFonts w:ascii="Times New Roman" w:hAnsi="Times New Roman"/>
                        </w:rPr>
                        <w:t xml:space="preserve">Risk sharing was achieved through a </w:t>
                      </w:r>
                      <w:r w:rsidRPr="00996BE8">
                        <w:rPr>
                          <w:rFonts w:ascii="Times New Roman" w:eastAsia="Calibri" w:hAnsi="Times New Roman"/>
                        </w:rPr>
                        <w:t xml:space="preserve">partial guarantee structure </w:t>
                      </w:r>
                      <w:r w:rsidRPr="00996BE8">
                        <w:rPr>
                          <w:rFonts w:ascii="Times New Roman" w:hAnsi="Times New Roman"/>
                        </w:rPr>
                        <w:t xml:space="preserve">under which the IFC guaranteed 50 percent of the project risk on an equal basis with the participating lenders. </w:t>
                      </w:r>
                    </w:p>
                    <w:p w14:paraId="6F6F74F6" w14:textId="77777777" w:rsidR="00C3446D" w:rsidRPr="00996BE8" w:rsidRDefault="00C3446D" w:rsidP="006F6392">
                      <w:pPr>
                        <w:pStyle w:val="Boxtext"/>
                        <w:rPr>
                          <w:rFonts w:ascii="Times New Roman" w:hAnsi="Times New Roman"/>
                        </w:rPr>
                      </w:pPr>
                      <w:r w:rsidRPr="00996BE8">
                        <w:rPr>
                          <w:rFonts w:ascii="Times New Roman" w:hAnsi="Times New Roman"/>
                        </w:rPr>
                        <w:t xml:space="preserve">Technical assistance was an important component of the program to (a) help prepare projects for investment and (b) build capacity in the EE and lender industries in each country. </w:t>
                      </w:r>
                    </w:p>
                    <w:p w14:paraId="21E6FF66" w14:textId="77777777" w:rsidR="00C3446D" w:rsidRPr="00996BE8" w:rsidRDefault="00C3446D" w:rsidP="006F6392">
                      <w:pPr>
                        <w:pStyle w:val="Boxtext"/>
                        <w:rPr>
                          <w:rFonts w:ascii="Times New Roman" w:hAnsi="Times New Roman"/>
                        </w:rPr>
                      </w:pPr>
                      <w:r w:rsidRPr="00996BE8">
                        <w:rPr>
                          <w:rFonts w:ascii="Times New Roman" w:hAnsi="Times New Roman"/>
                        </w:rPr>
                        <w:t>CEEF resulted in substantial increased investments by commercial lenders for EE projects. Although few of these projects were for municipalities, CEEF did lead to a major lending program for financing EE in schools in Hungary.</w:t>
                      </w:r>
                    </w:p>
                    <w:p w14:paraId="35E0B39D" w14:textId="77777777" w:rsidR="00C3446D" w:rsidRPr="00996BE8" w:rsidRDefault="00C3446D" w:rsidP="006D6F72">
                      <w:pPr>
                        <w:pStyle w:val="Sourcenote-Box"/>
                        <w:spacing w:after="60"/>
                        <w:rPr>
                          <w:rFonts w:ascii="Times New Roman" w:hAnsi="Times New Roman"/>
                          <w:sz w:val="20"/>
                        </w:rPr>
                      </w:pPr>
                      <w:r w:rsidRPr="00996BE8">
                        <w:rPr>
                          <w:rFonts w:ascii="Times New Roman" w:hAnsi="Times New Roman"/>
                          <w:i/>
                          <w:sz w:val="20"/>
                        </w:rPr>
                        <w:t>Source</w:t>
                      </w:r>
                      <w:r w:rsidRPr="00996BE8">
                        <w:rPr>
                          <w:rFonts w:ascii="Times New Roman" w:hAnsi="Times New Roman"/>
                          <w:sz w:val="20"/>
                        </w:rPr>
                        <w:t xml:space="preserve">: </w:t>
                      </w:r>
                      <w:r w:rsidRPr="00996BE8">
                        <w:rPr>
                          <w:rFonts w:ascii="Times New Roman" w:hAnsi="Times New Roman"/>
                          <w:i/>
                          <w:sz w:val="20"/>
                        </w:rPr>
                        <w:t>IFC 2004</w:t>
                      </w:r>
                    </w:p>
                  </w:txbxContent>
                </v:textbox>
                <w10:wrap type="square" anchorx="margin"/>
              </v:shape>
            </w:pict>
          </mc:Fallback>
        </mc:AlternateContent>
      </w:r>
      <w:r w:rsidR="006F6392" w:rsidRPr="00996BE8">
        <w:rPr>
          <w:i/>
          <w:sz w:val="22"/>
          <w:szCs w:val="22"/>
        </w:rPr>
        <w:t xml:space="preserve">Source: </w:t>
      </w:r>
      <w:r w:rsidR="006F6392">
        <w:rPr>
          <w:i/>
          <w:sz w:val="22"/>
          <w:szCs w:val="22"/>
        </w:rPr>
        <w:t>Mostert 2010</w:t>
      </w:r>
    </w:p>
    <w:p w14:paraId="7857F39A" w14:textId="77777777" w:rsidR="006F6392" w:rsidRPr="009E61C7" w:rsidRDefault="006F6392" w:rsidP="006F6392">
      <w:pPr>
        <w:jc w:val="center"/>
      </w:pPr>
    </w:p>
    <w:p w14:paraId="61294019" w14:textId="77777777" w:rsidR="006F6392" w:rsidRDefault="006F6392" w:rsidP="006F6392">
      <w:pPr>
        <w:pStyle w:val="Heading2"/>
      </w:pPr>
      <w:bookmarkStart w:id="153" w:name="_Toc446061782"/>
      <w:bookmarkStart w:id="154" w:name="_Toc461093985"/>
      <w:r>
        <w:t>Super ESCO</w:t>
      </w:r>
      <w:bookmarkEnd w:id="153"/>
      <w:bookmarkEnd w:id="154"/>
    </w:p>
    <w:p w14:paraId="068CE151" w14:textId="77777777" w:rsidR="006F6392" w:rsidRDefault="006F6392" w:rsidP="006F6392">
      <w:r w:rsidRPr="0095121B">
        <w:rPr>
          <w:bCs/>
        </w:rPr>
        <w:t xml:space="preserve">A </w:t>
      </w:r>
      <w:r w:rsidR="00F87B87">
        <w:t>S</w:t>
      </w:r>
      <w:r>
        <w:t>uper</w:t>
      </w:r>
      <w:r w:rsidRPr="0095121B">
        <w:t xml:space="preserve"> ESCO </w:t>
      </w:r>
      <w:r>
        <w:t>can be</w:t>
      </w:r>
      <w:r w:rsidRPr="0095121B">
        <w:t xml:space="preserve"> uniquely positioned to overcome a number of the barriers faced by smaller ESCO companies. With </w:t>
      </w:r>
      <w:r>
        <w:t>its</w:t>
      </w:r>
      <w:r w:rsidRPr="0095121B">
        <w:t xml:space="preserve"> size and credibility as a public institution, </w:t>
      </w:r>
      <w:r>
        <w:t xml:space="preserve">a </w:t>
      </w:r>
      <w:r w:rsidR="00F87B87">
        <w:t>S</w:t>
      </w:r>
      <w:r>
        <w:t>uper</w:t>
      </w:r>
      <w:r w:rsidRPr="0095121B">
        <w:t xml:space="preserve"> ESCO </w:t>
      </w:r>
      <w:r>
        <w:t xml:space="preserve">has the capacity both to </w:t>
      </w:r>
      <w:r w:rsidRPr="0095121B">
        <w:t xml:space="preserve">support the growth of a nation’s private domestic ESCO business and </w:t>
      </w:r>
      <w:r>
        <w:t xml:space="preserve">to finance </w:t>
      </w:r>
      <w:r w:rsidRPr="0095121B">
        <w:t>EE projects</w:t>
      </w:r>
      <w:r>
        <w:t>, since it typically subcontracts all project implementation to local ESCOs</w:t>
      </w:r>
      <w:r w:rsidRPr="0095121B">
        <w:t xml:space="preserve">. </w:t>
      </w:r>
      <w:r>
        <w:t xml:space="preserve">Figure B.5 illustrates the structure of a </w:t>
      </w:r>
      <w:r w:rsidR="00F87B87">
        <w:t>S</w:t>
      </w:r>
      <w:r>
        <w:t>uper ESCO.</w:t>
      </w:r>
    </w:p>
    <w:p w14:paraId="65AC98EB" w14:textId="77777777" w:rsidR="006D6F72" w:rsidRDefault="006D6F72" w:rsidP="006D6F72">
      <w:pPr>
        <w:spacing w:after="180"/>
      </w:pPr>
      <w:r>
        <w:t xml:space="preserve">Examples of </w:t>
      </w:r>
      <w:r w:rsidR="00F87B87">
        <w:t>S</w:t>
      </w:r>
      <w:r w:rsidRPr="0040711B">
        <w:t>uper ES</w:t>
      </w:r>
      <w:r>
        <w:t>COs</w:t>
      </w:r>
      <w:r w:rsidRPr="0040711B">
        <w:t xml:space="preserve"> includ</w:t>
      </w:r>
      <w:r>
        <w:t>e</w:t>
      </w:r>
      <w:r w:rsidRPr="0040711B">
        <w:t xml:space="preserve"> the New York Power Authority (NYPA) in the U</w:t>
      </w:r>
      <w:r>
        <w:t>nited States</w:t>
      </w:r>
      <w:r w:rsidRPr="0040711B">
        <w:t xml:space="preserve">, Fedesco in Belgium, </w:t>
      </w:r>
      <w:r>
        <w:t>Fakai Super ESCO in China, and Energy Efficiency Services Limited (EESL) in India (see Box B.</w:t>
      </w:r>
      <w:r w:rsidR="00683C45">
        <w:t>6</w:t>
      </w:r>
      <w:r>
        <w:t>).</w:t>
      </w:r>
    </w:p>
    <w:p w14:paraId="29736DED" w14:textId="77777777" w:rsidR="006F6392" w:rsidRDefault="006F6392" w:rsidP="006F6392"/>
    <w:p w14:paraId="4C4CEEEB" w14:textId="77777777" w:rsidR="006F6392" w:rsidRDefault="006F6392" w:rsidP="006F6392"/>
    <w:p w14:paraId="3E7694B3" w14:textId="77777777" w:rsidR="006F6392" w:rsidRPr="005F3D32" w:rsidRDefault="006F6392" w:rsidP="006D6F72">
      <w:pPr>
        <w:pStyle w:val="FiguresandTables"/>
        <w:spacing w:after="60"/>
      </w:pPr>
      <w:r>
        <w:t>Figure B.5 -</w:t>
      </w:r>
      <w:r w:rsidRPr="005F3D32">
        <w:t xml:space="preserve"> </w:t>
      </w:r>
      <w:r>
        <w:t xml:space="preserve">Typical </w:t>
      </w:r>
      <w:r w:rsidRPr="005F3D32">
        <w:t>Structure of a Super ESCO</w:t>
      </w:r>
    </w:p>
    <w:p w14:paraId="66335D02" w14:textId="77777777" w:rsidR="006F6392" w:rsidRPr="0095121B" w:rsidRDefault="006F6392" w:rsidP="006D6F72">
      <w:pPr>
        <w:spacing w:before="60" w:after="60"/>
        <w:jc w:val="center"/>
      </w:pPr>
      <w:r w:rsidRPr="00CB0382">
        <w:rPr>
          <w:noProof/>
        </w:rPr>
        <w:drawing>
          <wp:inline distT="0" distB="0" distL="0" distR="0" wp14:anchorId="12CEA364" wp14:editId="14D7F132">
            <wp:extent cx="4724701" cy="2670638"/>
            <wp:effectExtent l="19050" t="19050" r="19050" b="15875"/>
            <wp:docPr id="28680" name="Picture 2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27215" cy="2672059"/>
                    </a:xfrm>
                    <a:prstGeom prst="rect">
                      <a:avLst/>
                    </a:prstGeom>
                    <a:noFill/>
                    <a:ln>
                      <a:solidFill>
                        <a:srgbClr val="002060"/>
                      </a:solidFill>
                    </a:ln>
                  </pic:spPr>
                </pic:pic>
              </a:graphicData>
            </a:graphic>
          </wp:inline>
        </w:drawing>
      </w:r>
    </w:p>
    <w:p w14:paraId="5B840897" w14:textId="77777777" w:rsidR="006F6392" w:rsidRDefault="006D6F72" w:rsidP="006D6F72">
      <w:pPr>
        <w:spacing w:before="60" w:after="240"/>
        <w:ind w:firstLine="720"/>
        <w:rPr>
          <w:i/>
          <w:sz w:val="22"/>
          <w:szCs w:val="22"/>
        </w:rPr>
      </w:pPr>
      <w:r>
        <w:rPr>
          <w:noProof/>
        </w:rPr>
        <mc:AlternateContent>
          <mc:Choice Requires="wps">
            <w:drawing>
              <wp:anchor distT="45720" distB="45720" distL="114300" distR="114300" simplePos="0" relativeHeight="251666432" behindDoc="0" locked="0" layoutInCell="1" allowOverlap="1" wp14:anchorId="7EEBE876" wp14:editId="11AB972D">
                <wp:simplePos x="0" y="0"/>
                <wp:positionH relativeFrom="margin">
                  <wp:posOffset>-43815</wp:posOffset>
                </wp:positionH>
                <wp:positionV relativeFrom="paragraph">
                  <wp:posOffset>324485</wp:posOffset>
                </wp:positionV>
                <wp:extent cx="5710555" cy="3074670"/>
                <wp:effectExtent l="0" t="0" r="23495" b="11430"/>
                <wp:wrapSquare wrapText="bothSides"/>
                <wp:docPr id="28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3074670"/>
                        </a:xfrm>
                        <a:prstGeom prst="rect">
                          <a:avLst/>
                        </a:prstGeom>
                        <a:solidFill>
                          <a:schemeClr val="accent1">
                            <a:lumMod val="20000"/>
                            <a:lumOff val="80000"/>
                          </a:schemeClr>
                        </a:solidFill>
                        <a:ln w="9525">
                          <a:solidFill>
                            <a:srgbClr val="000000"/>
                          </a:solidFill>
                          <a:miter lim="800000"/>
                          <a:headEnd/>
                          <a:tailEnd/>
                        </a:ln>
                      </wps:spPr>
                      <wps:txbx>
                        <w:txbxContent>
                          <w:p w14:paraId="1928115B" w14:textId="77777777" w:rsidR="00C3446D" w:rsidRPr="006A11AA" w:rsidRDefault="00C3446D" w:rsidP="006F6392">
                            <w:pPr>
                              <w:pStyle w:val="Boxcaption"/>
                              <w:rPr>
                                <w:rFonts w:ascii="Times New Roman" w:hAnsi="Times New Roman"/>
                                <w:sz w:val="20"/>
                              </w:rPr>
                            </w:pPr>
                            <w:r w:rsidRPr="006A11AA">
                              <w:rPr>
                                <w:rFonts w:ascii="Times New Roman" w:hAnsi="Times New Roman"/>
                                <w:sz w:val="20"/>
                              </w:rPr>
                              <w:t xml:space="preserve">Box </w:t>
                            </w:r>
                            <w:r>
                              <w:rPr>
                                <w:rFonts w:ascii="Times New Roman" w:hAnsi="Times New Roman"/>
                                <w:sz w:val="20"/>
                              </w:rPr>
                              <w:t>B.6</w:t>
                            </w:r>
                            <w:r w:rsidRPr="006A11AA">
                              <w:rPr>
                                <w:rFonts w:ascii="Times New Roman" w:hAnsi="Times New Roman"/>
                                <w:sz w:val="20"/>
                              </w:rPr>
                              <w:t xml:space="preserve"> - Energy Efficiency Services Limited: India’s Super ESCO</w:t>
                            </w:r>
                          </w:p>
                          <w:p w14:paraId="312E8F99" w14:textId="77777777" w:rsidR="00C3446D" w:rsidRPr="006A11AA" w:rsidRDefault="00C3446D" w:rsidP="006F6392">
                            <w:pPr>
                              <w:pStyle w:val="Boxtext"/>
                              <w:rPr>
                                <w:rFonts w:ascii="Times New Roman" w:hAnsi="Times New Roman"/>
                              </w:rPr>
                            </w:pPr>
                            <w:r w:rsidRPr="006A11AA">
                              <w:rPr>
                                <w:rFonts w:ascii="Times New Roman" w:hAnsi="Times New Roman"/>
                              </w:rPr>
                              <w:t xml:space="preserve">The government of India established Energy Efficiency Services Limited (EESL) as a super ESCO to carry out public sector undertakings under the Ministry of Power. EESL functions as the implementation arm of the National Mission for Enhanced Energy Efficiency (NMEEE). The purpose of setting up a separate corporate entity was to develop an </w:t>
                            </w:r>
                            <w:r>
                              <w:rPr>
                                <w:rFonts w:ascii="Times New Roman" w:hAnsi="Times New Roman"/>
                              </w:rPr>
                              <w:t>EE</w:t>
                            </w:r>
                            <w:r w:rsidRPr="006A11AA">
                              <w:rPr>
                                <w:rFonts w:ascii="Times New Roman" w:hAnsi="Times New Roman"/>
                              </w:rPr>
                              <w:t xml:space="preserve"> market that was virtually nonexistent in the country. It has the mandate to implement EE projects in the public sector and facilitate and promote the development and growth of the private ESCO industry through partnerships and subcontract arrangements. The initial capital of EESL is about US$50 million.</w:t>
                            </w:r>
                          </w:p>
                          <w:p w14:paraId="6247BB9E" w14:textId="77777777" w:rsidR="00C3446D" w:rsidRPr="006A11AA" w:rsidRDefault="00C3446D" w:rsidP="006F6392">
                            <w:pPr>
                              <w:pStyle w:val="Boxtext"/>
                              <w:rPr>
                                <w:rFonts w:ascii="Times New Roman" w:hAnsi="Times New Roman"/>
                              </w:rPr>
                            </w:pPr>
                            <w:r w:rsidRPr="006A11AA">
                              <w:rPr>
                                <w:rFonts w:ascii="Times New Roman" w:hAnsi="Times New Roman"/>
                              </w:rPr>
                              <w:t xml:space="preserve">Some of the major functions of EESL are </w:t>
                            </w:r>
                            <w:r>
                              <w:rPr>
                                <w:rFonts w:ascii="Times New Roman" w:hAnsi="Times New Roman"/>
                              </w:rPr>
                              <w:t>EE</w:t>
                            </w:r>
                            <w:r w:rsidRPr="006A11AA">
                              <w:rPr>
                                <w:rFonts w:ascii="Times New Roman" w:hAnsi="Times New Roman"/>
                              </w:rPr>
                              <w:t xml:space="preserve"> planning and implementation in the residential sector, commercial buildings, industrial sites, municipal street lighting and water pumping, and agricultural pumping. EESL also does capacity building of utilities and state designated agencies (SDAs) responsible for EE implementation under India’s Energy Conservation Act. </w:t>
                            </w:r>
                          </w:p>
                          <w:p w14:paraId="74F590D6" w14:textId="77777777" w:rsidR="00C3446D" w:rsidRPr="006A11AA" w:rsidRDefault="00C3446D" w:rsidP="006F6392">
                            <w:pPr>
                              <w:pStyle w:val="Boxtext"/>
                              <w:rPr>
                                <w:rFonts w:ascii="Times New Roman" w:hAnsi="Times New Roman"/>
                              </w:rPr>
                            </w:pPr>
                            <w:r w:rsidRPr="006A11AA">
                              <w:rPr>
                                <w:rFonts w:ascii="Times New Roman" w:hAnsi="Times New Roman"/>
                              </w:rPr>
                              <w:t>EESL has successfully collaborated with state and local government agencies to implement a wide range of projects including LED lighting in homes, efficient agricultural pumps, efficient street lighting, and efficient chillers in commercial buildings. EESL has engaged in a number of partnerships with private sector organizations to implement these projects.</w:t>
                            </w:r>
                          </w:p>
                          <w:p w14:paraId="0BC245ED" w14:textId="77777777" w:rsidR="00C3446D" w:rsidRPr="006A11AA" w:rsidRDefault="00C3446D" w:rsidP="006D6F72">
                            <w:pPr>
                              <w:pStyle w:val="Sourcenote-Box"/>
                              <w:spacing w:after="60" w:line="240" w:lineRule="auto"/>
                              <w:contextualSpacing w:val="0"/>
                              <w:rPr>
                                <w:rFonts w:ascii="Times New Roman" w:hAnsi="Times New Roman"/>
                                <w:i/>
                                <w:sz w:val="20"/>
                              </w:rPr>
                            </w:pPr>
                            <w:r w:rsidRPr="006A11AA">
                              <w:rPr>
                                <w:rFonts w:ascii="Times New Roman" w:hAnsi="Times New Roman"/>
                                <w:i/>
                                <w:sz w:val="20"/>
                              </w:rPr>
                              <w:t>Source: EESL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BE876" id="_x0000_s1029" type="#_x0000_t202" style="position:absolute;left:0;text-align:left;margin-left:-3.45pt;margin-top:25.55pt;width:449.65pt;height:242.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" fillcolor="#dbe5f1 [660]">
                <v:textbox>
                  <w:txbxContent>
                    <w:p w14:paraId="1928115B" w14:textId="77777777" w:rsidR="00C3446D" w:rsidRPr="006A11AA" w:rsidRDefault="00C3446D" w:rsidP="006F6392">
                      <w:pPr>
                        <w:pStyle w:val="Boxcaption"/>
                        <w:rPr>
                          <w:rFonts w:ascii="Times New Roman" w:hAnsi="Times New Roman"/>
                          <w:sz w:val="20"/>
                        </w:rPr>
                      </w:pPr>
                      <w:r w:rsidRPr="006A11AA">
                        <w:rPr>
                          <w:rFonts w:ascii="Times New Roman" w:hAnsi="Times New Roman"/>
                          <w:sz w:val="20"/>
                        </w:rPr>
                        <w:t xml:space="preserve">Box </w:t>
                      </w:r>
                      <w:r>
                        <w:rPr>
                          <w:rFonts w:ascii="Times New Roman" w:hAnsi="Times New Roman"/>
                          <w:sz w:val="20"/>
                        </w:rPr>
                        <w:t>B.6</w:t>
                      </w:r>
                      <w:r w:rsidRPr="006A11AA">
                        <w:rPr>
                          <w:rFonts w:ascii="Times New Roman" w:hAnsi="Times New Roman"/>
                          <w:sz w:val="20"/>
                        </w:rPr>
                        <w:t xml:space="preserve"> - Energy Efficiency Services Limited: India’s Super ESCO</w:t>
                      </w:r>
                    </w:p>
                    <w:p w14:paraId="312E8F99" w14:textId="77777777" w:rsidR="00C3446D" w:rsidRPr="006A11AA" w:rsidRDefault="00C3446D" w:rsidP="006F6392">
                      <w:pPr>
                        <w:pStyle w:val="Boxtext"/>
                        <w:rPr>
                          <w:rFonts w:ascii="Times New Roman" w:hAnsi="Times New Roman"/>
                        </w:rPr>
                      </w:pPr>
                      <w:r w:rsidRPr="006A11AA">
                        <w:rPr>
                          <w:rFonts w:ascii="Times New Roman" w:hAnsi="Times New Roman"/>
                        </w:rPr>
                        <w:t xml:space="preserve">The government of India established Energy Efficiency Services Limited (EESL) as a super ESCO to carry out public sector undertakings under the Ministry of Power. EESL functions as the implementation arm of the National Mission for Enhanced Energy Efficiency (NMEEE). The purpose of setting up a separate corporate entity was to develop an </w:t>
                      </w:r>
                      <w:r>
                        <w:rPr>
                          <w:rFonts w:ascii="Times New Roman" w:hAnsi="Times New Roman"/>
                        </w:rPr>
                        <w:t>EE</w:t>
                      </w:r>
                      <w:r w:rsidRPr="006A11AA">
                        <w:rPr>
                          <w:rFonts w:ascii="Times New Roman" w:hAnsi="Times New Roman"/>
                        </w:rPr>
                        <w:t xml:space="preserve"> market that was virtually nonexistent in the country. It has the mandate to implement EE projects in the public sector and facilitate and promote the development and growth of the private ESCO industry through partnerships and subcontract arrangements. The initial capital of EESL is about US$50 million.</w:t>
                      </w:r>
                    </w:p>
                    <w:p w14:paraId="6247BB9E" w14:textId="77777777" w:rsidR="00C3446D" w:rsidRPr="006A11AA" w:rsidRDefault="00C3446D" w:rsidP="006F6392">
                      <w:pPr>
                        <w:pStyle w:val="Boxtext"/>
                        <w:rPr>
                          <w:rFonts w:ascii="Times New Roman" w:hAnsi="Times New Roman"/>
                        </w:rPr>
                      </w:pPr>
                      <w:r w:rsidRPr="006A11AA">
                        <w:rPr>
                          <w:rFonts w:ascii="Times New Roman" w:hAnsi="Times New Roman"/>
                        </w:rPr>
                        <w:t xml:space="preserve">Some of the major functions of EESL are </w:t>
                      </w:r>
                      <w:r>
                        <w:rPr>
                          <w:rFonts w:ascii="Times New Roman" w:hAnsi="Times New Roman"/>
                        </w:rPr>
                        <w:t>EE</w:t>
                      </w:r>
                      <w:r w:rsidRPr="006A11AA">
                        <w:rPr>
                          <w:rFonts w:ascii="Times New Roman" w:hAnsi="Times New Roman"/>
                        </w:rPr>
                        <w:t xml:space="preserve"> planning and implementation in the residential sector, commercial buildings, industrial sites, municipal street lighting and water pumping, and agricultural pumping. EESL also does capacity building of utilities and state designated agencies (SDAs) responsible for EE implementation under India’s Energy Conservation Act. </w:t>
                      </w:r>
                    </w:p>
                    <w:p w14:paraId="74F590D6" w14:textId="77777777" w:rsidR="00C3446D" w:rsidRPr="006A11AA" w:rsidRDefault="00C3446D" w:rsidP="006F6392">
                      <w:pPr>
                        <w:pStyle w:val="Boxtext"/>
                        <w:rPr>
                          <w:rFonts w:ascii="Times New Roman" w:hAnsi="Times New Roman"/>
                        </w:rPr>
                      </w:pPr>
                      <w:r w:rsidRPr="006A11AA">
                        <w:rPr>
                          <w:rFonts w:ascii="Times New Roman" w:hAnsi="Times New Roman"/>
                        </w:rPr>
                        <w:t>EESL has successfully collaborated with state and local government agencies to implement a wide range of projects including LED lighting in homes, efficient agricultural pumps, efficient street lighting, and efficient chillers in commercial buildings. EESL has engaged in a number of partnerships with private sector organizations to implement these projects.</w:t>
                      </w:r>
                    </w:p>
                    <w:p w14:paraId="0BC245ED" w14:textId="77777777" w:rsidR="00C3446D" w:rsidRPr="006A11AA" w:rsidRDefault="00C3446D" w:rsidP="006D6F72">
                      <w:pPr>
                        <w:pStyle w:val="Sourcenote-Box"/>
                        <w:spacing w:after="60" w:line="240" w:lineRule="auto"/>
                        <w:contextualSpacing w:val="0"/>
                        <w:rPr>
                          <w:rFonts w:ascii="Times New Roman" w:hAnsi="Times New Roman"/>
                          <w:i/>
                          <w:sz w:val="20"/>
                        </w:rPr>
                      </w:pPr>
                      <w:r w:rsidRPr="006A11AA">
                        <w:rPr>
                          <w:rFonts w:ascii="Times New Roman" w:hAnsi="Times New Roman"/>
                          <w:i/>
                          <w:sz w:val="20"/>
                        </w:rPr>
                        <w:t>Source: EESL 2015</w:t>
                      </w:r>
                    </w:p>
                  </w:txbxContent>
                </v:textbox>
                <w10:wrap type="square" anchorx="margin"/>
              </v:shape>
            </w:pict>
          </mc:Fallback>
        </mc:AlternateContent>
      </w:r>
      <w:r w:rsidR="006F6392" w:rsidRPr="006A11AA">
        <w:rPr>
          <w:i/>
          <w:sz w:val="22"/>
          <w:szCs w:val="22"/>
        </w:rPr>
        <w:t>Source</w:t>
      </w:r>
      <w:r w:rsidR="006F6392" w:rsidRPr="006A11AA">
        <w:rPr>
          <w:sz w:val="22"/>
          <w:szCs w:val="22"/>
        </w:rPr>
        <w:t xml:space="preserve">: </w:t>
      </w:r>
      <w:r w:rsidR="006F6392" w:rsidRPr="006A11AA">
        <w:rPr>
          <w:i/>
          <w:sz w:val="22"/>
          <w:szCs w:val="22"/>
        </w:rPr>
        <w:t>Limaye 2013</w:t>
      </w:r>
      <w:r w:rsidR="006F6392">
        <w:rPr>
          <w:i/>
          <w:sz w:val="22"/>
          <w:szCs w:val="22"/>
        </w:rPr>
        <w:t>b</w:t>
      </w:r>
    </w:p>
    <w:p w14:paraId="734A7426" w14:textId="77777777" w:rsidR="006F6392" w:rsidRDefault="006F6392" w:rsidP="00544EAD">
      <w:pPr>
        <w:pStyle w:val="Heading2"/>
        <w:spacing w:before="360"/>
      </w:pPr>
      <w:bookmarkStart w:id="155" w:name="_Toc446061783"/>
      <w:bookmarkStart w:id="156" w:name="_Toc461093986"/>
      <w:r>
        <w:t>Commercial Financing with ESCOs</w:t>
      </w:r>
      <w:bookmarkEnd w:id="155"/>
      <w:bookmarkEnd w:id="156"/>
      <w:r>
        <w:t xml:space="preserve"> </w:t>
      </w:r>
    </w:p>
    <w:p w14:paraId="0A56DA35" w14:textId="77777777" w:rsidR="006F6392" w:rsidRDefault="006F6392" w:rsidP="006F6392">
      <w:r w:rsidRPr="005F60D6">
        <w:t>The business models typically utilized by ESPs</w:t>
      </w:r>
      <w:r>
        <w:t xml:space="preserve"> are illustrated in Figure B.6</w:t>
      </w:r>
      <w:r w:rsidRPr="005F60D6">
        <w:t xml:space="preserve">. </w:t>
      </w:r>
    </w:p>
    <w:p w14:paraId="40FDD53B" w14:textId="77777777" w:rsidR="00544EAD" w:rsidRPr="005F60D6" w:rsidRDefault="00544EAD" w:rsidP="00544EAD">
      <w:r>
        <w:t>Before an energy service market for the public sector can be developed, the government must first undertake</w:t>
      </w:r>
      <w:r w:rsidRPr="005F60D6">
        <w:t xml:space="preserve"> a set of legislative, regulatory, and policy initiatives targeted at:</w:t>
      </w:r>
    </w:p>
    <w:p w14:paraId="64EA1831" w14:textId="77777777" w:rsidR="00544EAD" w:rsidRPr="005F60D6" w:rsidRDefault="00544EAD" w:rsidP="00544EAD">
      <w:pPr>
        <w:pStyle w:val="Bulletedsinglespacing"/>
        <w:numPr>
          <w:ilvl w:val="0"/>
          <w:numId w:val="6"/>
        </w:numPr>
        <w:ind w:left="720"/>
      </w:pPr>
      <w:r w:rsidRPr="005F60D6">
        <w:t>Creating a large and stable demand for energy services projects in the public sector;</w:t>
      </w:r>
    </w:p>
    <w:p w14:paraId="03AEEEE4" w14:textId="77777777" w:rsidR="00544EAD" w:rsidRPr="005F60D6" w:rsidRDefault="00544EAD" w:rsidP="00544EAD">
      <w:pPr>
        <w:pStyle w:val="Bulletedsinglespacing"/>
        <w:numPr>
          <w:ilvl w:val="0"/>
          <w:numId w:val="6"/>
        </w:numPr>
        <w:ind w:left="720"/>
      </w:pPr>
      <w:r w:rsidRPr="005F60D6">
        <w:t>Removing barriers to public procurement of EE services and establish</w:t>
      </w:r>
      <w:r>
        <w:t>ing</w:t>
      </w:r>
      <w:r w:rsidRPr="005F60D6">
        <w:t xml:space="preserve"> clear regulations, rules and procedures for public agencies to work with </w:t>
      </w:r>
      <w:r>
        <w:t xml:space="preserve">private </w:t>
      </w:r>
      <w:r w:rsidRPr="005F60D6">
        <w:t>ES</w:t>
      </w:r>
      <w:r>
        <w:t>CO</w:t>
      </w:r>
      <w:r w:rsidRPr="005F60D6">
        <w:t>s; and</w:t>
      </w:r>
    </w:p>
    <w:p w14:paraId="690F4132" w14:textId="77777777" w:rsidR="00544EAD" w:rsidRPr="005F60D6" w:rsidRDefault="00544EAD" w:rsidP="00544EAD">
      <w:pPr>
        <w:pStyle w:val="Bulletedsinglespacing"/>
        <w:numPr>
          <w:ilvl w:val="0"/>
          <w:numId w:val="6"/>
        </w:numPr>
        <w:ind w:left="720"/>
      </w:pPr>
      <w:r w:rsidRPr="005F60D6">
        <w:t xml:space="preserve">Facilitating adequate and affordable financing of </w:t>
      </w:r>
      <w:r>
        <w:t xml:space="preserve">private </w:t>
      </w:r>
      <w:r w:rsidRPr="005F60D6">
        <w:t>ES</w:t>
      </w:r>
      <w:r>
        <w:t>CO</w:t>
      </w:r>
      <w:r w:rsidRPr="005F60D6">
        <w:t xml:space="preserve"> projects.</w:t>
      </w:r>
    </w:p>
    <w:p w14:paraId="094506FD" w14:textId="77777777" w:rsidR="00544EAD" w:rsidRDefault="00544EAD" w:rsidP="00544EAD">
      <w:r>
        <w:t>Table B.1 provides more detail on these initiatives.</w:t>
      </w:r>
    </w:p>
    <w:p w14:paraId="3829D9FF" w14:textId="77777777" w:rsidR="00544EAD" w:rsidRPr="005F60D6" w:rsidRDefault="00544EAD" w:rsidP="006F6392">
      <w:pPr>
        <w:rPr>
          <w:snapToGrid/>
        </w:rPr>
      </w:pPr>
    </w:p>
    <w:p w14:paraId="389CED6B" w14:textId="77777777" w:rsidR="006F6392" w:rsidRPr="005F60D6" w:rsidRDefault="006F6392" w:rsidP="00544EAD">
      <w:pPr>
        <w:pStyle w:val="FiguresandTables"/>
        <w:spacing w:after="60"/>
      </w:pPr>
      <w:r w:rsidRPr="005F60D6">
        <w:t xml:space="preserve">Figure </w:t>
      </w:r>
      <w:r>
        <w:t xml:space="preserve">B.6 - </w:t>
      </w:r>
      <w:r w:rsidRPr="005F60D6">
        <w:t xml:space="preserve">Summary of Business Models </w:t>
      </w:r>
      <w:r>
        <w:t xml:space="preserve">for </w:t>
      </w:r>
      <w:r w:rsidRPr="005F60D6">
        <w:t>Ener</w:t>
      </w:r>
      <w:r>
        <w:t>gy Service Companies (ESCOs)</w:t>
      </w:r>
    </w:p>
    <w:p w14:paraId="774CFD48" w14:textId="77777777" w:rsidR="006F6392" w:rsidRPr="005F60D6" w:rsidRDefault="006F6392" w:rsidP="006F6392">
      <w:pPr>
        <w:spacing w:before="0" w:after="60"/>
        <w:jc w:val="center"/>
        <w:rPr>
          <w:i/>
        </w:rPr>
      </w:pPr>
      <w:r w:rsidRPr="005F60D6">
        <w:rPr>
          <w:noProof/>
        </w:rPr>
        <w:drawing>
          <wp:inline distT="0" distB="0" distL="0" distR="0" wp14:anchorId="6E2E8E02" wp14:editId="0B0AD778">
            <wp:extent cx="5247005" cy="2856216"/>
            <wp:effectExtent l="0" t="0" r="0" b="1905"/>
            <wp:docPr id="286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l="1166"/>
                    <a:stretch>
                      <a:fillRect/>
                    </a:stretch>
                  </pic:blipFill>
                  <pic:spPr bwMode="auto">
                    <a:xfrm>
                      <a:off x="0" y="0"/>
                      <a:ext cx="5247005" cy="2856216"/>
                    </a:xfrm>
                    <a:prstGeom prst="rect">
                      <a:avLst/>
                    </a:prstGeom>
                    <a:noFill/>
                  </pic:spPr>
                </pic:pic>
              </a:graphicData>
            </a:graphic>
          </wp:inline>
        </w:drawing>
      </w:r>
    </w:p>
    <w:p w14:paraId="5F9DA412" w14:textId="77777777" w:rsidR="006F6392" w:rsidRPr="006A11AA" w:rsidRDefault="006F6392" w:rsidP="00544EAD">
      <w:pPr>
        <w:spacing w:before="60"/>
        <w:rPr>
          <w:i/>
        </w:rPr>
      </w:pPr>
      <w:r w:rsidRPr="006A11AA">
        <w:rPr>
          <w:i/>
        </w:rPr>
        <w:t>Source:</w:t>
      </w:r>
      <w:r>
        <w:rPr>
          <w:i/>
        </w:rPr>
        <w:t xml:space="preserve"> World Bank 2014c</w:t>
      </w:r>
    </w:p>
    <w:p w14:paraId="3DAC3C8D" w14:textId="77777777" w:rsidR="006F6392" w:rsidRPr="005F60D6" w:rsidRDefault="006F6392" w:rsidP="006F6392">
      <w:pPr>
        <w:pStyle w:val="FiguresandTables"/>
        <w:spacing w:after="60"/>
      </w:pPr>
      <w:r w:rsidRPr="005F60D6">
        <w:t xml:space="preserve">Table </w:t>
      </w:r>
      <w:r>
        <w:t>B.1 -</w:t>
      </w:r>
      <w:r w:rsidRPr="005F60D6">
        <w:t xml:space="preserve"> Government Actions to Foster </w:t>
      </w:r>
      <w:r w:rsidRPr="00BD1012">
        <w:t>Private</w:t>
      </w:r>
      <w:r>
        <w:t xml:space="preserve"> </w:t>
      </w:r>
      <w:r w:rsidRPr="005F60D6">
        <w:t>ES</w:t>
      </w:r>
      <w:r>
        <w:t>CO</w:t>
      </w:r>
      <w:r w:rsidRPr="005F60D6">
        <w:t>s</w:t>
      </w:r>
    </w:p>
    <w:tbl>
      <w:tblPr>
        <w:tblStyle w:val="TableGrid"/>
        <w:tblW w:w="5000" w:type="pct"/>
        <w:tblLook w:val="04A0" w:firstRow="1" w:lastRow="0" w:firstColumn="1" w:lastColumn="0" w:noHBand="0" w:noVBand="1"/>
      </w:tblPr>
      <w:tblGrid>
        <w:gridCol w:w="2980"/>
        <w:gridCol w:w="3130"/>
        <w:gridCol w:w="2817"/>
      </w:tblGrid>
      <w:tr w:rsidR="006F6392" w:rsidRPr="005F60D6" w14:paraId="4BBE17A2" w14:textId="77777777" w:rsidTr="00C677DF">
        <w:tc>
          <w:tcPr>
            <w:tcW w:w="3081" w:type="dxa"/>
            <w:shd w:val="clear" w:color="auto" w:fill="002060"/>
            <w:vAlign w:val="bottom"/>
          </w:tcPr>
          <w:p w14:paraId="139BCA49" w14:textId="77777777" w:rsidR="006F6392" w:rsidRPr="004F3B43" w:rsidRDefault="006F6392" w:rsidP="00C677DF">
            <w:pPr>
              <w:pStyle w:val="Tableheadingleft"/>
              <w:spacing w:before="120" w:after="120"/>
              <w:jc w:val="center"/>
              <w:rPr>
                <w:rFonts w:ascii="Times New Roman" w:hAnsi="Times New Roman" w:cs="Times New Roman"/>
                <w:color w:val="FFFFFF" w:themeColor="background1"/>
                <w:sz w:val="22"/>
                <w:szCs w:val="22"/>
              </w:rPr>
            </w:pPr>
            <w:r w:rsidRPr="004F3B43">
              <w:rPr>
                <w:rFonts w:ascii="Times New Roman" w:hAnsi="Times New Roman" w:cs="Times New Roman"/>
                <w:color w:val="FFFFFF" w:themeColor="background1"/>
                <w:sz w:val="22"/>
                <w:szCs w:val="22"/>
              </w:rPr>
              <w:t>Create Demand for                          EE Services</w:t>
            </w:r>
          </w:p>
        </w:tc>
        <w:tc>
          <w:tcPr>
            <w:tcW w:w="3237" w:type="dxa"/>
            <w:shd w:val="clear" w:color="auto" w:fill="002060"/>
            <w:vAlign w:val="bottom"/>
          </w:tcPr>
          <w:p w14:paraId="5AAC1CEC" w14:textId="77777777" w:rsidR="006F6392" w:rsidRPr="004F3B43" w:rsidRDefault="006F6392" w:rsidP="00C677DF">
            <w:pPr>
              <w:pStyle w:val="Tableheadingcenter"/>
              <w:spacing w:before="120" w:after="120"/>
              <w:rPr>
                <w:rFonts w:ascii="Times New Roman" w:hAnsi="Times New Roman" w:cs="Times New Roman"/>
                <w:color w:val="FFFFFF" w:themeColor="background1"/>
                <w:sz w:val="22"/>
                <w:szCs w:val="22"/>
              </w:rPr>
            </w:pPr>
            <w:r w:rsidRPr="004F3B43">
              <w:rPr>
                <w:rFonts w:ascii="Times New Roman" w:hAnsi="Times New Roman" w:cs="Times New Roman"/>
                <w:color w:val="FFFFFF" w:themeColor="background1"/>
                <w:sz w:val="22"/>
                <w:szCs w:val="22"/>
              </w:rPr>
              <w:t>Remove Barriers to Public Procurement of EE Services</w:t>
            </w:r>
          </w:p>
        </w:tc>
        <w:tc>
          <w:tcPr>
            <w:tcW w:w="2925" w:type="dxa"/>
            <w:shd w:val="clear" w:color="auto" w:fill="002060"/>
            <w:vAlign w:val="bottom"/>
          </w:tcPr>
          <w:p w14:paraId="17DE71BD" w14:textId="77777777" w:rsidR="006F6392" w:rsidRPr="004F3B43" w:rsidRDefault="006F6392" w:rsidP="00C677DF">
            <w:pPr>
              <w:pStyle w:val="Tableheadingcenter"/>
              <w:spacing w:before="120" w:after="120"/>
              <w:rPr>
                <w:rFonts w:ascii="Times New Roman" w:hAnsi="Times New Roman" w:cs="Times New Roman"/>
                <w:color w:val="FFFFFF" w:themeColor="background1"/>
                <w:sz w:val="22"/>
                <w:szCs w:val="22"/>
              </w:rPr>
            </w:pPr>
            <w:r w:rsidRPr="004F3B43">
              <w:rPr>
                <w:rFonts w:ascii="Times New Roman" w:hAnsi="Times New Roman" w:cs="Times New Roman"/>
                <w:color w:val="FFFFFF" w:themeColor="background1"/>
                <w:sz w:val="22"/>
                <w:szCs w:val="22"/>
              </w:rPr>
              <w:t xml:space="preserve">Facilitate Financing </w:t>
            </w:r>
            <w:r w:rsidRPr="004F3B43">
              <w:rPr>
                <w:rFonts w:ascii="Times New Roman" w:hAnsi="Times New Roman" w:cs="Times New Roman"/>
                <w:color w:val="FFFFFF" w:themeColor="background1"/>
                <w:sz w:val="22"/>
                <w:szCs w:val="22"/>
              </w:rPr>
              <w:br/>
              <w:t>of ESP Projects</w:t>
            </w:r>
          </w:p>
        </w:tc>
      </w:tr>
      <w:tr w:rsidR="006F6392" w:rsidRPr="005F60D6" w14:paraId="218BD92A" w14:textId="77777777" w:rsidTr="00C677DF">
        <w:tc>
          <w:tcPr>
            <w:tcW w:w="3081" w:type="dxa"/>
            <w:shd w:val="clear" w:color="auto" w:fill="DAEEF3" w:themeFill="accent5" w:themeFillTint="33"/>
          </w:tcPr>
          <w:p w14:paraId="569D6FA0" w14:textId="77777777" w:rsidR="006F6392" w:rsidRPr="004F3B43" w:rsidRDefault="006F6392" w:rsidP="00C677DF">
            <w:pPr>
              <w:pStyle w:val="Tabletextbullet"/>
              <w:rPr>
                <w:rFonts w:ascii="Times New Roman" w:hAnsi="Times New Roman" w:cs="Times New Roman"/>
                <w:sz w:val="22"/>
                <w:szCs w:val="22"/>
              </w:rPr>
            </w:pPr>
            <w:r w:rsidRPr="004F3B43">
              <w:rPr>
                <w:rFonts w:ascii="Times New Roman" w:hAnsi="Times New Roman" w:cs="Times New Roman"/>
                <w:sz w:val="22"/>
                <w:szCs w:val="22"/>
              </w:rPr>
              <w:t>Increase PA knowledge and awareness of ESPs</w:t>
            </w:r>
          </w:p>
          <w:p w14:paraId="70D03BCB" w14:textId="77777777" w:rsidR="006F6392" w:rsidRPr="004F3B43" w:rsidRDefault="006F6392" w:rsidP="00C677DF">
            <w:pPr>
              <w:pStyle w:val="Tabletextbullet"/>
              <w:rPr>
                <w:rFonts w:ascii="Times New Roman" w:hAnsi="Times New Roman" w:cs="Times New Roman"/>
                <w:sz w:val="22"/>
                <w:szCs w:val="22"/>
              </w:rPr>
            </w:pPr>
            <w:r w:rsidRPr="004F3B43">
              <w:rPr>
                <w:rFonts w:ascii="Times New Roman" w:hAnsi="Times New Roman" w:cs="Times New Roman"/>
                <w:sz w:val="22"/>
                <w:szCs w:val="22"/>
              </w:rPr>
              <w:t>Increase PA capacity to identify ESP opportunities</w:t>
            </w:r>
          </w:p>
          <w:p w14:paraId="7F92BF72" w14:textId="77777777" w:rsidR="006F6392" w:rsidRPr="004F3B43" w:rsidRDefault="006F6392" w:rsidP="00C677DF">
            <w:pPr>
              <w:pStyle w:val="Tabletextbullet"/>
              <w:rPr>
                <w:rFonts w:ascii="Times New Roman" w:hAnsi="Times New Roman" w:cs="Times New Roman"/>
                <w:sz w:val="22"/>
                <w:szCs w:val="22"/>
              </w:rPr>
            </w:pPr>
            <w:r w:rsidRPr="004F3B43">
              <w:rPr>
                <w:rFonts w:ascii="Times New Roman" w:hAnsi="Times New Roman" w:cs="Times New Roman"/>
                <w:sz w:val="22"/>
                <w:szCs w:val="22"/>
              </w:rPr>
              <w:t>Require EE targets and action plans</w:t>
            </w:r>
          </w:p>
          <w:p w14:paraId="3BC77D6A" w14:textId="77777777" w:rsidR="006F6392" w:rsidRPr="004F3B43" w:rsidRDefault="006F6392" w:rsidP="00C677DF">
            <w:pPr>
              <w:pStyle w:val="Tabletextbullet"/>
              <w:rPr>
                <w:rFonts w:ascii="Times New Roman" w:hAnsi="Times New Roman" w:cs="Times New Roman"/>
                <w:sz w:val="22"/>
                <w:szCs w:val="22"/>
              </w:rPr>
            </w:pPr>
            <w:r w:rsidRPr="004F3B43">
              <w:rPr>
                <w:rFonts w:ascii="Times New Roman" w:hAnsi="Times New Roman" w:cs="Times New Roman"/>
                <w:sz w:val="22"/>
                <w:szCs w:val="22"/>
              </w:rPr>
              <w:t>Develop standard, templates, benchmarks, and M&amp;V schemes</w:t>
            </w:r>
          </w:p>
          <w:p w14:paraId="6F230EDE" w14:textId="77777777" w:rsidR="006F6392" w:rsidRPr="004F3B43" w:rsidRDefault="006F6392" w:rsidP="00C677DF">
            <w:pPr>
              <w:pStyle w:val="Tabletextbullet"/>
              <w:rPr>
                <w:rFonts w:ascii="Times New Roman" w:hAnsi="Times New Roman" w:cs="Times New Roman"/>
                <w:sz w:val="22"/>
                <w:szCs w:val="22"/>
              </w:rPr>
            </w:pPr>
            <w:r w:rsidRPr="004F3B43">
              <w:rPr>
                <w:rFonts w:ascii="Times New Roman" w:hAnsi="Times New Roman" w:cs="Times New Roman"/>
                <w:sz w:val="22"/>
                <w:szCs w:val="22"/>
              </w:rPr>
              <w:t>Organize workshops with PAs and ESPs</w:t>
            </w:r>
          </w:p>
          <w:p w14:paraId="2EFE3FCE" w14:textId="77777777" w:rsidR="006F6392" w:rsidRPr="004F3B43" w:rsidRDefault="006F6392" w:rsidP="00C677DF">
            <w:pPr>
              <w:pStyle w:val="Tabletextbullet"/>
              <w:rPr>
                <w:rFonts w:ascii="Times New Roman" w:hAnsi="Times New Roman" w:cs="Times New Roman"/>
                <w:sz w:val="22"/>
                <w:szCs w:val="22"/>
              </w:rPr>
            </w:pPr>
            <w:r w:rsidRPr="004F3B43">
              <w:rPr>
                <w:rFonts w:ascii="Times New Roman" w:hAnsi="Times New Roman" w:cs="Times New Roman"/>
                <w:sz w:val="22"/>
                <w:szCs w:val="22"/>
              </w:rPr>
              <w:t>Aggregate similar projects across PAs</w:t>
            </w:r>
          </w:p>
          <w:p w14:paraId="6AE27DB4" w14:textId="77777777" w:rsidR="006F6392" w:rsidRPr="004F3B43" w:rsidRDefault="006F6392" w:rsidP="00C677DF">
            <w:pPr>
              <w:pStyle w:val="Tabletextbullet"/>
              <w:rPr>
                <w:rFonts w:ascii="Times New Roman" w:hAnsi="Times New Roman" w:cs="Times New Roman"/>
                <w:sz w:val="22"/>
                <w:szCs w:val="22"/>
              </w:rPr>
            </w:pPr>
            <w:r w:rsidRPr="004F3B43">
              <w:rPr>
                <w:rFonts w:ascii="Times New Roman" w:hAnsi="Times New Roman" w:cs="Times New Roman"/>
                <w:sz w:val="22"/>
                <w:szCs w:val="22"/>
              </w:rPr>
              <w:t>Accredit or certify ESCOs</w:t>
            </w:r>
          </w:p>
        </w:tc>
        <w:tc>
          <w:tcPr>
            <w:tcW w:w="3237" w:type="dxa"/>
            <w:shd w:val="clear" w:color="auto" w:fill="DAEEF3" w:themeFill="accent5" w:themeFillTint="33"/>
          </w:tcPr>
          <w:p w14:paraId="0DFD4141" w14:textId="77777777" w:rsidR="006F6392" w:rsidRPr="004F3B43" w:rsidRDefault="006F6392" w:rsidP="00C677DF">
            <w:pPr>
              <w:pStyle w:val="Tabletextbullet"/>
              <w:rPr>
                <w:rFonts w:ascii="Times New Roman" w:hAnsi="Times New Roman" w:cs="Times New Roman"/>
                <w:sz w:val="22"/>
                <w:szCs w:val="22"/>
              </w:rPr>
            </w:pPr>
            <w:r w:rsidRPr="004F3B43">
              <w:rPr>
                <w:rFonts w:ascii="Times New Roman" w:hAnsi="Times New Roman" w:cs="Times New Roman"/>
                <w:sz w:val="22"/>
                <w:szCs w:val="22"/>
              </w:rPr>
              <w:t>Allow PAs to sign multiple-year contracts</w:t>
            </w:r>
          </w:p>
          <w:p w14:paraId="47BD0C97" w14:textId="77777777" w:rsidR="006F6392" w:rsidRPr="004F3B43" w:rsidRDefault="006F6392" w:rsidP="00C677DF">
            <w:pPr>
              <w:pStyle w:val="Tabletextbullet"/>
              <w:rPr>
                <w:rFonts w:ascii="Times New Roman" w:hAnsi="Times New Roman" w:cs="Times New Roman"/>
                <w:sz w:val="22"/>
                <w:szCs w:val="22"/>
              </w:rPr>
            </w:pPr>
            <w:r w:rsidRPr="004F3B43">
              <w:rPr>
                <w:rFonts w:ascii="Times New Roman" w:hAnsi="Times New Roman" w:cs="Times New Roman"/>
                <w:sz w:val="22"/>
                <w:szCs w:val="22"/>
              </w:rPr>
              <w:t>Allow retention of energy cost savings to pay ESPCs</w:t>
            </w:r>
          </w:p>
          <w:p w14:paraId="3A98DC9D" w14:textId="77777777" w:rsidR="006F6392" w:rsidRPr="004F3B43" w:rsidRDefault="006F6392" w:rsidP="00C677DF">
            <w:pPr>
              <w:pStyle w:val="Tabletextbullet"/>
              <w:rPr>
                <w:rFonts w:ascii="Times New Roman" w:hAnsi="Times New Roman" w:cs="Times New Roman"/>
                <w:sz w:val="22"/>
                <w:szCs w:val="22"/>
              </w:rPr>
            </w:pPr>
            <w:r w:rsidRPr="004F3B43">
              <w:rPr>
                <w:rFonts w:ascii="Times New Roman" w:hAnsi="Times New Roman" w:cs="Times New Roman"/>
                <w:sz w:val="22"/>
                <w:szCs w:val="22"/>
              </w:rPr>
              <w:t>Change procurement rules to select most value, not least cost</w:t>
            </w:r>
          </w:p>
          <w:p w14:paraId="1554521F" w14:textId="77777777" w:rsidR="006F6392" w:rsidRPr="004F3B43" w:rsidRDefault="006F6392" w:rsidP="00C677DF">
            <w:pPr>
              <w:pStyle w:val="Tabletextbullet"/>
              <w:rPr>
                <w:rFonts w:ascii="Times New Roman" w:hAnsi="Times New Roman" w:cs="Times New Roman"/>
                <w:sz w:val="22"/>
                <w:szCs w:val="22"/>
              </w:rPr>
            </w:pPr>
            <w:r w:rsidRPr="004F3B43">
              <w:rPr>
                <w:rFonts w:ascii="Times New Roman" w:hAnsi="Times New Roman" w:cs="Times New Roman"/>
                <w:sz w:val="22"/>
                <w:szCs w:val="22"/>
              </w:rPr>
              <w:t>Exclude ESP payments from      PA debt</w:t>
            </w:r>
          </w:p>
          <w:p w14:paraId="5EDF35FE" w14:textId="77777777" w:rsidR="006F6392" w:rsidRPr="004F3B43" w:rsidRDefault="006F6392" w:rsidP="00C677DF">
            <w:pPr>
              <w:pStyle w:val="Tabletextbullet"/>
              <w:rPr>
                <w:rFonts w:ascii="Times New Roman" w:hAnsi="Times New Roman" w:cs="Times New Roman"/>
                <w:sz w:val="22"/>
                <w:szCs w:val="22"/>
              </w:rPr>
            </w:pPr>
            <w:r w:rsidRPr="004F3B43">
              <w:rPr>
                <w:rFonts w:ascii="Times New Roman" w:hAnsi="Times New Roman" w:cs="Times New Roman"/>
                <w:sz w:val="22"/>
                <w:szCs w:val="22"/>
              </w:rPr>
              <w:t>Require consumption-based billing for district heating</w:t>
            </w:r>
          </w:p>
          <w:p w14:paraId="34273D19" w14:textId="77777777" w:rsidR="006F6392" w:rsidRPr="004F3B43" w:rsidRDefault="006F6392" w:rsidP="00C677DF">
            <w:pPr>
              <w:pStyle w:val="Tabletextbullet"/>
              <w:rPr>
                <w:rFonts w:ascii="Times New Roman" w:hAnsi="Times New Roman" w:cs="Times New Roman"/>
                <w:sz w:val="22"/>
                <w:szCs w:val="22"/>
              </w:rPr>
            </w:pPr>
            <w:r w:rsidRPr="004F3B43">
              <w:rPr>
                <w:rFonts w:ascii="Times New Roman" w:hAnsi="Times New Roman" w:cs="Times New Roman"/>
                <w:sz w:val="22"/>
                <w:szCs w:val="22"/>
              </w:rPr>
              <w:t>Allow PAs to engage in PPPs and EE equipment leasing</w:t>
            </w:r>
          </w:p>
          <w:p w14:paraId="605FAA2B" w14:textId="77777777" w:rsidR="006F6392" w:rsidRPr="004F3B43" w:rsidRDefault="006F6392" w:rsidP="00C677DF">
            <w:pPr>
              <w:pStyle w:val="Tabletextbullet"/>
              <w:rPr>
                <w:rFonts w:ascii="Times New Roman" w:hAnsi="Times New Roman" w:cs="Times New Roman"/>
                <w:sz w:val="22"/>
                <w:szCs w:val="22"/>
              </w:rPr>
            </w:pPr>
            <w:r w:rsidRPr="004F3B43">
              <w:rPr>
                <w:rFonts w:ascii="Times New Roman" w:hAnsi="Times New Roman" w:cs="Times New Roman"/>
                <w:sz w:val="22"/>
                <w:szCs w:val="22"/>
              </w:rPr>
              <w:t>Encourage PAs to use simple ESCO business models</w:t>
            </w:r>
          </w:p>
        </w:tc>
        <w:tc>
          <w:tcPr>
            <w:tcW w:w="2925" w:type="dxa"/>
            <w:shd w:val="clear" w:color="auto" w:fill="DAEEF3" w:themeFill="accent5" w:themeFillTint="33"/>
          </w:tcPr>
          <w:p w14:paraId="51101567" w14:textId="77777777" w:rsidR="006F6392" w:rsidRPr="004F3B43" w:rsidRDefault="006F6392" w:rsidP="00C677DF">
            <w:pPr>
              <w:pStyle w:val="Tabletextbullet"/>
              <w:rPr>
                <w:rFonts w:ascii="Times New Roman" w:hAnsi="Times New Roman" w:cs="Times New Roman"/>
                <w:sz w:val="22"/>
                <w:szCs w:val="22"/>
              </w:rPr>
            </w:pPr>
            <w:r w:rsidRPr="004F3B43">
              <w:rPr>
                <w:rFonts w:ascii="Times New Roman" w:hAnsi="Times New Roman" w:cs="Times New Roman"/>
                <w:sz w:val="22"/>
                <w:szCs w:val="22"/>
              </w:rPr>
              <w:t>Establish EE revolving fund with loan facility</w:t>
            </w:r>
          </w:p>
          <w:p w14:paraId="7111EBD4" w14:textId="77777777" w:rsidR="006F6392" w:rsidRPr="004F3B43" w:rsidRDefault="006F6392" w:rsidP="00C677DF">
            <w:pPr>
              <w:pStyle w:val="Tabletextbullet"/>
              <w:rPr>
                <w:rFonts w:ascii="Times New Roman" w:hAnsi="Times New Roman" w:cs="Times New Roman"/>
                <w:sz w:val="22"/>
                <w:szCs w:val="22"/>
              </w:rPr>
            </w:pPr>
            <w:r w:rsidRPr="004F3B43">
              <w:rPr>
                <w:rFonts w:ascii="Times New Roman" w:hAnsi="Times New Roman" w:cs="Times New Roman"/>
                <w:sz w:val="22"/>
                <w:szCs w:val="22"/>
              </w:rPr>
              <w:t>Establish EE revolving fund with ESAs</w:t>
            </w:r>
          </w:p>
          <w:p w14:paraId="579114EE" w14:textId="77777777" w:rsidR="006F6392" w:rsidRPr="004F3B43" w:rsidRDefault="006F6392" w:rsidP="00C677DF">
            <w:pPr>
              <w:pStyle w:val="Tabletextbullet"/>
              <w:rPr>
                <w:rFonts w:ascii="Times New Roman" w:hAnsi="Times New Roman" w:cs="Times New Roman"/>
                <w:sz w:val="22"/>
                <w:szCs w:val="22"/>
              </w:rPr>
            </w:pPr>
            <w:r w:rsidRPr="004F3B43">
              <w:rPr>
                <w:rFonts w:ascii="Times New Roman" w:hAnsi="Times New Roman" w:cs="Times New Roman"/>
                <w:sz w:val="22"/>
                <w:szCs w:val="22"/>
              </w:rPr>
              <w:t>Provide budgetary grants</w:t>
            </w:r>
          </w:p>
          <w:p w14:paraId="73DCE478" w14:textId="77777777" w:rsidR="006F6392" w:rsidRPr="004F3B43" w:rsidRDefault="006F6392" w:rsidP="00C677DF">
            <w:pPr>
              <w:pStyle w:val="Tabletextbullet"/>
              <w:rPr>
                <w:rFonts w:ascii="Times New Roman" w:hAnsi="Times New Roman" w:cs="Times New Roman"/>
                <w:sz w:val="22"/>
                <w:szCs w:val="22"/>
              </w:rPr>
            </w:pPr>
            <w:r w:rsidRPr="004F3B43">
              <w:rPr>
                <w:rFonts w:ascii="Times New Roman" w:hAnsi="Times New Roman" w:cs="Times New Roman"/>
                <w:sz w:val="22"/>
                <w:szCs w:val="22"/>
              </w:rPr>
              <w:t>Provide risk-sharing facility</w:t>
            </w:r>
          </w:p>
          <w:p w14:paraId="7C35D304" w14:textId="77777777" w:rsidR="006F6392" w:rsidRPr="004F3B43" w:rsidRDefault="006F6392" w:rsidP="00C677DF">
            <w:pPr>
              <w:pStyle w:val="Tabletextbullet"/>
              <w:rPr>
                <w:rFonts w:ascii="Times New Roman" w:hAnsi="Times New Roman" w:cs="Times New Roman"/>
                <w:sz w:val="22"/>
                <w:szCs w:val="22"/>
              </w:rPr>
            </w:pPr>
            <w:r w:rsidRPr="004F3B43">
              <w:rPr>
                <w:rFonts w:ascii="Times New Roman" w:hAnsi="Times New Roman" w:cs="Times New Roman"/>
                <w:sz w:val="22"/>
                <w:szCs w:val="22"/>
              </w:rPr>
              <w:t xml:space="preserve">Facilitate </w:t>
            </w:r>
            <w:r w:rsidR="00AA39B1" w:rsidRPr="004F3B43">
              <w:rPr>
                <w:rFonts w:ascii="Times New Roman" w:hAnsi="Times New Roman" w:cs="Times New Roman"/>
                <w:sz w:val="22"/>
                <w:szCs w:val="22"/>
              </w:rPr>
              <w:t>forf</w:t>
            </w:r>
            <w:r w:rsidR="00AA39B1">
              <w:rPr>
                <w:rFonts w:ascii="Times New Roman" w:hAnsi="Times New Roman" w:cs="Times New Roman"/>
                <w:sz w:val="22"/>
                <w:szCs w:val="22"/>
              </w:rPr>
              <w:t>a</w:t>
            </w:r>
            <w:r w:rsidR="00AA39B1" w:rsidRPr="004F3B43">
              <w:rPr>
                <w:rFonts w:ascii="Times New Roman" w:hAnsi="Times New Roman" w:cs="Times New Roman"/>
                <w:sz w:val="22"/>
                <w:szCs w:val="22"/>
              </w:rPr>
              <w:t xml:space="preserve">iting </w:t>
            </w:r>
            <w:r w:rsidRPr="004F3B43">
              <w:rPr>
                <w:rFonts w:ascii="Times New Roman" w:hAnsi="Times New Roman" w:cs="Times New Roman"/>
                <w:sz w:val="22"/>
                <w:szCs w:val="22"/>
              </w:rPr>
              <w:t xml:space="preserve">of ESPCs </w:t>
            </w:r>
          </w:p>
          <w:p w14:paraId="37ED315F" w14:textId="77777777" w:rsidR="006F6392" w:rsidRPr="004F3B43" w:rsidRDefault="006F6392" w:rsidP="00C677DF">
            <w:pPr>
              <w:pStyle w:val="Tabletextbullet"/>
              <w:rPr>
                <w:rFonts w:ascii="Times New Roman" w:hAnsi="Times New Roman" w:cs="Times New Roman"/>
                <w:sz w:val="22"/>
                <w:szCs w:val="22"/>
              </w:rPr>
            </w:pPr>
            <w:r w:rsidRPr="004F3B43">
              <w:rPr>
                <w:rFonts w:ascii="Times New Roman" w:hAnsi="Times New Roman" w:cs="Times New Roman"/>
                <w:sz w:val="22"/>
                <w:szCs w:val="22"/>
              </w:rPr>
              <w:t>Establish public or super ESCO</w:t>
            </w:r>
          </w:p>
        </w:tc>
      </w:tr>
    </w:tbl>
    <w:p w14:paraId="0D16D6F5" w14:textId="77777777" w:rsidR="006F6392" w:rsidRPr="00852A63" w:rsidRDefault="006F6392" w:rsidP="006F6392">
      <w:pPr>
        <w:pStyle w:val="FigTablesourcenote3ptafter"/>
        <w:rPr>
          <w:rFonts w:ascii="Times New Roman" w:hAnsi="Times New Roman"/>
        </w:rPr>
      </w:pPr>
      <w:r w:rsidRPr="00852A63">
        <w:rPr>
          <w:rFonts w:ascii="Times New Roman" w:hAnsi="Times New Roman"/>
        </w:rPr>
        <w:t xml:space="preserve">Note: </w:t>
      </w:r>
      <w:r w:rsidRPr="00852A63">
        <w:rPr>
          <w:rFonts w:ascii="Times New Roman" w:hAnsi="Times New Roman"/>
          <w:i w:val="0"/>
        </w:rPr>
        <w:t>ESA = energy service agreements; ESPC = energy savings performance contract;</w:t>
      </w:r>
      <w:r w:rsidRPr="00852A63">
        <w:rPr>
          <w:rFonts w:ascii="Times New Roman" w:hAnsi="Times New Roman"/>
        </w:rPr>
        <w:t xml:space="preserve"> </w:t>
      </w:r>
      <w:r w:rsidRPr="00852A63">
        <w:rPr>
          <w:rFonts w:ascii="Times New Roman" w:hAnsi="Times New Roman"/>
          <w:i w:val="0"/>
        </w:rPr>
        <w:t>M&amp;V = measurement and verification; PA = public agency; PPP = public-private partnership.</w:t>
      </w:r>
      <w:r w:rsidRPr="00852A63">
        <w:rPr>
          <w:rFonts w:ascii="Times New Roman" w:hAnsi="Times New Roman"/>
        </w:rPr>
        <w:t xml:space="preserve"> </w:t>
      </w:r>
    </w:p>
    <w:p w14:paraId="40413F68" w14:textId="77777777" w:rsidR="006F6392" w:rsidRDefault="006F6392" w:rsidP="006F6392">
      <w:pPr>
        <w:widowControl/>
        <w:spacing w:before="0" w:after="160" w:line="259" w:lineRule="auto"/>
        <w:jc w:val="left"/>
        <w:rPr>
          <w:i/>
          <w:sz w:val="22"/>
          <w:szCs w:val="22"/>
        </w:rPr>
      </w:pPr>
      <w:r w:rsidRPr="004F3B43">
        <w:rPr>
          <w:i/>
          <w:sz w:val="22"/>
          <w:szCs w:val="22"/>
        </w:rPr>
        <w:t>Source: World Bank 2014</w:t>
      </w:r>
      <w:r>
        <w:rPr>
          <w:i/>
          <w:sz w:val="22"/>
          <w:szCs w:val="22"/>
        </w:rPr>
        <w:t>b</w:t>
      </w:r>
      <w:r>
        <w:rPr>
          <w:i/>
          <w:sz w:val="22"/>
          <w:szCs w:val="22"/>
        </w:rPr>
        <w:br w:type="page"/>
      </w:r>
    </w:p>
    <w:p w14:paraId="222A60C9" w14:textId="77777777" w:rsidR="006F6392" w:rsidRPr="0095121B" w:rsidRDefault="006F6392" w:rsidP="006F6392">
      <w:pPr>
        <w:pStyle w:val="Heading1"/>
      </w:pPr>
      <w:bookmarkStart w:id="157" w:name="_Toc246346678"/>
      <w:bookmarkStart w:id="158" w:name="_Toc346006368"/>
      <w:bookmarkStart w:id="159" w:name="_Toc352497447"/>
      <w:bookmarkStart w:id="160" w:name="_Toc355707176"/>
      <w:bookmarkStart w:id="161" w:name="_Toc355707645"/>
      <w:bookmarkStart w:id="162" w:name="_Toc446061784"/>
      <w:bookmarkStart w:id="163" w:name="_Toc461093987"/>
      <w:r>
        <w:t xml:space="preserve">Annex C - </w:t>
      </w:r>
      <w:r w:rsidRPr="0095121B">
        <w:t>Examples of Super ESCOs</w:t>
      </w:r>
      <w:bookmarkEnd w:id="157"/>
      <w:bookmarkEnd w:id="158"/>
      <w:bookmarkEnd w:id="159"/>
      <w:bookmarkEnd w:id="160"/>
      <w:bookmarkEnd w:id="161"/>
      <w:bookmarkEnd w:id="162"/>
      <w:bookmarkEnd w:id="163"/>
    </w:p>
    <w:p w14:paraId="4ECFB6FE" w14:textId="77777777" w:rsidR="006F6392" w:rsidRDefault="006F6392" w:rsidP="006F6392">
      <w:pPr>
        <w:spacing w:before="200" w:after="200"/>
      </w:pPr>
    </w:p>
    <w:p w14:paraId="11ABFC0D" w14:textId="77777777" w:rsidR="006F6392" w:rsidRPr="0095121B" w:rsidRDefault="006F6392" w:rsidP="006F6392">
      <w:pPr>
        <w:spacing w:before="200" w:after="200"/>
      </w:pPr>
      <w:r w:rsidRPr="0095121B">
        <w:t xml:space="preserve">While the concept of the </w:t>
      </w:r>
      <w:r w:rsidR="00F87B87">
        <w:t>S</w:t>
      </w:r>
      <w:r w:rsidRPr="0095121B">
        <w:t xml:space="preserve">uper ESCO is still in its infancy, several countries have already adopted the idea of a </w:t>
      </w:r>
      <w:r>
        <w:t>S</w:t>
      </w:r>
      <w:r w:rsidRPr="0095121B">
        <w:t xml:space="preserve">uper ESCO and have created a Super ESCO to help encourage their domestic energy services market. Other nations are now considering the establishment of Super ESCOs. </w:t>
      </w:r>
      <w:r>
        <w:t xml:space="preserve">Some examples are provided below. </w:t>
      </w:r>
    </w:p>
    <w:p w14:paraId="0DF14708" w14:textId="77777777" w:rsidR="006F6392" w:rsidRPr="00C50BF6" w:rsidRDefault="006F6392" w:rsidP="006F6392">
      <w:pPr>
        <w:pStyle w:val="Heading4"/>
      </w:pPr>
      <w:bookmarkStart w:id="164" w:name="_Toc246346679"/>
      <w:bookmarkStart w:id="165" w:name="_Toc346006369"/>
      <w:bookmarkStart w:id="166" w:name="_Toc352497448"/>
      <w:bookmarkStart w:id="167" w:name="_Toc355707177"/>
      <w:bookmarkStart w:id="168" w:name="_Toc355707646"/>
      <w:r w:rsidRPr="00C50BF6">
        <w:t>Belgium - FEDESCO</w:t>
      </w:r>
      <w:bookmarkEnd w:id="164"/>
      <w:bookmarkEnd w:id="165"/>
      <w:bookmarkEnd w:id="166"/>
      <w:bookmarkEnd w:id="167"/>
      <w:bookmarkEnd w:id="168"/>
    </w:p>
    <w:p w14:paraId="7C3EBC3E" w14:textId="77777777" w:rsidR="006F6392" w:rsidRPr="0095121B" w:rsidRDefault="006F6392" w:rsidP="006F6392">
      <w:pPr>
        <w:spacing w:before="200" w:after="200"/>
      </w:pPr>
      <w:r w:rsidRPr="0095121B">
        <w:t>In 2005, the Belgian federal government created FEDESCO, a public but independent energy services company to encourage the development of a domestic energy services industry</w:t>
      </w:r>
      <w:r>
        <w:t xml:space="preserve"> (FEDESCO 2010)</w:t>
      </w:r>
      <w:r w:rsidRPr="0095121B">
        <w:t>. The primary mission of FEDESCO is to study, facilitate and coordinate energy savings projects in public buildings through the use of third party financing</w:t>
      </w:r>
      <w:r>
        <w:t xml:space="preserve"> (JRC, 2010)</w:t>
      </w:r>
      <w:r w:rsidRPr="0095121B">
        <w:t>.</w:t>
      </w:r>
      <w:r w:rsidRPr="00C02D20">
        <w:rPr>
          <w:rStyle w:val="EndnoteReference"/>
          <w:rFonts w:eastAsia="Calibri"/>
        </w:rPr>
        <w:t xml:space="preserve"> </w:t>
      </w:r>
      <w:r w:rsidRPr="0095121B">
        <w:t xml:space="preserve">Phase 1 of FEDESCO's objectives focuses on 1800 buildings occupied by ministries, federal public services (administrations) and other governmental organizations with a floor area of over 8 million m² and an annual energy bill of over </w:t>
      </w:r>
      <w:r w:rsidR="00F87B87" w:rsidRPr="00234282">
        <w:rPr>
          <w:szCs w:val="24"/>
        </w:rPr>
        <w:t>€</w:t>
      </w:r>
      <w:r w:rsidRPr="0095121B">
        <w:t>100 million</w:t>
      </w:r>
      <w:r>
        <w:t>.</w:t>
      </w:r>
      <w:r w:rsidRPr="0095121B">
        <w:t xml:space="preserve"> These buildings are owned and managed by the Federal Building Agency</w:t>
      </w:r>
      <w:r>
        <w:t>.</w:t>
      </w:r>
      <w:r w:rsidRPr="0095121B">
        <w:t xml:space="preserve"> In subsequent phases, other public buildings (from regional governments, provinces, municipalities, public companies, etc.) </w:t>
      </w:r>
      <w:r>
        <w:t>and</w:t>
      </w:r>
      <w:r w:rsidRPr="0095121B">
        <w:t xml:space="preserve"> even private buildings will be included. </w:t>
      </w:r>
    </w:p>
    <w:p w14:paraId="0DC89B86" w14:textId="77777777" w:rsidR="006F6392" w:rsidRPr="0095121B" w:rsidRDefault="006F6392" w:rsidP="006F6392">
      <w:pPr>
        <w:spacing w:before="200" w:after="200"/>
      </w:pPr>
      <w:r w:rsidRPr="0095121B">
        <w:t>FEDESCO provides both professional energy services and innovative financial services (pre-financing, third party financing</w:t>
      </w:r>
      <w:r>
        <w:t>,</w:t>
      </w:r>
      <w:r w:rsidRPr="0095121B">
        <w:t xml:space="preserve"> and energy </w:t>
      </w:r>
      <w:r>
        <w:t xml:space="preserve">savings </w:t>
      </w:r>
      <w:r w:rsidRPr="0095121B">
        <w:t>performance contracting) to private ESCO companies in Belgium</w:t>
      </w:r>
      <w:r>
        <w:t>. This S</w:t>
      </w:r>
      <w:r w:rsidRPr="0095121B">
        <w:t xml:space="preserve">uper ESCO also seeks to facilitate an annual investment program of up to </w:t>
      </w:r>
      <w:r w:rsidR="00F87B87" w:rsidRPr="00234282">
        <w:rPr>
          <w:szCs w:val="24"/>
        </w:rPr>
        <w:t>€</w:t>
      </w:r>
      <w:r w:rsidRPr="0095121B">
        <w:t>7.5 million to encourage private sector investment in energy efficiency. FEDESCO was created in the framework of the 2nd Belgian Federal plan for sustainable development (2004-2008) and the National Climate Plan (2002-2010). FED</w:t>
      </w:r>
      <w:r>
        <w:t>E</w:t>
      </w:r>
      <w:r w:rsidRPr="0095121B">
        <w:t>SCO has been successful in achieving a 10</w:t>
      </w:r>
      <w:r w:rsidR="00F95227">
        <w:t xml:space="preserve"> percent</w:t>
      </w:r>
      <w:r w:rsidRPr="0095121B">
        <w:t xml:space="preserve"> reduction in both total energy consumption and </w:t>
      </w:r>
      <w:r w:rsidR="00F95227">
        <w:t>GHG</w:t>
      </w:r>
      <w:r w:rsidRPr="0095121B">
        <w:t xml:space="preserve"> emissions in federal public buildings</w:t>
      </w:r>
      <w:r>
        <w:t xml:space="preserve"> in Belgium</w:t>
      </w:r>
      <w:r w:rsidRPr="0095121B">
        <w:t xml:space="preserve">. </w:t>
      </w:r>
    </w:p>
    <w:p w14:paraId="6403270A" w14:textId="77777777" w:rsidR="006F6392" w:rsidRPr="0095121B" w:rsidRDefault="006F6392" w:rsidP="006F6392">
      <w:pPr>
        <w:pStyle w:val="Heading4"/>
      </w:pPr>
      <w:bookmarkStart w:id="169" w:name="_Toc246346680"/>
      <w:bookmarkStart w:id="170" w:name="_Toc346006370"/>
      <w:bookmarkStart w:id="171" w:name="_Toc352497449"/>
      <w:bookmarkStart w:id="172" w:name="_Toc355707178"/>
      <w:bookmarkStart w:id="173" w:name="_Toc355707647"/>
      <w:r w:rsidRPr="0095121B">
        <w:t>Croatia - HEP ESCO</w:t>
      </w:r>
      <w:bookmarkEnd w:id="169"/>
      <w:bookmarkEnd w:id="170"/>
      <w:bookmarkEnd w:id="171"/>
      <w:bookmarkEnd w:id="172"/>
      <w:bookmarkEnd w:id="173"/>
    </w:p>
    <w:p w14:paraId="67FD8FC9" w14:textId="77777777" w:rsidR="006F6392" w:rsidRPr="0095121B" w:rsidRDefault="006F6392" w:rsidP="006F6392">
      <w:r w:rsidRPr="0095121B">
        <w:t xml:space="preserve">In 2003, the World Bank and </w:t>
      </w:r>
      <w:r>
        <w:t>the Global Environment Facility (</w:t>
      </w:r>
      <w:r w:rsidRPr="0095121B">
        <w:t>GEF</w:t>
      </w:r>
      <w:r>
        <w:t>)</w:t>
      </w:r>
      <w:r w:rsidRPr="0095121B">
        <w:t xml:space="preserve"> </w:t>
      </w:r>
      <w:r>
        <w:t xml:space="preserve">helped </w:t>
      </w:r>
      <w:r w:rsidRPr="0095121B">
        <w:t xml:space="preserve">create an ESCO subsidiary within the national power utility, </w:t>
      </w:r>
      <w:r w:rsidRPr="0095121B">
        <w:rPr>
          <w:lang w:bidi="th-TH"/>
        </w:rPr>
        <w:t>Hravatska Electroprivreda (</w:t>
      </w:r>
      <w:r w:rsidRPr="0095121B">
        <w:t>HEP). This national HEP ESCO was capitalized by a World Bank loan</w:t>
      </w:r>
      <w:r>
        <w:t xml:space="preserve"> (World Bank, 2003)</w:t>
      </w:r>
      <w:r w:rsidRPr="0095121B">
        <w:t>, HEP equity, local banks, and other sources</w:t>
      </w:r>
      <w:r>
        <w:t>,</w:t>
      </w:r>
      <w:r w:rsidRPr="0095121B">
        <w:t xml:space="preserve"> to offer </w:t>
      </w:r>
      <w:r w:rsidR="00F95227">
        <w:t>EE</w:t>
      </w:r>
      <w:r w:rsidRPr="0095121B">
        <w:t xml:space="preserve"> services to public and private clients. GEF funds were also mobilized to provide additional credit enhancement for HEP ESCO projects and provide some technical assistance to the ESCO and local banks. </w:t>
      </w:r>
      <w:r>
        <w:t>Since the Croatian market was</w:t>
      </w:r>
      <w:r w:rsidRPr="0095121B">
        <w:t xml:space="preserve"> small and </w:t>
      </w:r>
      <w:r>
        <w:t>no</w:t>
      </w:r>
      <w:r w:rsidRPr="0095121B">
        <w:t xml:space="preserve"> private ESCOs were operating in the market, the government did not foresee inherent risks </w:t>
      </w:r>
      <w:r>
        <w:t>related to</w:t>
      </w:r>
      <w:r w:rsidRPr="0095121B">
        <w:t xml:space="preserve"> crowding out the private sector</w:t>
      </w:r>
      <w:r>
        <w:t>. The</w:t>
      </w:r>
      <w:r w:rsidRPr="0095121B">
        <w:t xml:space="preserve"> HEP ESCO use</w:t>
      </w:r>
      <w:r>
        <w:t>d</w:t>
      </w:r>
      <w:r w:rsidRPr="0095121B">
        <w:t xml:space="preserve"> the “open book” model to keep its pricing fair and transparent. Government entities can directly contract with government companies and their subsidiaries, so public agencies are not required to conduct any competitive procurement to contract </w:t>
      </w:r>
      <w:r>
        <w:t xml:space="preserve">with </w:t>
      </w:r>
      <w:r w:rsidRPr="0095121B">
        <w:t xml:space="preserve">HEP ESCO. </w:t>
      </w:r>
    </w:p>
    <w:p w14:paraId="0581F41B" w14:textId="77777777" w:rsidR="006F6392" w:rsidRDefault="006F6392" w:rsidP="006F6392">
      <w:r w:rsidRPr="0095121B">
        <w:t xml:space="preserve">The HEP ESCO received a </w:t>
      </w:r>
      <w:r w:rsidR="00F95227">
        <w:t>US</w:t>
      </w:r>
      <w:r w:rsidRPr="0095121B">
        <w:rPr>
          <w:lang w:bidi="th-TH"/>
        </w:rPr>
        <w:t xml:space="preserve">$7 million GEF grant and a </w:t>
      </w:r>
      <w:r w:rsidR="00F95227">
        <w:rPr>
          <w:lang w:bidi="th-TH"/>
        </w:rPr>
        <w:t>US</w:t>
      </w:r>
      <w:r w:rsidRPr="0095121B">
        <w:rPr>
          <w:lang w:bidi="th-TH"/>
        </w:rPr>
        <w:t xml:space="preserve">$5 million World Bank loan, and equity investment from the parent utility. The ESCO also negotiated financing arrangements with local commercial bank debt facilities. </w:t>
      </w:r>
      <w:r>
        <w:t>By the end of 2008,</w:t>
      </w:r>
      <w:r w:rsidRPr="0095121B">
        <w:t xml:space="preserve"> about 186 million Kuna (US$35.4 million) in energy savings contracts have been signed.</w:t>
      </w:r>
      <w:r>
        <w:t xml:space="preserve"> HEP ESCO has received a credit line from KfW to increase its financing capacity.</w:t>
      </w:r>
    </w:p>
    <w:p w14:paraId="657E5A5E" w14:textId="77777777" w:rsidR="006F6392" w:rsidRPr="0095121B" w:rsidRDefault="006F6392" w:rsidP="006F6392">
      <w:pPr>
        <w:pStyle w:val="Heading4"/>
      </w:pPr>
      <w:bookmarkStart w:id="174" w:name="_Toc246346682"/>
      <w:bookmarkStart w:id="175" w:name="_Toc346006371"/>
      <w:bookmarkStart w:id="176" w:name="_Toc352497450"/>
      <w:bookmarkStart w:id="177" w:name="_Toc355707179"/>
      <w:bookmarkStart w:id="178" w:name="_Toc355707648"/>
      <w:r w:rsidRPr="0095121B">
        <w:t>Province of Hebei, China - The Fakai Scientific Services Corporation</w:t>
      </w:r>
      <w:bookmarkEnd w:id="174"/>
      <w:bookmarkEnd w:id="175"/>
      <w:bookmarkEnd w:id="176"/>
      <w:bookmarkEnd w:id="177"/>
      <w:bookmarkEnd w:id="178"/>
    </w:p>
    <w:p w14:paraId="3B5DA895" w14:textId="77777777" w:rsidR="006F6392" w:rsidRPr="0095121B" w:rsidRDefault="006F6392" w:rsidP="006F6392">
      <w:pPr>
        <w:rPr>
          <w:bCs/>
          <w:lang w:eastAsia="zh-CN"/>
        </w:rPr>
      </w:pPr>
      <w:r w:rsidRPr="0095121B">
        <w:t xml:space="preserve">Recognizing that implementation of </w:t>
      </w:r>
      <w:r w:rsidR="008A421C">
        <w:t>EE</w:t>
      </w:r>
      <w:r w:rsidRPr="0095121B">
        <w:t xml:space="preserve"> projects needed to be substantially increased in Hebei</w:t>
      </w:r>
      <w:r>
        <w:t xml:space="preserve"> to meet the goals established by the Chinese national government</w:t>
      </w:r>
      <w:r w:rsidRPr="0095121B">
        <w:t xml:space="preserve">, the </w:t>
      </w:r>
      <w:r>
        <w:t xml:space="preserve">Hebei </w:t>
      </w:r>
      <w:r w:rsidRPr="0095121B">
        <w:t xml:space="preserve">DSM Center established the </w:t>
      </w:r>
      <w:r w:rsidRPr="0095121B">
        <w:rPr>
          <w:bCs/>
          <w:lang w:eastAsia="zh-CN"/>
        </w:rPr>
        <w:t xml:space="preserve">Fakai Scientific Electricity Services Limited Corporation as a wholly-owned subsidiary to encourage, promote and implement </w:t>
      </w:r>
      <w:r w:rsidR="008A421C">
        <w:rPr>
          <w:bCs/>
          <w:lang w:eastAsia="zh-CN"/>
        </w:rPr>
        <w:t>EE</w:t>
      </w:r>
      <w:r w:rsidRPr="0095121B">
        <w:rPr>
          <w:bCs/>
          <w:lang w:eastAsia="zh-CN"/>
        </w:rPr>
        <w:t xml:space="preserve"> and DSM projects</w:t>
      </w:r>
      <w:r>
        <w:rPr>
          <w:bCs/>
          <w:lang w:eastAsia="zh-CN"/>
        </w:rPr>
        <w:t xml:space="preserve"> (</w:t>
      </w:r>
      <w:r w:rsidRPr="00F8417C">
        <w:t>Hebei</w:t>
      </w:r>
      <w:r>
        <w:t xml:space="preserve"> DRC</w:t>
      </w:r>
      <w:r w:rsidRPr="00F8417C">
        <w:t>, 2009</w:t>
      </w:r>
      <w:r>
        <w:t>).</w:t>
      </w:r>
      <w:r w:rsidRPr="0095121B">
        <w:rPr>
          <w:bCs/>
          <w:lang w:eastAsia="zh-CN"/>
        </w:rPr>
        <w:t xml:space="preserve"> This company </w:t>
      </w:r>
      <w:r>
        <w:rPr>
          <w:bCs/>
          <w:lang w:eastAsia="zh-CN"/>
        </w:rPr>
        <w:t xml:space="preserve">has been established as </w:t>
      </w:r>
      <w:r w:rsidRPr="0095121B">
        <w:rPr>
          <w:bCs/>
          <w:lang w:eastAsia="zh-CN"/>
        </w:rPr>
        <w:t xml:space="preserve">a Super ESCO. It </w:t>
      </w:r>
      <w:r>
        <w:rPr>
          <w:bCs/>
          <w:lang w:eastAsia="zh-CN"/>
        </w:rPr>
        <w:t>is</w:t>
      </w:r>
      <w:r w:rsidRPr="0095121B">
        <w:rPr>
          <w:bCs/>
          <w:lang w:eastAsia="zh-CN"/>
        </w:rPr>
        <w:t xml:space="preserve"> develop</w:t>
      </w:r>
      <w:r>
        <w:rPr>
          <w:bCs/>
          <w:lang w:eastAsia="zh-CN"/>
        </w:rPr>
        <w:t>ing</w:t>
      </w:r>
      <w:r w:rsidRPr="0095121B">
        <w:rPr>
          <w:bCs/>
          <w:lang w:eastAsia="zh-CN"/>
        </w:rPr>
        <w:t xml:space="preserve"> and implement</w:t>
      </w:r>
      <w:r>
        <w:rPr>
          <w:bCs/>
          <w:lang w:eastAsia="zh-CN"/>
        </w:rPr>
        <w:t>ing</w:t>
      </w:r>
      <w:r w:rsidRPr="0095121B">
        <w:rPr>
          <w:bCs/>
          <w:lang w:eastAsia="zh-CN"/>
        </w:rPr>
        <w:t xml:space="preserve"> projects using the ESPC model, as well as assist</w:t>
      </w:r>
      <w:r w:rsidR="00F95227">
        <w:rPr>
          <w:bCs/>
          <w:lang w:eastAsia="zh-CN"/>
        </w:rPr>
        <w:t>ing</w:t>
      </w:r>
      <w:r w:rsidRPr="0095121B">
        <w:rPr>
          <w:bCs/>
          <w:lang w:eastAsia="zh-CN"/>
        </w:rPr>
        <w:t xml:space="preserve"> other ESCOs operation</w:t>
      </w:r>
      <w:r>
        <w:rPr>
          <w:bCs/>
          <w:lang w:eastAsia="zh-CN"/>
        </w:rPr>
        <w:t>s</w:t>
      </w:r>
      <w:r w:rsidRPr="0095121B">
        <w:rPr>
          <w:bCs/>
          <w:lang w:eastAsia="zh-CN"/>
        </w:rPr>
        <w:t xml:space="preserve"> in Hebei to grow their businesses and undertake more ESPC projects</w:t>
      </w:r>
      <w:r>
        <w:rPr>
          <w:bCs/>
          <w:lang w:eastAsia="zh-CN"/>
        </w:rPr>
        <w:t xml:space="preserve"> (USAID, 2010)</w:t>
      </w:r>
      <w:r w:rsidRPr="0095121B">
        <w:rPr>
          <w:bCs/>
          <w:lang w:eastAsia="zh-CN"/>
        </w:rPr>
        <w:t xml:space="preserve">.  </w:t>
      </w:r>
    </w:p>
    <w:p w14:paraId="13192D34" w14:textId="77777777" w:rsidR="006F6392" w:rsidRDefault="006F6392" w:rsidP="006F6392">
      <w:pPr>
        <w:rPr>
          <w:bCs/>
          <w:lang w:eastAsia="zh-CN"/>
        </w:rPr>
      </w:pPr>
      <w:r w:rsidRPr="0095121B">
        <w:rPr>
          <w:bCs/>
          <w:lang w:eastAsia="zh-CN"/>
        </w:rPr>
        <w:t xml:space="preserve">Fakai </w:t>
      </w:r>
      <w:r>
        <w:rPr>
          <w:bCs/>
          <w:lang w:eastAsia="zh-CN"/>
        </w:rPr>
        <w:t>was</w:t>
      </w:r>
      <w:r w:rsidRPr="0095121B">
        <w:rPr>
          <w:bCs/>
          <w:lang w:eastAsia="zh-CN"/>
        </w:rPr>
        <w:t xml:space="preserve"> capitalized by the Hebei Developm</w:t>
      </w:r>
      <w:r>
        <w:rPr>
          <w:bCs/>
          <w:lang w:eastAsia="zh-CN"/>
        </w:rPr>
        <w:t>ent and Reform Commission (DRC)</w:t>
      </w:r>
      <w:r w:rsidRPr="0095121B">
        <w:rPr>
          <w:bCs/>
          <w:lang w:eastAsia="zh-CN"/>
        </w:rPr>
        <w:t xml:space="preserve"> and will strive to work with local, national</w:t>
      </w:r>
      <w:r w:rsidR="00F95227">
        <w:rPr>
          <w:bCs/>
          <w:lang w:eastAsia="zh-CN"/>
        </w:rPr>
        <w:t>,</w:t>
      </w:r>
      <w:r w:rsidRPr="0095121B">
        <w:rPr>
          <w:bCs/>
          <w:lang w:eastAsia="zh-CN"/>
        </w:rPr>
        <w:t xml:space="preserve"> and international financial institutions as well as donor agencies (such as the Asian Development bank) to mobilize resources in an effort to achieve the EPP goal of 600 MW. </w:t>
      </w:r>
      <w:r>
        <w:rPr>
          <w:bCs/>
          <w:lang w:eastAsia="zh-CN"/>
        </w:rPr>
        <w:t xml:space="preserve">Fakai is also exploring the establishment of a </w:t>
      </w:r>
      <w:r w:rsidR="00F95227">
        <w:rPr>
          <w:bCs/>
          <w:lang w:eastAsia="zh-CN"/>
        </w:rPr>
        <w:t>PPP</w:t>
      </w:r>
      <w:r>
        <w:rPr>
          <w:bCs/>
          <w:lang w:eastAsia="zh-CN"/>
        </w:rPr>
        <w:t xml:space="preserve"> to scale up its Super ESCO activities.</w:t>
      </w:r>
    </w:p>
    <w:p w14:paraId="47E7EBE6" w14:textId="77777777" w:rsidR="006F6392" w:rsidRPr="0095121B" w:rsidRDefault="006F6392" w:rsidP="006F6392">
      <w:pPr>
        <w:pStyle w:val="Heading4"/>
      </w:pPr>
      <w:bookmarkStart w:id="179" w:name="_Toc246346683"/>
      <w:bookmarkStart w:id="180" w:name="_Toc346006372"/>
      <w:bookmarkStart w:id="181" w:name="_Toc352497451"/>
      <w:bookmarkStart w:id="182" w:name="_Toc355707180"/>
      <w:bookmarkStart w:id="183" w:name="_Toc355707649"/>
      <w:r w:rsidRPr="0095121B">
        <w:rPr>
          <w:lang w:eastAsia="zh-CN"/>
        </w:rPr>
        <w:t>India - Energy Efficiency Services Limited</w:t>
      </w:r>
      <w:bookmarkEnd w:id="179"/>
      <w:bookmarkEnd w:id="180"/>
      <w:bookmarkEnd w:id="181"/>
      <w:bookmarkEnd w:id="182"/>
      <w:bookmarkEnd w:id="183"/>
    </w:p>
    <w:p w14:paraId="27519F63" w14:textId="77777777" w:rsidR="006F6392" w:rsidRPr="0095121B" w:rsidRDefault="006F6392" w:rsidP="006F6392">
      <w:pPr>
        <w:spacing w:before="180" w:after="180"/>
      </w:pPr>
      <w:r w:rsidRPr="0095121B">
        <w:rPr>
          <w:kern w:val="1"/>
        </w:rPr>
        <w:t>The Bureau of Energy Efficiency (BEE), created by the Energy Conservation Act, 2001</w:t>
      </w:r>
      <w:r>
        <w:rPr>
          <w:kern w:val="1"/>
        </w:rPr>
        <w:t>,</w:t>
      </w:r>
      <w:r w:rsidRPr="0095121B">
        <w:rPr>
          <w:kern w:val="1"/>
        </w:rPr>
        <w:t xml:space="preserve"> has undertaken a number of initiatives to encourage and promote ESCOs and to create a market for ESCO services.</w:t>
      </w:r>
      <w:r>
        <w:rPr>
          <w:kern w:val="1"/>
        </w:rPr>
        <w:t xml:space="preserve"> BEE working with other agencies of the Government of India, established </w:t>
      </w:r>
      <w:r w:rsidRPr="0095121B">
        <w:rPr>
          <w:kern w:val="1"/>
        </w:rPr>
        <w:t>a national organization called Energy Efficiency Services Limited (EESL).</w:t>
      </w:r>
      <w:r>
        <w:rPr>
          <w:kern w:val="1"/>
        </w:rPr>
        <w:t xml:space="preserve"> </w:t>
      </w:r>
      <w:r w:rsidRPr="0095121B">
        <w:rPr>
          <w:kern w:val="1"/>
        </w:rPr>
        <w:t xml:space="preserve">EESL </w:t>
      </w:r>
      <w:r>
        <w:rPr>
          <w:kern w:val="1"/>
        </w:rPr>
        <w:t>was</w:t>
      </w:r>
      <w:r w:rsidRPr="0095121B">
        <w:rPr>
          <w:kern w:val="1"/>
        </w:rPr>
        <w:t xml:space="preserve"> capitalized by four existing national public sector undertakings (PSUs) namely </w:t>
      </w:r>
      <w:r w:rsidRPr="0095121B">
        <w:t>National Thermal Power Corporation, Power</w:t>
      </w:r>
      <w:r>
        <w:t xml:space="preserve"> </w:t>
      </w:r>
      <w:r w:rsidRPr="0095121B">
        <w:t>Grid</w:t>
      </w:r>
      <w:r>
        <w:t xml:space="preserve"> </w:t>
      </w:r>
      <w:r w:rsidRPr="0095121B">
        <w:t>Corporation, Power Finance Corporation, and Rural Electrification Corporation</w:t>
      </w:r>
      <w:r>
        <w:t xml:space="preserve"> (Business Standard, 2009)</w:t>
      </w:r>
      <w:r w:rsidRPr="0095121B">
        <w:t>.</w:t>
      </w:r>
      <w:r>
        <w:t xml:space="preserve"> </w:t>
      </w:r>
      <w:r w:rsidRPr="00323F51">
        <w:t xml:space="preserve">The initial capital of EESL </w:t>
      </w:r>
      <w:r>
        <w:t>was</w:t>
      </w:r>
      <w:r w:rsidRPr="00323F51">
        <w:t xml:space="preserve"> about US$50 million.</w:t>
      </w:r>
    </w:p>
    <w:p w14:paraId="015C61B9" w14:textId="77777777" w:rsidR="006F6392" w:rsidRPr="0095121B" w:rsidRDefault="006F6392" w:rsidP="006F6392">
      <w:r>
        <w:t>The company</w:t>
      </w:r>
      <w:r w:rsidRPr="0095121B">
        <w:t xml:space="preserve"> function</w:t>
      </w:r>
      <w:r>
        <w:t>s</w:t>
      </w:r>
      <w:r w:rsidRPr="0095121B">
        <w:t xml:space="preserve"> as the implementation arm of the National Mission for Enhanced Energy Efficiency (NMEEE). The purpose of setting </w:t>
      </w:r>
      <w:r>
        <w:t>up a separate corporate entity wa</w:t>
      </w:r>
      <w:r w:rsidRPr="0095121B">
        <w:t>s to develop an</w:t>
      </w:r>
      <w:r>
        <w:t xml:space="preserve"> </w:t>
      </w:r>
      <w:r w:rsidR="008A421C">
        <w:t>EE</w:t>
      </w:r>
      <w:r>
        <w:t xml:space="preserve"> market that wa</w:t>
      </w:r>
      <w:r w:rsidRPr="0095121B">
        <w:t xml:space="preserve">s virtually nonexistent in </w:t>
      </w:r>
      <w:r>
        <w:t>India</w:t>
      </w:r>
      <w:r w:rsidRPr="00323F51">
        <w:t xml:space="preserve">. </w:t>
      </w:r>
      <w:r w:rsidRPr="0095121B">
        <w:t xml:space="preserve">Some of the major functions of EESL include </w:t>
      </w:r>
      <w:r>
        <w:t>EE</w:t>
      </w:r>
      <w:r w:rsidRPr="0095121B">
        <w:t xml:space="preserve"> planning </w:t>
      </w:r>
      <w:r w:rsidRPr="00C26C54">
        <w:t>and implementation in buildings and industrial sites, implementing the “Bachat Lamp</w:t>
      </w:r>
      <w:r w:rsidRPr="0095121B">
        <w:t xml:space="preserve"> Yojana” (a scheme for promotion of CFL lamps</w:t>
      </w:r>
      <w:r>
        <w:t xml:space="preserve"> nationally using the </w:t>
      </w:r>
      <w:r w:rsidR="00234282">
        <w:t>Program of Activities</w:t>
      </w:r>
      <w:r>
        <w:t xml:space="preserve"> concept for CDM</w:t>
      </w:r>
      <w:r w:rsidRPr="0095121B">
        <w:t>)</w:t>
      </w:r>
      <w:r>
        <w:t xml:space="preserve">, </w:t>
      </w:r>
      <w:r w:rsidRPr="0095121B">
        <w:t xml:space="preserve">and </w:t>
      </w:r>
      <w:r>
        <w:t xml:space="preserve">demand-side management in the municipal and agricultural sectors. </w:t>
      </w:r>
      <w:r w:rsidRPr="0095121B">
        <w:t xml:space="preserve"> EESL </w:t>
      </w:r>
      <w:r>
        <w:t>is</w:t>
      </w:r>
      <w:r w:rsidRPr="0095121B">
        <w:t xml:space="preserve"> also assist</w:t>
      </w:r>
      <w:r>
        <w:t>ing</w:t>
      </w:r>
      <w:r w:rsidRPr="0095121B">
        <w:t xml:space="preserve"> the growth and development of the existing ESCOs</w:t>
      </w:r>
      <w:r>
        <w:t xml:space="preserve"> by engaging them in project implementation. </w:t>
      </w:r>
    </w:p>
    <w:p w14:paraId="501DB7FE" w14:textId="77777777" w:rsidR="006F6392" w:rsidRPr="00EC64C4" w:rsidRDefault="006F6392" w:rsidP="006F6392">
      <w:pPr>
        <w:widowControl/>
        <w:spacing w:before="0" w:after="0"/>
        <w:jc w:val="left"/>
      </w:pPr>
    </w:p>
    <w:p w14:paraId="1F28778C" w14:textId="77777777" w:rsidR="006F6392" w:rsidRDefault="006F6392">
      <w:pPr>
        <w:widowControl/>
        <w:spacing w:before="0" w:after="0"/>
        <w:jc w:val="left"/>
      </w:pPr>
      <w:r>
        <w:br w:type="page"/>
      </w:r>
    </w:p>
    <w:p w14:paraId="6E7F06DB" w14:textId="77777777" w:rsidR="00665681" w:rsidRDefault="00523AE8" w:rsidP="00E42A0A">
      <w:pPr>
        <w:pStyle w:val="Heading1"/>
        <w:rPr>
          <w:caps w:val="0"/>
        </w:rPr>
      </w:pPr>
      <w:bookmarkStart w:id="184" w:name="_Toc461093988"/>
      <w:r>
        <w:rPr>
          <w:caps w:val="0"/>
        </w:rPr>
        <w:t xml:space="preserve">ANNEX </w:t>
      </w:r>
      <w:r w:rsidR="00E42A0A">
        <w:rPr>
          <w:caps w:val="0"/>
        </w:rPr>
        <w:t>D</w:t>
      </w:r>
      <w:r>
        <w:rPr>
          <w:caps w:val="0"/>
        </w:rPr>
        <w:t xml:space="preserve"> – </w:t>
      </w:r>
      <w:r w:rsidR="00BA222F">
        <w:rPr>
          <w:caps w:val="0"/>
        </w:rPr>
        <w:t>GEORGIA</w:t>
      </w:r>
      <w:r>
        <w:rPr>
          <w:caps w:val="0"/>
        </w:rPr>
        <w:t xml:space="preserve"> EE ROUNDTABLE SUMMARY</w:t>
      </w:r>
      <w:bookmarkEnd w:id="184"/>
    </w:p>
    <w:p w14:paraId="1A36E6F6" w14:textId="77777777" w:rsidR="00BA222F" w:rsidRDefault="00BA222F" w:rsidP="00BA222F">
      <w:pPr>
        <w:spacing w:after="0"/>
        <w:jc w:val="center"/>
        <w:rPr>
          <w:b/>
        </w:rPr>
      </w:pPr>
    </w:p>
    <w:p w14:paraId="47473852" w14:textId="77777777" w:rsidR="00A17AA5" w:rsidRDefault="00A17AA5" w:rsidP="00A17AA5">
      <w:pPr>
        <w:spacing w:after="0"/>
        <w:jc w:val="center"/>
        <w:rPr>
          <w:rFonts w:asciiTheme="majorHAnsi" w:hAnsiTheme="majorHAnsi"/>
          <w:b/>
        </w:rPr>
      </w:pPr>
      <w:r>
        <w:rPr>
          <w:rFonts w:asciiTheme="majorHAnsi" w:hAnsiTheme="majorHAnsi"/>
          <w:b/>
        </w:rPr>
        <w:t>Summary of Roundtable Discussion</w:t>
      </w:r>
    </w:p>
    <w:p w14:paraId="12486A2C" w14:textId="77777777" w:rsidR="00A17AA5" w:rsidRDefault="00A17AA5" w:rsidP="00A17AA5">
      <w:pPr>
        <w:spacing w:after="0"/>
        <w:jc w:val="center"/>
        <w:rPr>
          <w:rFonts w:asciiTheme="majorHAnsi" w:hAnsiTheme="majorHAnsi"/>
          <w:b/>
        </w:rPr>
      </w:pPr>
      <w:r w:rsidRPr="00574A4C">
        <w:rPr>
          <w:rFonts w:asciiTheme="majorHAnsi" w:hAnsiTheme="majorHAnsi"/>
          <w:b/>
        </w:rPr>
        <w:t>Options for Financing Energy Efficiency in Public Buildings</w:t>
      </w:r>
      <w:r>
        <w:rPr>
          <w:rFonts w:asciiTheme="majorHAnsi" w:hAnsiTheme="majorHAnsi"/>
          <w:b/>
        </w:rPr>
        <w:t xml:space="preserve"> in Georgia</w:t>
      </w:r>
    </w:p>
    <w:p w14:paraId="7F1DDF4A" w14:textId="77777777" w:rsidR="00A17AA5" w:rsidRDefault="00A17AA5" w:rsidP="00A17AA5">
      <w:pPr>
        <w:tabs>
          <w:tab w:val="left" w:pos="2920"/>
        </w:tabs>
        <w:spacing w:after="0"/>
        <w:rPr>
          <w:rFonts w:asciiTheme="majorHAnsi" w:hAnsiTheme="majorHAnsi"/>
          <w:b/>
        </w:rPr>
      </w:pPr>
      <w:r>
        <w:rPr>
          <w:rFonts w:asciiTheme="majorHAnsi" w:hAnsiTheme="majorHAnsi"/>
          <w:b/>
        </w:rPr>
        <w:tab/>
      </w:r>
    </w:p>
    <w:p w14:paraId="380C1AC3" w14:textId="77777777" w:rsidR="00A17AA5" w:rsidRDefault="00A17AA5" w:rsidP="00A17AA5">
      <w:pPr>
        <w:spacing w:after="0"/>
        <w:jc w:val="center"/>
        <w:rPr>
          <w:rFonts w:asciiTheme="majorHAnsi" w:hAnsiTheme="majorHAnsi"/>
        </w:rPr>
      </w:pPr>
      <w:r>
        <w:rPr>
          <w:rFonts w:asciiTheme="majorHAnsi" w:hAnsiTheme="majorHAnsi"/>
        </w:rPr>
        <w:t>April</w:t>
      </w:r>
      <w:r w:rsidRPr="00574A4C">
        <w:rPr>
          <w:rFonts w:asciiTheme="majorHAnsi" w:hAnsiTheme="majorHAnsi"/>
        </w:rPr>
        <w:t xml:space="preserve"> </w:t>
      </w:r>
      <w:r>
        <w:rPr>
          <w:rFonts w:asciiTheme="majorHAnsi" w:hAnsiTheme="majorHAnsi"/>
        </w:rPr>
        <w:t>28</w:t>
      </w:r>
      <w:r w:rsidRPr="00574A4C">
        <w:rPr>
          <w:rFonts w:asciiTheme="majorHAnsi" w:hAnsiTheme="majorHAnsi"/>
        </w:rPr>
        <w:t>, 2016</w:t>
      </w:r>
      <w:r>
        <w:rPr>
          <w:rFonts w:asciiTheme="majorHAnsi" w:hAnsiTheme="majorHAnsi"/>
        </w:rPr>
        <w:t>, 10:00 am – 12:30 pm</w:t>
      </w:r>
    </w:p>
    <w:p w14:paraId="436B6E80" w14:textId="77777777" w:rsidR="00A17AA5" w:rsidRPr="00574A4C" w:rsidRDefault="00A17AA5" w:rsidP="00A17AA5">
      <w:pPr>
        <w:spacing w:after="0"/>
        <w:jc w:val="center"/>
        <w:rPr>
          <w:rFonts w:asciiTheme="majorHAnsi" w:hAnsiTheme="majorHAnsi"/>
        </w:rPr>
      </w:pPr>
    </w:p>
    <w:p w14:paraId="0B7AFF2B" w14:textId="77777777" w:rsidR="00A17AA5" w:rsidRDefault="00A17AA5" w:rsidP="00A17AA5">
      <w:pPr>
        <w:ind w:firstLine="720"/>
      </w:pPr>
      <w:r>
        <w:t>As part of the World Bank’s ongoing policy dialogue in the energy sector in Georgia, th</w:t>
      </w:r>
      <w:r w:rsidRPr="00574A4C">
        <w:t xml:space="preserve">e </w:t>
      </w:r>
      <w:r>
        <w:t xml:space="preserve">World </w:t>
      </w:r>
      <w:r w:rsidRPr="00574A4C">
        <w:t>Bank</w:t>
      </w:r>
      <w:r>
        <w:t xml:space="preserve"> is developing a report on</w:t>
      </w:r>
      <w:r w:rsidRPr="00574A4C">
        <w:t xml:space="preserve"> </w:t>
      </w:r>
      <w:r w:rsidRPr="00CB7E5C">
        <w:rPr>
          <w:b/>
          <w:i/>
        </w:rPr>
        <w:t>Options for Financing Energy Efficiency in Public Buildings</w:t>
      </w:r>
      <w:r>
        <w:rPr>
          <w:b/>
          <w:i/>
        </w:rPr>
        <w:t xml:space="preserve"> in Georgia</w:t>
      </w:r>
      <w:r w:rsidRPr="00574A4C">
        <w:t>.</w:t>
      </w:r>
      <w:r>
        <w:t xml:space="preserve"> This directly supports the Ministry of Energy’s (MOE’s) development of its National Energy Efficiency Action Plan (NEEAP), which among other things, includes measures for an Energy Efficiency </w:t>
      </w:r>
      <w:r w:rsidR="008A421C">
        <w:t xml:space="preserve">Revolving </w:t>
      </w:r>
      <w:r>
        <w:t>Fund</w:t>
      </w:r>
      <w:r w:rsidR="008A421C">
        <w:t xml:space="preserve"> (EERF)</w:t>
      </w:r>
      <w:r>
        <w:t xml:space="preserve"> and renovation of public buildings. On April 28, 2016 a Roundtable meeting </w:t>
      </w:r>
      <w:r w:rsidRPr="00574A4C">
        <w:t xml:space="preserve">was co-hosted by the </w:t>
      </w:r>
      <w:r>
        <w:t>World Bank</w:t>
      </w:r>
      <w:r w:rsidRPr="00574A4C">
        <w:t xml:space="preserve"> and </w:t>
      </w:r>
      <w:r>
        <w:t>MOE at Public Service Hall. The Minister of Regional Development and Infrastructure opened the workshop. Participants included</w:t>
      </w:r>
      <w:r w:rsidRPr="00574A4C">
        <w:t xml:space="preserve"> </w:t>
      </w:r>
      <w:r>
        <w:t>about 35 representatives from MOE, the Ministry of Finance (MOF)</w:t>
      </w:r>
      <w:r w:rsidRPr="00574A4C">
        <w:t xml:space="preserve">, </w:t>
      </w:r>
      <w:r>
        <w:t>Ministry of Regional Development and Infrastructure (MRDI), Ministry of Economy and Sustainable Development (MoESD), Municipal Development Fund (MDF), Energy Efficiency Center (EEC), Sustainable Development Center</w:t>
      </w:r>
      <w:r w:rsidR="002232B9">
        <w:t xml:space="preserve"> Remissia</w:t>
      </w:r>
      <w:r>
        <w:t xml:space="preserve"> (</w:t>
      </w:r>
      <w:r w:rsidR="002232B9">
        <w:t>Remissia</w:t>
      </w:r>
      <w:r>
        <w:t>), KfW, USAID, Winrock, GiZ and other stakeholders.</w:t>
      </w:r>
    </w:p>
    <w:p w14:paraId="089BBFDC" w14:textId="77777777" w:rsidR="00A17AA5" w:rsidRDefault="00A17AA5" w:rsidP="00A17AA5">
      <w:pPr>
        <w:ind w:firstLine="720"/>
      </w:pPr>
      <w:r>
        <w:t>MOE made a presentation on their draft NEEAP, expected to be completed by June and adopted by end September 2016</w:t>
      </w:r>
      <w:r w:rsidR="0017435B">
        <w:t xml:space="preserve"> </w:t>
      </w:r>
      <w:r>
        <w:t>and summarized the proposed activities with respect to energy efficiency (EE) in public buildings. The World Bank team then presented the preliminary findings from the report, including</w:t>
      </w:r>
      <w:r w:rsidRPr="00574A4C">
        <w:t xml:space="preserve"> </w:t>
      </w:r>
      <w:r>
        <w:t xml:space="preserve">preliminary estimates of the potential for EE improvements and related investments needed for public buildings, </w:t>
      </w:r>
      <w:r w:rsidRPr="00574A4C">
        <w:t xml:space="preserve">opportunities </w:t>
      </w:r>
      <w:r>
        <w:t xml:space="preserve">for </w:t>
      </w:r>
      <w:r w:rsidRPr="00574A4C">
        <w:t xml:space="preserve">and </w:t>
      </w:r>
      <w:r>
        <w:t xml:space="preserve">barriers to </w:t>
      </w:r>
      <w:r w:rsidRPr="00574A4C">
        <w:t>financing</w:t>
      </w:r>
      <w:r>
        <w:t xml:space="preserve"> public building EE retrofits in Georgia, identification and assessment of</w:t>
      </w:r>
      <w:r w:rsidRPr="00574A4C">
        <w:t xml:space="preserve"> alternate </w:t>
      </w:r>
      <w:r>
        <w:t xml:space="preserve">financing </w:t>
      </w:r>
      <w:r w:rsidRPr="00574A4C">
        <w:t>options based on experie</w:t>
      </w:r>
      <w:r>
        <w:t>nce in the region and elsewhere, and a comparison of options for Georgia. Three</w:t>
      </w:r>
      <w:r w:rsidRPr="00907E30">
        <w:t xml:space="preserve"> public sector </w:t>
      </w:r>
      <w:r>
        <w:t>EE</w:t>
      </w:r>
      <w:r w:rsidRPr="00907E30">
        <w:t xml:space="preserve"> financing schemes </w:t>
      </w:r>
      <w:r>
        <w:t xml:space="preserve">for Georgia </w:t>
      </w:r>
      <w:r w:rsidRPr="00907E30">
        <w:t>were discussed in detail: (i</w:t>
      </w:r>
      <w:r>
        <w:t xml:space="preserve">) </w:t>
      </w:r>
      <w:r w:rsidRPr="00907E30">
        <w:t>budget financing with capital recovery</w:t>
      </w:r>
      <w:r>
        <w:t xml:space="preserve"> (i.e., ‘budget capture’)</w:t>
      </w:r>
      <w:r w:rsidRPr="00907E30">
        <w:t xml:space="preserve">, (ii) </w:t>
      </w:r>
      <w:r>
        <w:t xml:space="preserve">a Georgian Energy Efficiency Revolving Fund (GEERF); and (iii) a Georgia </w:t>
      </w:r>
      <w:r w:rsidRPr="00104BB6">
        <w:t>Super E</w:t>
      </w:r>
      <w:r>
        <w:t>nergy Service Company</w:t>
      </w:r>
      <w:r w:rsidRPr="00104BB6">
        <w:t xml:space="preserve"> (</w:t>
      </w:r>
      <w:r>
        <w:t>G</w:t>
      </w:r>
      <w:r w:rsidRPr="00104BB6">
        <w:t>ESCO</w:t>
      </w:r>
      <w:r>
        <w:t>).</w:t>
      </w:r>
      <w:r w:rsidRPr="00907E30">
        <w:t xml:space="preserve"> </w:t>
      </w:r>
      <w:r>
        <w:t>Based on an evaluation of the limitations and advantages of the three options in the context of Georgia, the study concluded that the GEERF may be the most suitable option to finance EE in the public sector—either by a new or existing institution (e.g., MDF).</w:t>
      </w:r>
    </w:p>
    <w:p w14:paraId="5A1C06FA" w14:textId="77777777" w:rsidR="00A17AA5" w:rsidRDefault="00A17AA5" w:rsidP="00A17AA5">
      <w:pPr>
        <w:spacing w:after="60"/>
        <w:ind w:firstLine="720"/>
      </w:pPr>
      <w:r>
        <w:t xml:space="preserve">While there was general consensus that a revolving fund would appear to be a </w:t>
      </w:r>
      <w:r w:rsidRPr="00417554">
        <w:t xml:space="preserve">desirable </w:t>
      </w:r>
      <w:r>
        <w:t xml:space="preserve">option </w:t>
      </w:r>
      <w:r w:rsidRPr="00417554">
        <w:t>for the Government</w:t>
      </w:r>
      <w:r>
        <w:t>, some key issues and questions were raised and responded to by the Bank team in the development of GEERF or a similar structure:</w:t>
      </w:r>
    </w:p>
    <w:p w14:paraId="00449D89" w14:textId="77777777" w:rsidR="00A17AA5" w:rsidRDefault="00A17AA5" w:rsidP="00A17AA5">
      <w:pPr>
        <w:pStyle w:val="Bulleted"/>
      </w:pPr>
      <w:r>
        <w:t>Several participants noted that many public buildings in Georgia (such as kindergartens) are underheated and may require new heating systems and structural rehabilitation (in additional to EE measures). Thus, the investment costs and typical payback periods of EE investments presented may be underestimated. The Bank team agreed that underheating and structural rehabilitation were common in the region. While the Bank has been able to include some measures to address these within typical EE investments elsewhere, it was only possible to recover the full investment cost from energy savings if these additional costs were about 10% of the total investment. When these costs were higher, some grants or subsidies may be necessary. The proposed GEERF could accommodate such grants, when available. If not, the focus would have to be limited to public buildings with reasonably sound structural integrity and comfort.</w:t>
      </w:r>
    </w:p>
    <w:p w14:paraId="635C35C8" w14:textId="77777777" w:rsidR="00A17AA5" w:rsidRDefault="00A17AA5" w:rsidP="00A17AA5">
      <w:pPr>
        <w:pStyle w:val="Bulleted"/>
      </w:pPr>
      <w:r>
        <w:t>Several participants argued that Georgia lacked a comprehensive Energy Efficiency Law to address financing and funding, institutional frameworks, regulations (e.g., codes and standards, labeling, building certifications) and other measures. The Bank agreed that a comprehensive EE policy framework would be useful, but GEE</w:t>
      </w:r>
      <w:r w:rsidR="0017435B">
        <w:t>R</w:t>
      </w:r>
      <w:r>
        <w:t xml:space="preserve">F could be established in the near-term, possibly within an existing entity, without the enactment of a comprehensive law. </w:t>
      </w:r>
    </w:p>
    <w:p w14:paraId="63882F85" w14:textId="77777777" w:rsidR="00A17AA5" w:rsidRDefault="00A17AA5" w:rsidP="00A17AA5">
      <w:pPr>
        <w:pStyle w:val="Bulleted"/>
      </w:pPr>
      <w:r>
        <w:t xml:space="preserve">A few participants, including the Minster of Regional Development and Infrastructure, believed that it </w:t>
      </w:r>
      <w:r w:rsidR="00F2433E">
        <w:t>was not</w:t>
      </w:r>
      <w:r>
        <w:t xml:space="preserve"> desirable or feasible to establish a new organization for the management and operation of the GEERF, so using an existing organization may be preferred. The Bank agreed that creating new government entities is always difficult. While the creation of a new entity provides advantages of being structured exactly as needed to provide the best organizational and management structure, and therefore would be a preferred option, relying on an existing entity (such as MDF) for management at least in the initial stage may be the easiest option.</w:t>
      </w:r>
    </w:p>
    <w:p w14:paraId="7A93DED3" w14:textId="77777777" w:rsidR="00A17AA5" w:rsidRDefault="00A17AA5" w:rsidP="00A17AA5">
      <w:pPr>
        <w:pStyle w:val="Bulleted"/>
      </w:pPr>
      <w:r>
        <w:t xml:space="preserve">A couple of questions were raised regarding the use of GEERF over commercial banks, and whether the financing offered by GEERF may distort the market. The Bank responded that there was limited bank lending to municipalities today in Georgia and none available for central government entities. This is, in part, why the Government created </w:t>
      </w:r>
      <w:r w:rsidR="00F2433E">
        <w:t xml:space="preserve">the </w:t>
      </w:r>
      <w:r>
        <w:t xml:space="preserve">MDF. Existing borrowing limits, creditworthiness and perceived risks by lenders also made such financing difficult. Credit lines to public entities was included in the ‘financing ladder’ presented in the Bank’s presentation, but this was deemed unlikely in the near-term, which is why </w:t>
      </w:r>
      <w:r w:rsidR="00F2433E">
        <w:t xml:space="preserve">the </w:t>
      </w:r>
      <w:r>
        <w:t>GEERF was recommended—namely to address prevailing public financing barriers in Georgia.</w:t>
      </w:r>
    </w:p>
    <w:p w14:paraId="15D838DE" w14:textId="77777777" w:rsidR="00A17AA5" w:rsidRDefault="00A17AA5" w:rsidP="00A17AA5">
      <w:pPr>
        <w:pStyle w:val="Bulleted"/>
      </w:pPr>
      <w:r>
        <w:t>A question was raised about the potential role of private energy service companies (ESCOs) in developing its options. It was pointed out that a study of potential role of ESCOs in the heating sector was being conducted by GiZ. The Bank noted while there were no active ESCOs in Georgia today, the GEERF was designed to allow for and even foster the development of ESCOs in the subcontractor procurement arrangements, as had been done successfully in other countries such as Armenia.</w:t>
      </w:r>
    </w:p>
    <w:p w14:paraId="230A6C00" w14:textId="77777777" w:rsidR="00A17AA5" w:rsidRDefault="00A17AA5" w:rsidP="00A17AA5">
      <w:pPr>
        <w:pStyle w:val="Bulleted"/>
      </w:pPr>
      <w:r>
        <w:t>Some participants noted that, regardless of which option was selected, substantial technical assistance (TA) would be needed to implement the selected option. The Bank fully agreed and noted that it would work with the Government and interested donor partners to develop a comprehensive package of TA to ensure the selected financing and implementation scheme was successful.</w:t>
      </w:r>
    </w:p>
    <w:p w14:paraId="61DDFD30" w14:textId="77777777" w:rsidR="00A17AA5" w:rsidRDefault="00A17AA5" w:rsidP="00A17AA5">
      <w:pPr>
        <w:ind w:firstLine="720"/>
      </w:pPr>
      <w:r>
        <w:t>The participants generally agreed that the options presented were appropriate for Georgia and that the Government should give serious consideration to the options presented by the World Bank. MOE and the Bank teams thanked all participants for their candid and useful feedback. The next step is to finalize its draft Options Paper and share it with the Government for comments</w:t>
      </w:r>
      <w:r w:rsidR="00666D70">
        <w:t>.</w:t>
      </w:r>
      <w:r>
        <w:t xml:space="preserve">. Thereafter, the Bank </w:t>
      </w:r>
      <w:r w:rsidR="00666D70">
        <w:t xml:space="preserve">will </w:t>
      </w:r>
      <w:r>
        <w:t xml:space="preserve">finalize its report and submit it to the Government for consideration. Once the Government is able to make a decision on the best option, the Bank </w:t>
      </w:r>
      <w:r w:rsidR="00666D70">
        <w:t>will</w:t>
      </w:r>
      <w:r>
        <w:t>, together with MOE and other concerned ministries (MESD, MOF, MRDI), initiate mobilizing funds for the program and develop a detailed plan for program development and implementation.</w:t>
      </w:r>
    </w:p>
    <w:p w14:paraId="1C46F554" w14:textId="77777777" w:rsidR="00523AE8" w:rsidRPr="00E42A0A" w:rsidRDefault="00523AE8" w:rsidP="00523AE8"/>
    <w:sectPr w:rsidR="00523AE8" w:rsidRPr="00E42A0A" w:rsidSect="00B05301">
      <w:footerReference w:type="default" r:id="rId63"/>
      <w:endnotePr>
        <w:numFmt w:val="decimal"/>
      </w:endnotePr>
      <w:pgSz w:w="11907" w:h="16840" w:code="9"/>
      <w:pgMar w:top="1440" w:right="1440" w:bottom="1440" w:left="153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3AB883" w14:textId="77777777" w:rsidR="009B5ABD" w:rsidRDefault="009B5ABD">
      <w:r>
        <w:separator/>
      </w:r>
    </w:p>
  </w:endnote>
  <w:endnote w:type="continuationSeparator" w:id="0">
    <w:p w14:paraId="7EBA302D" w14:textId="77777777" w:rsidR="009B5ABD" w:rsidRDefault="009B5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Sorts">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rdia New">
    <w:panose1 w:val="020B0304020202020204"/>
    <w:charset w:val="00"/>
    <w:family w:val="swiss"/>
    <w:pitch w:val="variable"/>
    <w:sig w:usb0="81000003" w:usb1="00000000" w:usb2="00000000" w:usb3="00000000" w:csb0="00010001"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33556" w14:textId="5B49A115" w:rsidR="00C3446D" w:rsidRPr="003A41DF" w:rsidRDefault="00C3446D" w:rsidP="003A41DF">
    <w:pPr>
      <w:pStyle w:val="Footer"/>
      <w:pBdr>
        <w:top w:val="single" w:sz="4" w:space="1" w:color="auto"/>
      </w:pBdr>
      <w:tabs>
        <w:tab w:val="clear" w:pos="8640"/>
        <w:tab w:val="right" w:pos="9000"/>
      </w:tabs>
      <w:rPr>
        <w:sz w:val="20"/>
      </w:rPr>
    </w:pPr>
    <w:r>
      <w:rPr>
        <w:b/>
        <w:i/>
        <w:sz w:val="20"/>
      </w:rPr>
      <w:t>World Bank</w:t>
    </w:r>
    <w:r w:rsidRPr="00E36DBB">
      <w:rPr>
        <w:b/>
        <w:i/>
        <w:sz w:val="20"/>
      </w:rPr>
      <w:tab/>
      <w:t xml:space="preserve">               Page </w:t>
    </w:r>
    <w:r w:rsidRPr="00E36DBB">
      <w:rPr>
        <w:b/>
        <w:i/>
        <w:sz w:val="20"/>
      </w:rPr>
      <w:fldChar w:fldCharType="begin"/>
    </w:r>
    <w:r w:rsidRPr="00E36DBB">
      <w:rPr>
        <w:b/>
        <w:i/>
        <w:sz w:val="20"/>
      </w:rPr>
      <w:instrText xml:space="preserve"> PAGE   \* MERGEFORMAT </w:instrText>
    </w:r>
    <w:r w:rsidRPr="00E36DBB">
      <w:rPr>
        <w:b/>
        <w:i/>
        <w:sz w:val="20"/>
      </w:rPr>
      <w:fldChar w:fldCharType="separate"/>
    </w:r>
    <w:r w:rsidR="00CC6D6F">
      <w:rPr>
        <w:b/>
        <w:i/>
        <w:noProof/>
        <w:sz w:val="20"/>
      </w:rPr>
      <w:t>ii</w:t>
    </w:r>
    <w:r w:rsidRPr="00E36DBB">
      <w:rPr>
        <w:b/>
        <w:i/>
        <w:noProof/>
        <w:sz w:val="20"/>
      </w:rPr>
      <w:fldChar w:fldCharType="end"/>
    </w:r>
    <w:r w:rsidRPr="00E36DBB">
      <w:rPr>
        <w:b/>
        <w:i/>
        <w:noProof/>
        <w:sz w:val="20"/>
      </w:rPr>
      <w:tab/>
    </w:r>
    <w:r>
      <w:rPr>
        <w:b/>
        <w:i/>
        <w:noProof/>
        <w:sz w:val="20"/>
      </w:rPr>
      <w:t>September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0DF7B" w14:textId="61344C7E" w:rsidR="00C3446D" w:rsidRPr="00D05090" w:rsidRDefault="00C3446D" w:rsidP="00D05090">
    <w:pPr>
      <w:pStyle w:val="Footer"/>
      <w:pBdr>
        <w:top w:val="single" w:sz="4" w:space="1" w:color="auto"/>
      </w:pBdr>
      <w:tabs>
        <w:tab w:val="clear" w:pos="8640"/>
        <w:tab w:val="right" w:pos="9000"/>
      </w:tabs>
      <w:rPr>
        <w:sz w:val="20"/>
      </w:rPr>
    </w:pPr>
    <w:r>
      <w:rPr>
        <w:b/>
        <w:i/>
        <w:sz w:val="20"/>
      </w:rPr>
      <w:t>World Bank</w:t>
    </w:r>
    <w:r w:rsidRPr="00E36DBB">
      <w:rPr>
        <w:b/>
        <w:i/>
        <w:sz w:val="20"/>
      </w:rPr>
      <w:tab/>
      <w:t xml:space="preserve">               Page </w:t>
    </w:r>
    <w:r w:rsidRPr="00E36DBB">
      <w:rPr>
        <w:b/>
        <w:i/>
        <w:sz w:val="20"/>
      </w:rPr>
      <w:fldChar w:fldCharType="begin"/>
    </w:r>
    <w:r w:rsidRPr="00E36DBB">
      <w:rPr>
        <w:b/>
        <w:i/>
        <w:sz w:val="20"/>
      </w:rPr>
      <w:instrText xml:space="preserve"> PAGE   \* MERGEFORMAT </w:instrText>
    </w:r>
    <w:r w:rsidRPr="00E36DBB">
      <w:rPr>
        <w:b/>
        <w:i/>
        <w:sz w:val="20"/>
      </w:rPr>
      <w:fldChar w:fldCharType="separate"/>
    </w:r>
    <w:r w:rsidR="00CC6D6F">
      <w:rPr>
        <w:b/>
        <w:i/>
        <w:noProof/>
        <w:sz w:val="20"/>
      </w:rPr>
      <w:t>16</w:t>
    </w:r>
    <w:r w:rsidRPr="00E36DBB">
      <w:rPr>
        <w:b/>
        <w:i/>
        <w:noProof/>
        <w:sz w:val="20"/>
      </w:rPr>
      <w:fldChar w:fldCharType="end"/>
    </w:r>
    <w:r w:rsidRPr="00E36DBB">
      <w:rPr>
        <w:b/>
        <w:i/>
        <w:noProof/>
        <w:sz w:val="20"/>
      </w:rPr>
      <w:tab/>
    </w:r>
    <w:r>
      <w:rPr>
        <w:b/>
        <w:i/>
        <w:noProof/>
        <w:sz w:val="20"/>
      </w:rPr>
      <w:t>September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88EBF" w14:textId="53697375" w:rsidR="00C3446D" w:rsidRPr="00D05090" w:rsidRDefault="00C3446D" w:rsidP="004E66D7">
    <w:pPr>
      <w:pStyle w:val="Footer"/>
      <w:pBdr>
        <w:top w:val="single" w:sz="4" w:space="1" w:color="auto"/>
      </w:pBdr>
      <w:tabs>
        <w:tab w:val="clear" w:pos="4320"/>
        <w:tab w:val="clear" w:pos="8640"/>
        <w:tab w:val="center" w:pos="6480"/>
        <w:tab w:val="right" w:pos="9000"/>
      </w:tabs>
      <w:rPr>
        <w:sz w:val="20"/>
      </w:rPr>
    </w:pPr>
    <w:r>
      <w:rPr>
        <w:b/>
        <w:i/>
        <w:sz w:val="20"/>
      </w:rPr>
      <w:t>Draft</w:t>
    </w:r>
    <w:r w:rsidRPr="00E36DBB">
      <w:rPr>
        <w:b/>
        <w:i/>
        <w:sz w:val="20"/>
      </w:rPr>
      <w:t xml:space="preserve"> Report</w:t>
    </w:r>
    <w:r w:rsidRPr="00E36DBB">
      <w:rPr>
        <w:b/>
        <w:i/>
        <w:sz w:val="20"/>
      </w:rPr>
      <w:tab/>
      <w:t xml:space="preserve">               </w:t>
    </w:r>
    <w:r>
      <w:rPr>
        <w:b/>
        <w:i/>
        <w:sz w:val="20"/>
      </w:rPr>
      <w:t xml:space="preserve">  </w:t>
    </w:r>
    <w:r w:rsidRPr="00E36DBB">
      <w:rPr>
        <w:b/>
        <w:i/>
        <w:sz w:val="20"/>
      </w:rPr>
      <w:t xml:space="preserve">Page </w:t>
    </w:r>
    <w:r w:rsidRPr="00E36DBB">
      <w:rPr>
        <w:b/>
        <w:i/>
        <w:sz w:val="20"/>
      </w:rPr>
      <w:fldChar w:fldCharType="begin"/>
    </w:r>
    <w:r w:rsidRPr="00E36DBB">
      <w:rPr>
        <w:b/>
        <w:i/>
        <w:sz w:val="20"/>
      </w:rPr>
      <w:instrText xml:space="preserve"> PAGE   \* MERGEFORMAT </w:instrText>
    </w:r>
    <w:r w:rsidRPr="00E36DBB">
      <w:rPr>
        <w:b/>
        <w:i/>
        <w:sz w:val="20"/>
      </w:rPr>
      <w:fldChar w:fldCharType="separate"/>
    </w:r>
    <w:r w:rsidR="00CC6D6F">
      <w:rPr>
        <w:b/>
        <w:i/>
        <w:noProof/>
        <w:sz w:val="20"/>
      </w:rPr>
      <w:t>28</w:t>
    </w:r>
    <w:r w:rsidRPr="00E36DBB">
      <w:rPr>
        <w:b/>
        <w:i/>
        <w:noProof/>
        <w:sz w:val="20"/>
      </w:rPr>
      <w:fldChar w:fldCharType="end"/>
    </w:r>
    <w:r w:rsidRPr="00E36DBB">
      <w:rPr>
        <w:b/>
        <w:i/>
        <w:noProof/>
        <w:sz w:val="20"/>
      </w:rPr>
      <w:tab/>
    </w:r>
    <w:r>
      <w:rPr>
        <w:b/>
        <w:i/>
        <w:noProof/>
        <w:sz w:val="20"/>
      </w:rPr>
      <w:tab/>
    </w:r>
    <w:r>
      <w:rPr>
        <w:b/>
        <w:i/>
        <w:noProof/>
        <w:sz w:val="20"/>
      </w:rPr>
      <w:tab/>
    </w:r>
    <w:r>
      <w:rPr>
        <w:b/>
        <w:i/>
        <w:noProof/>
        <w:sz w:val="20"/>
      </w:rPr>
      <w:tab/>
    </w:r>
    <w:r>
      <w:rPr>
        <w:b/>
        <w:i/>
        <w:noProof/>
        <w:sz w:val="20"/>
      </w:rPr>
      <w:tab/>
    </w:r>
    <w:r>
      <w:rPr>
        <w:b/>
        <w:i/>
        <w:noProof/>
        <w:sz w:val="20"/>
      </w:rPr>
      <w:tab/>
      <w:t xml:space="preserve">        September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5F374" w14:textId="7BB43610" w:rsidR="00C3446D" w:rsidRPr="00D05090" w:rsidRDefault="00C3446D" w:rsidP="00D05090">
    <w:pPr>
      <w:pStyle w:val="Footer"/>
      <w:pBdr>
        <w:top w:val="single" w:sz="4" w:space="1" w:color="auto"/>
      </w:pBdr>
      <w:tabs>
        <w:tab w:val="clear" w:pos="8640"/>
        <w:tab w:val="right" w:pos="9000"/>
      </w:tabs>
      <w:rPr>
        <w:sz w:val="20"/>
      </w:rPr>
    </w:pPr>
    <w:r>
      <w:rPr>
        <w:b/>
        <w:i/>
        <w:sz w:val="20"/>
      </w:rPr>
      <w:t>Final</w:t>
    </w:r>
    <w:r w:rsidRPr="00E36DBB">
      <w:rPr>
        <w:b/>
        <w:i/>
        <w:sz w:val="20"/>
      </w:rPr>
      <w:t xml:space="preserve"> Report</w:t>
    </w:r>
    <w:r w:rsidRPr="00E36DBB">
      <w:rPr>
        <w:b/>
        <w:i/>
        <w:sz w:val="20"/>
      </w:rPr>
      <w:tab/>
      <w:t xml:space="preserve">               Page </w:t>
    </w:r>
    <w:r w:rsidRPr="00E36DBB">
      <w:rPr>
        <w:b/>
        <w:i/>
        <w:sz w:val="20"/>
      </w:rPr>
      <w:fldChar w:fldCharType="begin"/>
    </w:r>
    <w:r w:rsidRPr="00E36DBB">
      <w:rPr>
        <w:b/>
        <w:i/>
        <w:sz w:val="20"/>
      </w:rPr>
      <w:instrText xml:space="preserve"> PAGE   \* MERGEFORMAT </w:instrText>
    </w:r>
    <w:r w:rsidRPr="00E36DBB">
      <w:rPr>
        <w:b/>
        <w:i/>
        <w:sz w:val="20"/>
      </w:rPr>
      <w:fldChar w:fldCharType="separate"/>
    </w:r>
    <w:r w:rsidR="00CC6D6F">
      <w:rPr>
        <w:b/>
        <w:i/>
        <w:noProof/>
        <w:sz w:val="20"/>
      </w:rPr>
      <w:t>29</w:t>
    </w:r>
    <w:r w:rsidRPr="00E36DBB">
      <w:rPr>
        <w:b/>
        <w:i/>
        <w:noProof/>
        <w:sz w:val="20"/>
      </w:rPr>
      <w:fldChar w:fldCharType="end"/>
    </w:r>
    <w:r w:rsidRPr="00E36DBB">
      <w:rPr>
        <w:b/>
        <w:i/>
        <w:noProof/>
        <w:sz w:val="20"/>
      </w:rPr>
      <w:tab/>
    </w:r>
    <w:r>
      <w:rPr>
        <w:b/>
        <w:i/>
        <w:noProof/>
        <w:sz w:val="20"/>
      </w:rPr>
      <w:t>September 2016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29A88" w14:textId="423CC1FE" w:rsidR="00C3446D" w:rsidRPr="00D05090" w:rsidRDefault="00C3446D" w:rsidP="00991DB7">
    <w:pPr>
      <w:pStyle w:val="Footer"/>
      <w:pBdr>
        <w:top w:val="single" w:sz="4" w:space="1" w:color="auto"/>
      </w:pBdr>
      <w:tabs>
        <w:tab w:val="clear" w:pos="4320"/>
        <w:tab w:val="clear" w:pos="8640"/>
        <w:tab w:val="center" w:pos="6660"/>
        <w:tab w:val="right" w:pos="9000"/>
      </w:tabs>
      <w:rPr>
        <w:sz w:val="20"/>
      </w:rPr>
    </w:pPr>
    <w:r>
      <w:rPr>
        <w:b/>
        <w:i/>
        <w:sz w:val="20"/>
      </w:rPr>
      <w:t>Draft</w:t>
    </w:r>
    <w:r w:rsidRPr="00E36DBB">
      <w:rPr>
        <w:b/>
        <w:i/>
        <w:sz w:val="20"/>
      </w:rPr>
      <w:t xml:space="preserve"> Report</w:t>
    </w:r>
    <w:r w:rsidRPr="00E36DBB">
      <w:rPr>
        <w:b/>
        <w:i/>
        <w:sz w:val="20"/>
      </w:rPr>
      <w:tab/>
      <w:t xml:space="preserve">               Page </w:t>
    </w:r>
    <w:r w:rsidRPr="00E36DBB">
      <w:rPr>
        <w:b/>
        <w:i/>
        <w:sz w:val="20"/>
      </w:rPr>
      <w:fldChar w:fldCharType="begin"/>
    </w:r>
    <w:r w:rsidRPr="00E36DBB">
      <w:rPr>
        <w:b/>
        <w:i/>
        <w:sz w:val="20"/>
      </w:rPr>
      <w:instrText xml:space="preserve"> PAGE   \* MERGEFORMAT </w:instrText>
    </w:r>
    <w:r w:rsidRPr="00E36DBB">
      <w:rPr>
        <w:b/>
        <w:i/>
        <w:sz w:val="20"/>
      </w:rPr>
      <w:fldChar w:fldCharType="separate"/>
    </w:r>
    <w:r w:rsidR="00CC6D6F">
      <w:rPr>
        <w:b/>
        <w:i/>
        <w:noProof/>
        <w:sz w:val="20"/>
      </w:rPr>
      <w:t>30</w:t>
    </w:r>
    <w:r w:rsidRPr="00E36DBB">
      <w:rPr>
        <w:b/>
        <w:i/>
        <w:noProof/>
        <w:sz w:val="20"/>
      </w:rPr>
      <w:fldChar w:fldCharType="end"/>
    </w:r>
    <w:r w:rsidRPr="00E36DBB">
      <w:rPr>
        <w:b/>
        <w:i/>
        <w:noProof/>
        <w:sz w:val="20"/>
      </w:rPr>
      <w:tab/>
    </w:r>
    <w:r>
      <w:rPr>
        <w:b/>
        <w:i/>
        <w:noProof/>
        <w:sz w:val="20"/>
      </w:rPr>
      <w:tab/>
    </w:r>
    <w:r>
      <w:rPr>
        <w:b/>
        <w:i/>
        <w:noProof/>
        <w:sz w:val="20"/>
      </w:rPr>
      <w:tab/>
    </w:r>
    <w:r>
      <w:rPr>
        <w:b/>
        <w:i/>
        <w:noProof/>
        <w:sz w:val="20"/>
      </w:rPr>
      <w:tab/>
    </w:r>
    <w:r>
      <w:rPr>
        <w:b/>
        <w:i/>
        <w:noProof/>
        <w:sz w:val="20"/>
      </w:rPr>
      <w:tab/>
    </w:r>
    <w:r>
      <w:rPr>
        <w:b/>
        <w:i/>
        <w:noProof/>
        <w:sz w:val="20"/>
      </w:rPr>
      <w:tab/>
      <w:t xml:space="preserve">     September 2016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E113F" w14:textId="657FC096" w:rsidR="00C3446D" w:rsidRPr="00D05090" w:rsidRDefault="00C3446D" w:rsidP="00EC4C4D">
    <w:pPr>
      <w:pStyle w:val="Footer"/>
      <w:pBdr>
        <w:top w:val="single" w:sz="4" w:space="1" w:color="auto"/>
      </w:pBdr>
      <w:tabs>
        <w:tab w:val="clear" w:pos="8640"/>
        <w:tab w:val="right" w:pos="9000"/>
      </w:tabs>
      <w:rPr>
        <w:sz w:val="20"/>
      </w:rPr>
    </w:pPr>
    <w:r>
      <w:rPr>
        <w:b/>
        <w:i/>
        <w:sz w:val="20"/>
      </w:rPr>
      <w:t>World Bank</w:t>
    </w:r>
    <w:r w:rsidRPr="00E36DBB">
      <w:rPr>
        <w:b/>
        <w:i/>
        <w:sz w:val="20"/>
      </w:rPr>
      <w:tab/>
      <w:t xml:space="preserve">               Page </w:t>
    </w:r>
    <w:r w:rsidRPr="00E36DBB">
      <w:rPr>
        <w:b/>
        <w:i/>
        <w:sz w:val="20"/>
      </w:rPr>
      <w:fldChar w:fldCharType="begin"/>
    </w:r>
    <w:r w:rsidRPr="00E36DBB">
      <w:rPr>
        <w:b/>
        <w:i/>
        <w:sz w:val="20"/>
      </w:rPr>
      <w:instrText xml:space="preserve"> PAGE   \* MERGEFORMAT </w:instrText>
    </w:r>
    <w:r w:rsidRPr="00E36DBB">
      <w:rPr>
        <w:b/>
        <w:i/>
        <w:sz w:val="20"/>
      </w:rPr>
      <w:fldChar w:fldCharType="separate"/>
    </w:r>
    <w:r w:rsidR="00CC6D6F">
      <w:rPr>
        <w:b/>
        <w:i/>
        <w:noProof/>
        <w:sz w:val="20"/>
      </w:rPr>
      <w:t>49</w:t>
    </w:r>
    <w:r w:rsidRPr="00E36DBB">
      <w:rPr>
        <w:b/>
        <w:i/>
        <w:noProof/>
        <w:sz w:val="20"/>
      </w:rPr>
      <w:fldChar w:fldCharType="end"/>
    </w:r>
    <w:r w:rsidRPr="00E36DBB">
      <w:rPr>
        <w:b/>
        <w:i/>
        <w:noProof/>
        <w:sz w:val="20"/>
      </w:rPr>
      <w:tab/>
    </w:r>
    <w:r>
      <w:rPr>
        <w:b/>
        <w:i/>
        <w:noProof/>
        <w:sz w:val="20"/>
      </w:rPr>
      <w:t>September 2016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0F62D" w14:textId="4E801C5B" w:rsidR="00C3446D" w:rsidRPr="00D05090" w:rsidRDefault="00C3446D" w:rsidP="00B05301">
    <w:pPr>
      <w:pStyle w:val="Footer"/>
      <w:pBdr>
        <w:top w:val="single" w:sz="4" w:space="1" w:color="auto"/>
      </w:pBdr>
      <w:tabs>
        <w:tab w:val="clear" w:pos="8640"/>
        <w:tab w:val="left" w:pos="6480"/>
        <w:tab w:val="left" w:pos="13950"/>
      </w:tabs>
      <w:ind w:right="10"/>
      <w:rPr>
        <w:sz w:val="20"/>
      </w:rPr>
    </w:pPr>
    <w:r>
      <w:rPr>
        <w:b/>
        <w:i/>
        <w:sz w:val="20"/>
      </w:rPr>
      <w:t>World Bank</w:t>
    </w:r>
    <w:r w:rsidRPr="00E36DBB">
      <w:rPr>
        <w:b/>
        <w:i/>
        <w:sz w:val="20"/>
      </w:rPr>
      <w:tab/>
      <w:t xml:space="preserve">              </w:t>
    </w:r>
    <w:r>
      <w:rPr>
        <w:b/>
        <w:i/>
        <w:sz w:val="20"/>
      </w:rPr>
      <w:tab/>
    </w:r>
    <w:r w:rsidRPr="00E36DBB">
      <w:rPr>
        <w:b/>
        <w:i/>
        <w:sz w:val="20"/>
      </w:rPr>
      <w:t xml:space="preserve"> </w:t>
    </w:r>
    <w:r>
      <w:rPr>
        <w:b/>
        <w:i/>
        <w:sz w:val="20"/>
      </w:rPr>
      <w:t xml:space="preserve">   </w:t>
    </w:r>
    <w:r w:rsidRPr="00E36DBB">
      <w:rPr>
        <w:b/>
        <w:i/>
        <w:sz w:val="20"/>
      </w:rPr>
      <w:t xml:space="preserve">Page </w:t>
    </w:r>
    <w:r w:rsidRPr="00E36DBB">
      <w:rPr>
        <w:b/>
        <w:i/>
        <w:sz w:val="20"/>
      </w:rPr>
      <w:fldChar w:fldCharType="begin"/>
    </w:r>
    <w:r w:rsidRPr="00E36DBB">
      <w:rPr>
        <w:b/>
        <w:i/>
        <w:sz w:val="20"/>
      </w:rPr>
      <w:instrText xml:space="preserve"> PAGE   \* MERGEFORMAT </w:instrText>
    </w:r>
    <w:r w:rsidRPr="00E36DBB">
      <w:rPr>
        <w:b/>
        <w:i/>
        <w:sz w:val="20"/>
      </w:rPr>
      <w:fldChar w:fldCharType="separate"/>
    </w:r>
    <w:r w:rsidR="00CC6D6F">
      <w:rPr>
        <w:b/>
        <w:i/>
        <w:noProof/>
        <w:sz w:val="20"/>
      </w:rPr>
      <w:t>50</w:t>
    </w:r>
    <w:r w:rsidRPr="00E36DBB">
      <w:rPr>
        <w:b/>
        <w:i/>
        <w:noProof/>
        <w:sz w:val="20"/>
      </w:rPr>
      <w:fldChar w:fldCharType="end"/>
    </w:r>
    <w:r>
      <w:rPr>
        <w:b/>
        <w:i/>
        <w:noProof/>
        <w:sz w:val="20"/>
      </w:rPr>
      <w:t xml:space="preserve">                                                                                                          September 2016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1508E" w14:textId="7E4D07A7" w:rsidR="00C3446D" w:rsidRPr="00D05090" w:rsidRDefault="00C3446D" w:rsidP="00EC4C4D">
    <w:pPr>
      <w:pStyle w:val="Footer"/>
      <w:pBdr>
        <w:top w:val="single" w:sz="4" w:space="1" w:color="auto"/>
      </w:pBdr>
      <w:tabs>
        <w:tab w:val="clear" w:pos="8640"/>
        <w:tab w:val="right" w:pos="9000"/>
      </w:tabs>
      <w:rPr>
        <w:sz w:val="20"/>
      </w:rPr>
    </w:pPr>
    <w:r>
      <w:rPr>
        <w:b/>
        <w:i/>
        <w:sz w:val="20"/>
      </w:rPr>
      <w:t>World Bank</w:t>
    </w:r>
    <w:r w:rsidRPr="00E36DBB">
      <w:rPr>
        <w:b/>
        <w:i/>
        <w:sz w:val="20"/>
      </w:rPr>
      <w:tab/>
      <w:t xml:space="preserve">               Page </w:t>
    </w:r>
    <w:r w:rsidRPr="00E36DBB">
      <w:rPr>
        <w:b/>
        <w:i/>
        <w:sz w:val="20"/>
      </w:rPr>
      <w:fldChar w:fldCharType="begin"/>
    </w:r>
    <w:r w:rsidRPr="00E36DBB">
      <w:rPr>
        <w:b/>
        <w:i/>
        <w:sz w:val="20"/>
      </w:rPr>
      <w:instrText xml:space="preserve"> PAGE   \* MERGEFORMAT </w:instrText>
    </w:r>
    <w:r w:rsidRPr="00E36DBB">
      <w:rPr>
        <w:b/>
        <w:i/>
        <w:sz w:val="20"/>
      </w:rPr>
      <w:fldChar w:fldCharType="separate"/>
    </w:r>
    <w:r w:rsidR="00CC6D6F">
      <w:rPr>
        <w:b/>
        <w:i/>
        <w:noProof/>
        <w:sz w:val="20"/>
      </w:rPr>
      <w:t>64</w:t>
    </w:r>
    <w:r w:rsidRPr="00E36DBB">
      <w:rPr>
        <w:b/>
        <w:i/>
        <w:noProof/>
        <w:sz w:val="20"/>
      </w:rPr>
      <w:fldChar w:fldCharType="end"/>
    </w:r>
    <w:r w:rsidRPr="00E36DBB">
      <w:rPr>
        <w:b/>
        <w:i/>
        <w:noProof/>
        <w:sz w:val="20"/>
      </w:rPr>
      <w:tab/>
    </w:r>
    <w:r>
      <w:rPr>
        <w:b/>
        <w:i/>
        <w:noProof/>
        <w:sz w:val="20"/>
      </w:rPr>
      <w:t>September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F6E25F" w14:textId="77777777" w:rsidR="009B5ABD" w:rsidRDefault="009B5ABD">
      <w:r>
        <w:separator/>
      </w:r>
    </w:p>
  </w:footnote>
  <w:footnote w:type="continuationSeparator" w:id="0">
    <w:p w14:paraId="7084D740" w14:textId="77777777" w:rsidR="009B5ABD" w:rsidRDefault="009B5ABD">
      <w:r>
        <w:continuationSeparator/>
      </w:r>
    </w:p>
  </w:footnote>
  <w:footnote w:id="1">
    <w:p w14:paraId="2B49E76D" w14:textId="77777777" w:rsidR="00C3446D" w:rsidRPr="008B4B74" w:rsidRDefault="00C3446D" w:rsidP="0020074E">
      <w:pPr>
        <w:pStyle w:val="FootnoteText"/>
        <w:spacing w:before="0" w:after="0" w:line="240" w:lineRule="auto"/>
        <w:ind w:left="187" w:hanging="187"/>
        <w:jc w:val="left"/>
        <w:rPr>
          <w:lang w:val="en-US"/>
        </w:rPr>
      </w:pPr>
      <w:r>
        <w:rPr>
          <w:rStyle w:val="FootnoteReference"/>
        </w:rPr>
        <w:footnoteRef/>
      </w:r>
      <w:r>
        <w:t xml:space="preserve">  </w:t>
      </w:r>
      <w:r>
        <w:rPr>
          <w:lang w:val="en-US"/>
        </w:rPr>
        <w:t>Energy intensity is expressed as tons of primary energy supply divided by gross domestic product (GDP) in thousand US dollars (2005).</w:t>
      </w:r>
    </w:p>
  </w:footnote>
  <w:footnote w:id="2">
    <w:p w14:paraId="4D401557" w14:textId="77777777" w:rsidR="00C3446D" w:rsidRPr="008C2996" w:rsidRDefault="00C3446D" w:rsidP="0020074E">
      <w:pPr>
        <w:pStyle w:val="FootnoteText"/>
        <w:spacing w:before="0" w:after="0" w:line="240" w:lineRule="auto"/>
        <w:ind w:left="562" w:hanging="562"/>
      </w:pPr>
      <w:r w:rsidRPr="0000400D">
        <w:rPr>
          <w:rStyle w:val="FootnoteReference"/>
        </w:rPr>
        <w:footnoteRef/>
      </w:r>
      <w:r w:rsidRPr="008C2996">
        <w:t xml:space="preserve"> </w:t>
      </w:r>
      <w:r>
        <w:t xml:space="preserve"> </w:t>
      </w:r>
      <w:r w:rsidRPr="008C2996">
        <w:t>International Energy Agency, Energy Statistics website (</w:t>
      </w:r>
      <w:hyperlink r:id="rId1" w:history="1">
        <w:r w:rsidRPr="006D53F4">
          <w:rPr>
            <w:rStyle w:val="Hyperlink"/>
          </w:rPr>
          <w:t>www.iea.org/statistics</w:t>
        </w:r>
      </w:hyperlink>
      <w:r w:rsidRPr="008C2996">
        <w:t>).</w:t>
      </w:r>
    </w:p>
  </w:footnote>
  <w:footnote w:id="3">
    <w:p w14:paraId="2E7F9528" w14:textId="77777777" w:rsidR="00C3446D" w:rsidRPr="00E07536" w:rsidRDefault="00C3446D" w:rsidP="0020074E">
      <w:pPr>
        <w:pStyle w:val="FootnoteText"/>
        <w:spacing w:before="0" w:after="0" w:line="240" w:lineRule="auto"/>
        <w:ind w:left="562" w:hanging="562"/>
        <w:rPr>
          <w:lang w:val="en-US"/>
        </w:rPr>
      </w:pPr>
      <w:r>
        <w:rPr>
          <w:rStyle w:val="FootnoteReference"/>
        </w:rPr>
        <w:footnoteRef/>
      </w:r>
      <w:r>
        <w:t xml:space="preserve"> </w:t>
      </w:r>
      <w:hyperlink r:id="rId2" w:history="1">
        <w:r w:rsidRPr="0072308B">
          <w:rPr>
            <w:rStyle w:val="Hyperlink"/>
          </w:rPr>
          <w:t>http://www.covenantofmayors.eu/actions/sustainable-energy-action-plans_en.html</w:t>
        </w:r>
      </w:hyperlink>
    </w:p>
  </w:footnote>
  <w:footnote w:id="4">
    <w:p w14:paraId="6F89DE3E" w14:textId="77777777" w:rsidR="00C3446D" w:rsidRPr="0020074E" w:rsidRDefault="00C3446D" w:rsidP="009744D9">
      <w:pPr>
        <w:pStyle w:val="FootnoteText"/>
        <w:spacing w:before="0" w:after="0" w:line="240" w:lineRule="auto"/>
        <w:ind w:left="0" w:firstLine="0"/>
        <w:jc w:val="left"/>
      </w:pPr>
      <w:r w:rsidRPr="00042A6D">
        <w:rPr>
          <w:rStyle w:val="FootnoteReference"/>
        </w:rPr>
        <w:footnoteRef/>
      </w:r>
      <w:r w:rsidRPr="00042A6D">
        <w:t xml:space="preserve">  See Tsurtsumia 2013. This draft was developed in 2008 but was never approved. A new EE Law is being developed consistent with the June 2015 Energy Policy and EU Energy Efficiency Directive 2012/27/EC.</w:t>
      </w:r>
    </w:p>
  </w:footnote>
  <w:footnote w:id="5">
    <w:p w14:paraId="171FF201" w14:textId="77777777" w:rsidR="00C3446D" w:rsidRPr="00042A6D" w:rsidRDefault="00C3446D" w:rsidP="009744D9">
      <w:pPr>
        <w:pStyle w:val="FootnoteText"/>
        <w:spacing w:before="0" w:after="0" w:line="240" w:lineRule="auto"/>
        <w:ind w:left="0" w:firstLine="0"/>
      </w:pPr>
      <w:r w:rsidRPr="00042A6D">
        <w:rPr>
          <w:rStyle w:val="FootnoteReference"/>
        </w:rPr>
        <w:footnoteRef/>
      </w:r>
      <w:r w:rsidRPr="00042A6D">
        <w:t xml:space="preserve">  FM Global Country Building Code Index, June 2015 </w:t>
      </w:r>
      <w:hyperlink r:id="rId3" w:history="1">
        <w:r w:rsidRPr="00042A6D">
          <w:rPr>
            <w:rStyle w:val="Hyperlink"/>
          </w:rPr>
          <w:t>https://www.fmglobal.com/assets/pdf/P15105.pdf</w:t>
        </w:r>
      </w:hyperlink>
      <w:r w:rsidRPr="00042A6D">
        <w:t xml:space="preserve">  </w:t>
      </w:r>
    </w:p>
  </w:footnote>
  <w:footnote w:id="6">
    <w:p w14:paraId="3F93BF0B" w14:textId="77777777" w:rsidR="00C3446D" w:rsidRPr="00042A6D" w:rsidRDefault="00C3446D" w:rsidP="009744D9">
      <w:pPr>
        <w:pStyle w:val="FootnoteText"/>
        <w:spacing w:before="0" w:after="0" w:line="240" w:lineRule="auto"/>
        <w:ind w:left="0" w:firstLine="0"/>
      </w:pPr>
      <w:r w:rsidRPr="00042A6D">
        <w:rPr>
          <w:rStyle w:val="FootnoteReference"/>
        </w:rPr>
        <w:footnoteRef/>
      </w:r>
      <w:r w:rsidRPr="00042A6D">
        <w:t xml:space="preserve">  Ministry of Energy, December 2015.  </w:t>
      </w:r>
    </w:p>
    <w:p w14:paraId="2214E90E" w14:textId="77777777" w:rsidR="00C3446D" w:rsidRPr="00042A6D" w:rsidRDefault="00CC6D6F" w:rsidP="009744D9">
      <w:pPr>
        <w:pStyle w:val="FootnoteText"/>
        <w:spacing w:before="0" w:after="0" w:line="240" w:lineRule="auto"/>
        <w:ind w:left="0" w:firstLine="0"/>
      </w:pPr>
      <w:hyperlink r:id="rId4" w:history="1">
        <w:r w:rsidR="00C3446D" w:rsidRPr="00042A6D">
          <w:rPr>
            <w:rStyle w:val="Hyperlink"/>
          </w:rPr>
          <w:t>http://www.unece.org/fileadmin/DAM/env/eia/meetings/2015/December_11_Georgia_high_level_SEA/IV._1._The_Code_on_Env_ENG_%C3%9F%C3%A2%C3%96%C3%9F%C3%A2_%C3%9F%C3%A2%C3%B4%C3%9F%C3%A2%C3%B6%C3%9F%C3%A2%C3%91%C3%9F%C3%A2%C3%AD%C3%9F%C3%A2%C3%BF%C3%9F%C3%A2%C3%AD.pdf</w:t>
        </w:r>
      </w:hyperlink>
      <w:r w:rsidR="00C3446D" w:rsidRPr="00042A6D">
        <w:t xml:space="preserve"> </w:t>
      </w:r>
    </w:p>
  </w:footnote>
  <w:footnote w:id="7">
    <w:p w14:paraId="173D92AF" w14:textId="77777777" w:rsidR="00C3446D" w:rsidRPr="00042A6D" w:rsidRDefault="00C3446D" w:rsidP="009744D9">
      <w:pPr>
        <w:pStyle w:val="FootnoteText"/>
        <w:spacing w:before="0" w:after="0" w:line="240" w:lineRule="auto"/>
        <w:ind w:left="0" w:firstLine="0"/>
      </w:pPr>
      <w:r w:rsidRPr="00042A6D">
        <w:rPr>
          <w:rStyle w:val="FootnoteReference"/>
        </w:rPr>
        <w:footnoteRef/>
      </w:r>
      <w:r w:rsidRPr="00042A6D">
        <w:t xml:space="preserve">  In August 2006, USAID published Georgia’s Draft Construction Code Final Report   </w:t>
      </w:r>
    </w:p>
  </w:footnote>
  <w:footnote w:id="8">
    <w:p w14:paraId="3030F9D3" w14:textId="77777777" w:rsidR="00C3446D" w:rsidRPr="00042A6D" w:rsidRDefault="00C3446D" w:rsidP="009744D9">
      <w:pPr>
        <w:pStyle w:val="FootnoteText"/>
        <w:spacing w:before="0" w:after="0" w:line="240" w:lineRule="auto"/>
        <w:ind w:left="0" w:firstLine="0"/>
      </w:pPr>
      <w:r w:rsidRPr="00042A6D">
        <w:rPr>
          <w:rStyle w:val="FootnoteReference"/>
        </w:rPr>
        <w:footnoteRef/>
      </w:r>
      <w:r w:rsidRPr="00042A6D">
        <w:t xml:space="preserve">  The acronym “SNIPPS” and standards are from the Soviet era. For more, please see: USAID Georgia’s Draft Construction Code. Final Report. August 2006. P</w:t>
      </w:r>
      <w:r>
        <w:t xml:space="preserve">. </w:t>
      </w:r>
      <w:r w:rsidRPr="00042A6D">
        <w:t xml:space="preserve">2 </w:t>
      </w:r>
    </w:p>
  </w:footnote>
  <w:footnote w:id="9">
    <w:p w14:paraId="61ECDA9C" w14:textId="77777777" w:rsidR="00C3446D" w:rsidRPr="00042A6D" w:rsidRDefault="00C3446D" w:rsidP="009744D9">
      <w:pPr>
        <w:pStyle w:val="FootnoteText"/>
        <w:spacing w:before="0" w:after="0" w:line="240" w:lineRule="auto"/>
        <w:ind w:left="0" w:firstLine="0"/>
      </w:pPr>
      <w:r w:rsidRPr="00042A6D">
        <w:rPr>
          <w:rStyle w:val="FootnoteReference"/>
        </w:rPr>
        <w:footnoteRef/>
      </w:r>
      <w:r w:rsidRPr="00042A6D">
        <w:t xml:space="preserve">  In a presentation to the IEA in June 2015, Mr. Davit Sharikadze, a Ministry of Energy official announced that the “draft of New Building Code is ready for ratification.” </w:t>
      </w:r>
    </w:p>
  </w:footnote>
  <w:footnote w:id="10">
    <w:p w14:paraId="568B6D09" w14:textId="77777777" w:rsidR="00C3446D" w:rsidRPr="00F8782E" w:rsidRDefault="00C3446D" w:rsidP="009744D9">
      <w:pPr>
        <w:pStyle w:val="FootnoteText"/>
        <w:spacing w:before="0" w:after="0" w:line="240" w:lineRule="auto"/>
        <w:ind w:left="0" w:firstLine="0"/>
        <w:rPr>
          <w:lang w:val="en-US"/>
        </w:rPr>
      </w:pPr>
      <w:r>
        <w:rPr>
          <w:rStyle w:val="FootnoteReference"/>
        </w:rPr>
        <w:footnoteRef/>
      </w:r>
      <w:r>
        <w:t xml:space="preserve"> </w:t>
      </w:r>
      <w:hyperlink r:id="rId5" w:history="1">
        <w:r w:rsidRPr="009C176E">
          <w:rPr>
            <w:rStyle w:val="Hyperlink"/>
          </w:rPr>
          <w:t>http://www.mdf.org.ge/?site-lang=en</w:t>
        </w:r>
      </w:hyperlink>
      <w:r>
        <w:t xml:space="preserve"> </w:t>
      </w:r>
    </w:p>
  </w:footnote>
  <w:footnote w:id="11">
    <w:p w14:paraId="3DE2CE5B" w14:textId="77777777" w:rsidR="00C3446D" w:rsidRPr="001B791E" w:rsidRDefault="00C3446D" w:rsidP="009744D9">
      <w:pPr>
        <w:pStyle w:val="FootnoteText"/>
        <w:spacing w:before="0" w:after="0" w:line="240" w:lineRule="auto"/>
        <w:ind w:left="0" w:firstLine="0"/>
      </w:pPr>
      <w:r w:rsidRPr="001B791E">
        <w:rPr>
          <w:rStyle w:val="FootnoteReference"/>
        </w:rPr>
        <w:footnoteRef/>
      </w:r>
      <w:r w:rsidRPr="001B791E">
        <w:t xml:space="preserve"> EE Center</w:t>
      </w:r>
      <w:r w:rsidRPr="001B791E">
        <w:rPr>
          <w:rStyle w:val="Hyperlink"/>
        </w:rPr>
        <w:t xml:space="preserve">: </w:t>
      </w:r>
      <w:hyperlink r:id="rId6" w:history="1">
        <w:r w:rsidRPr="001B791E">
          <w:rPr>
            <w:rStyle w:val="Hyperlink"/>
          </w:rPr>
          <w:t>http://www.eecgeo.org/</w:t>
        </w:r>
      </w:hyperlink>
      <w:r w:rsidRPr="001B791E">
        <w:rPr>
          <w:rStyle w:val="Hyperlink"/>
        </w:rPr>
        <w:t xml:space="preserve"> </w:t>
      </w:r>
    </w:p>
  </w:footnote>
  <w:footnote w:id="12">
    <w:p w14:paraId="41135BF7" w14:textId="77777777" w:rsidR="00C3446D" w:rsidRPr="00C6290F" w:rsidRDefault="00C3446D" w:rsidP="009744D9">
      <w:pPr>
        <w:pStyle w:val="FootnoteText"/>
        <w:spacing w:before="0" w:after="0" w:line="240" w:lineRule="auto"/>
        <w:ind w:left="0" w:firstLine="0"/>
      </w:pPr>
      <w:r w:rsidRPr="00C6290F">
        <w:rPr>
          <w:rStyle w:val="FootnoteReference"/>
        </w:rPr>
        <w:footnoteRef/>
      </w:r>
      <w:r w:rsidRPr="00C6290F">
        <w:t xml:space="preserve"> </w:t>
      </w:r>
      <w:hyperlink r:id="rId7" w:history="1">
        <w:r w:rsidRPr="00C6290F">
          <w:rPr>
            <w:rStyle w:val="Hyperlink"/>
          </w:rPr>
          <w:t>http://www.energycharter.org/fileadmin/DocumentsMedia/IDEER/IDEER-Georgia_2012_en.pdf</w:t>
        </w:r>
      </w:hyperlink>
      <w:r w:rsidRPr="00C6290F">
        <w:t xml:space="preserve">   </w:t>
      </w:r>
    </w:p>
  </w:footnote>
  <w:footnote w:id="13">
    <w:p w14:paraId="1EBBE395" w14:textId="77777777" w:rsidR="00C3446D" w:rsidRPr="001B791E" w:rsidRDefault="00C3446D" w:rsidP="009744D9">
      <w:pPr>
        <w:pStyle w:val="FootnoteText"/>
        <w:spacing w:before="0" w:after="0" w:line="240" w:lineRule="auto"/>
        <w:ind w:left="0" w:firstLine="0"/>
        <w:rPr>
          <w:lang w:val="en-US"/>
        </w:rPr>
      </w:pPr>
      <w:r>
        <w:rPr>
          <w:rStyle w:val="FootnoteReference"/>
        </w:rPr>
        <w:footnoteRef/>
      </w:r>
      <w:r>
        <w:t xml:space="preserve"> </w:t>
      </w:r>
      <w:r>
        <w:rPr>
          <w:lang w:val="en-US"/>
        </w:rPr>
        <w:t>A draft of the new policy includes EE implementation and has been in force since June 25, 2015, but is not yet finalized.</w:t>
      </w:r>
    </w:p>
  </w:footnote>
  <w:footnote w:id="14">
    <w:p w14:paraId="29167E3B" w14:textId="77777777" w:rsidR="00C3446D" w:rsidRPr="00A511D7" w:rsidRDefault="00C3446D" w:rsidP="009744D9">
      <w:pPr>
        <w:pStyle w:val="FootnoteText"/>
        <w:spacing w:before="0" w:after="0" w:line="240" w:lineRule="auto"/>
        <w:ind w:left="0" w:firstLine="0"/>
        <w:jc w:val="left"/>
        <w:rPr>
          <w:sz w:val="18"/>
          <w:szCs w:val="18"/>
        </w:rPr>
      </w:pPr>
      <w:r w:rsidRPr="00C6290F">
        <w:rPr>
          <w:rStyle w:val="FootnoteReference"/>
        </w:rPr>
        <w:footnoteRef/>
      </w:r>
      <w:r w:rsidRPr="00C6290F">
        <w:t xml:space="preserve"> The announcements were made in June 2015 by Davit Sharikadze, Ministry of Energy of Georgia</w:t>
      </w:r>
      <w:r>
        <w:t xml:space="preserve">. </w:t>
      </w:r>
      <w:r w:rsidRPr="00C6290F">
        <w:t xml:space="preserve"> </w:t>
      </w:r>
      <w:hyperlink r:id="rId8" w:history="1">
        <w:r w:rsidRPr="00C6290F">
          <w:rPr>
            <w:rStyle w:val="Hyperlink"/>
          </w:rPr>
          <w:t>https://www.iea.org/media/workshops/2015/platformistanbul2015/GovernmentPoliciesandMeasuresPromotingInvestmentsforEEandREFocusonGeorgia.pdf</w:t>
        </w:r>
      </w:hyperlink>
      <w:r w:rsidRPr="00A511D7">
        <w:rPr>
          <w:sz w:val="18"/>
          <w:szCs w:val="18"/>
        </w:rPr>
        <w:t xml:space="preserve"> </w:t>
      </w:r>
    </w:p>
  </w:footnote>
  <w:footnote w:id="15">
    <w:p w14:paraId="5EF572A0" w14:textId="77777777" w:rsidR="00C3446D" w:rsidRPr="001E7725" w:rsidRDefault="00C3446D" w:rsidP="001E7725">
      <w:pPr>
        <w:pStyle w:val="FootnoteText"/>
        <w:spacing w:before="0" w:after="0" w:line="240" w:lineRule="auto"/>
        <w:ind w:left="0" w:firstLine="0"/>
        <w:rPr>
          <w:lang w:val="en-US"/>
        </w:rPr>
      </w:pPr>
      <w:r w:rsidRPr="001E7725">
        <w:rPr>
          <w:rStyle w:val="FootnoteReference"/>
        </w:rPr>
        <w:footnoteRef/>
      </w:r>
      <w:r w:rsidRPr="001E7725">
        <w:t xml:space="preserve"> At the Sustainable Energy Week in Georgia in June 2016, t</w:t>
      </w:r>
      <w:r w:rsidRPr="001E7725">
        <w:rPr>
          <w:lang w:val="en-US"/>
        </w:rPr>
        <w:t xml:space="preserve">he Energy Minister announced that MOE is </w:t>
      </w:r>
      <w:r w:rsidRPr="001E7725">
        <w:rPr>
          <w:rStyle w:val="newsquote"/>
        </w:rPr>
        <w:t>working on legislation to install LED lights in all state institutions from 2017.</w:t>
      </w:r>
    </w:p>
  </w:footnote>
  <w:footnote w:id="16">
    <w:p w14:paraId="093B5220" w14:textId="77777777" w:rsidR="00C3446D" w:rsidRPr="001E7725" w:rsidRDefault="00C3446D" w:rsidP="001E7725">
      <w:pPr>
        <w:pStyle w:val="FootnoteText"/>
        <w:spacing w:before="0" w:after="0" w:line="240" w:lineRule="auto"/>
      </w:pPr>
      <w:r w:rsidRPr="001E7725">
        <w:rPr>
          <w:rStyle w:val="FootnoteReference"/>
        </w:rPr>
        <w:footnoteRef/>
      </w:r>
      <w:r w:rsidRPr="001E7725">
        <w:t xml:space="preserve"> </w:t>
      </w:r>
      <w:hyperlink r:id="rId9" w:history="1">
        <w:r w:rsidRPr="001E7725">
          <w:rPr>
            <w:rStyle w:val="Hyperlink"/>
          </w:rPr>
          <w:t>https://www.usaid.gov/georgia/environment</w:t>
        </w:r>
      </w:hyperlink>
      <w:r w:rsidRPr="001E7725">
        <w:t xml:space="preserve"> </w:t>
      </w:r>
    </w:p>
  </w:footnote>
  <w:footnote w:id="17">
    <w:p w14:paraId="43CA3B9D" w14:textId="77777777" w:rsidR="00C3446D" w:rsidRPr="001E7725" w:rsidRDefault="00C3446D" w:rsidP="001E7725">
      <w:pPr>
        <w:pStyle w:val="FootnoteText"/>
        <w:spacing w:before="0" w:after="0" w:line="240" w:lineRule="auto"/>
      </w:pPr>
      <w:r w:rsidRPr="001E7725">
        <w:rPr>
          <w:rStyle w:val="FootnoteReference"/>
        </w:rPr>
        <w:footnoteRef/>
      </w:r>
      <w:r w:rsidRPr="001E7725">
        <w:t xml:space="preserve"> </w:t>
      </w:r>
      <w:hyperlink r:id="rId10" w:history="1">
        <w:r w:rsidRPr="001E7725">
          <w:rPr>
            <w:rStyle w:val="Hyperlink"/>
          </w:rPr>
          <w:t>http://www.mitigationmomentum.org/partner_countries_georgia.html</w:t>
        </w:r>
      </w:hyperlink>
      <w:r w:rsidRPr="001E7725">
        <w:t xml:space="preserve"> </w:t>
      </w:r>
    </w:p>
  </w:footnote>
  <w:footnote w:id="18">
    <w:p w14:paraId="405DD365" w14:textId="77777777" w:rsidR="00C3446D" w:rsidRPr="001E7725" w:rsidRDefault="00C3446D" w:rsidP="001E7725">
      <w:pPr>
        <w:autoSpaceDE w:val="0"/>
        <w:autoSpaceDN w:val="0"/>
        <w:adjustRightInd w:val="0"/>
        <w:spacing w:before="0" w:after="0"/>
        <w:rPr>
          <w:sz w:val="20"/>
        </w:rPr>
      </w:pPr>
      <w:r w:rsidRPr="001E7725">
        <w:rPr>
          <w:rStyle w:val="FootnoteReference"/>
        </w:rPr>
        <w:footnoteRef/>
      </w:r>
      <w:r w:rsidRPr="001E7725">
        <w:rPr>
          <w:sz w:val="20"/>
        </w:rPr>
        <w:t xml:space="preserve"> Georgia’s Third Communication to UNFCCC. December, 2015.</w:t>
      </w:r>
    </w:p>
  </w:footnote>
  <w:footnote w:id="19">
    <w:p w14:paraId="6A83AFF7" w14:textId="77777777" w:rsidR="00C3446D" w:rsidRPr="007616C7" w:rsidRDefault="00C3446D" w:rsidP="005F3E0C">
      <w:pPr>
        <w:pStyle w:val="FootnoteText"/>
        <w:spacing w:before="0" w:after="0"/>
        <w:ind w:left="562" w:hanging="562"/>
        <w:rPr>
          <w:lang w:val="en-US"/>
        </w:rPr>
      </w:pPr>
      <w:r>
        <w:rPr>
          <w:rStyle w:val="FootnoteReference"/>
        </w:rPr>
        <w:footnoteRef/>
      </w:r>
      <w:r>
        <w:t xml:space="preserve"> </w:t>
      </w:r>
      <w:hyperlink r:id="rId11" w:history="1">
        <w:r w:rsidRPr="00A511D7">
          <w:rPr>
            <w:rStyle w:val="Hyperlink"/>
            <w:bCs/>
            <w:sz w:val="18"/>
            <w:szCs w:val="18"/>
          </w:rPr>
          <w:t>http://iet.jrc.ec.europa.eu/energyefficiency/covenant-mayors/sustainable-energy-action-plans</w:t>
        </w:r>
      </w:hyperlink>
    </w:p>
  </w:footnote>
  <w:footnote w:id="20">
    <w:p w14:paraId="5902949C" w14:textId="77777777" w:rsidR="00C3446D" w:rsidRPr="00EA08A7" w:rsidRDefault="00C3446D" w:rsidP="0065180A">
      <w:pPr>
        <w:pStyle w:val="FootnoteText"/>
        <w:spacing w:before="0" w:after="0" w:line="240" w:lineRule="auto"/>
        <w:ind w:left="0" w:firstLine="0"/>
        <w:rPr>
          <w:lang w:val="en-US"/>
        </w:rPr>
      </w:pPr>
      <w:r>
        <w:rPr>
          <w:rStyle w:val="FootnoteReference"/>
        </w:rPr>
        <w:footnoteRef/>
      </w:r>
      <w:r>
        <w:t xml:space="preserve"> Based on </w:t>
      </w:r>
      <w:r>
        <w:rPr>
          <w:lang w:val="en-US"/>
        </w:rPr>
        <w:t>World Bank studies/investment projects in Armenia, Bosnia &amp; Herzegovina, Kosovo, FYR Macedonia, Serbia and other countries. Georgia which has cheaper natural gas prices, lower cost hydro-based electricity, and a prevalence of wood-based heating may thus have higher payback periods requiring longer-term financing.</w:t>
      </w:r>
    </w:p>
  </w:footnote>
  <w:footnote w:id="21">
    <w:p w14:paraId="530C0481" w14:textId="77777777" w:rsidR="00C3446D" w:rsidRPr="008170ED" w:rsidRDefault="00C3446D" w:rsidP="00E52706">
      <w:pPr>
        <w:pStyle w:val="FootnoteText"/>
        <w:spacing w:before="0" w:after="0" w:line="240" w:lineRule="auto"/>
        <w:ind w:left="180" w:hanging="180"/>
        <w:jc w:val="left"/>
        <w:rPr>
          <w:lang w:val="en-US"/>
        </w:rPr>
      </w:pPr>
      <w:r>
        <w:rPr>
          <w:rStyle w:val="FootnoteReference"/>
        </w:rPr>
        <w:footnoteRef/>
      </w:r>
      <w:r>
        <w:t xml:space="preserve"> </w:t>
      </w:r>
      <w:r w:rsidRPr="008170ED">
        <w:rPr>
          <w:lang w:val="en-US"/>
        </w:rPr>
        <w:t>GEDF is a joint stock company established by Government of Georgia</w:t>
      </w:r>
      <w:r>
        <w:rPr>
          <w:lang w:val="en-US"/>
        </w:rPr>
        <w:t xml:space="preserve"> in 2010 </w:t>
      </w:r>
      <w:r w:rsidRPr="008170ED">
        <w:rPr>
          <w:lang w:val="en-US"/>
        </w:rPr>
        <w:t>to promote and develop clean energy projects in the country</w:t>
      </w:r>
      <w:r>
        <w:rPr>
          <w:lang w:val="en-US"/>
        </w:rPr>
        <w:t xml:space="preserve">. </w:t>
      </w:r>
      <w:r w:rsidRPr="008170ED">
        <w:t>GEDF supports clean energy project development either though early project development investment and/or through an offering of the government’s shares in GEDF to potential investors</w:t>
      </w:r>
      <w:r>
        <w:t>.</w:t>
      </w:r>
    </w:p>
  </w:footnote>
  <w:footnote w:id="22">
    <w:p w14:paraId="0F15AEEB" w14:textId="77777777" w:rsidR="00C3446D" w:rsidRPr="00C03AA8" w:rsidRDefault="00C3446D" w:rsidP="007B43AF">
      <w:pPr>
        <w:pStyle w:val="FootnoteText"/>
        <w:spacing w:before="0" w:after="0" w:line="240" w:lineRule="auto"/>
        <w:ind w:left="180" w:hanging="180"/>
      </w:pPr>
      <w:r w:rsidRPr="00C03AA8">
        <w:rPr>
          <w:rStyle w:val="FootnoteReference"/>
        </w:rPr>
        <w:footnoteRef/>
      </w:r>
      <w:r w:rsidRPr="00C03AA8">
        <w:t xml:space="preserve">The Consortium includes </w:t>
      </w:r>
      <w:r>
        <w:t>an EE</w:t>
      </w:r>
      <w:r w:rsidRPr="00C03AA8">
        <w:t xml:space="preserve"> consultancy </w:t>
      </w:r>
      <w:hyperlink r:id="rId12" w:history="1">
        <w:r>
          <w:t>(</w:t>
        </w:r>
        <w:r w:rsidRPr="00C03AA8">
          <w:t>Econoler International</w:t>
        </w:r>
        <w:r>
          <w:t>)</w:t>
        </w:r>
      </w:hyperlink>
      <w:r>
        <w:t>, a</w:t>
      </w:r>
      <w:r w:rsidRPr="00C03AA8">
        <w:t xml:space="preserve"> </w:t>
      </w:r>
      <w:hyperlink r:id="rId13" w:history="1">
        <w:r>
          <w:t>Foundation (</w:t>
        </w:r>
        <w:r w:rsidRPr="00C03AA8">
          <w:t>Center for Energy Efficiency EnEffect</w:t>
        </w:r>
        <w:r>
          <w:t>)</w:t>
        </w:r>
      </w:hyperlink>
      <w:r>
        <w:t>,</w:t>
      </w:r>
      <w:r w:rsidRPr="00C03AA8">
        <w:t xml:space="preserve"> and </w:t>
      </w:r>
      <w:r>
        <w:t xml:space="preserve">a </w:t>
      </w:r>
      <w:r w:rsidRPr="00C03AA8">
        <w:t xml:space="preserve">non-banking financial institution </w:t>
      </w:r>
      <w:hyperlink r:id="rId14" w:history="1">
        <w:r>
          <w:t>(</w:t>
        </w:r>
        <w:r w:rsidRPr="00C03AA8">
          <w:t>Elana Holding PLC</w:t>
        </w:r>
      </w:hyperlink>
      <w:r>
        <w:t>)</w:t>
      </w:r>
      <w:r w:rsidRPr="00334C55">
        <w:t>.</w:t>
      </w:r>
    </w:p>
  </w:footnote>
  <w:footnote w:id="23">
    <w:p w14:paraId="4DE42FFB" w14:textId="77777777" w:rsidR="00C3446D" w:rsidRPr="002402A5" w:rsidRDefault="00C3446D" w:rsidP="00B25A44">
      <w:pPr>
        <w:pStyle w:val="FootnoteText"/>
        <w:spacing w:before="0" w:after="0" w:line="240" w:lineRule="auto"/>
        <w:ind w:left="0" w:firstLine="0"/>
        <w:jc w:val="left"/>
        <w:rPr>
          <w:lang w:val="en-US"/>
        </w:rPr>
      </w:pPr>
      <w:r w:rsidRPr="00C50BF6">
        <w:rPr>
          <w:rStyle w:val="FootnoteReference"/>
        </w:rPr>
        <w:footnoteRef/>
      </w:r>
      <w:r>
        <w:t xml:space="preserve"> </w:t>
      </w:r>
      <w:r w:rsidRPr="002402A5">
        <w:t xml:space="preserve">A Super ESCO may also be established by a private sector organization, an NGO or as a </w:t>
      </w:r>
      <w:r>
        <w:t>PPP.</w:t>
      </w:r>
    </w:p>
  </w:footnote>
  <w:footnote w:id="24">
    <w:p w14:paraId="46119C61" w14:textId="77777777" w:rsidR="00C3446D" w:rsidRPr="00C50BF6" w:rsidRDefault="00C3446D" w:rsidP="00B25A44">
      <w:pPr>
        <w:pStyle w:val="FootnoteText"/>
        <w:tabs>
          <w:tab w:val="left" w:pos="-90"/>
        </w:tabs>
        <w:spacing w:before="0" w:after="0" w:line="240" w:lineRule="auto"/>
        <w:ind w:left="0" w:firstLine="0"/>
        <w:jc w:val="left"/>
        <w:rPr>
          <w:lang w:val="en-US"/>
        </w:rPr>
      </w:pPr>
      <w:r w:rsidRPr="00C50BF6">
        <w:rPr>
          <w:rStyle w:val="FootnoteReference"/>
        </w:rPr>
        <w:footnoteRef/>
      </w:r>
      <w:r w:rsidRPr="00C50BF6">
        <w:rPr>
          <w:vertAlign w:val="superscript"/>
        </w:rPr>
        <w:t xml:space="preserve"> </w:t>
      </w:r>
      <w:r w:rsidRPr="00C50BF6">
        <w:t>The discussion in this section is extracted from Limaye</w:t>
      </w:r>
      <w:r>
        <w:t xml:space="preserve"> and Limaye</w:t>
      </w:r>
      <w:r w:rsidRPr="00C50BF6">
        <w:t xml:space="preserve"> 2011.</w:t>
      </w:r>
    </w:p>
  </w:footnote>
  <w:footnote w:id="25">
    <w:p w14:paraId="2CA91A2B" w14:textId="77777777" w:rsidR="00C3446D" w:rsidRDefault="00C3446D" w:rsidP="003F2954">
      <w:pPr>
        <w:pStyle w:val="FootnoteText"/>
        <w:spacing w:before="0" w:after="0" w:line="240" w:lineRule="auto"/>
        <w:ind w:left="0" w:firstLine="0"/>
      </w:pPr>
      <w:r>
        <w:rPr>
          <w:rStyle w:val="FootnoteReference"/>
        </w:rPr>
        <w:footnoteRef/>
      </w:r>
      <w:r>
        <w:t xml:space="preserve"> In a</w:t>
      </w:r>
      <w:r w:rsidRPr="00440BC6">
        <w:t xml:space="preserve"> </w:t>
      </w:r>
      <w:r w:rsidRPr="000424F1">
        <w:rPr>
          <w:i/>
        </w:rPr>
        <w:t>subordinated recovery guarantee</w:t>
      </w:r>
      <w:r>
        <w:t>,</w:t>
      </w:r>
      <w:r w:rsidRPr="00440BC6">
        <w:t xml:space="preserve"> the</w:t>
      </w:r>
      <w:r>
        <w:t xml:space="preserve"> </w:t>
      </w:r>
      <w:r w:rsidRPr="00440BC6">
        <w:t>guarantor ranks behind other lenders in</w:t>
      </w:r>
      <w:r>
        <w:t xml:space="preserve"> the</w:t>
      </w:r>
      <w:r w:rsidRPr="00440BC6">
        <w:t xml:space="preserve"> recovery of the guarantee funds it pa</w:t>
      </w:r>
      <w:r>
        <w:t>ys</w:t>
      </w:r>
      <w:r w:rsidRPr="00440BC6">
        <w:t xml:space="preserve"> out in case the borrower defaults on</w:t>
      </w:r>
      <w:r>
        <w:t xml:space="preserve"> </w:t>
      </w:r>
      <w:r w:rsidRPr="00440BC6">
        <w:t xml:space="preserve">the loan. </w:t>
      </w:r>
      <w:r>
        <w:t>This allows</w:t>
      </w:r>
      <w:r w:rsidRPr="00440BC6">
        <w:t xml:space="preserve"> lenders to </w:t>
      </w:r>
      <w:r>
        <w:t xml:space="preserve">offer better loan terms, such as </w:t>
      </w:r>
      <w:r w:rsidRPr="00440BC6">
        <w:t>lower interest rates</w:t>
      </w:r>
      <w:r>
        <w:t xml:space="preserve"> or longer tenors.</w:t>
      </w:r>
      <w:r w:rsidRPr="00440BC6">
        <w:t xml:space="preserve"> A subordination provision </w:t>
      </w:r>
      <w:r>
        <w:t xml:space="preserve">may be useful, for example, </w:t>
      </w:r>
      <w:r w:rsidRPr="00440BC6">
        <w:t xml:space="preserve">when interest rates are </w:t>
      </w:r>
      <w:r>
        <w:t>high</w:t>
      </w:r>
      <w:r w:rsidRPr="00440BC6">
        <w:t xml:space="preserve"> due to</w:t>
      </w:r>
      <w:r>
        <w:t xml:space="preserve"> </w:t>
      </w:r>
      <w:r w:rsidRPr="00440BC6">
        <w:t xml:space="preserve">higher perceived </w:t>
      </w:r>
      <w:r w:rsidRPr="00F50FA4">
        <w:t>risk</w:t>
      </w:r>
      <w:r w:rsidRPr="00440BC6">
        <w:t xml:space="preserve">, </w:t>
      </w:r>
      <w:r>
        <w:t>or i</w:t>
      </w:r>
      <w:r w:rsidRPr="00440BC6">
        <w:t xml:space="preserve">f a new technology </w:t>
      </w:r>
      <w:r>
        <w:t>with limited operational experience is being deployed.</w:t>
      </w:r>
    </w:p>
  </w:footnote>
  <w:footnote w:id="26">
    <w:p w14:paraId="6E5DB0CB" w14:textId="77777777" w:rsidR="00C3446D" w:rsidRDefault="00C3446D" w:rsidP="003F2954">
      <w:pPr>
        <w:pStyle w:val="FootnoteText"/>
        <w:spacing w:before="0" w:after="0" w:line="240" w:lineRule="auto"/>
        <w:ind w:left="0" w:firstLine="0"/>
      </w:pPr>
      <w:r>
        <w:rPr>
          <w:rStyle w:val="FootnoteReference"/>
        </w:rPr>
        <w:footnoteRef/>
      </w:r>
      <w:r>
        <w:t xml:space="preserve">In the event of a loan default, a </w:t>
      </w:r>
      <w:r w:rsidRPr="000424F1">
        <w:rPr>
          <w:i/>
        </w:rPr>
        <w:t>first</w:t>
      </w:r>
      <w:r>
        <w:rPr>
          <w:i/>
        </w:rPr>
        <w:t>-</w:t>
      </w:r>
      <w:r w:rsidRPr="000424F1">
        <w:rPr>
          <w:i/>
        </w:rPr>
        <w:t>loss reserve</w:t>
      </w:r>
      <w:r>
        <w:t xml:space="preserve"> pays for all losses incurred until the maximum first-loss reserve amount is exhausted. The lender incurs losses only if the total loan loss exceeds the first-loss amount. By covering all or a large share of first losses and sizing the definition of first losses to be a reasonable proportion of the loan portfolio (usually higher than the estimated default or loss rate), a first-loss reserve can provide meaningful risk coverage to the lender, but with a low level of total guarantee liability relative to the total size of the portfolio.</w:t>
      </w:r>
    </w:p>
  </w:footnote>
  <w:footnote w:id="27">
    <w:p w14:paraId="1B545F66" w14:textId="77777777" w:rsidR="00C3446D" w:rsidRDefault="00C3446D" w:rsidP="006F6392">
      <w:pPr>
        <w:pStyle w:val="FootnoteText"/>
        <w:spacing w:before="0" w:after="0" w:line="240" w:lineRule="auto"/>
        <w:ind w:left="0" w:firstLine="0"/>
      </w:pPr>
      <w:r>
        <w:rPr>
          <w:rStyle w:val="FootnoteReference"/>
        </w:rPr>
        <w:footnoteRef/>
      </w:r>
      <w:r>
        <w:t xml:space="preserve"> The residential portfolio guarantee was not used. The available funds were committed to the ESCO portfolio guarantees. </w:t>
      </w:r>
    </w:p>
  </w:footnote>
  <w:footnote w:id="28">
    <w:p w14:paraId="0EDC8514" w14:textId="77777777" w:rsidR="00C3446D" w:rsidRPr="0073541C" w:rsidRDefault="00C3446D" w:rsidP="006F6392">
      <w:pPr>
        <w:pStyle w:val="FootnoteText"/>
        <w:spacing w:before="0" w:after="0" w:line="240" w:lineRule="auto"/>
        <w:ind w:left="0" w:firstLine="0"/>
      </w:pPr>
      <w:r>
        <w:rPr>
          <w:rStyle w:val="FootnoteReference"/>
        </w:rPr>
        <w:footnoteRef/>
      </w:r>
      <w:r>
        <w:t xml:space="preserve"> </w:t>
      </w:r>
      <w:r w:rsidRPr="0073541C">
        <w:t>The original creditor (the ES</w:t>
      </w:r>
      <w:r>
        <w:t>P</w:t>
      </w:r>
      <w:r w:rsidRPr="0073541C">
        <w:t xml:space="preserve">) cedes his claims </w:t>
      </w:r>
      <w:r>
        <w:t xml:space="preserve">to future revenues from the project </w:t>
      </w:r>
      <w:r w:rsidRPr="0073541C">
        <w:t xml:space="preserve">and the new creditor (the FI) gains the right to claim </w:t>
      </w:r>
      <w:r>
        <w:t xml:space="preserve">these </w:t>
      </w:r>
      <w:r w:rsidRPr="0073541C">
        <w:t>future receivables from the debtor (the client). The ES</w:t>
      </w:r>
      <w:r>
        <w:t xml:space="preserve">P receives a </w:t>
      </w:r>
      <w:r w:rsidRPr="0073541C">
        <w:t xml:space="preserve">discounted one-time payment </w:t>
      </w:r>
      <w:r>
        <w:t xml:space="preserve">from the FI that then allows it to invest in new energy savings performance contract (ESPC) projects.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A0C82" w14:textId="0148AFA2" w:rsidR="00C3446D" w:rsidRDefault="00C3446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12AB1" w14:textId="551AF8FB" w:rsidR="00C3446D" w:rsidRDefault="00C3446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74A11" w14:textId="4FF38699" w:rsidR="00C3446D" w:rsidRDefault="00C3446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C7110" w14:textId="3CB391F7" w:rsidR="00C3446D" w:rsidRDefault="00C3446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283DC" w14:textId="51B4374D" w:rsidR="00C3446D" w:rsidRDefault="00C3446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232D6" w14:textId="4C7F7B91" w:rsidR="00C3446D" w:rsidRDefault="00C3446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6F154" w14:textId="4EDC9756" w:rsidR="00C3446D" w:rsidRDefault="00C3446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9082E" w14:textId="09BA65B5" w:rsidR="00C3446D" w:rsidRDefault="00C344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52843" w14:textId="5C8683A9" w:rsidR="00C3446D" w:rsidRDefault="00C344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AFCBB" w14:textId="241629A7" w:rsidR="00C3446D" w:rsidRDefault="00C3446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23847" w14:textId="56013765" w:rsidR="00C3446D" w:rsidRDefault="00C3446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EFB14" w14:textId="07B7004D" w:rsidR="00C3446D" w:rsidRPr="009577B1" w:rsidRDefault="00C3446D" w:rsidP="009577B1">
    <w:pPr>
      <w:pStyle w:val="Header"/>
      <w:pBdr>
        <w:bottom w:val="single" w:sz="4" w:space="1" w:color="auto"/>
      </w:pBdr>
      <w:jc w:val="center"/>
      <w:rPr>
        <w:rFonts w:ascii="Times New Roman" w:hAnsi="Times New Roman"/>
        <w:b/>
        <w:i/>
        <w:sz w:val="20"/>
      </w:rPr>
    </w:pPr>
    <w:r>
      <w:rPr>
        <w:rFonts w:ascii="Times New Roman" w:hAnsi="Times New Roman"/>
        <w:b/>
        <w:i/>
        <w:sz w:val="20"/>
      </w:rPr>
      <w:t>Options for Financing Energy Efficiency in Public Buildings in Georgia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6911A" w14:textId="2F75D1DF" w:rsidR="00C3446D" w:rsidRDefault="00C3446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1565C" w14:textId="35E2B3DD" w:rsidR="00C3446D" w:rsidRDefault="00C3446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14FC6" w14:textId="12933EF3" w:rsidR="00C3446D" w:rsidRDefault="00C3446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CA2B6" w14:textId="06CE8AE8" w:rsidR="00C3446D" w:rsidRDefault="00C344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332DC"/>
    <w:multiLevelType w:val="hybridMultilevel"/>
    <w:tmpl w:val="5C942622"/>
    <w:lvl w:ilvl="0" w:tplc="DB4EB9AC">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F5F63"/>
    <w:multiLevelType w:val="hybridMultilevel"/>
    <w:tmpl w:val="4AF02D96"/>
    <w:lvl w:ilvl="0" w:tplc="04090019">
      <w:start w:val="1"/>
      <w:numFmt w:val="lowerLetter"/>
      <w:pStyle w:val="Tabletextbullet8ptsinglespace"/>
      <w:lvlText w:val="%1."/>
      <w:lvlJc w:val="left"/>
      <w:pPr>
        <w:ind w:left="717" w:hanging="360"/>
      </w:pPr>
      <w:rPr>
        <w:rFonts w:cs="Times New Roman"/>
      </w:rPr>
    </w:lvl>
    <w:lvl w:ilvl="1" w:tplc="04090019" w:tentative="1">
      <w:start w:val="1"/>
      <w:numFmt w:val="lowerLetter"/>
      <w:lvlText w:val="%2."/>
      <w:lvlJc w:val="left"/>
      <w:pPr>
        <w:ind w:left="717" w:hanging="360"/>
      </w:pPr>
      <w:rPr>
        <w:rFonts w:cs="Times New Roman"/>
      </w:rPr>
    </w:lvl>
    <w:lvl w:ilvl="2" w:tplc="0409001B" w:tentative="1">
      <w:start w:val="1"/>
      <w:numFmt w:val="lowerRoman"/>
      <w:lvlText w:val="%3."/>
      <w:lvlJc w:val="right"/>
      <w:pPr>
        <w:ind w:left="1437" w:hanging="180"/>
      </w:pPr>
      <w:rPr>
        <w:rFonts w:cs="Times New Roman"/>
      </w:rPr>
    </w:lvl>
    <w:lvl w:ilvl="3" w:tplc="0409000F" w:tentative="1">
      <w:start w:val="1"/>
      <w:numFmt w:val="decimal"/>
      <w:lvlText w:val="%4."/>
      <w:lvlJc w:val="left"/>
      <w:pPr>
        <w:ind w:left="2157" w:hanging="360"/>
      </w:pPr>
      <w:rPr>
        <w:rFonts w:cs="Times New Roman"/>
      </w:rPr>
    </w:lvl>
    <w:lvl w:ilvl="4" w:tplc="04090019" w:tentative="1">
      <w:start w:val="1"/>
      <w:numFmt w:val="lowerLetter"/>
      <w:lvlText w:val="%5."/>
      <w:lvlJc w:val="left"/>
      <w:pPr>
        <w:ind w:left="2877" w:hanging="360"/>
      </w:pPr>
      <w:rPr>
        <w:rFonts w:cs="Times New Roman"/>
      </w:rPr>
    </w:lvl>
    <w:lvl w:ilvl="5" w:tplc="0409001B" w:tentative="1">
      <w:start w:val="1"/>
      <w:numFmt w:val="lowerRoman"/>
      <w:lvlText w:val="%6."/>
      <w:lvlJc w:val="right"/>
      <w:pPr>
        <w:ind w:left="3597" w:hanging="180"/>
      </w:pPr>
      <w:rPr>
        <w:rFonts w:cs="Times New Roman"/>
      </w:rPr>
    </w:lvl>
    <w:lvl w:ilvl="6" w:tplc="0409000F" w:tentative="1">
      <w:start w:val="1"/>
      <w:numFmt w:val="decimal"/>
      <w:lvlText w:val="%7."/>
      <w:lvlJc w:val="left"/>
      <w:pPr>
        <w:ind w:left="4317" w:hanging="360"/>
      </w:pPr>
      <w:rPr>
        <w:rFonts w:cs="Times New Roman"/>
      </w:rPr>
    </w:lvl>
    <w:lvl w:ilvl="7" w:tplc="04090019" w:tentative="1">
      <w:start w:val="1"/>
      <w:numFmt w:val="lowerLetter"/>
      <w:lvlText w:val="%8."/>
      <w:lvlJc w:val="left"/>
      <w:pPr>
        <w:ind w:left="5037" w:hanging="360"/>
      </w:pPr>
      <w:rPr>
        <w:rFonts w:cs="Times New Roman"/>
      </w:rPr>
    </w:lvl>
    <w:lvl w:ilvl="8" w:tplc="0409001B" w:tentative="1">
      <w:start w:val="1"/>
      <w:numFmt w:val="lowerRoman"/>
      <w:lvlText w:val="%9."/>
      <w:lvlJc w:val="right"/>
      <w:pPr>
        <w:ind w:left="5757" w:hanging="180"/>
      </w:pPr>
      <w:rPr>
        <w:rFonts w:cs="Times New Roman"/>
      </w:rPr>
    </w:lvl>
  </w:abstractNum>
  <w:abstractNum w:abstractNumId="2" w15:restartNumberingAfterBreak="0">
    <w:nsid w:val="092B6C0E"/>
    <w:multiLevelType w:val="singleLevel"/>
    <w:tmpl w:val="2B18BD48"/>
    <w:lvl w:ilvl="0">
      <w:numFmt w:val="bullet"/>
      <w:pStyle w:val="BulletedList"/>
      <w:lvlText w:val=""/>
      <w:lvlJc w:val="left"/>
      <w:pPr>
        <w:tabs>
          <w:tab w:val="num" w:pos="1980"/>
        </w:tabs>
        <w:ind w:left="1980" w:hanging="360"/>
      </w:pPr>
      <w:rPr>
        <w:rFonts w:ascii="Symbol" w:hAnsi="Symbol" w:hint="default"/>
        <w:sz w:val="24"/>
      </w:rPr>
    </w:lvl>
  </w:abstractNum>
  <w:abstractNum w:abstractNumId="3" w15:restartNumberingAfterBreak="0">
    <w:nsid w:val="0C4A1E2D"/>
    <w:multiLevelType w:val="hybridMultilevel"/>
    <w:tmpl w:val="4EC07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9A77E0"/>
    <w:multiLevelType w:val="hybridMultilevel"/>
    <w:tmpl w:val="A7D2C216"/>
    <w:lvl w:ilvl="0" w:tplc="EA8EE18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12C841CD"/>
    <w:multiLevelType w:val="hybridMultilevel"/>
    <w:tmpl w:val="5442C08C"/>
    <w:lvl w:ilvl="0" w:tplc="5756E1DE">
      <w:start w:val="1"/>
      <w:numFmt w:val="bullet"/>
      <w:lvlText w:val="•"/>
      <w:lvlJc w:val="left"/>
      <w:pPr>
        <w:tabs>
          <w:tab w:val="num" w:pos="720"/>
        </w:tabs>
        <w:ind w:left="720" w:hanging="360"/>
      </w:pPr>
      <w:rPr>
        <w:rFonts w:ascii="Times New Roman" w:hAnsi="Times New Roman" w:hint="default"/>
      </w:rPr>
    </w:lvl>
    <w:lvl w:ilvl="1" w:tplc="B606AF14" w:tentative="1">
      <w:start w:val="1"/>
      <w:numFmt w:val="bullet"/>
      <w:lvlText w:val="•"/>
      <w:lvlJc w:val="left"/>
      <w:pPr>
        <w:tabs>
          <w:tab w:val="num" w:pos="1440"/>
        </w:tabs>
        <w:ind w:left="1440" w:hanging="360"/>
      </w:pPr>
      <w:rPr>
        <w:rFonts w:ascii="Times New Roman" w:hAnsi="Times New Roman" w:hint="default"/>
      </w:rPr>
    </w:lvl>
    <w:lvl w:ilvl="2" w:tplc="130AED84" w:tentative="1">
      <w:start w:val="1"/>
      <w:numFmt w:val="bullet"/>
      <w:lvlText w:val="•"/>
      <w:lvlJc w:val="left"/>
      <w:pPr>
        <w:tabs>
          <w:tab w:val="num" w:pos="2160"/>
        </w:tabs>
        <w:ind w:left="2160" w:hanging="360"/>
      </w:pPr>
      <w:rPr>
        <w:rFonts w:ascii="Times New Roman" w:hAnsi="Times New Roman" w:hint="default"/>
      </w:rPr>
    </w:lvl>
    <w:lvl w:ilvl="3" w:tplc="6C00DE4A" w:tentative="1">
      <w:start w:val="1"/>
      <w:numFmt w:val="bullet"/>
      <w:lvlText w:val="•"/>
      <w:lvlJc w:val="left"/>
      <w:pPr>
        <w:tabs>
          <w:tab w:val="num" w:pos="2880"/>
        </w:tabs>
        <w:ind w:left="2880" w:hanging="360"/>
      </w:pPr>
      <w:rPr>
        <w:rFonts w:ascii="Times New Roman" w:hAnsi="Times New Roman" w:hint="default"/>
      </w:rPr>
    </w:lvl>
    <w:lvl w:ilvl="4" w:tplc="6A781AA2" w:tentative="1">
      <w:start w:val="1"/>
      <w:numFmt w:val="bullet"/>
      <w:lvlText w:val="•"/>
      <w:lvlJc w:val="left"/>
      <w:pPr>
        <w:tabs>
          <w:tab w:val="num" w:pos="3600"/>
        </w:tabs>
        <w:ind w:left="3600" w:hanging="360"/>
      </w:pPr>
      <w:rPr>
        <w:rFonts w:ascii="Times New Roman" w:hAnsi="Times New Roman" w:hint="default"/>
      </w:rPr>
    </w:lvl>
    <w:lvl w:ilvl="5" w:tplc="192E523A" w:tentative="1">
      <w:start w:val="1"/>
      <w:numFmt w:val="bullet"/>
      <w:lvlText w:val="•"/>
      <w:lvlJc w:val="left"/>
      <w:pPr>
        <w:tabs>
          <w:tab w:val="num" w:pos="4320"/>
        </w:tabs>
        <w:ind w:left="4320" w:hanging="360"/>
      </w:pPr>
      <w:rPr>
        <w:rFonts w:ascii="Times New Roman" w:hAnsi="Times New Roman" w:hint="default"/>
      </w:rPr>
    </w:lvl>
    <w:lvl w:ilvl="6" w:tplc="FABC9058" w:tentative="1">
      <w:start w:val="1"/>
      <w:numFmt w:val="bullet"/>
      <w:lvlText w:val="•"/>
      <w:lvlJc w:val="left"/>
      <w:pPr>
        <w:tabs>
          <w:tab w:val="num" w:pos="5040"/>
        </w:tabs>
        <w:ind w:left="5040" w:hanging="360"/>
      </w:pPr>
      <w:rPr>
        <w:rFonts w:ascii="Times New Roman" w:hAnsi="Times New Roman" w:hint="default"/>
      </w:rPr>
    </w:lvl>
    <w:lvl w:ilvl="7" w:tplc="251E6936" w:tentative="1">
      <w:start w:val="1"/>
      <w:numFmt w:val="bullet"/>
      <w:lvlText w:val="•"/>
      <w:lvlJc w:val="left"/>
      <w:pPr>
        <w:tabs>
          <w:tab w:val="num" w:pos="5760"/>
        </w:tabs>
        <w:ind w:left="5760" w:hanging="360"/>
      </w:pPr>
      <w:rPr>
        <w:rFonts w:ascii="Times New Roman" w:hAnsi="Times New Roman" w:hint="default"/>
      </w:rPr>
    </w:lvl>
    <w:lvl w:ilvl="8" w:tplc="D6B473D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37F2280"/>
    <w:multiLevelType w:val="multilevel"/>
    <w:tmpl w:val="5E4039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8577458"/>
    <w:multiLevelType w:val="hybridMultilevel"/>
    <w:tmpl w:val="4F8E7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5350E"/>
    <w:multiLevelType w:val="hybridMultilevel"/>
    <w:tmpl w:val="4014BB6C"/>
    <w:name w:val="Liste titres 1-2-32222"/>
    <w:lvl w:ilvl="0" w:tplc="D246561E">
      <w:start w:val="1"/>
      <w:numFmt w:val="decimal"/>
      <w:pStyle w:val="EcoNumberedList"/>
      <w:lvlText w:val="%1"/>
      <w:lvlJc w:val="left"/>
      <w:pPr>
        <w:ind w:left="1571" w:hanging="360"/>
      </w:pPr>
      <w:rPr>
        <w:rFonts w:ascii="Arial" w:hAnsi="Arial" w:cs="Arial" w:hint="default"/>
        <w:b w:val="0"/>
        <w:i w:val="0"/>
        <w:caps w:val="0"/>
        <w:color w:val="auto"/>
        <w:sz w:val="22"/>
        <w:szCs w:val="22"/>
      </w:rPr>
    </w:lvl>
    <w:lvl w:ilvl="1" w:tplc="0C0C0019" w:tentative="1">
      <w:start w:val="1"/>
      <w:numFmt w:val="lowerLetter"/>
      <w:lvlText w:val="%2."/>
      <w:lvlJc w:val="left"/>
      <w:pPr>
        <w:ind w:left="2291" w:hanging="360"/>
      </w:pPr>
    </w:lvl>
    <w:lvl w:ilvl="2" w:tplc="0C0C001B" w:tentative="1">
      <w:start w:val="1"/>
      <w:numFmt w:val="lowerRoman"/>
      <w:lvlText w:val="%3."/>
      <w:lvlJc w:val="right"/>
      <w:pPr>
        <w:ind w:left="3011" w:hanging="180"/>
      </w:pPr>
    </w:lvl>
    <w:lvl w:ilvl="3" w:tplc="0C0C000F" w:tentative="1">
      <w:start w:val="1"/>
      <w:numFmt w:val="decimal"/>
      <w:lvlText w:val="%4."/>
      <w:lvlJc w:val="left"/>
      <w:pPr>
        <w:ind w:left="3731" w:hanging="360"/>
      </w:pPr>
    </w:lvl>
    <w:lvl w:ilvl="4" w:tplc="0C0C0019" w:tentative="1">
      <w:start w:val="1"/>
      <w:numFmt w:val="lowerLetter"/>
      <w:lvlText w:val="%5."/>
      <w:lvlJc w:val="left"/>
      <w:pPr>
        <w:ind w:left="4451" w:hanging="360"/>
      </w:pPr>
    </w:lvl>
    <w:lvl w:ilvl="5" w:tplc="0C0C001B" w:tentative="1">
      <w:start w:val="1"/>
      <w:numFmt w:val="lowerRoman"/>
      <w:lvlText w:val="%6."/>
      <w:lvlJc w:val="right"/>
      <w:pPr>
        <w:ind w:left="5171" w:hanging="180"/>
      </w:pPr>
    </w:lvl>
    <w:lvl w:ilvl="6" w:tplc="0C0C000F" w:tentative="1">
      <w:start w:val="1"/>
      <w:numFmt w:val="decimal"/>
      <w:lvlText w:val="%7."/>
      <w:lvlJc w:val="left"/>
      <w:pPr>
        <w:ind w:left="5891" w:hanging="360"/>
      </w:pPr>
    </w:lvl>
    <w:lvl w:ilvl="7" w:tplc="0C0C0019" w:tentative="1">
      <w:start w:val="1"/>
      <w:numFmt w:val="lowerLetter"/>
      <w:lvlText w:val="%8."/>
      <w:lvlJc w:val="left"/>
      <w:pPr>
        <w:ind w:left="6611" w:hanging="360"/>
      </w:pPr>
    </w:lvl>
    <w:lvl w:ilvl="8" w:tplc="0C0C001B" w:tentative="1">
      <w:start w:val="1"/>
      <w:numFmt w:val="lowerRoman"/>
      <w:lvlText w:val="%9."/>
      <w:lvlJc w:val="right"/>
      <w:pPr>
        <w:ind w:left="7331" w:hanging="180"/>
      </w:pPr>
    </w:lvl>
  </w:abstractNum>
  <w:abstractNum w:abstractNumId="9" w15:restartNumberingAfterBreak="0">
    <w:nsid w:val="1AAB596B"/>
    <w:multiLevelType w:val="hybridMultilevel"/>
    <w:tmpl w:val="67CA4EDC"/>
    <w:lvl w:ilvl="0" w:tplc="E6DE82DE">
      <w:start w:val="1"/>
      <w:numFmt w:val="bullet"/>
      <w:lvlText w:val="•"/>
      <w:lvlJc w:val="left"/>
      <w:pPr>
        <w:tabs>
          <w:tab w:val="num" w:pos="720"/>
        </w:tabs>
        <w:ind w:left="720" w:hanging="360"/>
      </w:pPr>
      <w:rPr>
        <w:rFonts w:ascii="Arial" w:hAnsi="Arial" w:hint="default"/>
      </w:rPr>
    </w:lvl>
    <w:lvl w:ilvl="1" w:tplc="EA4ACBB6" w:tentative="1">
      <w:start w:val="1"/>
      <w:numFmt w:val="bullet"/>
      <w:lvlText w:val="•"/>
      <w:lvlJc w:val="left"/>
      <w:pPr>
        <w:tabs>
          <w:tab w:val="num" w:pos="1440"/>
        </w:tabs>
        <w:ind w:left="1440" w:hanging="360"/>
      </w:pPr>
      <w:rPr>
        <w:rFonts w:ascii="Arial" w:hAnsi="Arial" w:hint="default"/>
      </w:rPr>
    </w:lvl>
    <w:lvl w:ilvl="2" w:tplc="9FCCE808" w:tentative="1">
      <w:start w:val="1"/>
      <w:numFmt w:val="bullet"/>
      <w:lvlText w:val="•"/>
      <w:lvlJc w:val="left"/>
      <w:pPr>
        <w:tabs>
          <w:tab w:val="num" w:pos="2160"/>
        </w:tabs>
        <w:ind w:left="2160" w:hanging="360"/>
      </w:pPr>
      <w:rPr>
        <w:rFonts w:ascii="Arial" w:hAnsi="Arial" w:hint="default"/>
      </w:rPr>
    </w:lvl>
    <w:lvl w:ilvl="3" w:tplc="28C44328" w:tentative="1">
      <w:start w:val="1"/>
      <w:numFmt w:val="bullet"/>
      <w:lvlText w:val="•"/>
      <w:lvlJc w:val="left"/>
      <w:pPr>
        <w:tabs>
          <w:tab w:val="num" w:pos="2880"/>
        </w:tabs>
        <w:ind w:left="2880" w:hanging="360"/>
      </w:pPr>
      <w:rPr>
        <w:rFonts w:ascii="Arial" w:hAnsi="Arial" w:hint="default"/>
      </w:rPr>
    </w:lvl>
    <w:lvl w:ilvl="4" w:tplc="E9F05BEC" w:tentative="1">
      <w:start w:val="1"/>
      <w:numFmt w:val="bullet"/>
      <w:lvlText w:val="•"/>
      <w:lvlJc w:val="left"/>
      <w:pPr>
        <w:tabs>
          <w:tab w:val="num" w:pos="3600"/>
        </w:tabs>
        <w:ind w:left="3600" w:hanging="360"/>
      </w:pPr>
      <w:rPr>
        <w:rFonts w:ascii="Arial" w:hAnsi="Arial" w:hint="default"/>
      </w:rPr>
    </w:lvl>
    <w:lvl w:ilvl="5" w:tplc="C1B02AAE" w:tentative="1">
      <w:start w:val="1"/>
      <w:numFmt w:val="bullet"/>
      <w:lvlText w:val="•"/>
      <w:lvlJc w:val="left"/>
      <w:pPr>
        <w:tabs>
          <w:tab w:val="num" w:pos="4320"/>
        </w:tabs>
        <w:ind w:left="4320" w:hanging="360"/>
      </w:pPr>
      <w:rPr>
        <w:rFonts w:ascii="Arial" w:hAnsi="Arial" w:hint="default"/>
      </w:rPr>
    </w:lvl>
    <w:lvl w:ilvl="6" w:tplc="D568ADAA" w:tentative="1">
      <w:start w:val="1"/>
      <w:numFmt w:val="bullet"/>
      <w:lvlText w:val="•"/>
      <w:lvlJc w:val="left"/>
      <w:pPr>
        <w:tabs>
          <w:tab w:val="num" w:pos="5040"/>
        </w:tabs>
        <w:ind w:left="5040" w:hanging="360"/>
      </w:pPr>
      <w:rPr>
        <w:rFonts w:ascii="Arial" w:hAnsi="Arial" w:hint="default"/>
      </w:rPr>
    </w:lvl>
    <w:lvl w:ilvl="7" w:tplc="DF4055A6" w:tentative="1">
      <w:start w:val="1"/>
      <w:numFmt w:val="bullet"/>
      <w:lvlText w:val="•"/>
      <w:lvlJc w:val="left"/>
      <w:pPr>
        <w:tabs>
          <w:tab w:val="num" w:pos="5760"/>
        </w:tabs>
        <w:ind w:left="5760" w:hanging="360"/>
      </w:pPr>
      <w:rPr>
        <w:rFonts w:ascii="Arial" w:hAnsi="Arial" w:hint="default"/>
      </w:rPr>
    </w:lvl>
    <w:lvl w:ilvl="8" w:tplc="48928A5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DF167A"/>
    <w:multiLevelType w:val="hybridMultilevel"/>
    <w:tmpl w:val="4D1EEFAE"/>
    <w:lvl w:ilvl="0" w:tplc="04090005">
      <w:start w:val="1"/>
      <w:numFmt w:val="bullet"/>
      <w:lvlText w:val=""/>
      <w:lvlJc w:val="left"/>
      <w:pPr>
        <w:ind w:left="720" w:hanging="360"/>
      </w:pPr>
      <w:rPr>
        <w:rFonts w:ascii="Wingdings" w:hAnsi="Wingdings" w:hint="default"/>
      </w:rPr>
    </w:lvl>
    <w:lvl w:ilvl="1" w:tplc="35D4941A">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6D21C7"/>
    <w:multiLevelType w:val="hybridMultilevel"/>
    <w:tmpl w:val="A52E79AE"/>
    <w:lvl w:ilvl="0" w:tplc="9C445242">
      <w:start w:val="1"/>
      <w:numFmt w:val="bullet"/>
      <w:pStyle w:val="Bulleted"/>
      <w:lvlText w:val=""/>
      <w:lvlJc w:val="left"/>
      <w:pPr>
        <w:ind w:left="1260" w:hanging="360"/>
      </w:pPr>
      <w:rPr>
        <w:rFonts w:ascii="Symbol" w:hAnsi="Symbol" w:hint="default"/>
        <w:sz w:val="24"/>
        <w:szCs w:val="24"/>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49663B"/>
    <w:multiLevelType w:val="hybridMultilevel"/>
    <w:tmpl w:val="5802B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BA443B"/>
    <w:multiLevelType w:val="hybridMultilevel"/>
    <w:tmpl w:val="A44EF796"/>
    <w:lvl w:ilvl="0" w:tplc="E9DAF3E2">
      <w:start w:val="1"/>
      <w:numFmt w:val="bullet"/>
      <w:lvlText w:val="•"/>
      <w:lvlJc w:val="left"/>
      <w:pPr>
        <w:tabs>
          <w:tab w:val="num" w:pos="720"/>
        </w:tabs>
        <w:ind w:left="720" w:hanging="360"/>
      </w:pPr>
      <w:rPr>
        <w:rFonts w:ascii="Times New Roman" w:hAnsi="Times New Roman" w:hint="default"/>
      </w:rPr>
    </w:lvl>
    <w:lvl w:ilvl="1" w:tplc="E82A5B90" w:tentative="1">
      <w:start w:val="1"/>
      <w:numFmt w:val="bullet"/>
      <w:lvlText w:val="•"/>
      <w:lvlJc w:val="left"/>
      <w:pPr>
        <w:tabs>
          <w:tab w:val="num" w:pos="1440"/>
        </w:tabs>
        <w:ind w:left="1440" w:hanging="360"/>
      </w:pPr>
      <w:rPr>
        <w:rFonts w:ascii="Times New Roman" w:hAnsi="Times New Roman" w:hint="default"/>
      </w:rPr>
    </w:lvl>
    <w:lvl w:ilvl="2" w:tplc="0E68ECFA" w:tentative="1">
      <w:start w:val="1"/>
      <w:numFmt w:val="bullet"/>
      <w:lvlText w:val="•"/>
      <w:lvlJc w:val="left"/>
      <w:pPr>
        <w:tabs>
          <w:tab w:val="num" w:pos="2160"/>
        </w:tabs>
        <w:ind w:left="2160" w:hanging="360"/>
      </w:pPr>
      <w:rPr>
        <w:rFonts w:ascii="Times New Roman" w:hAnsi="Times New Roman" w:hint="default"/>
      </w:rPr>
    </w:lvl>
    <w:lvl w:ilvl="3" w:tplc="D728B6CA" w:tentative="1">
      <w:start w:val="1"/>
      <w:numFmt w:val="bullet"/>
      <w:lvlText w:val="•"/>
      <w:lvlJc w:val="left"/>
      <w:pPr>
        <w:tabs>
          <w:tab w:val="num" w:pos="2880"/>
        </w:tabs>
        <w:ind w:left="2880" w:hanging="360"/>
      </w:pPr>
      <w:rPr>
        <w:rFonts w:ascii="Times New Roman" w:hAnsi="Times New Roman" w:hint="default"/>
      </w:rPr>
    </w:lvl>
    <w:lvl w:ilvl="4" w:tplc="D2EAE00C" w:tentative="1">
      <w:start w:val="1"/>
      <w:numFmt w:val="bullet"/>
      <w:lvlText w:val="•"/>
      <w:lvlJc w:val="left"/>
      <w:pPr>
        <w:tabs>
          <w:tab w:val="num" w:pos="3600"/>
        </w:tabs>
        <w:ind w:left="3600" w:hanging="360"/>
      </w:pPr>
      <w:rPr>
        <w:rFonts w:ascii="Times New Roman" w:hAnsi="Times New Roman" w:hint="default"/>
      </w:rPr>
    </w:lvl>
    <w:lvl w:ilvl="5" w:tplc="C5D86298" w:tentative="1">
      <w:start w:val="1"/>
      <w:numFmt w:val="bullet"/>
      <w:lvlText w:val="•"/>
      <w:lvlJc w:val="left"/>
      <w:pPr>
        <w:tabs>
          <w:tab w:val="num" w:pos="4320"/>
        </w:tabs>
        <w:ind w:left="4320" w:hanging="360"/>
      </w:pPr>
      <w:rPr>
        <w:rFonts w:ascii="Times New Roman" w:hAnsi="Times New Roman" w:hint="default"/>
      </w:rPr>
    </w:lvl>
    <w:lvl w:ilvl="6" w:tplc="D8D4B760" w:tentative="1">
      <w:start w:val="1"/>
      <w:numFmt w:val="bullet"/>
      <w:lvlText w:val="•"/>
      <w:lvlJc w:val="left"/>
      <w:pPr>
        <w:tabs>
          <w:tab w:val="num" w:pos="5040"/>
        </w:tabs>
        <w:ind w:left="5040" w:hanging="360"/>
      </w:pPr>
      <w:rPr>
        <w:rFonts w:ascii="Times New Roman" w:hAnsi="Times New Roman" w:hint="default"/>
      </w:rPr>
    </w:lvl>
    <w:lvl w:ilvl="7" w:tplc="4C1AE3FE" w:tentative="1">
      <w:start w:val="1"/>
      <w:numFmt w:val="bullet"/>
      <w:lvlText w:val="•"/>
      <w:lvlJc w:val="left"/>
      <w:pPr>
        <w:tabs>
          <w:tab w:val="num" w:pos="5760"/>
        </w:tabs>
        <w:ind w:left="5760" w:hanging="360"/>
      </w:pPr>
      <w:rPr>
        <w:rFonts w:ascii="Times New Roman" w:hAnsi="Times New Roman" w:hint="default"/>
      </w:rPr>
    </w:lvl>
    <w:lvl w:ilvl="8" w:tplc="486E0DA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74D6F87"/>
    <w:multiLevelType w:val="hybridMultilevel"/>
    <w:tmpl w:val="3640C02E"/>
    <w:lvl w:ilvl="0" w:tplc="21481D84">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C43D63"/>
    <w:multiLevelType w:val="hybridMultilevel"/>
    <w:tmpl w:val="A06E42A8"/>
    <w:lvl w:ilvl="0" w:tplc="71D8CFC8">
      <w:start w:val="1"/>
      <w:numFmt w:val="bullet"/>
      <w:lvlText w:val="•"/>
      <w:lvlJc w:val="left"/>
      <w:pPr>
        <w:tabs>
          <w:tab w:val="num" w:pos="720"/>
        </w:tabs>
        <w:ind w:left="720" w:hanging="360"/>
      </w:pPr>
      <w:rPr>
        <w:rFonts w:ascii="Times New Roman" w:hAnsi="Times New Roman" w:hint="default"/>
      </w:rPr>
    </w:lvl>
    <w:lvl w:ilvl="1" w:tplc="B4F8FC16" w:tentative="1">
      <w:start w:val="1"/>
      <w:numFmt w:val="bullet"/>
      <w:lvlText w:val="•"/>
      <w:lvlJc w:val="left"/>
      <w:pPr>
        <w:tabs>
          <w:tab w:val="num" w:pos="1440"/>
        </w:tabs>
        <w:ind w:left="1440" w:hanging="360"/>
      </w:pPr>
      <w:rPr>
        <w:rFonts w:ascii="Times New Roman" w:hAnsi="Times New Roman" w:hint="default"/>
      </w:rPr>
    </w:lvl>
    <w:lvl w:ilvl="2" w:tplc="8D020792" w:tentative="1">
      <w:start w:val="1"/>
      <w:numFmt w:val="bullet"/>
      <w:lvlText w:val="•"/>
      <w:lvlJc w:val="left"/>
      <w:pPr>
        <w:tabs>
          <w:tab w:val="num" w:pos="2160"/>
        </w:tabs>
        <w:ind w:left="2160" w:hanging="360"/>
      </w:pPr>
      <w:rPr>
        <w:rFonts w:ascii="Times New Roman" w:hAnsi="Times New Roman" w:hint="default"/>
      </w:rPr>
    </w:lvl>
    <w:lvl w:ilvl="3" w:tplc="DAF45D40" w:tentative="1">
      <w:start w:val="1"/>
      <w:numFmt w:val="bullet"/>
      <w:lvlText w:val="•"/>
      <w:lvlJc w:val="left"/>
      <w:pPr>
        <w:tabs>
          <w:tab w:val="num" w:pos="2880"/>
        </w:tabs>
        <w:ind w:left="2880" w:hanging="360"/>
      </w:pPr>
      <w:rPr>
        <w:rFonts w:ascii="Times New Roman" w:hAnsi="Times New Roman" w:hint="default"/>
      </w:rPr>
    </w:lvl>
    <w:lvl w:ilvl="4" w:tplc="E60CE7F4" w:tentative="1">
      <w:start w:val="1"/>
      <w:numFmt w:val="bullet"/>
      <w:lvlText w:val="•"/>
      <w:lvlJc w:val="left"/>
      <w:pPr>
        <w:tabs>
          <w:tab w:val="num" w:pos="3600"/>
        </w:tabs>
        <w:ind w:left="3600" w:hanging="360"/>
      </w:pPr>
      <w:rPr>
        <w:rFonts w:ascii="Times New Roman" w:hAnsi="Times New Roman" w:hint="default"/>
      </w:rPr>
    </w:lvl>
    <w:lvl w:ilvl="5" w:tplc="2612FF78" w:tentative="1">
      <w:start w:val="1"/>
      <w:numFmt w:val="bullet"/>
      <w:lvlText w:val="•"/>
      <w:lvlJc w:val="left"/>
      <w:pPr>
        <w:tabs>
          <w:tab w:val="num" w:pos="4320"/>
        </w:tabs>
        <w:ind w:left="4320" w:hanging="360"/>
      </w:pPr>
      <w:rPr>
        <w:rFonts w:ascii="Times New Roman" w:hAnsi="Times New Roman" w:hint="default"/>
      </w:rPr>
    </w:lvl>
    <w:lvl w:ilvl="6" w:tplc="4072AED8" w:tentative="1">
      <w:start w:val="1"/>
      <w:numFmt w:val="bullet"/>
      <w:lvlText w:val="•"/>
      <w:lvlJc w:val="left"/>
      <w:pPr>
        <w:tabs>
          <w:tab w:val="num" w:pos="5040"/>
        </w:tabs>
        <w:ind w:left="5040" w:hanging="360"/>
      </w:pPr>
      <w:rPr>
        <w:rFonts w:ascii="Times New Roman" w:hAnsi="Times New Roman" w:hint="default"/>
      </w:rPr>
    </w:lvl>
    <w:lvl w:ilvl="7" w:tplc="3EE410C4" w:tentative="1">
      <w:start w:val="1"/>
      <w:numFmt w:val="bullet"/>
      <w:lvlText w:val="•"/>
      <w:lvlJc w:val="left"/>
      <w:pPr>
        <w:tabs>
          <w:tab w:val="num" w:pos="5760"/>
        </w:tabs>
        <w:ind w:left="5760" w:hanging="360"/>
      </w:pPr>
      <w:rPr>
        <w:rFonts w:ascii="Times New Roman" w:hAnsi="Times New Roman" w:hint="default"/>
      </w:rPr>
    </w:lvl>
    <w:lvl w:ilvl="8" w:tplc="8802547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BD243D6"/>
    <w:multiLevelType w:val="multilevel"/>
    <w:tmpl w:val="FD6E278E"/>
    <w:name w:val="Liste des puces"/>
    <w:styleLink w:val="Listedespuces"/>
    <w:lvl w:ilvl="0">
      <w:start w:val="1"/>
      <w:numFmt w:val="bullet"/>
      <w:pStyle w:val="EcoBulletList1"/>
      <w:lvlText w:val="›"/>
      <w:lvlJc w:val="left"/>
      <w:pPr>
        <w:tabs>
          <w:tab w:val="num" w:pos="567"/>
        </w:tabs>
        <w:ind w:left="567" w:hanging="283"/>
      </w:pPr>
      <w:rPr>
        <w:rFonts w:ascii="Arial" w:hAnsi="Arial" w:hint="default"/>
        <w:b w:val="0"/>
        <w:i w:val="0"/>
        <w:color w:val="auto"/>
        <w:sz w:val="22"/>
      </w:rPr>
    </w:lvl>
    <w:lvl w:ilvl="1">
      <w:start w:val="1"/>
      <w:numFmt w:val="bullet"/>
      <w:pStyle w:val="EcoBulletList2"/>
      <w:lvlText w:val="-"/>
      <w:lvlJc w:val="left"/>
      <w:pPr>
        <w:tabs>
          <w:tab w:val="num" w:pos="851"/>
        </w:tabs>
        <w:ind w:left="851" w:hanging="284"/>
      </w:pPr>
      <w:rPr>
        <w:rFonts w:ascii="Arial" w:hAnsi="Arial" w:hint="default"/>
        <w:b w:val="0"/>
        <w:i w:val="0"/>
        <w:color w:val="auto"/>
        <w:sz w:val="22"/>
      </w:rPr>
    </w:lvl>
    <w:lvl w:ilvl="2">
      <w:start w:val="1"/>
      <w:numFmt w:val="bullet"/>
      <w:pStyle w:val="EcoBulletList3"/>
      <w:lvlText w:val="•"/>
      <w:lvlJc w:val="left"/>
      <w:pPr>
        <w:tabs>
          <w:tab w:val="num" w:pos="1134"/>
        </w:tabs>
        <w:ind w:left="1134" w:hanging="283"/>
      </w:pPr>
      <w:rPr>
        <w:rFonts w:ascii="Arial" w:hAnsi="Arial" w:hint="default"/>
        <w:b w:val="0"/>
        <w:i w:val="0"/>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CDA6C69"/>
    <w:multiLevelType w:val="multilevel"/>
    <w:tmpl w:val="A35ED5F0"/>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15:restartNumberingAfterBreak="0">
    <w:nsid w:val="32E11A1A"/>
    <w:multiLevelType w:val="multilevel"/>
    <w:tmpl w:val="FFF27D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33ED4DA3"/>
    <w:multiLevelType w:val="hybridMultilevel"/>
    <w:tmpl w:val="780A7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2A7A21"/>
    <w:multiLevelType w:val="multilevel"/>
    <w:tmpl w:val="25DCF1F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15:restartNumberingAfterBreak="0">
    <w:nsid w:val="34DC1635"/>
    <w:multiLevelType w:val="multilevel"/>
    <w:tmpl w:val="277AD1F0"/>
    <w:styleLink w:val="StyleNumbered"/>
    <w:lvl w:ilvl="0">
      <w:start w:val="1"/>
      <w:numFmt w:val="decimal"/>
      <w:lvlText w:val="%1."/>
      <w:lvlJc w:val="left"/>
      <w:pPr>
        <w:tabs>
          <w:tab w:val="num" w:pos="720"/>
        </w:tabs>
        <w:ind w:left="720" w:hanging="360"/>
      </w:pPr>
      <w:rPr>
        <w:rFonts w:ascii="Tahoma" w:hAnsi="Tahoma"/>
        <w:b/>
        <w:dstrike w:val="0"/>
        <w:sz w:val="22"/>
        <w:szCs w:val="22"/>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4400FE"/>
    <w:multiLevelType w:val="hybridMultilevel"/>
    <w:tmpl w:val="5DBEBBCA"/>
    <w:lvl w:ilvl="0" w:tplc="D4E041EC">
      <w:start w:val="1"/>
      <w:numFmt w:val="bullet"/>
      <w:lvlText w:val="›"/>
      <w:lvlJc w:val="left"/>
      <w:pPr>
        <w:tabs>
          <w:tab w:val="num" w:pos="720"/>
        </w:tabs>
        <w:ind w:left="720" w:hanging="360"/>
      </w:pPr>
      <w:rPr>
        <w:rFonts w:ascii="Arial" w:hAnsi="Arial" w:hint="default"/>
      </w:rPr>
    </w:lvl>
    <w:lvl w:ilvl="1" w:tplc="76668BCC">
      <w:start w:val="1"/>
      <w:numFmt w:val="bullet"/>
      <w:lvlText w:val="›"/>
      <w:lvlJc w:val="left"/>
      <w:pPr>
        <w:tabs>
          <w:tab w:val="num" w:pos="1440"/>
        </w:tabs>
        <w:ind w:left="1440" w:hanging="360"/>
      </w:pPr>
      <w:rPr>
        <w:rFonts w:ascii="Arial" w:hAnsi="Arial" w:hint="default"/>
      </w:rPr>
    </w:lvl>
    <w:lvl w:ilvl="2" w:tplc="84AE9688" w:tentative="1">
      <w:start w:val="1"/>
      <w:numFmt w:val="bullet"/>
      <w:lvlText w:val="›"/>
      <w:lvlJc w:val="left"/>
      <w:pPr>
        <w:tabs>
          <w:tab w:val="num" w:pos="2160"/>
        </w:tabs>
        <w:ind w:left="2160" w:hanging="360"/>
      </w:pPr>
      <w:rPr>
        <w:rFonts w:ascii="Arial" w:hAnsi="Arial" w:hint="default"/>
      </w:rPr>
    </w:lvl>
    <w:lvl w:ilvl="3" w:tplc="4D1A30FC" w:tentative="1">
      <w:start w:val="1"/>
      <w:numFmt w:val="bullet"/>
      <w:lvlText w:val="›"/>
      <w:lvlJc w:val="left"/>
      <w:pPr>
        <w:tabs>
          <w:tab w:val="num" w:pos="2880"/>
        </w:tabs>
        <w:ind w:left="2880" w:hanging="360"/>
      </w:pPr>
      <w:rPr>
        <w:rFonts w:ascii="Arial" w:hAnsi="Arial" w:hint="default"/>
      </w:rPr>
    </w:lvl>
    <w:lvl w:ilvl="4" w:tplc="A648AE38" w:tentative="1">
      <w:start w:val="1"/>
      <w:numFmt w:val="bullet"/>
      <w:lvlText w:val="›"/>
      <w:lvlJc w:val="left"/>
      <w:pPr>
        <w:tabs>
          <w:tab w:val="num" w:pos="3600"/>
        </w:tabs>
        <w:ind w:left="3600" w:hanging="360"/>
      </w:pPr>
      <w:rPr>
        <w:rFonts w:ascii="Arial" w:hAnsi="Arial" w:hint="default"/>
      </w:rPr>
    </w:lvl>
    <w:lvl w:ilvl="5" w:tplc="0A548480" w:tentative="1">
      <w:start w:val="1"/>
      <w:numFmt w:val="bullet"/>
      <w:lvlText w:val="›"/>
      <w:lvlJc w:val="left"/>
      <w:pPr>
        <w:tabs>
          <w:tab w:val="num" w:pos="4320"/>
        </w:tabs>
        <w:ind w:left="4320" w:hanging="360"/>
      </w:pPr>
      <w:rPr>
        <w:rFonts w:ascii="Arial" w:hAnsi="Arial" w:hint="default"/>
      </w:rPr>
    </w:lvl>
    <w:lvl w:ilvl="6" w:tplc="8FEE1EC4" w:tentative="1">
      <w:start w:val="1"/>
      <w:numFmt w:val="bullet"/>
      <w:lvlText w:val="›"/>
      <w:lvlJc w:val="left"/>
      <w:pPr>
        <w:tabs>
          <w:tab w:val="num" w:pos="5040"/>
        </w:tabs>
        <w:ind w:left="5040" w:hanging="360"/>
      </w:pPr>
      <w:rPr>
        <w:rFonts w:ascii="Arial" w:hAnsi="Arial" w:hint="default"/>
      </w:rPr>
    </w:lvl>
    <w:lvl w:ilvl="7" w:tplc="AEE04246" w:tentative="1">
      <w:start w:val="1"/>
      <w:numFmt w:val="bullet"/>
      <w:lvlText w:val="›"/>
      <w:lvlJc w:val="left"/>
      <w:pPr>
        <w:tabs>
          <w:tab w:val="num" w:pos="5760"/>
        </w:tabs>
        <w:ind w:left="5760" w:hanging="360"/>
      </w:pPr>
      <w:rPr>
        <w:rFonts w:ascii="Arial" w:hAnsi="Arial" w:hint="default"/>
      </w:rPr>
    </w:lvl>
    <w:lvl w:ilvl="8" w:tplc="E89A1BB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831701A"/>
    <w:multiLevelType w:val="hybridMultilevel"/>
    <w:tmpl w:val="43CC5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93001B"/>
    <w:multiLevelType w:val="multilevel"/>
    <w:tmpl w:val="535201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3B2B2D21"/>
    <w:multiLevelType w:val="hybridMultilevel"/>
    <w:tmpl w:val="13866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12181E"/>
    <w:multiLevelType w:val="hybridMultilevel"/>
    <w:tmpl w:val="FE92B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1C687A"/>
    <w:multiLevelType w:val="hybridMultilevel"/>
    <w:tmpl w:val="CBC85482"/>
    <w:lvl w:ilvl="0" w:tplc="98546BD2">
      <w:start w:val="1"/>
      <w:numFmt w:val="bullet"/>
      <w:lvlText w:val="•"/>
      <w:lvlJc w:val="left"/>
      <w:pPr>
        <w:tabs>
          <w:tab w:val="num" w:pos="720"/>
        </w:tabs>
        <w:ind w:left="720" w:hanging="360"/>
      </w:pPr>
      <w:rPr>
        <w:rFonts w:ascii="Times New Roman" w:hAnsi="Times New Roman" w:hint="default"/>
      </w:rPr>
    </w:lvl>
    <w:lvl w:ilvl="1" w:tplc="F5382B98" w:tentative="1">
      <w:start w:val="1"/>
      <w:numFmt w:val="bullet"/>
      <w:lvlText w:val="•"/>
      <w:lvlJc w:val="left"/>
      <w:pPr>
        <w:tabs>
          <w:tab w:val="num" w:pos="1440"/>
        </w:tabs>
        <w:ind w:left="1440" w:hanging="360"/>
      </w:pPr>
      <w:rPr>
        <w:rFonts w:ascii="Times New Roman" w:hAnsi="Times New Roman" w:hint="default"/>
      </w:rPr>
    </w:lvl>
    <w:lvl w:ilvl="2" w:tplc="C4020D92" w:tentative="1">
      <w:start w:val="1"/>
      <w:numFmt w:val="bullet"/>
      <w:lvlText w:val="•"/>
      <w:lvlJc w:val="left"/>
      <w:pPr>
        <w:tabs>
          <w:tab w:val="num" w:pos="2160"/>
        </w:tabs>
        <w:ind w:left="2160" w:hanging="360"/>
      </w:pPr>
      <w:rPr>
        <w:rFonts w:ascii="Times New Roman" w:hAnsi="Times New Roman" w:hint="default"/>
      </w:rPr>
    </w:lvl>
    <w:lvl w:ilvl="3" w:tplc="11C28B7E" w:tentative="1">
      <w:start w:val="1"/>
      <w:numFmt w:val="bullet"/>
      <w:lvlText w:val="•"/>
      <w:lvlJc w:val="left"/>
      <w:pPr>
        <w:tabs>
          <w:tab w:val="num" w:pos="2880"/>
        </w:tabs>
        <w:ind w:left="2880" w:hanging="360"/>
      </w:pPr>
      <w:rPr>
        <w:rFonts w:ascii="Times New Roman" w:hAnsi="Times New Roman" w:hint="default"/>
      </w:rPr>
    </w:lvl>
    <w:lvl w:ilvl="4" w:tplc="08D05D72" w:tentative="1">
      <w:start w:val="1"/>
      <w:numFmt w:val="bullet"/>
      <w:lvlText w:val="•"/>
      <w:lvlJc w:val="left"/>
      <w:pPr>
        <w:tabs>
          <w:tab w:val="num" w:pos="3600"/>
        </w:tabs>
        <w:ind w:left="3600" w:hanging="360"/>
      </w:pPr>
      <w:rPr>
        <w:rFonts w:ascii="Times New Roman" w:hAnsi="Times New Roman" w:hint="default"/>
      </w:rPr>
    </w:lvl>
    <w:lvl w:ilvl="5" w:tplc="6164BF14" w:tentative="1">
      <w:start w:val="1"/>
      <w:numFmt w:val="bullet"/>
      <w:lvlText w:val="•"/>
      <w:lvlJc w:val="left"/>
      <w:pPr>
        <w:tabs>
          <w:tab w:val="num" w:pos="4320"/>
        </w:tabs>
        <w:ind w:left="4320" w:hanging="360"/>
      </w:pPr>
      <w:rPr>
        <w:rFonts w:ascii="Times New Roman" w:hAnsi="Times New Roman" w:hint="default"/>
      </w:rPr>
    </w:lvl>
    <w:lvl w:ilvl="6" w:tplc="0D863048" w:tentative="1">
      <w:start w:val="1"/>
      <w:numFmt w:val="bullet"/>
      <w:lvlText w:val="•"/>
      <w:lvlJc w:val="left"/>
      <w:pPr>
        <w:tabs>
          <w:tab w:val="num" w:pos="5040"/>
        </w:tabs>
        <w:ind w:left="5040" w:hanging="360"/>
      </w:pPr>
      <w:rPr>
        <w:rFonts w:ascii="Times New Roman" w:hAnsi="Times New Roman" w:hint="default"/>
      </w:rPr>
    </w:lvl>
    <w:lvl w:ilvl="7" w:tplc="B0645DF2" w:tentative="1">
      <w:start w:val="1"/>
      <w:numFmt w:val="bullet"/>
      <w:lvlText w:val="•"/>
      <w:lvlJc w:val="left"/>
      <w:pPr>
        <w:tabs>
          <w:tab w:val="num" w:pos="5760"/>
        </w:tabs>
        <w:ind w:left="5760" w:hanging="360"/>
      </w:pPr>
      <w:rPr>
        <w:rFonts w:ascii="Times New Roman" w:hAnsi="Times New Roman" w:hint="default"/>
      </w:rPr>
    </w:lvl>
    <w:lvl w:ilvl="8" w:tplc="6F64B40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28A58E5"/>
    <w:multiLevelType w:val="hybridMultilevel"/>
    <w:tmpl w:val="739A5E22"/>
    <w:lvl w:ilvl="0" w:tplc="629EA11C">
      <w:start w:val="1"/>
      <w:numFmt w:val="decimal"/>
      <w:pStyle w:val="Heading5"/>
      <w:lvlText w:val="%1."/>
      <w:lvlJc w:val="left"/>
      <w:pPr>
        <w:ind w:left="720" w:hanging="360"/>
      </w:pPr>
      <w:rPr>
        <w:rFont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9" w15:restartNumberingAfterBreak="0">
    <w:nsid w:val="42B1451C"/>
    <w:multiLevelType w:val="hybridMultilevel"/>
    <w:tmpl w:val="F6523172"/>
    <w:lvl w:ilvl="0" w:tplc="37AE7592">
      <w:start w:val="1"/>
      <w:numFmt w:val="bullet"/>
      <w:pStyle w:val="List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4011522"/>
    <w:multiLevelType w:val="hybridMultilevel"/>
    <w:tmpl w:val="CB203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052BDB"/>
    <w:multiLevelType w:val="hybridMultilevel"/>
    <w:tmpl w:val="573E5948"/>
    <w:lvl w:ilvl="0" w:tplc="0409000F">
      <w:start w:val="1"/>
      <w:numFmt w:val="decimal"/>
      <w:lvlText w:val="%1."/>
      <w:lvlJc w:val="left"/>
      <w:pPr>
        <w:ind w:left="1080" w:hanging="360"/>
      </w:pPr>
      <w:rPr>
        <w:rFont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8064203"/>
    <w:multiLevelType w:val="hybridMultilevel"/>
    <w:tmpl w:val="6FF2F31A"/>
    <w:lvl w:ilvl="0" w:tplc="C7AE0FDE">
      <w:start w:val="1"/>
      <w:numFmt w:val="bullet"/>
      <w:lvlText w:val="•"/>
      <w:lvlJc w:val="left"/>
      <w:pPr>
        <w:tabs>
          <w:tab w:val="num" w:pos="720"/>
        </w:tabs>
        <w:ind w:left="720" w:hanging="360"/>
      </w:pPr>
      <w:rPr>
        <w:rFonts w:ascii="Times New Roman" w:hAnsi="Times New Roman" w:hint="default"/>
      </w:rPr>
    </w:lvl>
    <w:lvl w:ilvl="1" w:tplc="369A0384" w:tentative="1">
      <w:start w:val="1"/>
      <w:numFmt w:val="bullet"/>
      <w:lvlText w:val="•"/>
      <w:lvlJc w:val="left"/>
      <w:pPr>
        <w:tabs>
          <w:tab w:val="num" w:pos="1440"/>
        </w:tabs>
        <w:ind w:left="1440" w:hanging="360"/>
      </w:pPr>
      <w:rPr>
        <w:rFonts w:ascii="Times New Roman" w:hAnsi="Times New Roman" w:hint="default"/>
      </w:rPr>
    </w:lvl>
    <w:lvl w:ilvl="2" w:tplc="4BCC3002" w:tentative="1">
      <w:start w:val="1"/>
      <w:numFmt w:val="bullet"/>
      <w:lvlText w:val="•"/>
      <w:lvlJc w:val="left"/>
      <w:pPr>
        <w:tabs>
          <w:tab w:val="num" w:pos="2160"/>
        </w:tabs>
        <w:ind w:left="2160" w:hanging="360"/>
      </w:pPr>
      <w:rPr>
        <w:rFonts w:ascii="Times New Roman" w:hAnsi="Times New Roman" w:hint="default"/>
      </w:rPr>
    </w:lvl>
    <w:lvl w:ilvl="3" w:tplc="41269B68" w:tentative="1">
      <w:start w:val="1"/>
      <w:numFmt w:val="bullet"/>
      <w:lvlText w:val="•"/>
      <w:lvlJc w:val="left"/>
      <w:pPr>
        <w:tabs>
          <w:tab w:val="num" w:pos="2880"/>
        </w:tabs>
        <w:ind w:left="2880" w:hanging="360"/>
      </w:pPr>
      <w:rPr>
        <w:rFonts w:ascii="Times New Roman" w:hAnsi="Times New Roman" w:hint="default"/>
      </w:rPr>
    </w:lvl>
    <w:lvl w:ilvl="4" w:tplc="54B2A5BA" w:tentative="1">
      <w:start w:val="1"/>
      <w:numFmt w:val="bullet"/>
      <w:lvlText w:val="•"/>
      <w:lvlJc w:val="left"/>
      <w:pPr>
        <w:tabs>
          <w:tab w:val="num" w:pos="3600"/>
        </w:tabs>
        <w:ind w:left="3600" w:hanging="360"/>
      </w:pPr>
      <w:rPr>
        <w:rFonts w:ascii="Times New Roman" w:hAnsi="Times New Roman" w:hint="default"/>
      </w:rPr>
    </w:lvl>
    <w:lvl w:ilvl="5" w:tplc="6CCAE8EA" w:tentative="1">
      <w:start w:val="1"/>
      <w:numFmt w:val="bullet"/>
      <w:lvlText w:val="•"/>
      <w:lvlJc w:val="left"/>
      <w:pPr>
        <w:tabs>
          <w:tab w:val="num" w:pos="4320"/>
        </w:tabs>
        <w:ind w:left="4320" w:hanging="360"/>
      </w:pPr>
      <w:rPr>
        <w:rFonts w:ascii="Times New Roman" w:hAnsi="Times New Roman" w:hint="default"/>
      </w:rPr>
    </w:lvl>
    <w:lvl w:ilvl="6" w:tplc="F03AAB48" w:tentative="1">
      <w:start w:val="1"/>
      <w:numFmt w:val="bullet"/>
      <w:lvlText w:val="•"/>
      <w:lvlJc w:val="left"/>
      <w:pPr>
        <w:tabs>
          <w:tab w:val="num" w:pos="5040"/>
        </w:tabs>
        <w:ind w:left="5040" w:hanging="360"/>
      </w:pPr>
      <w:rPr>
        <w:rFonts w:ascii="Times New Roman" w:hAnsi="Times New Roman" w:hint="default"/>
      </w:rPr>
    </w:lvl>
    <w:lvl w:ilvl="7" w:tplc="8D3A7DC4" w:tentative="1">
      <w:start w:val="1"/>
      <w:numFmt w:val="bullet"/>
      <w:lvlText w:val="•"/>
      <w:lvlJc w:val="left"/>
      <w:pPr>
        <w:tabs>
          <w:tab w:val="num" w:pos="5760"/>
        </w:tabs>
        <w:ind w:left="5760" w:hanging="360"/>
      </w:pPr>
      <w:rPr>
        <w:rFonts w:ascii="Times New Roman" w:hAnsi="Times New Roman" w:hint="default"/>
      </w:rPr>
    </w:lvl>
    <w:lvl w:ilvl="8" w:tplc="697EA87A"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49837486"/>
    <w:multiLevelType w:val="hybridMultilevel"/>
    <w:tmpl w:val="A6EE707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4DDD6DE9"/>
    <w:multiLevelType w:val="multilevel"/>
    <w:tmpl w:val="9C4ED1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4F0E08A7"/>
    <w:multiLevelType w:val="hybridMultilevel"/>
    <w:tmpl w:val="4B3A81B0"/>
    <w:lvl w:ilvl="0" w:tplc="40090019">
      <w:start w:val="1"/>
      <w:numFmt w:val="bullet"/>
      <w:pStyle w:val="bullet"/>
      <w:lvlText w:val=""/>
      <w:lvlJc w:val="left"/>
      <w:pPr>
        <w:tabs>
          <w:tab w:val="num" w:pos="720"/>
        </w:tabs>
        <w:ind w:left="720" w:hanging="360"/>
      </w:pPr>
      <w:rPr>
        <w:rFonts w:ascii="Symbol" w:hAnsi="Symbol" w:hint="default"/>
      </w:rPr>
    </w:lvl>
    <w:lvl w:ilvl="1" w:tplc="40090019">
      <w:start w:val="1"/>
      <w:numFmt w:val="bullet"/>
      <w:lvlText w:val="o"/>
      <w:lvlJc w:val="left"/>
      <w:pPr>
        <w:tabs>
          <w:tab w:val="num" w:pos="1440"/>
        </w:tabs>
        <w:ind w:left="1440" w:hanging="360"/>
      </w:pPr>
      <w:rPr>
        <w:rFonts w:ascii="Courier New" w:hAnsi="Courier New" w:hint="default"/>
      </w:rPr>
    </w:lvl>
    <w:lvl w:ilvl="2" w:tplc="4009001B">
      <w:start w:val="1"/>
      <w:numFmt w:val="bullet"/>
      <w:lvlText w:val=""/>
      <w:lvlJc w:val="left"/>
      <w:pPr>
        <w:tabs>
          <w:tab w:val="num" w:pos="2160"/>
        </w:tabs>
        <w:ind w:left="2160" w:hanging="360"/>
      </w:pPr>
      <w:rPr>
        <w:rFonts w:ascii="Wingdings" w:hAnsi="Wingdings" w:hint="default"/>
      </w:rPr>
    </w:lvl>
    <w:lvl w:ilvl="3" w:tplc="4009000F" w:tentative="1">
      <w:start w:val="1"/>
      <w:numFmt w:val="bullet"/>
      <w:lvlText w:val=""/>
      <w:lvlJc w:val="left"/>
      <w:pPr>
        <w:tabs>
          <w:tab w:val="num" w:pos="2880"/>
        </w:tabs>
        <w:ind w:left="2880" w:hanging="360"/>
      </w:pPr>
      <w:rPr>
        <w:rFonts w:ascii="Symbol" w:hAnsi="Symbol" w:hint="default"/>
      </w:rPr>
    </w:lvl>
    <w:lvl w:ilvl="4" w:tplc="40090019" w:tentative="1">
      <w:start w:val="1"/>
      <w:numFmt w:val="bullet"/>
      <w:lvlText w:val="o"/>
      <w:lvlJc w:val="left"/>
      <w:pPr>
        <w:tabs>
          <w:tab w:val="num" w:pos="3600"/>
        </w:tabs>
        <w:ind w:left="3600" w:hanging="360"/>
      </w:pPr>
      <w:rPr>
        <w:rFonts w:ascii="Courier New" w:hAnsi="Courier New" w:hint="default"/>
      </w:rPr>
    </w:lvl>
    <w:lvl w:ilvl="5" w:tplc="4009001B" w:tentative="1">
      <w:start w:val="1"/>
      <w:numFmt w:val="bullet"/>
      <w:lvlText w:val=""/>
      <w:lvlJc w:val="left"/>
      <w:pPr>
        <w:tabs>
          <w:tab w:val="num" w:pos="4320"/>
        </w:tabs>
        <w:ind w:left="4320" w:hanging="360"/>
      </w:pPr>
      <w:rPr>
        <w:rFonts w:ascii="Wingdings" w:hAnsi="Wingdings" w:hint="default"/>
      </w:rPr>
    </w:lvl>
    <w:lvl w:ilvl="6" w:tplc="4009000F" w:tentative="1">
      <w:start w:val="1"/>
      <w:numFmt w:val="bullet"/>
      <w:lvlText w:val=""/>
      <w:lvlJc w:val="left"/>
      <w:pPr>
        <w:tabs>
          <w:tab w:val="num" w:pos="5040"/>
        </w:tabs>
        <w:ind w:left="5040" w:hanging="360"/>
      </w:pPr>
      <w:rPr>
        <w:rFonts w:ascii="Symbol" w:hAnsi="Symbol" w:hint="default"/>
      </w:rPr>
    </w:lvl>
    <w:lvl w:ilvl="7" w:tplc="40090019" w:tentative="1">
      <w:start w:val="1"/>
      <w:numFmt w:val="bullet"/>
      <w:lvlText w:val="o"/>
      <w:lvlJc w:val="left"/>
      <w:pPr>
        <w:tabs>
          <w:tab w:val="num" w:pos="5760"/>
        </w:tabs>
        <w:ind w:left="5760" w:hanging="360"/>
      </w:pPr>
      <w:rPr>
        <w:rFonts w:ascii="Courier New" w:hAnsi="Courier New" w:hint="default"/>
      </w:rPr>
    </w:lvl>
    <w:lvl w:ilvl="8" w:tplc="40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8131CC9"/>
    <w:multiLevelType w:val="hybridMultilevel"/>
    <w:tmpl w:val="255475EA"/>
    <w:lvl w:ilvl="0" w:tplc="F8BABD44">
      <w:start w:val="1"/>
      <w:numFmt w:val="bullet"/>
      <w:lvlText w:val="•"/>
      <w:lvlJc w:val="left"/>
      <w:pPr>
        <w:tabs>
          <w:tab w:val="num" w:pos="720"/>
        </w:tabs>
        <w:ind w:left="720" w:hanging="360"/>
      </w:pPr>
      <w:rPr>
        <w:rFonts w:ascii="Arial" w:hAnsi="Arial" w:hint="default"/>
      </w:rPr>
    </w:lvl>
    <w:lvl w:ilvl="1" w:tplc="83EEB766" w:tentative="1">
      <w:start w:val="1"/>
      <w:numFmt w:val="bullet"/>
      <w:lvlText w:val="•"/>
      <w:lvlJc w:val="left"/>
      <w:pPr>
        <w:tabs>
          <w:tab w:val="num" w:pos="1440"/>
        </w:tabs>
        <w:ind w:left="1440" w:hanging="360"/>
      </w:pPr>
      <w:rPr>
        <w:rFonts w:ascii="Arial" w:hAnsi="Arial" w:hint="default"/>
      </w:rPr>
    </w:lvl>
    <w:lvl w:ilvl="2" w:tplc="6BE0F8B4" w:tentative="1">
      <w:start w:val="1"/>
      <w:numFmt w:val="bullet"/>
      <w:lvlText w:val="•"/>
      <w:lvlJc w:val="left"/>
      <w:pPr>
        <w:tabs>
          <w:tab w:val="num" w:pos="2160"/>
        </w:tabs>
        <w:ind w:left="2160" w:hanging="360"/>
      </w:pPr>
      <w:rPr>
        <w:rFonts w:ascii="Arial" w:hAnsi="Arial" w:hint="default"/>
      </w:rPr>
    </w:lvl>
    <w:lvl w:ilvl="3" w:tplc="B4D4A646" w:tentative="1">
      <w:start w:val="1"/>
      <w:numFmt w:val="bullet"/>
      <w:lvlText w:val="•"/>
      <w:lvlJc w:val="left"/>
      <w:pPr>
        <w:tabs>
          <w:tab w:val="num" w:pos="2880"/>
        </w:tabs>
        <w:ind w:left="2880" w:hanging="360"/>
      </w:pPr>
      <w:rPr>
        <w:rFonts w:ascii="Arial" w:hAnsi="Arial" w:hint="default"/>
      </w:rPr>
    </w:lvl>
    <w:lvl w:ilvl="4" w:tplc="37D8B7E4" w:tentative="1">
      <w:start w:val="1"/>
      <w:numFmt w:val="bullet"/>
      <w:lvlText w:val="•"/>
      <w:lvlJc w:val="left"/>
      <w:pPr>
        <w:tabs>
          <w:tab w:val="num" w:pos="3600"/>
        </w:tabs>
        <w:ind w:left="3600" w:hanging="360"/>
      </w:pPr>
      <w:rPr>
        <w:rFonts w:ascii="Arial" w:hAnsi="Arial" w:hint="default"/>
      </w:rPr>
    </w:lvl>
    <w:lvl w:ilvl="5" w:tplc="5F362118" w:tentative="1">
      <w:start w:val="1"/>
      <w:numFmt w:val="bullet"/>
      <w:lvlText w:val="•"/>
      <w:lvlJc w:val="left"/>
      <w:pPr>
        <w:tabs>
          <w:tab w:val="num" w:pos="4320"/>
        </w:tabs>
        <w:ind w:left="4320" w:hanging="360"/>
      </w:pPr>
      <w:rPr>
        <w:rFonts w:ascii="Arial" w:hAnsi="Arial" w:hint="default"/>
      </w:rPr>
    </w:lvl>
    <w:lvl w:ilvl="6" w:tplc="1CB6E202" w:tentative="1">
      <w:start w:val="1"/>
      <w:numFmt w:val="bullet"/>
      <w:lvlText w:val="•"/>
      <w:lvlJc w:val="left"/>
      <w:pPr>
        <w:tabs>
          <w:tab w:val="num" w:pos="5040"/>
        </w:tabs>
        <w:ind w:left="5040" w:hanging="360"/>
      </w:pPr>
      <w:rPr>
        <w:rFonts w:ascii="Arial" w:hAnsi="Arial" w:hint="default"/>
      </w:rPr>
    </w:lvl>
    <w:lvl w:ilvl="7" w:tplc="E82ED460" w:tentative="1">
      <w:start w:val="1"/>
      <w:numFmt w:val="bullet"/>
      <w:lvlText w:val="•"/>
      <w:lvlJc w:val="left"/>
      <w:pPr>
        <w:tabs>
          <w:tab w:val="num" w:pos="5760"/>
        </w:tabs>
        <w:ind w:left="5760" w:hanging="360"/>
      </w:pPr>
      <w:rPr>
        <w:rFonts w:ascii="Arial" w:hAnsi="Arial" w:hint="default"/>
      </w:rPr>
    </w:lvl>
    <w:lvl w:ilvl="8" w:tplc="F9AABB3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E291DDE"/>
    <w:multiLevelType w:val="hybridMultilevel"/>
    <w:tmpl w:val="1546A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724F13"/>
    <w:multiLevelType w:val="hybridMultilevel"/>
    <w:tmpl w:val="B956BD0E"/>
    <w:lvl w:ilvl="0" w:tplc="04090013">
      <w:start w:val="1"/>
      <w:numFmt w:val="upperRoman"/>
      <w:lvlText w:val="%1."/>
      <w:lvlJc w:val="right"/>
      <w:pPr>
        <w:ind w:left="1080" w:hanging="360"/>
      </w:pPr>
      <w:rPr>
        <w:rFonts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4A4348F"/>
    <w:multiLevelType w:val="hybridMultilevel"/>
    <w:tmpl w:val="BB648AE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0" w15:restartNumberingAfterBreak="0">
    <w:nsid w:val="657F78A0"/>
    <w:multiLevelType w:val="hybridMultilevel"/>
    <w:tmpl w:val="ED847E14"/>
    <w:lvl w:ilvl="0" w:tplc="45EAA3BE">
      <w:start w:val="1"/>
      <w:numFmt w:val="bullet"/>
      <w:lvlText w:val="•"/>
      <w:lvlJc w:val="left"/>
      <w:pPr>
        <w:tabs>
          <w:tab w:val="num" w:pos="720"/>
        </w:tabs>
        <w:ind w:left="720" w:hanging="360"/>
      </w:pPr>
      <w:rPr>
        <w:rFonts w:ascii="Times New Roman" w:hAnsi="Times New Roman" w:hint="default"/>
      </w:rPr>
    </w:lvl>
    <w:lvl w:ilvl="1" w:tplc="1CE86B06" w:tentative="1">
      <w:start w:val="1"/>
      <w:numFmt w:val="bullet"/>
      <w:lvlText w:val="•"/>
      <w:lvlJc w:val="left"/>
      <w:pPr>
        <w:tabs>
          <w:tab w:val="num" w:pos="1440"/>
        </w:tabs>
        <w:ind w:left="1440" w:hanging="360"/>
      </w:pPr>
      <w:rPr>
        <w:rFonts w:ascii="Times New Roman" w:hAnsi="Times New Roman" w:hint="default"/>
      </w:rPr>
    </w:lvl>
    <w:lvl w:ilvl="2" w:tplc="65E0D7FC" w:tentative="1">
      <w:start w:val="1"/>
      <w:numFmt w:val="bullet"/>
      <w:lvlText w:val="•"/>
      <w:lvlJc w:val="left"/>
      <w:pPr>
        <w:tabs>
          <w:tab w:val="num" w:pos="2160"/>
        </w:tabs>
        <w:ind w:left="2160" w:hanging="360"/>
      </w:pPr>
      <w:rPr>
        <w:rFonts w:ascii="Times New Roman" w:hAnsi="Times New Roman" w:hint="default"/>
      </w:rPr>
    </w:lvl>
    <w:lvl w:ilvl="3" w:tplc="99B060EA" w:tentative="1">
      <w:start w:val="1"/>
      <w:numFmt w:val="bullet"/>
      <w:lvlText w:val="•"/>
      <w:lvlJc w:val="left"/>
      <w:pPr>
        <w:tabs>
          <w:tab w:val="num" w:pos="2880"/>
        </w:tabs>
        <w:ind w:left="2880" w:hanging="360"/>
      </w:pPr>
      <w:rPr>
        <w:rFonts w:ascii="Times New Roman" w:hAnsi="Times New Roman" w:hint="default"/>
      </w:rPr>
    </w:lvl>
    <w:lvl w:ilvl="4" w:tplc="6E38BA98" w:tentative="1">
      <w:start w:val="1"/>
      <w:numFmt w:val="bullet"/>
      <w:lvlText w:val="•"/>
      <w:lvlJc w:val="left"/>
      <w:pPr>
        <w:tabs>
          <w:tab w:val="num" w:pos="3600"/>
        </w:tabs>
        <w:ind w:left="3600" w:hanging="360"/>
      </w:pPr>
      <w:rPr>
        <w:rFonts w:ascii="Times New Roman" w:hAnsi="Times New Roman" w:hint="default"/>
      </w:rPr>
    </w:lvl>
    <w:lvl w:ilvl="5" w:tplc="F1889094" w:tentative="1">
      <w:start w:val="1"/>
      <w:numFmt w:val="bullet"/>
      <w:lvlText w:val="•"/>
      <w:lvlJc w:val="left"/>
      <w:pPr>
        <w:tabs>
          <w:tab w:val="num" w:pos="4320"/>
        </w:tabs>
        <w:ind w:left="4320" w:hanging="360"/>
      </w:pPr>
      <w:rPr>
        <w:rFonts w:ascii="Times New Roman" w:hAnsi="Times New Roman" w:hint="default"/>
      </w:rPr>
    </w:lvl>
    <w:lvl w:ilvl="6" w:tplc="05EC90DE" w:tentative="1">
      <w:start w:val="1"/>
      <w:numFmt w:val="bullet"/>
      <w:lvlText w:val="•"/>
      <w:lvlJc w:val="left"/>
      <w:pPr>
        <w:tabs>
          <w:tab w:val="num" w:pos="5040"/>
        </w:tabs>
        <w:ind w:left="5040" w:hanging="360"/>
      </w:pPr>
      <w:rPr>
        <w:rFonts w:ascii="Times New Roman" w:hAnsi="Times New Roman" w:hint="default"/>
      </w:rPr>
    </w:lvl>
    <w:lvl w:ilvl="7" w:tplc="3D52F1D6" w:tentative="1">
      <w:start w:val="1"/>
      <w:numFmt w:val="bullet"/>
      <w:lvlText w:val="•"/>
      <w:lvlJc w:val="left"/>
      <w:pPr>
        <w:tabs>
          <w:tab w:val="num" w:pos="5760"/>
        </w:tabs>
        <w:ind w:left="5760" w:hanging="360"/>
      </w:pPr>
      <w:rPr>
        <w:rFonts w:ascii="Times New Roman" w:hAnsi="Times New Roman" w:hint="default"/>
      </w:rPr>
    </w:lvl>
    <w:lvl w:ilvl="8" w:tplc="287EF53E"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8DD3CB7"/>
    <w:multiLevelType w:val="hybridMultilevel"/>
    <w:tmpl w:val="F886B35E"/>
    <w:lvl w:ilvl="0" w:tplc="A7642690">
      <w:start w:val="1"/>
      <w:numFmt w:val="bullet"/>
      <w:lvlText w:val="•"/>
      <w:lvlJc w:val="left"/>
      <w:pPr>
        <w:tabs>
          <w:tab w:val="num" w:pos="720"/>
        </w:tabs>
        <w:ind w:left="720" w:hanging="360"/>
      </w:pPr>
      <w:rPr>
        <w:rFonts w:ascii="Times New Roman" w:hAnsi="Times New Roman" w:hint="default"/>
      </w:rPr>
    </w:lvl>
    <w:lvl w:ilvl="1" w:tplc="E4FAF1F2" w:tentative="1">
      <w:start w:val="1"/>
      <w:numFmt w:val="bullet"/>
      <w:lvlText w:val="•"/>
      <w:lvlJc w:val="left"/>
      <w:pPr>
        <w:tabs>
          <w:tab w:val="num" w:pos="1440"/>
        </w:tabs>
        <w:ind w:left="1440" w:hanging="360"/>
      </w:pPr>
      <w:rPr>
        <w:rFonts w:ascii="Times New Roman" w:hAnsi="Times New Roman" w:hint="default"/>
      </w:rPr>
    </w:lvl>
    <w:lvl w:ilvl="2" w:tplc="58CE66FA" w:tentative="1">
      <w:start w:val="1"/>
      <w:numFmt w:val="bullet"/>
      <w:lvlText w:val="•"/>
      <w:lvlJc w:val="left"/>
      <w:pPr>
        <w:tabs>
          <w:tab w:val="num" w:pos="2160"/>
        </w:tabs>
        <w:ind w:left="2160" w:hanging="360"/>
      </w:pPr>
      <w:rPr>
        <w:rFonts w:ascii="Times New Roman" w:hAnsi="Times New Roman" w:hint="default"/>
      </w:rPr>
    </w:lvl>
    <w:lvl w:ilvl="3" w:tplc="EC38C272" w:tentative="1">
      <w:start w:val="1"/>
      <w:numFmt w:val="bullet"/>
      <w:lvlText w:val="•"/>
      <w:lvlJc w:val="left"/>
      <w:pPr>
        <w:tabs>
          <w:tab w:val="num" w:pos="2880"/>
        </w:tabs>
        <w:ind w:left="2880" w:hanging="360"/>
      </w:pPr>
      <w:rPr>
        <w:rFonts w:ascii="Times New Roman" w:hAnsi="Times New Roman" w:hint="default"/>
      </w:rPr>
    </w:lvl>
    <w:lvl w:ilvl="4" w:tplc="013006A2" w:tentative="1">
      <w:start w:val="1"/>
      <w:numFmt w:val="bullet"/>
      <w:lvlText w:val="•"/>
      <w:lvlJc w:val="left"/>
      <w:pPr>
        <w:tabs>
          <w:tab w:val="num" w:pos="3600"/>
        </w:tabs>
        <w:ind w:left="3600" w:hanging="360"/>
      </w:pPr>
      <w:rPr>
        <w:rFonts w:ascii="Times New Roman" w:hAnsi="Times New Roman" w:hint="default"/>
      </w:rPr>
    </w:lvl>
    <w:lvl w:ilvl="5" w:tplc="BC1E5BA0" w:tentative="1">
      <w:start w:val="1"/>
      <w:numFmt w:val="bullet"/>
      <w:lvlText w:val="•"/>
      <w:lvlJc w:val="left"/>
      <w:pPr>
        <w:tabs>
          <w:tab w:val="num" w:pos="4320"/>
        </w:tabs>
        <w:ind w:left="4320" w:hanging="360"/>
      </w:pPr>
      <w:rPr>
        <w:rFonts w:ascii="Times New Roman" w:hAnsi="Times New Roman" w:hint="default"/>
      </w:rPr>
    </w:lvl>
    <w:lvl w:ilvl="6" w:tplc="6DD289E2" w:tentative="1">
      <w:start w:val="1"/>
      <w:numFmt w:val="bullet"/>
      <w:lvlText w:val="•"/>
      <w:lvlJc w:val="left"/>
      <w:pPr>
        <w:tabs>
          <w:tab w:val="num" w:pos="5040"/>
        </w:tabs>
        <w:ind w:left="5040" w:hanging="360"/>
      </w:pPr>
      <w:rPr>
        <w:rFonts w:ascii="Times New Roman" w:hAnsi="Times New Roman" w:hint="default"/>
      </w:rPr>
    </w:lvl>
    <w:lvl w:ilvl="7" w:tplc="1EB456F2" w:tentative="1">
      <w:start w:val="1"/>
      <w:numFmt w:val="bullet"/>
      <w:lvlText w:val="•"/>
      <w:lvlJc w:val="left"/>
      <w:pPr>
        <w:tabs>
          <w:tab w:val="num" w:pos="5760"/>
        </w:tabs>
        <w:ind w:left="5760" w:hanging="360"/>
      </w:pPr>
      <w:rPr>
        <w:rFonts w:ascii="Times New Roman" w:hAnsi="Times New Roman" w:hint="default"/>
      </w:rPr>
    </w:lvl>
    <w:lvl w:ilvl="8" w:tplc="096AA21C"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6E99451F"/>
    <w:multiLevelType w:val="hybridMultilevel"/>
    <w:tmpl w:val="DC345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63766B"/>
    <w:multiLevelType w:val="hybridMultilevel"/>
    <w:tmpl w:val="7CB0FD1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080A26"/>
    <w:multiLevelType w:val="hybridMultilevel"/>
    <w:tmpl w:val="197C0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91379B"/>
    <w:multiLevelType w:val="multilevel"/>
    <w:tmpl w:val="E25EC634"/>
    <w:lvl w:ilvl="0">
      <w:start w:val="1"/>
      <w:numFmt w:val="bullet"/>
      <w:pStyle w:val="Non-TOCHeading3"/>
      <w:lvlText w:val=""/>
      <w:lvlJc w:val="left"/>
      <w:pPr>
        <w:tabs>
          <w:tab w:val="num" w:pos="1134"/>
        </w:tabs>
        <w:ind w:left="1134" w:hanging="567"/>
      </w:pPr>
      <w:rPr>
        <w:rFonts w:ascii="Monotype Sorts" w:hAnsi="Monotype Sorts" w:hint="default"/>
        <w:sz w:val="22"/>
      </w:rPr>
    </w:lvl>
    <w:lvl w:ilvl="1">
      <w:start w:val="1"/>
      <w:numFmt w:val="bullet"/>
      <w:lvlText w:val=""/>
      <w:lvlJc w:val="left"/>
      <w:pPr>
        <w:tabs>
          <w:tab w:val="num" w:pos="1701"/>
        </w:tabs>
        <w:ind w:left="1701" w:hanging="567"/>
      </w:pPr>
      <w:rPr>
        <w:rFonts w:ascii="Monotype Sorts" w:hAnsi="Monotype Sorts" w:hint="default"/>
        <w:sz w:val="16"/>
      </w:rPr>
    </w:lvl>
    <w:lvl w:ilvl="2">
      <w:start w:val="1"/>
      <w:numFmt w:val="bullet"/>
      <w:lvlRestart w:val="0"/>
      <w:lvlText w:val=""/>
      <w:lvlJc w:val="left"/>
      <w:pPr>
        <w:tabs>
          <w:tab w:val="num" w:pos="2268"/>
        </w:tabs>
        <w:ind w:left="2268" w:hanging="567"/>
      </w:pPr>
      <w:rPr>
        <w:rFonts w:ascii="Wingdings" w:hAnsi="Wingdings" w:hint="default"/>
        <w:sz w:val="16"/>
      </w:rPr>
    </w:lvl>
    <w:lvl w:ilvl="3">
      <w:start w:val="1"/>
      <w:numFmt w:val="none"/>
      <w:lvlText w:val=""/>
      <w:lvlJc w:val="left"/>
      <w:pPr>
        <w:tabs>
          <w:tab w:val="num" w:pos="0"/>
        </w:tabs>
        <w:ind w:left="2214" w:hanging="360"/>
      </w:pPr>
      <w:rPr>
        <w:rFonts w:ascii="Symbol" w:hAnsi="Symbol" w:hint="default"/>
      </w:rPr>
    </w:lvl>
    <w:lvl w:ilvl="4">
      <w:start w:val="1"/>
      <w:numFmt w:val="none"/>
      <w:lvlText w:val="o"/>
      <w:lvlJc w:val="left"/>
      <w:pPr>
        <w:tabs>
          <w:tab w:val="num" w:pos="0"/>
        </w:tabs>
        <w:ind w:left="2574" w:hanging="360"/>
      </w:pPr>
      <w:rPr>
        <w:rFonts w:ascii="Courier New" w:hAnsi="Courier New" w:hint="default"/>
      </w:rPr>
    </w:lvl>
    <w:lvl w:ilvl="5">
      <w:start w:val="1"/>
      <w:numFmt w:val="none"/>
      <w:lvlText w:val=""/>
      <w:lvlJc w:val="left"/>
      <w:pPr>
        <w:tabs>
          <w:tab w:val="num" w:pos="0"/>
        </w:tabs>
        <w:ind w:left="2934" w:hanging="360"/>
      </w:pPr>
      <w:rPr>
        <w:rFonts w:ascii="Wingdings" w:hAnsi="Wingdings" w:hint="default"/>
      </w:rPr>
    </w:lvl>
    <w:lvl w:ilvl="6">
      <w:start w:val="1"/>
      <w:numFmt w:val="none"/>
      <w:lvlText w:val=""/>
      <w:lvlJc w:val="left"/>
      <w:pPr>
        <w:tabs>
          <w:tab w:val="num" w:pos="0"/>
        </w:tabs>
        <w:ind w:left="3294" w:hanging="360"/>
      </w:pPr>
      <w:rPr>
        <w:rFonts w:ascii="Symbol" w:hAnsi="Symbol" w:hint="default"/>
      </w:rPr>
    </w:lvl>
    <w:lvl w:ilvl="7">
      <w:start w:val="1"/>
      <w:numFmt w:val="none"/>
      <w:lvlText w:val="o"/>
      <w:lvlJc w:val="left"/>
      <w:pPr>
        <w:tabs>
          <w:tab w:val="num" w:pos="0"/>
        </w:tabs>
        <w:ind w:left="3654" w:hanging="360"/>
      </w:pPr>
      <w:rPr>
        <w:rFonts w:ascii="Courier New" w:hAnsi="Courier New" w:hint="default"/>
      </w:rPr>
    </w:lvl>
    <w:lvl w:ilvl="8">
      <w:start w:val="1"/>
      <w:numFmt w:val="none"/>
      <w:lvlText w:val=""/>
      <w:lvlJc w:val="left"/>
      <w:pPr>
        <w:tabs>
          <w:tab w:val="num" w:pos="0"/>
        </w:tabs>
        <w:ind w:left="4014" w:hanging="360"/>
      </w:pPr>
      <w:rPr>
        <w:rFonts w:ascii="Wingdings" w:hAnsi="Wingdings" w:hint="default"/>
      </w:rPr>
    </w:lvl>
  </w:abstractNum>
  <w:abstractNum w:abstractNumId="46" w15:restartNumberingAfterBreak="0">
    <w:nsid w:val="7A8D3853"/>
    <w:multiLevelType w:val="hybridMultilevel"/>
    <w:tmpl w:val="0F4C2A28"/>
    <w:lvl w:ilvl="0" w:tplc="A9941A9A">
      <w:start w:val="1"/>
      <w:numFmt w:val="bullet"/>
      <w:lvlText w:val="•"/>
      <w:lvlJc w:val="left"/>
      <w:pPr>
        <w:tabs>
          <w:tab w:val="num" w:pos="720"/>
        </w:tabs>
        <w:ind w:left="720" w:hanging="360"/>
      </w:pPr>
      <w:rPr>
        <w:rFonts w:ascii="Arial" w:hAnsi="Arial" w:hint="default"/>
      </w:rPr>
    </w:lvl>
    <w:lvl w:ilvl="1" w:tplc="E6E8CE3E" w:tentative="1">
      <w:start w:val="1"/>
      <w:numFmt w:val="bullet"/>
      <w:lvlText w:val="•"/>
      <w:lvlJc w:val="left"/>
      <w:pPr>
        <w:tabs>
          <w:tab w:val="num" w:pos="1440"/>
        </w:tabs>
        <w:ind w:left="1440" w:hanging="360"/>
      </w:pPr>
      <w:rPr>
        <w:rFonts w:ascii="Arial" w:hAnsi="Arial" w:hint="default"/>
      </w:rPr>
    </w:lvl>
    <w:lvl w:ilvl="2" w:tplc="A1E0B352" w:tentative="1">
      <w:start w:val="1"/>
      <w:numFmt w:val="bullet"/>
      <w:lvlText w:val="•"/>
      <w:lvlJc w:val="left"/>
      <w:pPr>
        <w:tabs>
          <w:tab w:val="num" w:pos="2160"/>
        </w:tabs>
        <w:ind w:left="2160" w:hanging="360"/>
      </w:pPr>
      <w:rPr>
        <w:rFonts w:ascii="Arial" w:hAnsi="Arial" w:hint="default"/>
      </w:rPr>
    </w:lvl>
    <w:lvl w:ilvl="3" w:tplc="C6C02D56" w:tentative="1">
      <w:start w:val="1"/>
      <w:numFmt w:val="bullet"/>
      <w:lvlText w:val="•"/>
      <w:lvlJc w:val="left"/>
      <w:pPr>
        <w:tabs>
          <w:tab w:val="num" w:pos="2880"/>
        </w:tabs>
        <w:ind w:left="2880" w:hanging="360"/>
      </w:pPr>
      <w:rPr>
        <w:rFonts w:ascii="Arial" w:hAnsi="Arial" w:hint="default"/>
      </w:rPr>
    </w:lvl>
    <w:lvl w:ilvl="4" w:tplc="C394AEEC" w:tentative="1">
      <w:start w:val="1"/>
      <w:numFmt w:val="bullet"/>
      <w:lvlText w:val="•"/>
      <w:lvlJc w:val="left"/>
      <w:pPr>
        <w:tabs>
          <w:tab w:val="num" w:pos="3600"/>
        </w:tabs>
        <w:ind w:left="3600" w:hanging="360"/>
      </w:pPr>
      <w:rPr>
        <w:rFonts w:ascii="Arial" w:hAnsi="Arial" w:hint="default"/>
      </w:rPr>
    </w:lvl>
    <w:lvl w:ilvl="5" w:tplc="1E701884" w:tentative="1">
      <w:start w:val="1"/>
      <w:numFmt w:val="bullet"/>
      <w:lvlText w:val="•"/>
      <w:lvlJc w:val="left"/>
      <w:pPr>
        <w:tabs>
          <w:tab w:val="num" w:pos="4320"/>
        </w:tabs>
        <w:ind w:left="4320" w:hanging="360"/>
      </w:pPr>
      <w:rPr>
        <w:rFonts w:ascii="Arial" w:hAnsi="Arial" w:hint="default"/>
      </w:rPr>
    </w:lvl>
    <w:lvl w:ilvl="6" w:tplc="D46CDB9C" w:tentative="1">
      <w:start w:val="1"/>
      <w:numFmt w:val="bullet"/>
      <w:lvlText w:val="•"/>
      <w:lvlJc w:val="left"/>
      <w:pPr>
        <w:tabs>
          <w:tab w:val="num" w:pos="5040"/>
        </w:tabs>
        <w:ind w:left="5040" w:hanging="360"/>
      </w:pPr>
      <w:rPr>
        <w:rFonts w:ascii="Arial" w:hAnsi="Arial" w:hint="default"/>
      </w:rPr>
    </w:lvl>
    <w:lvl w:ilvl="7" w:tplc="A0649354" w:tentative="1">
      <w:start w:val="1"/>
      <w:numFmt w:val="bullet"/>
      <w:lvlText w:val="•"/>
      <w:lvlJc w:val="left"/>
      <w:pPr>
        <w:tabs>
          <w:tab w:val="num" w:pos="5760"/>
        </w:tabs>
        <w:ind w:left="5760" w:hanging="360"/>
      </w:pPr>
      <w:rPr>
        <w:rFonts w:ascii="Arial" w:hAnsi="Arial" w:hint="default"/>
      </w:rPr>
    </w:lvl>
    <w:lvl w:ilvl="8" w:tplc="792C0C5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B6E0EA7"/>
    <w:multiLevelType w:val="hybridMultilevel"/>
    <w:tmpl w:val="EF6A7B8A"/>
    <w:lvl w:ilvl="0" w:tplc="E3EC5E14">
      <w:start w:val="1"/>
      <w:numFmt w:val="bullet"/>
      <w:pStyle w:val="Box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32291C"/>
    <w:multiLevelType w:val="hybridMultilevel"/>
    <w:tmpl w:val="7010A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9"/>
  </w:num>
  <w:num w:numId="3">
    <w:abstractNumId w:val="21"/>
  </w:num>
  <w:num w:numId="4">
    <w:abstractNumId w:val="45"/>
  </w:num>
  <w:num w:numId="5">
    <w:abstractNumId w:val="28"/>
  </w:num>
  <w:num w:numId="6">
    <w:abstractNumId w:val="11"/>
  </w:num>
  <w:num w:numId="7">
    <w:abstractNumId w:val="1"/>
  </w:num>
  <w:num w:numId="8">
    <w:abstractNumId w:val="6"/>
  </w:num>
  <w:num w:numId="9">
    <w:abstractNumId w:val="20"/>
  </w:num>
  <w:num w:numId="10">
    <w:abstractNumId w:val="34"/>
  </w:num>
  <w:num w:numId="11">
    <w:abstractNumId w:val="24"/>
  </w:num>
  <w:num w:numId="12">
    <w:abstractNumId w:val="17"/>
  </w:num>
  <w:num w:numId="13">
    <w:abstractNumId w:val="18"/>
  </w:num>
  <w:num w:numId="14">
    <w:abstractNumId w:val="47"/>
  </w:num>
  <w:num w:numId="15">
    <w:abstractNumId w:val="14"/>
  </w:num>
  <w:num w:numId="16">
    <w:abstractNumId w:val="38"/>
  </w:num>
  <w:num w:numId="17">
    <w:abstractNumId w:val="33"/>
  </w:num>
  <w:num w:numId="18">
    <w:abstractNumId w:val="16"/>
  </w:num>
  <w:num w:numId="19">
    <w:abstractNumId w:val="8"/>
  </w:num>
  <w:num w:numId="20">
    <w:abstractNumId w:val="22"/>
  </w:num>
  <w:num w:numId="21">
    <w:abstractNumId w:val="7"/>
  </w:num>
  <w:num w:numId="22">
    <w:abstractNumId w:val="36"/>
  </w:num>
  <w:num w:numId="23">
    <w:abstractNumId w:val="46"/>
  </w:num>
  <w:num w:numId="24">
    <w:abstractNumId w:val="15"/>
  </w:num>
  <w:num w:numId="25">
    <w:abstractNumId w:val="9"/>
  </w:num>
  <w:num w:numId="26">
    <w:abstractNumId w:val="35"/>
  </w:num>
  <w:num w:numId="27">
    <w:abstractNumId w:val="10"/>
  </w:num>
  <w:num w:numId="28">
    <w:abstractNumId w:val="19"/>
  </w:num>
  <w:num w:numId="29">
    <w:abstractNumId w:val="32"/>
  </w:num>
  <w:num w:numId="30">
    <w:abstractNumId w:val="27"/>
  </w:num>
  <w:num w:numId="31">
    <w:abstractNumId w:val="40"/>
  </w:num>
  <w:num w:numId="32">
    <w:abstractNumId w:val="41"/>
  </w:num>
  <w:num w:numId="33">
    <w:abstractNumId w:val="13"/>
  </w:num>
  <w:num w:numId="34">
    <w:abstractNumId w:val="31"/>
  </w:num>
  <w:num w:numId="35">
    <w:abstractNumId w:val="37"/>
  </w:num>
  <w:num w:numId="36">
    <w:abstractNumId w:val="0"/>
  </w:num>
  <w:num w:numId="37">
    <w:abstractNumId w:val="42"/>
  </w:num>
  <w:num w:numId="38">
    <w:abstractNumId w:val="3"/>
  </w:num>
  <w:num w:numId="39">
    <w:abstractNumId w:val="48"/>
  </w:num>
  <w:num w:numId="40">
    <w:abstractNumId w:val="44"/>
  </w:num>
  <w:num w:numId="41">
    <w:abstractNumId w:val="12"/>
  </w:num>
  <w:num w:numId="42">
    <w:abstractNumId w:val="39"/>
  </w:num>
  <w:num w:numId="43">
    <w:abstractNumId w:val="25"/>
  </w:num>
  <w:num w:numId="44">
    <w:abstractNumId w:val="5"/>
  </w:num>
  <w:num w:numId="45">
    <w:abstractNumId w:val="43"/>
  </w:num>
  <w:num w:numId="46">
    <w:abstractNumId w:val="30"/>
  </w:num>
  <w:num w:numId="47">
    <w:abstractNumId w:val="4"/>
  </w:num>
  <w:num w:numId="48">
    <w:abstractNumId w:val="23"/>
  </w:num>
  <w:num w:numId="49">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CF3"/>
    <w:rsid w:val="00000DF6"/>
    <w:rsid w:val="00005A21"/>
    <w:rsid w:val="0001426A"/>
    <w:rsid w:val="00014E74"/>
    <w:rsid w:val="00015DCB"/>
    <w:rsid w:val="00016E96"/>
    <w:rsid w:val="00022684"/>
    <w:rsid w:val="00025577"/>
    <w:rsid w:val="0003007D"/>
    <w:rsid w:val="000304E5"/>
    <w:rsid w:val="000317EE"/>
    <w:rsid w:val="000318DE"/>
    <w:rsid w:val="00032CDB"/>
    <w:rsid w:val="0003388C"/>
    <w:rsid w:val="00042A6D"/>
    <w:rsid w:val="00050A12"/>
    <w:rsid w:val="0005314A"/>
    <w:rsid w:val="0005549B"/>
    <w:rsid w:val="00061B71"/>
    <w:rsid w:val="00063B5A"/>
    <w:rsid w:val="0006545E"/>
    <w:rsid w:val="000725C9"/>
    <w:rsid w:val="00072A49"/>
    <w:rsid w:val="0007562B"/>
    <w:rsid w:val="0008080C"/>
    <w:rsid w:val="00095360"/>
    <w:rsid w:val="000955DE"/>
    <w:rsid w:val="000963EA"/>
    <w:rsid w:val="000979DA"/>
    <w:rsid w:val="00097C57"/>
    <w:rsid w:val="000A13C6"/>
    <w:rsid w:val="000A1875"/>
    <w:rsid w:val="000A2371"/>
    <w:rsid w:val="000A36B2"/>
    <w:rsid w:val="000A504D"/>
    <w:rsid w:val="000A5DED"/>
    <w:rsid w:val="000A7A7C"/>
    <w:rsid w:val="000B1D87"/>
    <w:rsid w:val="000B36F7"/>
    <w:rsid w:val="000B5B83"/>
    <w:rsid w:val="000B659E"/>
    <w:rsid w:val="000C2AE3"/>
    <w:rsid w:val="000C2CF5"/>
    <w:rsid w:val="000C32A1"/>
    <w:rsid w:val="000C4AF6"/>
    <w:rsid w:val="000C52FF"/>
    <w:rsid w:val="000C6349"/>
    <w:rsid w:val="000C734D"/>
    <w:rsid w:val="000D3040"/>
    <w:rsid w:val="000D6362"/>
    <w:rsid w:val="000D6990"/>
    <w:rsid w:val="000E1461"/>
    <w:rsid w:val="000E1B87"/>
    <w:rsid w:val="000F22B6"/>
    <w:rsid w:val="001005B1"/>
    <w:rsid w:val="0010118E"/>
    <w:rsid w:val="00107BEF"/>
    <w:rsid w:val="00111A67"/>
    <w:rsid w:val="00111D50"/>
    <w:rsid w:val="001155AA"/>
    <w:rsid w:val="00115FE3"/>
    <w:rsid w:val="00116ACB"/>
    <w:rsid w:val="00121F19"/>
    <w:rsid w:val="00137F42"/>
    <w:rsid w:val="00140404"/>
    <w:rsid w:val="001410B2"/>
    <w:rsid w:val="00143FD1"/>
    <w:rsid w:val="00144B47"/>
    <w:rsid w:val="0014514A"/>
    <w:rsid w:val="0014521B"/>
    <w:rsid w:val="0014728F"/>
    <w:rsid w:val="001552E9"/>
    <w:rsid w:val="001563E2"/>
    <w:rsid w:val="00156E32"/>
    <w:rsid w:val="00164756"/>
    <w:rsid w:val="001700CA"/>
    <w:rsid w:val="0017435B"/>
    <w:rsid w:val="00175B5E"/>
    <w:rsid w:val="001765A0"/>
    <w:rsid w:val="001817FF"/>
    <w:rsid w:val="001832F3"/>
    <w:rsid w:val="00196384"/>
    <w:rsid w:val="00196F18"/>
    <w:rsid w:val="001A0A45"/>
    <w:rsid w:val="001A19B1"/>
    <w:rsid w:val="001A2956"/>
    <w:rsid w:val="001A2CF3"/>
    <w:rsid w:val="001A414E"/>
    <w:rsid w:val="001A774D"/>
    <w:rsid w:val="001B318D"/>
    <w:rsid w:val="001B3B45"/>
    <w:rsid w:val="001B3D1C"/>
    <w:rsid w:val="001B791E"/>
    <w:rsid w:val="001C2537"/>
    <w:rsid w:val="001C3D49"/>
    <w:rsid w:val="001C443F"/>
    <w:rsid w:val="001C6976"/>
    <w:rsid w:val="001D4ED2"/>
    <w:rsid w:val="001D71BB"/>
    <w:rsid w:val="001D7E58"/>
    <w:rsid w:val="001E2045"/>
    <w:rsid w:val="001E26EE"/>
    <w:rsid w:val="001E7725"/>
    <w:rsid w:val="001E7C8C"/>
    <w:rsid w:val="001F64F1"/>
    <w:rsid w:val="001F72D6"/>
    <w:rsid w:val="0020074E"/>
    <w:rsid w:val="002011D8"/>
    <w:rsid w:val="00201F1E"/>
    <w:rsid w:val="002058EA"/>
    <w:rsid w:val="0020774C"/>
    <w:rsid w:val="00210143"/>
    <w:rsid w:val="00211C80"/>
    <w:rsid w:val="00214DE3"/>
    <w:rsid w:val="0022069B"/>
    <w:rsid w:val="00221405"/>
    <w:rsid w:val="00221613"/>
    <w:rsid w:val="002232B9"/>
    <w:rsid w:val="00225320"/>
    <w:rsid w:val="0022600B"/>
    <w:rsid w:val="002278F3"/>
    <w:rsid w:val="00234282"/>
    <w:rsid w:val="002364B9"/>
    <w:rsid w:val="002420F5"/>
    <w:rsid w:val="0024260E"/>
    <w:rsid w:val="002447D7"/>
    <w:rsid w:val="00246D31"/>
    <w:rsid w:val="00252AD4"/>
    <w:rsid w:val="0025402C"/>
    <w:rsid w:val="00256BC6"/>
    <w:rsid w:val="00260668"/>
    <w:rsid w:val="00261320"/>
    <w:rsid w:val="00262C45"/>
    <w:rsid w:val="0026593F"/>
    <w:rsid w:val="00272350"/>
    <w:rsid w:val="00272E42"/>
    <w:rsid w:val="00274622"/>
    <w:rsid w:val="002758B3"/>
    <w:rsid w:val="0027683E"/>
    <w:rsid w:val="002779B1"/>
    <w:rsid w:val="00277BAE"/>
    <w:rsid w:val="0028392B"/>
    <w:rsid w:val="00283DB9"/>
    <w:rsid w:val="00286B27"/>
    <w:rsid w:val="00286FAF"/>
    <w:rsid w:val="00287E4D"/>
    <w:rsid w:val="00291D44"/>
    <w:rsid w:val="002962F1"/>
    <w:rsid w:val="002979F8"/>
    <w:rsid w:val="002A0017"/>
    <w:rsid w:val="002A61DF"/>
    <w:rsid w:val="002A663E"/>
    <w:rsid w:val="002B01EE"/>
    <w:rsid w:val="002B5675"/>
    <w:rsid w:val="002B70C4"/>
    <w:rsid w:val="002C0329"/>
    <w:rsid w:val="002C2399"/>
    <w:rsid w:val="002C257A"/>
    <w:rsid w:val="002C3905"/>
    <w:rsid w:val="002D1110"/>
    <w:rsid w:val="002D1F37"/>
    <w:rsid w:val="002D291F"/>
    <w:rsid w:val="002D2A2A"/>
    <w:rsid w:val="002D46A2"/>
    <w:rsid w:val="002D5AA0"/>
    <w:rsid w:val="002D672B"/>
    <w:rsid w:val="002D79FF"/>
    <w:rsid w:val="002E27BD"/>
    <w:rsid w:val="002F1D69"/>
    <w:rsid w:val="002F666D"/>
    <w:rsid w:val="002F7227"/>
    <w:rsid w:val="003004B2"/>
    <w:rsid w:val="00300D39"/>
    <w:rsid w:val="00303202"/>
    <w:rsid w:val="003064C9"/>
    <w:rsid w:val="00306AC5"/>
    <w:rsid w:val="00306DB6"/>
    <w:rsid w:val="003120BC"/>
    <w:rsid w:val="003134EE"/>
    <w:rsid w:val="00317B1A"/>
    <w:rsid w:val="003217FE"/>
    <w:rsid w:val="003225C0"/>
    <w:rsid w:val="003252B6"/>
    <w:rsid w:val="00326322"/>
    <w:rsid w:val="0033739E"/>
    <w:rsid w:val="00341814"/>
    <w:rsid w:val="00345436"/>
    <w:rsid w:val="00346874"/>
    <w:rsid w:val="00347DFB"/>
    <w:rsid w:val="00350341"/>
    <w:rsid w:val="003606D0"/>
    <w:rsid w:val="00360A83"/>
    <w:rsid w:val="00363766"/>
    <w:rsid w:val="00364319"/>
    <w:rsid w:val="00365389"/>
    <w:rsid w:val="00365785"/>
    <w:rsid w:val="00365E77"/>
    <w:rsid w:val="00365EFA"/>
    <w:rsid w:val="00380572"/>
    <w:rsid w:val="003833ED"/>
    <w:rsid w:val="0038764C"/>
    <w:rsid w:val="00387696"/>
    <w:rsid w:val="003902CC"/>
    <w:rsid w:val="00392CEC"/>
    <w:rsid w:val="0039418C"/>
    <w:rsid w:val="00396863"/>
    <w:rsid w:val="003A29B7"/>
    <w:rsid w:val="003A3C33"/>
    <w:rsid w:val="003A41DF"/>
    <w:rsid w:val="003A4893"/>
    <w:rsid w:val="003B082F"/>
    <w:rsid w:val="003B47B2"/>
    <w:rsid w:val="003B5526"/>
    <w:rsid w:val="003B5706"/>
    <w:rsid w:val="003B57A6"/>
    <w:rsid w:val="003B7EFC"/>
    <w:rsid w:val="003C4BEE"/>
    <w:rsid w:val="003C5F03"/>
    <w:rsid w:val="003C74F5"/>
    <w:rsid w:val="003C76EA"/>
    <w:rsid w:val="003D0265"/>
    <w:rsid w:val="003D0971"/>
    <w:rsid w:val="003D1A3D"/>
    <w:rsid w:val="003D66D8"/>
    <w:rsid w:val="003E1675"/>
    <w:rsid w:val="003E4579"/>
    <w:rsid w:val="003F208E"/>
    <w:rsid w:val="003F2954"/>
    <w:rsid w:val="003F2AF5"/>
    <w:rsid w:val="004000DE"/>
    <w:rsid w:val="004027B9"/>
    <w:rsid w:val="00404035"/>
    <w:rsid w:val="00404310"/>
    <w:rsid w:val="0040795A"/>
    <w:rsid w:val="004116EA"/>
    <w:rsid w:val="004141CB"/>
    <w:rsid w:val="0041616E"/>
    <w:rsid w:val="004166B4"/>
    <w:rsid w:val="00416B4F"/>
    <w:rsid w:val="00417CDA"/>
    <w:rsid w:val="00421A0E"/>
    <w:rsid w:val="0043799F"/>
    <w:rsid w:val="004409D0"/>
    <w:rsid w:val="00443320"/>
    <w:rsid w:val="0044457B"/>
    <w:rsid w:val="0044724D"/>
    <w:rsid w:val="004478C7"/>
    <w:rsid w:val="00452B78"/>
    <w:rsid w:val="004543ED"/>
    <w:rsid w:val="00454D55"/>
    <w:rsid w:val="00457A1C"/>
    <w:rsid w:val="00460B04"/>
    <w:rsid w:val="004615A6"/>
    <w:rsid w:val="00465559"/>
    <w:rsid w:val="004670F9"/>
    <w:rsid w:val="004733B0"/>
    <w:rsid w:val="00473502"/>
    <w:rsid w:val="00474E86"/>
    <w:rsid w:val="004820E5"/>
    <w:rsid w:val="00482719"/>
    <w:rsid w:val="00482B3B"/>
    <w:rsid w:val="0048626D"/>
    <w:rsid w:val="0048769A"/>
    <w:rsid w:val="0049309A"/>
    <w:rsid w:val="00494324"/>
    <w:rsid w:val="004958B0"/>
    <w:rsid w:val="004A0217"/>
    <w:rsid w:val="004A0999"/>
    <w:rsid w:val="004A44CC"/>
    <w:rsid w:val="004A4D52"/>
    <w:rsid w:val="004A5DEA"/>
    <w:rsid w:val="004B18CE"/>
    <w:rsid w:val="004B3372"/>
    <w:rsid w:val="004B6779"/>
    <w:rsid w:val="004C1A75"/>
    <w:rsid w:val="004C1EE5"/>
    <w:rsid w:val="004C514E"/>
    <w:rsid w:val="004C75AD"/>
    <w:rsid w:val="004D0588"/>
    <w:rsid w:val="004D09E6"/>
    <w:rsid w:val="004D0C34"/>
    <w:rsid w:val="004D2CC8"/>
    <w:rsid w:val="004D3C32"/>
    <w:rsid w:val="004D4495"/>
    <w:rsid w:val="004D66C8"/>
    <w:rsid w:val="004D7D8C"/>
    <w:rsid w:val="004D7DD1"/>
    <w:rsid w:val="004E3A0D"/>
    <w:rsid w:val="004E425B"/>
    <w:rsid w:val="004E66D7"/>
    <w:rsid w:val="004F3B43"/>
    <w:rsid w:val="004F60F9"/>
    <w:rsid w:val="00501BE4"/>
    <w:rsid w:val="005065EB"/>
    <w:rsid w:val="005068F5"/>
    <w:rsid w:val="005137F1"/>
    <w:rsid w:val="005148EC"/>
    <w:rsid w:val="00517701"/>
    <w:rsid w:val="00520495"/>
    <w:rsid w:val="0052261E"/>
    <w:rsid w:val="00523412"/>
    <w:rsid w:val="00523AE8"/>
    <w:rsid w:val="00525783"/>
    <w:rsid w:val="005264BC"/>
    <w:rsid w:val="005264DB"/>
    <w:rsid w:val="005274B1"/>
    <w:rsid w:val="00532183"/>
    <w:rsid w:val="00535413"/>
    <w:rsid w:val="00537256"/>
    <w:rsid w:val="00537326"/>
    <w:rsid w:val="005410FA"/>
    <w:rsid w:val="0054129F"/>
    <w:rsid w:val="00541A6F"/>
    <w:rsid w:val="00544EAD"/>
    <w:rsid w:val="005451A2"/>
    <w:rsid w:val="005477C6"/>
    <w:rsid w:val="00547C42"/>
    <w:rsid w:val="00550643"/>
    <w:rsid w:val="00550FD0"/>
    <w:rsid w:val="00564F39"/>
    <w:rsid w:val="005662A8"/>
    <w:rsid w:val="00566C45"/>
    <w:rsid w:val="00571C41"/>
    <w:rsid w:val="00571E4E"/>
    <w:rsid w:val="00571E9A"/>
    <w:rsid w:val="005720F3"/>
    <w:rsid w:val="005773FA"/>
    <w:rsid w:val="0058094C"/>
    <w:rsid w:val="00582877"/>
    <w:rsid w:val="005849BD"/>
    <w:rsid w:val="005862B2"/>
    <w:rsid w:val="00592995"/>
    <w:rsid w:val="005948E4"/>
    <w:rsid w:val="005949CE"/>
    <w:rsid w:val="00594D82"/>
    <w:rsid w:val="005A42F7"/>
    <w:rsid w:val="005A6255"/>
    <w:rsid w:val="005A6941"/>
    <w:rsid w:val="005B1441"/>
    <w:rsid w:val="005B2751"/>
    <w:rsid w:val="005B4D00"/>
    <w:rsid w:val="005B4E1C"/>
    <w:rsid w:val="005C17DB"/>
    <w:rsid w:val="005D3123"/>
    <w:rsid w:val="005D5172"/>
    <w:rsid w:val="005D53B7"/>
    <w:rsid w:val="005E0352"/>
    <w:rsid w:val="005E6B92"/>
    <w:rsid w:val="005F0B12"/>
    <w:rsid w:val="005F3E0C"/>
    <w:rsid w:val="005F75C5"/>
    <w:rsid w:val="0060437A"/>
    <w:rsid w:val="00605F93"/>
    <w:rsid w:val="00612E50"/>
    <w:rsid w:val="00615046"/>
    <w:rsid w:val="0061686A"/>
    <w:rsid w:val="00622ED0"/>
    <w:rsid w:val="006239DF"/>
    <w:rsid w:val="00623E92"/>
    <w:rsid w:val="006252B6"/>
    <w:rsid w:val="00630D44"/>
    <w:rsid w:val="00630DC0"/>
    <w:rsid w:val="00634649"/>
    <w:rsid w:val="0064446C"/>
    <w:rsid w:val="0064616B"/>
    <w:rsid w:val="006505A2"/>
    <w:rsid w:val="00650A3F"/>
    <w:rsid w:val="0065180A"/>
    <w:rsid w:val="0065193B"/>
    <w:rsid w:val="00652B47"/>
    <w:rsid w:val="00652BB7"/>
    <w:rsid w:val="00652E17"/>
    <w:rsid w:val="0065428E"/>
    <w:rsid w:val="00654DC6"/>
    <w:rsid w:val="0065579B"/>
    <w:rsid w:val="006612A3"/>
    <w:rsid w:val="00663B19"/>
    <w:rsid w:val="00664DF4"/>
    <w:rsid w:val="00665526"/>
    <w:rsid w:val="00665681"/>
    <w:rsid w:val="00665A84"/>
    <w:rsid w:val="00665C0F"/>
    <w:rsid w:val="0066652F"/>
    <w:rsid w:val="00666D70"/>
    <w:rsid w:val="00667DC8"/>
    <w:rsid w:val="00671D62"/>
    <w:rsid w:val="006772F7"/>
    <w:rsid w:val="00682788"/>
    <w:rsid w:val="00683C45"/>
    <w:rsid w:val="00686338"/>
    <w:rsid w:val="00690C9C"/>
    <w:rsid w:val="006943AA"/>
    <w:rsid w:val="006A0304"/>
    <w:rsid w:val="006A11AA"/>
    <w:rsid w:val="006A16F1"/>
    <w:rsid w:val="006A2F5B"/>
    <w:rsid w:val="006A579B"/>
    <w:rsid w:val="006A6873"/>
    <w:rsid w:val="006B0DE6"/>
    <w:rsid w:val="006B13A6"/>
    <w:rsid w:val="006B226B"/>
    <w:rsid w:val="006B46F0"/>
    <w:rsid w:val="006B610A"/>
    <w:rsid w:val="006B7FDB"/>
    <w:rsid w:val="006C1872"/>
    <w:rsid w:val="006C217B"/>
    <w:rsid w:val="006C4B3E"/>
    <w:rsid w:val="006C5BB0"/>
    <w:rsid w:val="006C60AA"/>
    <w:rsid w:val="006C79E9"/>
    <w:rsid w:val="006D1D88"/>
    <w:rsid w:val="006D3C75"/>
    <w:rsid w:val="006D497D"/>
    <w:rsid w:val="006D5F2E"/>
    <w:rsid w:val="006D622E"/>
    <w:rsid w:val="006D6F05"/>
    <w:rsid w:val="006D6F72"/>
    <w:rsid w:val="006E0EEC"/>
    <w:rsid w:val="006E4D48"/>
    <w:rsid w:val="006F40D2"/>
    <w:rsid w:val="006F6392"/>
    <w:rsid w:val="00703328"/>
    <w:rsid w:val="007077EE"/>
    <w:rsid w:val="007219EE"/>
    <w:rsid w:val="007223AD"/>
    <w:rsid w:val="007240DA"/>
    <w:rsid w:val="00725E42"/>
    <w:rsid w:val="00726262"/>
    <w:rsid w:val="00727197"/>
    <w:rsid w:val="00727E42"/>
    <w:rsid w:val="00731405"/>
    <w:rsid w:val="00731BE9"/>
    <w:rsid w:val="0073255E"/>
    <w:rsid w:val="007327AD"/>
    <w:rsid w:val="007433E1"/>
    <w:rsid w:val="00747740"/>
    <w:rsid w:val="00750323"/>
    <w:rsid w:val="00750F5A"/>
    <w:rsid w:val="00751B1F"/>
    <w:rsid w:val="007535A0"/>
    <w:rsid w:val="00753966"/>
    <w:rsid w:val="007554B0"/>
    <w:rsid w:val="00756B33"/>
    <w:rsid w:val="007616C7"/>
    <w:rsid w:val="007621A6"/>
    <w:rsid w:val="0076655A"/>
    <w:rsid w:val="00766FCB"/>
    <w:rsid w:val="00767EEC"/>
    <w:rsid w:val="00771116"/>
    <w:rsid w:val="00772326"/>
    <w:rsid w:val="00781F7D"/>
    <w:rsid w:val="00791819"/>
    <w:rsid w:val="00792782"/>
    <w:rsid w:val="00792F4A"/>
    <w:rsid w:val="00795807"/>
    <w:rsid w:val="00796CFE"/>
    <w:rsid w:val="007A0760"/>
    <w:rsid w:val="007A14AD"/>
    <w:rsid w:val="007A2749"/>
    <w:rsid w:val="007A2BCA"/>
    <w:rsid w:val="007A5889"/>
    <w:rsid w:val="007A6231"/>
    <w:rsid w:val="007B1842"/>
    <w:rsid w:val="007B43AF"/>
    <w:rsid w:val="007B4BC2"/>
    <w:rsid w:val="007B535C"/>
    <w:rsid w:val="007B6473"/>
    <w:rsid w:val="007B72E9"/>
    <w:rsid w:val="007C061A"/>
    <w:rsid w:val="007C14CC"/>
    <w:rsid w:val="007D22BB"/>
    <w:rsid w:val="007D27CC"/>
    <w:rsid w:val="007D5145"/>
    <w:rsid w:val="007D6DD3"/>
    <w:rsid w:val="007E2989"/>
    <w:rsid w:val="007F0647"/>
    <w:rsid w:val="007F1F0A"/>
    <w:rsid w:val="007F2619"/>
    <w:rsid w:val="007F2F3E"/>
    <w:rsid w:val="007F37D6"/>
    <w:rsid w:val="008027C6"/>
    <w:rsid w:val="00802B04"/>
    <w:rsid w:val="00803E99"/>
    <w:rsid w:val="00804034"/>
    <w:rsid w:val="008065A6"/>
    <w:rsid w:val="00810833"/>
    <w:rsid w:val="00813027"/>
    <w:rsid w:val="00813741"/>
    <w:rsid w:val="00815413"/>
    <w:rsid w:val="00816D44"/>
    <w:rsid w:val="008170ED"/>
    <w:rsid w:val="008202D6"/>
    <w:rsid w:val="0082214E"/>
    <w:rsid w:val="00823084"/>
    <w:rsid w:val="0082589F"/>
    <w:rsid w:val="00826A96"/>
    <w:rsid w:val="00831B24"/>
    <w:rsid w:val="008341A8"/>
    <w:rsid w:val="008367BD"/>
    <w:rsid w:val="008376A5"/>
    <w:rsid w:val="00837DA4"/>
    <w:rsid w:val="008410EF"/>
    <w:rsid w:val="00845F9E"/>
    <w:rsid w:val="008467C2"/>
    <w:rsid w:val="0085139D"/>
    <w:rsid w:val="00852A63"/>
    <w:rsid w:val="00857BC0"/>
    <w:rsid w:val="00857E81"/>
    <w:rsid w:val="00862B5D"/>
    <w:rsid w:val="008644B9"/>
    <w:rsid w:val="00865104"/>
    <w:rsid w:val="00865140"/>
    <w:rsid w:val="00865926"/>
    <w:rsid w:val="0086670A"/>
    <w:rsid w:val="00873E53"/>
    <w:rsid w:val="00875C53"/>
    <w:rsid w:val="00876326"/>
    <w:rsid w:val="008772CE"/>
    <w:rsid w:val="00877A61"/>
    <w:rsid w:val="00881048"/>
    <w:rsid w:val="008815F6"/>
    <w:rsid w:val="008823F1"/>
    <w:rsid w:val="00882B1D"/>
    <w:rsid w:val="008A177A"/>
    <w:rsid w:val="008A30FD"/>
    <w:rsid w:val="008A421C"/>
    <w:rsid w:val="008A67F9"/>
    <w:rsid w:val="008B17A4"/>
    <w:rsid w:val="008B4B74"/>
    <w:rsid w:val="008B4CB6"/>
    <w:rsid w:val="008B5422"/>
    <w:rsid w:val="008B672E"/>
    <w:rsid w:val="008C3FD7"/>
    <w:rsid w:val="008C450D"/>
    <w:rsid w:val="008C54F9"/>
    <w:rsid w:val="008C5BFA"/>
    <w:rsid w:val="008C765E"/>
    <w:rsid w:val="008D4CEA"/>
    <w:rsid w:val="008D7F08"/>
    <w:rsid w:val="008E1BCC"/>
    <w:rsid w:val="008E57B4"/>
    <w:rsid w:val="008E6288"/>
    <w:rsid w:val="008F0970"/>
    <w:rsid w:val="008F26A2"/>
    <w:rsid w:val="008F60D8"/>
    <w:rsid w:val="00902991"/>
    <w:rsid w:val="00906258"/>
    <w:rsid w:val="00914A32"/>
    <w:rsid w:val="00924951"/>
    <w:rsid w:val="00925B15"/>
    <w:rsid w:val="00925F48"/>
    <w:rsid w:val="00934217"/>
    <w:rsid w:val="00936B28"/>
    <w:rsid w:val="0094541E"/>
    <w:rsid w:val="00951A39"/>
    <w:rsid w:val="00952770"/>
    <w:rsid w:val="00955C18"/>
    <w:rsid w:val="00956F89"/>
    <w:rsid w:val="009577B1"/>
    <w:rsid w:val="00960E02"/>
    <w:rsid w:val="009634B7"/>
    <w:rsid w:val="00963E7B"/>
    <w:rsid w:val="00964814"/>
    <w:rsid w:val="00965779"/>
    <w:rsid w:val="009660F7"/>
    <w:rsid w:val="009665BE"/>
    <w:rsid w:val="009744D9"/>
    <w:rsid w:val="009763B7"/>
    <w:rsid w:val="00977C7E"/>
    <w:rsid w:val="00982D88"/>
    <w:rsid w:val="0098309C"/>
    <w:rsid w:val="00984F60"/>
    <w:rsid w:val="0098566C"/>
    <w:rsid w:val="00990FA1"/>
    <w:rsid w:val="0099110A"/>
    <w:rsid w:val="009913BB"/>
    <w:rsid w:val="0099176F"/>
    <w:rsid w:val="00991DB7"/>
    <w:rsid w:val="009952BD"/>
    <w:rsid w:val="0099618C"/>
    <w:rsid w:val="009963E0"/>
    <w:rsid w:val="00996BE8"/>
    <w:rsid w:val="00997445"/>
    <w:rsid w:val="009A0F2C"/>
    <w:rsid w:val="009A1BD2"/>
    <w:rsid w:val="009A1E67"/>
    <w:rsid w:val="009A7D6E"/>
    <w:rsid w:val="009B5ABD"/>
    <w:rsid w:val="009C1EB9"/>
    <w:rsid w:val="009D46FC"/>
    <w:rsid w:val="009D54A4"/>
    <w:rsid w:val="009D5788"/>
    <w:rsid w:val="009E0418"/>
    <w:rsid w:val="009E48C0"/>
    <w:rsid w:val="009F5C5C"/>
    <w:rsid w:val="009F76E4"/>
    <w:rsid w:val="009F78B7"/>
    <w:rsid w:val="00A01B68"/>
    <w:rsid w:val="00A01CCE"/>
    <w:rsid w:val="00A01CFA"/>
    <w:rsid w:val="00A051AC"/>
    <w:rsid w:val="00A137E6"/>
    <w:rsid w:val="00A162C0"/>
    <w:rsid w:val="00A17AA5"/>
    <w:rsid w:val="00A17CCC"/>
    <w:rsid w:val="00A202A4"/>
    <w:rsid w:val="00A21D7D"/>
    <w:rsid w:val="00A2633D"/>
    <w:rsid w:val="00A377F5"/>
    <w:rsid w:val="00A43310"/>
    <w:rsid w:val="00A44887"/>
    <w:rsid w:val="00A54172"/>
    <w:rsid w:val="00A777FD"/>
    <w:rsid w:val="00A77953"/>
    <w:rsid w:val="00A823A0"/>
    <w:rsid w:val="00A82532"/>
    <w:rsid w:val="00A830FC"/>
    <w:rsid w:val="00A84A16"/>
    <w:rsid w:val="00A84A8A"/>
    <w:rsid w:val="00A85393"/>
    <w:rsid w:val="00A87E07"/>
    <w:rsid w:val="00A90768"/>
    <w:rsid w:val="00A91F7F"/>
    <w:rsid w:val="00A943D9"/>
    <w:rsid w:val="00A95015"/>
    <w:rsid w:val="00AA39B1"/>
    <w:rsid w:val="00AB0896"/>
    <w:rsid w:val="00AB0A4C"/>
    <w:rsid w:val="00AB127C"/>
    <w:rsid w:val="00AB2551"/>
    <w:rsid w:val="00AB3657"/>
    <w:rsid w:val="00AB53D4"/>
    <w:rsid w:val="00AC3AB1"/>
    <w:rsid w:val="00AC60BF"/>
    <w:rsid w:val="00AC7FBF"/>
    <w:rsid w:val="00AD19DB"/>
    <w:rsid w:val="00AD2D0A"/>
    <w:rsid w:val="00AD5EFB"/>
    <w:rsid w:val="00AE0F49"/>
    <w:rsid w:val="00AF0A62"/>
    <w:rsid w:val="00AF5443"/>
    <w:rsid w:val="00AF55A1"/>
    <w:rsid w:val="00AF5BF3"/>
    <w:rsid w:val="00B03D4B"/>
    <w:rsid w:val="00B05301"/>
    <w:rsid w:val="00B112BE"/>
    <w:rsid w:val="00B160C9"/>
    <w:rsid w:val="00B16123"/>
    <w:rsid w:val="00B2013F"/>
    <w:rsid w:val="00B2040E"/>
    <w:rsid w:val="00B220C9"/>
    <w:rsid w:val="00B223C4"/>
    <w:rsid w:val="00B22D78"/>
    <w:rsid w:val="00B2390A"/>
    <w:rsid w:val="00B23FF6"/>
    <w:rsid w:val="00B25A44"/>
    <w:rsid w:val="00B276F0"/>
    <w:rsid w:val="00B31639"/>
    <w:rsid w:val="00B32A1F"/>
    <w:rsid w:val="00B36227"/>
    <w:rsid w:val="00B36BF1"/>
    <w:rsid w:val="00B36FF2"/>
    <w:rsid w:val="00B37C13"/>
    <w:rsid w:val="00B42B08"/>
    <w:rsid w:val="00B47E7A"/>
    <w:rsid w:val="00B516DF"/>
    <w:rsid w:val="00B52532"/>
    <w:rsid w:val="00B52F45"/>
    <w:rsid w:val="00B53A2D"/>
    <w:rsid w:val="00B54324"/>
    <w:rsid w:val="00B5530B"/>
    <w:rsid w:val="00B63D41"/>
    <w:rsid w:val="00B6523F"/>
    <w:rsid w:val="00B667E8"/>
    <w:rsid w:val="00B6782D"/>
    <w:rsid w:val="00B73925"/>
    <w:rsid w:val="00B75657"/>
    <w:rsid w:val="00B7575E"/>
    <w:rsid w:val="00B76951"/>
    <w:rsid w:val="00B76EDE"/>
    <w:rsid w:val="00B77916"/>
    <w:rsid w:val="00B843AC"/>
    <w:rsid w:val="00B846B0"/>
    <w:rsid w:val="00B87D3D"/>
    <w:rsid w:val="00B93D34"/>
    <w:rsid w:val="00BA222F"/>
    <w:rsid w:val="00BA461E"/>
    <w:rsid w:val="00BA5644"/>
    <w:rsid w:val="00BA710C"/>
    <w:rsid w:val="00BA772C"/>
    <w:rsid w:val="00BB0B7F"/>
    <w:rsid w:val="00BB5276"/>
    <w:rsid w:val="00BB6B0D"/>
    <w:rsid w:val="00BC1384"/>
    <w:rsid w:val="00BC13FC"/>
    <w:rsid w:val="00BC17E0"/>
    <w:rsid w:val="00BC1D85"/>
    <w:rsid w:val="00BD3163"/>
    <w:rsid w:val="00BD6D8E"/>
    <w:rsid w:val="00BD704F"/>
    <w:rsid w:val="00BD774E"/>
    <w:rsid w:val="00BD7C5C"/>
    <w:rsid w:val="00BE5EDC"/>
    <w:rsid w:val="00BE6A1A"/>
    <w:rsid w:val="00BF0B50"/>
    <w:rsid w:val="00BF3D77"/>
    <w:rsid w:val="00BF6521"/>
    <w:rsid w:val="00C04222"/>
    <w:rsid w:val="00C056D9"/>
    <w:rsid w:val="00C06D70"/>
    <w:rsid w:val="00C07C6E"/>
    <w:rsid w:val="00C10DE4"/>
    <w:rsid w:val="00C17E4C"/>
    <w:rsid w:val="00C2174B"/>
    <w:rsid w:val="00C21E1F"/>
    <w:rsid w:val="00C229E8"/>
    <w:rsid w:val="00C2484E"/>
    <w:rsid w:val="00C258FF"/>
    <w:rsid w:val="00C3225D"/>
    <w:rsid w:val="00C3271C"/>
    <w:rsid w:val="00C32FC4"/>
    <w:rsid w:val="00C3377F"/>
    <w:rsid w:val="00C3446D"/>
    <w:rsid w:val="00C374C2"/>
    <w:rsid w:val="00C43CE9"/>
    <w:rsid w:val="00C44A2B"/>
    <w:rsid w:val="00C44E0D"/>
    <w:rsid w:val="00C512C0"/>
    <w:rsid w:val="00C607D7"/>
    <w:rsid w:val="00C624DB"/>
    <w:rsid w:val="00C6290F"/>
    <w:rsid w:val="00C64876"/>
    <w:rsid w:val="00C66E13"/>
    <w:rsid w:val="00C67011"/>
    <w:rsid w:val="00C67107"/>
    <w:rsid w:val="00C67642"/>
    <w:rsid w:val="00C677DF"/>
    <w:rsid w:val="00C75B30"/>
    <w:rsid w:val="00C815A6"/>
    <w:rsid w:val="00C81F5E"/>
    <w:rsid w:val="00C86452"/>
    <w:rsid w:val="00C90E94"/>
    <w:rsid w:val="00C93B69"/>
    <w:rsid w:val="00C93BB3"/>
    <w:rsid w:val="00C955D2"/>
    <w:rsid w:val="00C958B4"/>
    <w:rsid w:val="00C95F2A"/>
    <w:rsid w:val="00C96DE8"/>
    <w:rsid w:val="00CA1A1D"/>
    <w:rsid w:val="00CA2B98"/>
    <w:rsid w:val="00CA5584"/>
    <w:rsid w:val="00CB0131"/>
    <w:rsid w:val="00CB193B"/>
    <w:rsid w:val="00CB351E"/>
    <w:rsid w:val="00CB6F66"/>
    <w:rsid w:val="00CC0230"/>
    <w:rsid w:val="00CC08B7"/>
    <w:rsid w:val="00CC19D7"/>
    <w:rsid w:val="00CC1AC2"/>
    <w:rsid w:val="00CC1F02"/>
    <w:rsid w:val="00CC5E5F"/>
    <w:rsid w:val="00CC6D6F"/>
    <w:rsid w:val="00CD7FBB"/>
    <w:rsid w:val="00CE5F06"/>
    <w:rsid w:val="00CE63C5"/>
    <w:rsid w:val="00CF3BB6"/>
    <w:rsid w:val="00CF4680"/>
    <w:rsid w:val="00CF54C3"/>
    <w:rsid w:val="00CF5D03"/>
    <w:rsid w:val="00D026A9"/>
    <w:rsid w:val="00D02819"/>
    <w:rsid w:val="00D05090"/>
    <w:rsid w:val="00D05659"/>
    <w:rsid w:val="00D06CEC"/>
    <w:rsid w:val="00D10176"/>
    <w:rsid w:val="00D11190"/>
    <w:rsid w:val="00D14ABF"/>
    <w:rsid w:val="00D1544E"/>
    <w:rsid w:val="00D16DAD"/>
    <w:rsid w:val="00D174CA"/>
    <w:rsid w:val="00D17C38"/>
    <w:rsid w:val="00D216DC"/>
    <w:rsid w:val="00D241AF"/>
    <w:rsid w:val="00D246C3"/>
    <w:rsid w:val="00D26075"/>
    <w:rsid w:val="00D3229D"/>
    <w:rsid w:val="00D338AF"/>
    <w:rsid w:val="00D33EDA"/>
    <w:rsid w:val="00D34328"/>
    <w:rsid w:val="00D34DA3"/>
    <w:rsid w:val="00D35D7F"/>
    <w:rsid w:val="00D37CC2"/>
    <w:rsid w:val="00D37F82"/>
    <w:rsid w:val="00D401A0"/>
    <w:rsid w:val="00D420A6"/>
    <w:rsid w:val="00D436F9"/>
    <w:rsid w:val="00D46186"/>
    <w:rsid w:val="00D46A4B"/>
    <w:rsid w:val="00D5526F"/>
    <w:rsid w:val="00D6468D"/>
    <w:rsid w:val="00D64712"/>
    <w:rsid w:val="00D64EAB"/>
    <w:rsid w:val="00D667F2"/>
    <w:rsid w:val="00D67365"/>
    <w:rsid w:val="00D75DB3"/>
    <w:rsid w:val="00D76E7A"/>
    <w:rsid w:val="00D77342"/>
    <w:rsid w:val="00D7779F"/>
    <w:rsid w:val="00D80CA8"/>
    <w:rsid w:val="00D8360B"/>
    <w:rsid w:val="00D87CCA"/>
    <w:rsid w:val="00D91517"/>
    <w:rsid w:val="00D918DD"/>
    <w:rsid w:val="00D929F5"/>
    <w:rsid w:val="00D935FB"/>
    <w:rsid w:val="00D94C40"/>
    <w:rsid w:val="00D9655B"/>
    <w:rsid w:val="00DA0EF3"/>
    <w:rsid w:val="00DA269C"/>
    <w:rsid w:val="00DA3255"/>
    <w:rsid w:val="00DA6BF5"/>
    <w:rsid w:val="00DA7980"/>
    <w:rsid w:val="00DA7C37"/>
    <w:rsid w:val="00DB06D5"/>
    <w:rsid w:val="00DB1A8E"/>
    <w:rsid w:val="00DB22E7"/>
    <w:rsid w:val="00DB3AFA"/>
    <w:rsid w:val="00DB60B8"/>
    <w:rsid w:val="00DB61BC"/>
    <w:rsid w:val="00DC7268"/>
    <w:rsid w:val="00DC7694"/>
    <w:rsid w:val="00DD1BF5"/>
    <w:rsid w:val="00DD2394"/>
    <w:rsid w:val="00DD34F2"/>
    <w:rsid w:val="00DE058F"/>
    <w:rsid w:val="00DE255B"/>
    <w:rsid w:val="00DE375A"/>
    <w:rsid w:val="00DE3AE9"/>
    <w:rsid w:val="00DE7123"/>
    <w:rsid w:val="00DE77D5"/>
    <w:rsid w:val="00DE77F6"/>
    <w:rsid w:val="00DE7FB8"/>
    <w:rsid w:val="00DF4100"/>
    <w:rsid w:val="00DF4D53"/>
    <w:rsid w:val="00E0180D"/>
    <w:rsid w:val="00E01887"/>
    <w:rsid w:val="00E03AF5"/>
    <w:rsid w:val="00E0582E"/>
    <w:rsid w:val="00E06338"/>
    <w:rsid w:val="00E07536"/>
    <w:rsid w:val="00E106E9"/>
    <w:rsid w:val="00E116F0"/>
    <w:rsid w:val="00E12E5B"/>
    <w:rsid w:val="00E14268"/>
    <w:rsid w:val="00E20BE5"/>
    <w:rsid w:val="00E21642"/>
    <w:rsid w:val="00E30081"/>
    <w:rsid w:val="00E35631"/>
    <w:rsid w:val="00E35F06"/>
    <w:rsid w:val="00E36DBB"/>
    <w:rsid w:val="00E3711E"/>
    <w:rsid w:val="00E417C8"/>
    <w:rsid w:val="00E42A0A"/>
    <w:rsid w:val="00E45E3B"/>
    <w:rsid w:val="00E50426"/>
    <w:rsid w:val="00E50A7B"/>
    <w:rsid w:val="00E52706"/>
    <w:rsid w:val="00E527E9"/>
    <w:rsid w:val="00E534C0"/>
    <w:rsid w:val="00E53513"/>
    <w:rsid w:val="00E53A67"/>
    <w:rsid w:val="00E567E3"/>
    <w:rsid w:val="00E6482E"/>
    <w:rsid w:val="00E648BF"/>
    <w:rsid w:val="00E64E0E"/>
    <w:rsid w:val="00E65244"/>
    <w:rsid w:val="00E657CB"/>
    <w:rsid w:val="00E65E18"/>
    <w:rsid w:val="00E66E2C"/>
    <w:rsid w:val="00E67907"/>
    <w:rsid w:val="00E70F8D"/>
    <w:rsid w:val="00E73483"/>
    <w:rsid w:val="00E776A3"/>
    <w:rsid w:val="00E81C56"/>
    <w:rsid w:val="00E868E0"/>
    <w:rsid w:val="00E90500"/>
    <w:rsid w:val="00E91526"/>
    <w:rsid w:val="00E93132"/>
    <w:rsid w:val="00E95011"/>
    <w:rsid w:val="00EA07B1"/>
    <w:rsid w:val="00EA08A7"/>
    <w:rsid w:val="00EA3735"/>
    <w:rsid w:val="00EA6D86"/>
    <w:rsid w:val="00EB7422"/>
    <w:rsid w:val="00EC12CD"/>
    <w:rsid w:val="00EC189F"/>
    <w:rsid w:val="00EC2E22"/>
    <w:rsid w:val="00EC4C4D"/>
    <w:rsid w:val="00EC6251"/>
    <w:rsid w:val="00EC64C4"/>
    <w:rsid w:val="00EC64E3"/>
    <w:rsid w:val="00EC7501"/>
    <w:rsid w:val="00ED019F"/>
    <w:rsid w:val="00ED0F23"/>
    <w:rsid w:val="00ED509A"/>
    <w:rsid w:val="00ED6EDC"/>
    <w:rsid w:val="00EE00C7"/>
    <w:rsid w:val="00EE115B"/>
    <w:rsid w:val="00EE4475"/>
    <w:rsid w:val="00EE522A"/>
    <w:rsid w:val="00EE6F74"/>
    <w:rsid w:val="00F02E2C"/>
    <w:rsid w:val="00F04AE1"/>
    <w:rsid w:val="00F04C71"/>
    <w:rsid w:val="00F07EC6"/>
    <w:rsid w:val="00F104FA"/>
    <w:rsid w:val="00F11BA7"/>
    <w:rsid w:val="00F12730"/>
    <w:rsid w:val="00F17D2E"/>
    <w:rsid w:val="00F20CD0"/>
    <w:rsid w:val="00F2255D"/>
    <w:rsid w:val="00F2433E"/>
    <w:rsid w:val="00F25CC0"/>
    <w:rsid w:val="00F27BC9"/>
    <w:rsid w:val="00F34B6F"/>
    <w:rsid w:val="00F365C0"/>
    <w:rsid w:val="00F36E6E"/>
    <w:rsid w:val="00F45FC6"/>
    <w:rsid w:val="00F466C9"/>
    <w:rsid w:val="00F50EAC"/>
    <w:rsid w:val="00F50F28"/>
    <w:rsid w:val="00F5129C"/>
    <w:rsid w:val="00F5300F"/>
    <w:rsid w:val="00F554DC"/>
    <w:rsid w:val="00F5555C"/>
    <w:rsid w:val="00F624D0"/>
    <w:rsid w:val="00F6292D"/>
    <w:rsid w:val="00F62CE8"/>
    <w:rsid w:val="00F64BB7"/>
    <w:rsid w:val="00F665D4"/>
    <w:rsid w:val="00F70E5E"/>
    <w:rsid w:val="00F75963"/>
    <w:rsid w:val="00F75EB7"/>
    <w:rsid w:val="00F75F00"/>
    <w:rsid w:val="00F76188"/>
    <w:rsid w:val="00F770AD"/>
    <w:rsid w:val="00F8079D"/>
    <w:rsid w:val="00F80AE2"/>
    <w:rsid w:val="00F82008"/>
    <w:rsid w:val="00F82AB7"/>
    <w:rsid w:val="00F8782E"/>
    <w:rsid w:val="00F87B87"/>
    <w:rsid w:val="00F904C7"/>
    <w:rsid w:val="00F91E63"/>
    <w:rsid w:val="00F92EA9"/>
    <w:rsid w:val="00F93A0D"/>
    <w:rsid w:val="00F95227"/>
    <w:rsid w:val="00F96CE4"/>
    <w:rsid w:val="00F97BB2"/>
    <w:rsid w:val="00FA3BDB"/>
    <w:rsid w:val="00FA5ADE"/>
    <w:rsid w:val="00FA6976"/>
    <w:rsid w:val="00FB153E"/>
    <w:rsid w:val="00FB2865"/>
    <w:rsid w:val="00FB399E"/>
    <w:rsid w:val="00FB74C6"/>
    <w:rsid w:val="00FC09F0"/>
    <w:rsid w:val="00FC13E7"/>
    <w:rsid w:val="00FC2288"/>
    <w:rsid w:val="00FC66F0"/>
    <w:rsid w:val="00FD342B"/>
    <w:rsid w:val="00FD457C"/>
    <w:rsid w:val="00FD51EB"/>
    <w:rsid w:val="00FD55D7"/>
    <w:rsid w:val="00FD7E03"/>
    <w:rsid w:val="00FE087F"/>
    <w:rsid w:val="00FE0F1A"/>
    <w:rsid w:val="00FE1099"/>
    <w:rsid w:val="00FE2372"/>
    <w:rsid w:val="00FE4258"/>
    <w:rsid w:val="00FE477A"/>
    <w:rsid w:val="00FE4AE1"/>
    <w:rsid w:val="00FE5521"/>
    <w:rsid w:val="00FF1F79"/>
    <w:rsid w:val="00FF2CB8"/>
    <w:rsid w:val="00FF3A99"/>
    <w:rsid w:val="00FF5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23DC77C"/>
  <w15:docId w15:val="{369213B0-2137-4FAC-B502-75FB88B8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782"/>
    <w:pPr>
      <w:widowControl w:val="0"/>
      <w:spacing w:before="120" w:after="120"/>
      <w:jc w:val="both"/>
    </w:pPr>
    <w:rPr>
      <w:snapToGrid w:val="0"/>
      <w:sz w:val="24"/>
    </w:rPr>
  </w:style>
  <w:style w:type="paragraph" w:styleId="Heading1">
    <w:name w:val="heading 1"/>
    <w:basedOn w:val="Normal"/>
    <w:next w:val="Normal"/>
    <w:link w:val="Heading1Char"/>
    <w:qFormat/>
    <w:rsid w:val="00C958B4"/>
    <w:pPr>
      <w:keepNext/>
      <w:jc w:val="center"/>
      <w:outlineLvl w:val="0"/>
    </w:pPr>
    <w:rPr>
      <w:rFonts w:ascii="Times New Roman Bold" w:hAnsi="Times New Roman Bold"/>
      <w:b/>
      <w:caps/>
      <w:color w:val="002060"/>
      <w:sz w:val="28"/>
    </w:rPr>
  </w:style>
  <w:style w:type="paragraph" w:styleId="Heading2">
    <w:name w:val="heading 2"/>
    <w:basedOn w:val="Normal"/>
    <w:next w:val="Normal"/>
    <w:link w:val="Heading2Char"/>
    <w:qFormat/>
    <w:rsid w:val="00C958B4"/>
    <w:pPr>
      <w:keepNext/>
      <w:spacing w:before="240"/>
      <w:jc w:val="left"/>
      <w:outlineLvl w:val="1"/>
    </w:pPr>
    <w:rPr>
      <w:rFonts w:ascii="Times New Roman Bold" w:hAnsi="Times New Roman Bold"/>
      <w:b/>
      <w:color w:val="002060"/>
      <w:sz w:val="28"/>
    </w:rPr>
  </w:style>
  <w:style w:type="paragraph" w:styleId="Heading3">
    <w:name w:val="heading 3"/>
    <w:basedOn w:val="Normal"/>
    <w:next w:val="Normal"/>
    <w:link w:val="Heading3Char"/>
    <w:qFormat/>
    <w:rsid w:val="00C958B4"/>
    <w:pPr>
      <w:outlineLvl w:val="2"/>
    </w:pPr>
    <w:rPr>
      <w:rFonts w:ascii="Times New Roman Bold" w:hAnsi="Times New Roman Bold"/>
      <w:b/>
      <w:noProof/>
      <w:snapToGrid/>
      <w:color w:val="002060"/>
    </w:rPr>
  </w:style>
  <w:style w:type="paragraph" w:styleId="Heading4">
    <w:name w:val="heading 4"/>
    <w:basedOn w:val="Normal"/>
    <w:next w:val="Normal"/>
    <w:qFormat/>
    <w:rsid w:val="00AB127C"/>
    <w:pPr>
      <w:keepNext/>
      <w:widowControl/>
      <w:overflowPunct w:val="0"/>
      <w:autoSpaceDE w:val="0"/>
      <w:autoSpaceDN w:val="0"/>
      <w:adjustRightInd w:val="0"/>
      <w:textAlignment w:val="baseline"/>
      <w:outlineLvl w:val="3"/>
    </w:pPr>
    <w:rPr>
      <w:rFonts w:ascii="Times New Roman Bold" w:hAnsi="Times New Roman Bold"/>
      <w:b/>
      <w:i/>
      <w:snapToGrid/>
    </w:rPr>
  </w:style>
  <w:style w:type="paragraph" w:styleId="Heading5">
    <w:name w:val="heading 5"/>
    <w:aliases w:val="Numbered"/>
    <w:basedOn w:val="Normal"/>
    <w:next w:val="Normal"/>
    <w:qFormat/>
    <w:rsid w:val="000A7A7C"/>
    <w:pPr>
      <w:keepNext/>
      <w:widowControl/>
      <w:numPr>
        <w:numId w:val="5"/>
      </w:numPr>
      <w:tabs>
        <w:tab w:val="left" w:pos="900"/>
      </w:tabs>
      <w:overflowPunct w:val="0"/>
      <w:autoSpaceDE w:val="0"/>
      <w:autoSpaceDN w:val="0"/>
      <w:adjustRightInd w:val="0"/>
      <w:textAlignment w:val="baseline"/>
      <w:outlineLvl w:val="4"/>
    </w:pPr>
    <w:rPr>
      <w:snapToGrid/>
    </w:rPr>
  </w:style>
  <w:style w:type="paragraph" w:styleId="Heading6">
    <w:name w:val="heading 6"/>
    <w:basedOn w:val="Normal"/>
    <w:next w:val="Normal"/>
    <w:rsid w:val="00605F93"/>
    <w:pPr>
      <w:keepNext/>
      <w:outlineLvl w:val="5"/>
    </w:pPr>
    <w:rPr>
      <w:b/>
      <w:b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16 Point,Superscript 6 Point,ftref,Footnote Reference Number,Footnote,BVI fnr,Ref,de nota al pie, BVI fnr,Style 24,o,Footnote Reference_LVL6,Footnote Reference_LVL61,Footnote Reference_LVL62,Footnote Reference_LVL63,Знак сноски-FN"/>
    <w:uiPriority w:val="99"/>
    <w:rsid w:val="00C67011"/>
    <w:rPr>
      <w:rFonts w:ascii="Times New Roman" w:hAnsi="Times New Roman"/>
      <w:dstrike w:val="0"/>
      <w:sz w:val="20"/>
      <w:vertAlign w:val="superscript"/>
    </w:rPr>
  </w:style>
  <w:style w:type="paragraph" w:styleId="Header">
    <w:name w:val="header"/>
    <w:basedOn w:val="Normal"/>
    <w:link w:val="HeaderChar"/>
    <w:rsid w:val="00605F93"/>
    <w:pPr>
      <w:tabs>
        <w:tab w:val="center" w:pos="4320"/>
        <w:tab w:val="right" w:pos="8640"/>
      </w:tabs>
    </w:pPr>
    <w:rPr>
      <w:rFonts w:ascii="CG Times" w:hAnsi="CG Times"/>
    </w:rPr>
  </w:style>
  <w:style w:type="paragraph" w:styleId="Footer">
    <w:name w:val="footer"/>
    <w:basedOn w:val="Normal"/>
    <w:link w:val="FooterChar"/>
    <w:uiPriority w:val="99"/>
    <w:rsid w:val="00605F93"/>
    <w:pPr>
      <w:tabs>
        <w:tab w:val="center" w:pos="4320"/>
        <w:tab w:val="right" w:pos="8640"/>
      </w:tabs>
    </w:pPr>
  </w:style>
  <w:style w:type="character" w:styleId="PageNumber">
    <w:name w:val="page number"/>
    <w:basedOn w:val="DefaultParagraphFont"/>
    <w:rsid w:val="00605F93"/>
  </w:style>
  <w:style w:type="paragraph" w:styleId="Title">
    <w:name w:val="Title"/>
    <w:basedOn w:val="Normal"/>
    <w:qFormat/>
    <w:rsid w:val="00605F93"/>
    <w:pPr>
      <w:jc w:val="center"/>
    </w:pPr>
    <w:rPr>
      <w:b/>
      <w:i/>
    </w:rPr>
  </w:style>
  <w:style w:type="paragraph" w:customStyle="1" w:styleId="Tabletext">
    <w:name w:val="Table text"/>
    <w:basedOn w:val="Normal"/>
    <w:rsid w:val="00605F93"/>
    <w:pPr>
      <w:keepNext/>
      <w:outlineLvl w:val="0"/>
    </w:pPr>
    <w:rPr>
      <w:rFonts w:ascii="Arial Narrow" w:hAnsi="Arial Narrow"/>
      <w:noProof/>
      <w:snapToGrid/>
      <w:sz w:val="20"/>
    </w:rPr>
  </w:style>
  <w:style w:type="paragraph" w:styleId="Caption">
    <w:name w:val="caption"/>
    <w:basedOn w:val="Normal"/>
    <w:next w:val="Normal"/>
    <w:rsid w:val="00605F93"/>
    <w:pPr>
      <w:jc w:val="center"/>
      <w:outlineLvl w:val="0"/>
    </w:pPr>
    <w:rPr>
      <w:rFonts w:ascii="Arial" w:hAnsi="Arial"/>
      <w:b/>
      <w:snapToGrid/>
      <w:sz w:val="18"/>
      <w:lang w:val="en-GB"/>
    </w:rPr>
  </w:style>
  <w:style w:type="paragraph" w:customStyle="1" w:styleId="BulletedList">
    <w:name w:val="Bulleted List"/>
    <w:basedOn w:val="Normal"/>
    <w:rsid w:val="00605F93"/>
    <w:pPr>
      <w:numPr>
        <w:numId w:val="1"/>
      </w:numPr>
    </w:pPr>
  </w:style>
  <w:style w:type="paragraph" w:styleId="BodyText">
    <w:name w:val="Body Text"/>
    <w:basedOn w:val="Normal"/>
    <w:rsid w:val="00605F93"/>
  </w:style>
  <w:style w:type="paragraph" w:styleId="BodyText2">
    <w:name w:val="Body Text 2"/>
    <w:basedOn w:val="Normal"/>
    <w:rsid w:val="00605F93"/>
    <w:rPr>
      <w:rFonts w:ascii="Arial Narrow" w:hAnsi="Arial Narrow"/>
      <w:color w:val="000000"/>
      <w:spacing w:val="-3"/>
    </w:rPr>
  </w:style>
  <w:style w:type="paragraph" w:styleId="ListBullet">
    <w:name w:val="List Bullet"/>
    <w:basedOn w:val="Normal"/>
    <w:autoRedefine/>
    <w:rsid w:val="00605F93"/>
    <w:pPr>
      <w:widowControl/>
      <w:numPr>
        <w:numId w:val="2"/>
      </w:numPr>
    </w:pPr>
    <w:rPr>
      <w:rFonts w:ascii="Arial" w:eastAsia="Cordia New" w:hAnsi="Arial"/>
      <w:snapToGrid/>
      <w:sz w:val="22"/>
      <w:lang w:val="en-GB"/>
    </w:rPr>
  </w:style>
  <w:style w:type="paragraph" w:customStyle="1" w:styleId="Normal-singlespaced">
    <w:name w:val="Normal - single spaced"/>
    <w:basedOn w:val="Normal"/>
    <w:rsid w:val="00605F93"/>
    <w:pPr>
      <w:widowControl/>
      <w:spacing w:line="252" w:lineRule="auto"/>
    </w:pPr>
    <w:rPr>
      <w:rFonts w:ascii="Century Schoolbook" w:hAnsi="Century Schoolbook"/>
      <w:snapToGrid/>
      <w:sz w:val="22"/>
      <w:lang w:val="en-AU"/>
    </w:rPr>
  </w:style>
  <w:style w:type="paragraph" w:styleId="BalloonText">
    <w:name w:val="Balloon Text"/>
    <w:basedOn w:val="Normal"/>
    <w:semiHidden/>
    <w:rsid w:val="001A2CF3"/>
    <w:rPr>
      <w:rFonts w:ascii="Tahoma" w:hAnsi="Tahoma" w:cs="Tahoma"/>
      <w:sz w:val="16"/>
      <w:szCs w:val="16"/>
    </w:rPr>
  </w:style>
  <w:style w:type="table" w:styleId="TableGrid">
    <w:name w:val="Table Grid"/>
    <w:basedOn w:val="TableNormal"/>
    <w:uiPriority w:val="59"/>
    <w:rsid w:val="00D87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AC3AB1"/>
    <w:pPr>
      <w:ind w:left="360"/>
    </w:pPr>
  </w:style>
  <w:style w:type="paragraph" w:customStyle="1" w:styleId="xl79">
    <w:name w:val="xl79"/>
    <w:basedOn w:val="Normal"/>
    <w:rsid w:val="00AC3AB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napToGrid/>
      <w:sz w:val="22"/>
      <w:szCs w:val="22"/>
    </w:rPr>
  </w:style>
  <w:style w:type="paragraph" w:customStyle="1" w:styleId="TableHeading">
    <w:name w:val="Table Heading"/>
    <w:basedOn w:val="Normal"/>
    <w:rsid w:val="00AC3AB1"/>
    <w:pPr>
      <w:widowControl/>
      <w:suppressLineNumbers/>
      <w:suppressAutoHyphens/>
      <w:jc w:val="center"/>
    </w:pPr>
    <w:rPr>
      <w:b/>
      <w:i/>
      <w:snapToGrid/>
    </w:rPr>
  </w:style>
  <w:style w:type="numbering" w:customStyle="1" w:styleId="StyleNumbered">
    <w:name w:val="Style Numbered"/>
    <w:basedOn w:val="NoList"/>
    <w:rsid w:val="00F75963"/>
    <w:pPr>
      <w:numPr>
        <w:numId w:val="3"/>
      </w:numPr>
    </w:pPr>
  </w:style>
  <w:style w:type="paragraph" w:customStyle="1" w:styleId="StyleBefore9pt">
    <w:name w:val="Style Before:  9 pt"/>
    <w:basedOn w:val="Normal"/>
    <w:rsid w:val="00C955D2"/>
    <w:pPr>
      <w:widowControl/>
      <w:spacing w:before="180" w:line="240" w:lineRule="atLeast"/>
    </w:pPr>
    <w:rPr>
      <w:rFonts w:ascii="Tahoma" w:hAnsi="Tahoma"/>
      <w:snapToGrid/>
      <w:sz w:val="20"/>
      <w:lang w:val="en-GB"/>
    </w:rPr>
  </w:style>
  <w:style w:type="paragraph" w:styleId="FootnoteText">
    <w:name w:val="footnote text"/>
    <w:aliases w:val="Geneva 9,Font: Geneva 9,Boston 10,f,ft,DNV-FT,fn,Char,Fußnote,foot note text,Footnote Text Char2,Footnote Text Char1 Char,Footnote Text Char Char Char,Footnote Text Char2 Char Char Char,single space,footnote text,Footnote text,FN, Char,F,A"/>
    <w:basedOn w:val="Normal"/>
    <w:link w:val="FootnoteTextChar"/>
    <w:uiPriority w:val="99"/>
    <w:rsid w:val="00C67011"/>
    <w:pPr>
      <w:widowControl/>
      <w:spacing w:line="240" w:lineRule="atLeast"/>
      <w:ind w:left="567" w:hanging="567"/>
    </w:pPr>
    <w:rPr>
      <w:snapToGrid/>
      <w:sz w:val="20"/>
      <w:lang w:val="en-GB"/>
    </w:rPr>
  </w:style>
  <w:style w:type="character" w:customStyle="1" w:styleId="StyleArial">
    <w:name w:val="Style Arial"/>
    <w:rsid w:val="0073255E"/>
    <w:rPr>
      <w:rFonts w:ascii="Arial" w:hAnsi="Arial"/>
    </w:rPr>
  </w:style>
  <w:style w:type="character" w:customStyle="1" w:styleId="HeaderChar">
    <w:name w:val="Header Char"/>
    <w:link w:val="Header"/>
    <w:rsid w:val="0073255E"/>
    <w:rPr>
      <w:rFonts w:ascii="CG Times" w:hAnsi="CG Times"/>
      <w:snapToGrid w:val="0"/>
      <w:sz w:val="24"/>
      <w:lang w:val="en-US" w:eastAsia="en-US" w:bidi="ar-SA"/>
    </w:rPr>
  </w:style>
  <w:style w:type="paragraph" w:customStyle="1" w:styleId="Non-TOCHeading3">
    <w:name w:val="Non-TOC Heading 3"/>
    <w:basedOn w:val="Heading3"/>
    <w:rsid w:val="0073255E"/>
    <w:pPr>
      <w:keepNext/>
      <w:keepLines/>
      <w:widowControl/>
      <w:numPr>
        <w:numId w:val="4"/>
      </w:numPr>
      <w:tabs>
        <w:tab w:val="clear" w:pos="1134"/>
      </w:tabs>
      <w:overflowPunct w:val="0"/>
      <w:autoSpaceDE w:val="0"/>
      <w:autoSpaceDN w:val="0"/>
      <w:adjustRightInd w:val="0"/>
      <w:spacing w:before="240" w:after="0" w:line="252" w:lineRule="auto"/>
      <w:ind w:left="851" w:hanging="851"/>
      <w:textAlignment w:val="baseline"/>
      <w:outlineLvl w:val="9"/>
    </w:pPr>
    <w:rPr>
      <w:rFonts w:ascii="Arial" w:hAnsi="Arial" w:cs="Angsana New"/>
      <w:bCs/>
      <w:noProof w:val="0"/>
      <w:sz w:val="22"/>
      <w:szCs w:val="22"/>
      <w:lang w:val="en-AU" w:bidi="th-TH"/>
    </w:rPr>
  </w:style>
  <w:style w:type="character" w:customStyle="1" w:styleId="Heading2Char">
    <w:name w:val="Heading 2 Char"/>
    <w:link w:val="Heading2"/>
    <w:locked/>
    <w:rsid w:val="00C958B4"/>
    <w:rPr>
      <w:rFonts w:ascii="Times New Roman Bold" w:hAnsi="Times New Roman Bold"/>
      <w:b/>
      <w:snapToGrid w:val="0"/>
      <w:color w:val="002060"/>
      <w:sz w:val="28"/>
    </w:rPr>
  </w:style>
  <w:style w:type="character" w:customStyle="1" w:styleId="FootnoteTextChar">
    <w:name w:val="Footnote Text Char"/>
    <w:aliases w:val="Geneva 9 Char,Font: Geneva 9 Char,Boston 10 Char,f Char,ft Char,DNV-FT Char,fn Char,Char Char,Fußnote Char,foot note text Char,Footnote Text Char2 Char,Footnote Text Char1 Char Char,Footnote Text Char Char Char Char,single space Char"/>
    <w:link w:val="FootnoteText"/>
    <w:uiPriority w:val="99"/>
    <w:locked/>
    <w:rsid w:val="00C67011"/>
    <w:rPr>
      <w:lang w:val="en-GB"/>
    </w:rPr>
  </w:style>
  <w:style w:type="paragraph" w:customStyle="1" w:styleId="Text">
    <w:name w:val="Text"/>
    <w:basedOn w:val="Normal"/>
    <w:rsid w:val="00B23FF6"/>
    <w:pPr>
      <w:widowControl/>
      <w:overflowPunct w:val="0"/>
      <w:autoSpaceDE w:val="0"/>
      <w:autoSpaceDN w:val="0"/>
      <w:adjustRightInd w:val="0"/>
      <w:textAlignment w:val="baseline"/>
    </w:pPr>
    <w:rPr>
      <w:snapToGrid/>
    </w:rPr>
  </w:style>
  <w:style w:type="paragraph" w:styleId="ListParagraph">
    <w:name w:val="List Paragraph"/>
    <w:aliases w:val="Listes"/>
    <w:basedOn w:val="Normal"/>
    <w:link w:val="ListParagraphChar"/>
    <w:uiPriority w:val="34"/>
    <w:qFormat/>
    <w:rsid w:val="00DC7694"/>
    <w:pPr>
      <w:widowControl/>
      <w:ind w:left="720"/>
    </w:pPr>
    <w:rPr>
      <w:rFonts w:ascii="Tahoma" w:eastAsia="Calibri" w:hAnsi="Tahoma" w:cs="Tahoma"/>
      <w:snapToGrid/>
      <w:sz w:val="20"/>
      <w:lang w:bidi="th-TH"/>
    </w:rPr>
  </w:style>
  <w:style w:type="table" w:styleId="TableGrid8">
    <w:name w:val="Table Grid 8"/>
    <w:basedOn w:val="TableNormal"/>
    <w:rsid w:val="00DC7694"/>
    <w:pPr>
      <w:spacing w:before="240" w:line="252" w:lineRule="auto"/>
      <w:jc w:val="both"/>
    </w:pPr>
    <w:rPr>
      <w:rFonts w:cs="Angsana Ne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orful2">
    <w:name w:val="Table Colorful 2"/>
    <w:basedOn w:val="TableNormal"/>
    <w:rsid w:val="00612E50"/>
    <w:pPr>
      <w:spacing w:before="240" w:line="252" w:lineRule="auto"/>
      <w:jc w:val="both"/>
    </w:pPr>
    <w:rPr>
      <w:rFonts w:cs="Angsana Ne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Hyperlink">
    <w:name w:val="Hyperlink"/>
    <w:basedOn w:val="DefaultParagraphFont"/>
    <w:uiPriority w:val="99"/>
    <w:rsid w:val="002C2399"/>
    <w:rPr>
      <w:color w:val="0000FF"/>
      <w:u w:val="single"/>
    </w:rPr>
  </w:style>
  <w:style w:type="paragraph" w:customStyle="1" w:styleId="Default">
    <w:name w:val="Default"/>
    <w:rsid w:val="00D5526F"/>
    <w:pPr>
      <w:widowControl w:val="0"/>
      <w:autoSpaceDE w:val="0"/>
      <w:autoSpaceDN w:val="0"/>
      <w:adjustRightInd w:val="0"/>
    </w:pPr>
    <w:rPr>
      <w:rFonts w:ascii="Arial" w:hAnsi="Arial" w:cs="Arial"/>
      <w:color w:val="000000"/>
      <w:sz w:val="24"/>
      <w:szCs w:val="24"/>
      <w:lang w:bidi="th-TH"/>
    </w:rPr>
  </w:style>
  <w:style w:type="paragraph" w:customStyle="1" w:styleId="CM4">
    <w:name w:val="CM4"/>
    <w:basedOn w:val="Default"/>
    <w:next w:val="Default"/>
    <w:rsid w:val="00D5526F"/>
    <w:pPr>
      <w:spacing w:line="253" w:lineRule="atLeast"/>
    </w:pPr>
    <w:rPr>
      <w:rFonts w:cs="Angsana New"/>
      <w:color w:val="auto"/>
    </w:rPr>
  </w:style>
  <w:style w:type="paragraph" w:customStyle="1" w:styleId="Bulleted">
    <w:name w:val="Bulleted"/>
    <w:basedOn w:val="Normal"/>
    <w:link w:val="BulletedChar"/>
    <w:qFormat/>
    <w:rsid w:val="00DE058F"/>
    <w:pPr>
      <w:numPr>
        <w:numId w:val="6"/>
      </w:numPr>
      <w:spacing w:before="60" w:after="60"/>
      <w:ind w:left="1080"/>
    </w:pPr>
  </w:style>
  <w:style w:type="character" w:styleId="Emphasis">
    <w:name w:val="Emphasis"/>
    <w:basedOn w:val="DefaultParagraphFont"/>
    <w:rsid w:val="007219EE"/>
    <w:rPr>
      <w:i/>
      <w:iCs/>
    </w:rPr>
  </w:style>
  <w:style w:type="character" w:customStyle="1" w:styleId="BulletedChar">
    <w:name w:val="Bulleted Char"/>
    <w:basedOn w:val="DefaultParagraphFont"/>
    <w:link w:val="Bulleted"/>
    <w:rsid w:val="00E36DBB"/>
    <w:rPr>
      <w:snapToGrid w:val="0"/>
      <w:sz w:val="24"/>
    </w:rPr>
  </w:style>
  <w:style w:type="character" w:styleId="Strong">
    <w:name w:val="Strong"/>
    <w:basedOn w:val="DefaultParagraphFont"/>
    <w:uiPriority w:val="22"/>
    <w:qFormat/>
    <w:rsid w:val="008C450D"/>
    <w:rPr>
      <w:b/>
      <w:bCs/>
    </w:rPr>
  </w:style>
  <w:style w:type="character" w:customStyle="1" w:styleId="ListParagraphChar">
    <w:name w:val="List Paragraph Char"/>
    <w:aliases w:val="Listes Char"/>
    <w:link w:val="ListParagraph"/>
    <w:uiPriority w:val="34"/>
    <w:rsid w:val="00E36DBB"/>
    <w:rPr>
      <w:rFonts w:ascii="Tahoma" w:eastAsia="Calibri" w:hAnsi="Tahoma" w:cs="Tahoma"/>
      <w:lang w:bidi="th-TH"/>
    </w:rPr>
  </w:style>
  <w:style w:type="character" w:customStyle="1" w:styleId="Heading1Char">
    <w:name w:val="Heading 1 Char"/>
    <w:basedOn w:val="DefaultParagraphFont"/>
    <w:link w:val="Heading1"/>
    <w:rsid w:val="00C958B4"/>
    <w:rPr>
      <w:rFonts w:ascii="Times New Roman Bold" w:hAnsi="Times New Roman Bold"/>
      <w:b/>
      <w:caps/>
      <w:snapToGrid w:val="0"/>
      <w:color w:val="002060"/>
      <w:sz w:val="28"/>
    </w:rPr>
  </w:style>
  <w:style w:type="paragraph" w:styleId="NormalWeb">
    <w:name w:val="Normal (Web)"/>
    <w:basedOn w:val="Normal"/>
    <w:uiPriority w:val="99"/>
    <w:semiHidden/>
    <w:unhideWhenUsed/>
    <w:rsid w:val="00B6523F"/>
    <w:pPr>
      <w:widowControl/>
      <w:spacing w:before="100" w:beforeAutospacing="1" w:after="100" w:afterAutospacing="1"/>
      <w:jc w:val="left"/>
    </w:pPr>
    <w:rPr>
      <w:snapToGrid/>
      <w:szCs w:val="24"/>
    </w:rPr>
  </w:style>
  <w:style w:type="character" w:customStyle="1" w:styleId="apple-converted-space">
    <w:name w:val="apple-converted-space"/>
    <w:basedOn w:val="DefaultParagraphFont"/>
    <w:rsid w:val="00B6523F"/>
  </w:style>
  <w:style w:type="paragraph" w:styleId="TOC1">
    <w:name w:val="toc 1"/>
    <w:basedOn w:val="Normal"/>
    <w:next w:val="Normal"/>
    <w:autoRedefine/>
    <w:uiPriority w:val="39"/>
    <w:unhideWhenUsed/>
    <w:rsid w:val="00AB127C"/>
    <w:pPr>
      <w:jc w:val="left"/>
    </w:pPr>
    <w:rPr>
      <w:rFonts w:asciiTheme="minorHAnsi" w:hAnsiTheme="minorHAnsi"/>
      <w:b/>
      <w:bCs/>
      <w:caps/>
      <w:sz w:val="20"/>
    </w:rPr>
  </w:style>
  <w:style w:type="paragraph" w:styleId="TOC2">
    <w:name w:val="toc 2"/>
    <w:basedOn w:val="Normal"/>
    <w:next w:val="Normal"/>
    <w:autoRedefine/>
    <w:uiPriority w:val="39"/>
    <w:unhideWhenUsed/>
    <w:rsid w:val="00AB127C"/>
    <w:pPr>
      <w:spacing w:before="0" w:after="0"/>
      <w:ind w:left="240"/>
      <w:jc w:val="left"/>
    </w:pPr>
    <w:rPr>
      <w:rFonts w:asciiTheme="minorHAnsi" w:hAnsiTheme="minorHAnsi"/>
      <w:smallCaps/>
      <w:sz w:val="20"/>
    </w:rPr>
  </w:style>
  <w:style w:type="paragraph" w:styleId="TOC3">
    <w:name w:val="toc 3"/>
    <w:basedOn w:val="Normal"/>
    <w:next w:val="Normal"/>
    <w:autoRedefine/>
    <w:uiPriority w:val="39"/>
    <w:unhideWhenUsed/>
    <w:rsid w:val="0049309A"/>
    <w:pPr>
      <w:spacing w:before="0" w:after="0"/>
      <w:ind w:left="480"/>
      <w:jc w:val="left"/>
    </w:pPr>
    <w:rPr>
      <w:rFonts w:asciiTheme="minorHAnsi" w:hAnsiTheme="minorHAnsi"/>
      <w:i/>
      <w:iCs/>
      <w:sz w:val="20"/>
    </w:rPr>
  </w:style>
  <w:style w:type="paragraph" w:styleId="TOC4">
    <w:name w:val="toc 4"/>
    <w:basedOn w:val="Normal"/>
    <w:next w:val="Normal"/>
    <w:autoRedefine/>
    <w:uiPriority w:val="39"/>
    <w:unhideWhenUsed/>
    <w:rsid w:val="00AB127C"/>
    <w:pPr>
      <w:spacing w:before="0" w:after="0"/>
      <w:ind w:left="720"/>
      <w:jc w:val="left"/>
    </w:pPr>
    <w:rPr>
      <w:rFonts w:asciiTheme="minorHAnsi" w:hAnsiTheme="minorHAnsi"/>
      <w:sz w:val="18"/>
      <w:szCs w:val="18"/>
    </w:rPr>
  </w:style>
  <w:style w:type="paragraph" w:styleId="TOC5">
    <w:name w:val="toc 5"/>
    <w:basedOn w:val="Normal"/>
    <w:next w:val="Normal"/>
    <w:autoRedefine/>
    <w:uiPriority w:val="39"/>
    <w:unhideWhenUsed/>
    <w:rsid w:val="00AB127C"/>
    <w:pPr>
      <w:spacing w:before="0" w:after="0"/>
      <w:ind w:left="960"/>
      <w:jc w:val="left"/>
    </w:pPr>
    <w:rPr>
      <w:rFonts w:asciiTheme="minorHAnsi" w:hAnsiTheme="minorHAnsi"/>
      <w:sz w:val="18"/>
      <w:szCs w:val="18"/>
    </w:rPr>
  </w:style>
  <w:style w:type="paragraph" w:styleId="TOC6">
    <w:name w:val="toc 6"/>
    <w:basedOn w:val="Normal"/>
    <w:next w:val="Normal"/>
    <w:autoRedefine/>
    <w:uiPriority w:val="39"/>
    <w:unhideWhenUsed/>
    <w:rsid w:val="00AB127C"/>
    <w:pPr>
      <w:spacing w:before="0" w:after="0"/>
      <w:ind w:left="1200"/>
      <w:jc w:val="left"/>
    </w:pPr>
    <w:rPr>
      <w:rFonts w:asciiTheme="minorHAnsi" w:hAnsiTheme="minorHAnsi"/>
      <w:sz w:val="18"/>
      <w:szCs w:val="18"/>
    </w:rPr>
  </w:style>
  <w:style w:type="paragraph" w:styleId="TOC7">
    <w:name w:val="toc 7"/>
    <w:basedOn w:val="Normal"/>
    <w:next w:val="Normal"/>
    <w:autoRedefine/>
    <w:uiPriority w:val="39"/>
    <w:unhideWhenUsed/>
    <w:rsid w:val="00AB127C"/>
    <w:pPr>
      <w:spacing w:before="0" w:after="0"/>
      <w:ind w:left="1440"/>
      <w:jc w:val="left"/>
    </w:pPr>
    <w:rPr>
      <w:rFonts w:asciiTheme="minorHAnsi" w:hAnsiTheme="minorHAnsi"/>
      <w:sz w:val="18"/>
      <w:szCs w:val="18"/>
    </w:rPr>
  </w:style>
  <w:style w:type="paragraph" w:styleId="TOC8">
    <w:name w:val="toc 8"/>
    <w:basedOn w:val="Normal"/>
    <w:next w:val="Normal"/>
    <w:autoRedefine/>
    <w:uiPriority w:val="39"/>
    <w:unhideWhenUsed/>
    <w:rsid w:val="00AB127C"/>
    <w:pPr>
      <w:spacing w:before="0" w:after="0"/>
      <w:ind w:left="1680"/>
      <w:jc w:val="left"/>
    </w:pPr>
    <w:rPr>
      <w:rFonts w:asciiTheme="minorHAnsi" w:hAnsiTheme="minorHAnsi"/>
      <w:sz w:val="18"/>
      <w:szCs w:val="18"/>
    </w:rPr>
  </w:style>
  <w:style w:type="paragraph" w:styleId="TOC9">
    <w:name w:val="toc 9"/>
    <w:basedOn w:val="Normal"/>
    <w:next w:val="Normal"/>
    <w:autoRedefine/>
    <w:uiPriority w:val="39"/>
    <w:unhideWhenUsed/>
    <w:rsid w:val="00AB127C"/>
    <w:pPr>
      <w:spacing w:before="0" w:after="0"/>
      <w:ind w:left="1920"/>
      <w:jc w:val="left"/>
    </w:pPr>
    <w:rPr>
      <w:rFonts w:asciiTheme="minorHAnsi" w:hAnsiTheme="minorHAnsi"/>
      <w:sz w:val="18"/>
      <w:szCs w:val="18"/>
    </w:rPr>
  </w:style>
  <w:style w:type="character" w:customStyle="1" w:styleId="FooterChar">
    <w:name w:val="Footer Char"/>
    <w:basedOn w:val="DefaultParagraphFont"/>
    <w:link w:val="Footer"/>
    <w:uiPriority w:val="99"/>
    <w:locked/>
    <w:rsid w:val="00D05090"/>
    <w:rPr>
      <w:snapToGrid w:val="0"/>
      <w:sz w:val="24"/>
    </w:rPr>
  </w:style>
  <w:style w:type="paragraph" w:customStyle="1" w:styleId="FiguresandTables">
    <w:name w:val="Figures and Tables"/>
    <w:basedOn w:val="Normal"/>
    <w:link w:val="FiguresandTablesChar"/>
    <w:qFormat/>
    <w:rsid w:val="00667DC8"/>
    <w:pPr>
      <w:widowControl/>
      <w:spacing w:before="240" w:after="180"/>
      <w:jc w:val="center"/>
    </w:pPr>
    <w:rPr>
      <w:rFonts w:ascii="Times New Roman Bold" w:hAnsi="Times New Roman Bold"/>
      <w:b/>
    </w:rPr>
  </w:style>
  <w:style w:type="character" w:customStyle="1" w:styleId="FiguresandTablesChar">
    <w:name w:val="Figures and Tables Char"/>
    <w:basedOn w:val="DefaultParagraphFont"/>
    <w:link w:val="FiguresandTables"/>
    <w:rsid w:val="00667DC8"/>
    <w:rPr>
      <w:rFonts w:ascii="Times New Roman Bold" w:hAnsi="Times New Roman Bold"/>
      <w:b/>
      <w:snapToGrid w:val="0"/>
      <w:sz w:val="24"/>
    </w:rPr>
  </w:style>
  <w:style w:type="paragraph" w:customStyle="1" w:styleId="Bulletedsinglespacing">
    <w:name w:val="Bulleted (single spacing)"/>
    <w:basedOn w:val="Normal"/>
    <w:link w:val="BulletedsinglespacingChar"/>
    <w:rsid w:val="00D05090"/>
    <w:pPr>
      <w:widowControl/>
      <w:spacing w:before="60" w:after="60"/>
      <w:ind w:left="720" w:hanging="360"/>
      <w:contextualSpacing/>
    </w:pPr>
  </w:style>
  <w:style w:type="character" w:customStyle="1" w:styleId="BulletedsinglespacingChar">
    <w:name w:val="Bulleted (single spacing) Char"/>
    <w:basedOn w:val="DefaultParagraphFont"/>
    <w:link w:val="Bulletedsinglespacing"/>
    <w:rsid w:val="00D05090"/>
    <w:rPr>
      <w:snapToGrid w:val="0"/>
      <w:sz w:val="24"/>
    </w:rPr>
  </w:style>
  <w:style w:type="paragraph" w:customStyle="1" w:styleId="Normal1">
    <w:name w:val="Normal1"/>
    <w:rsid w:val="00F624D0"/>
    <w:pPr>
      <w:spacing w:after="200" w:line="276" w:lineRule="auto"/>
    </w:pPr>
    <w:rPr>
      <w:rFonts w:ascii="Calibri" w:eastAsia="Calibri" w:hAnsi="Calibri" w:cs="Calibri"/>
      <w:color w:val="000000"/>
      <w:sz w:val="22"/>
      <w:szCs w:val="22"/>
    </w:rPr>
  </w:style>
  <w:style w:type="paragraph" w:customStyle="1" w:styleId="BodyText1">
    <w:name w:val="Body Text1"/>
    <w:link w:val="BodytextChar"/>
    <w:rsid w:val="00F07EC6"/>
    <w:pPr>
      <w:spacing w:after="240"/>
      <w:jc w:val="both"/>
    </w:pPr>
    <w:rPr>
      <w:iCs/>
      <w:sz w:val="22"/>
      <w:szCs w:val="24"/>
    </w:rPr>
  </w:style>
  <w:style w:type="character" w:customStyle="1" w:styleId="BodytextChar">
    <w:name w:val="Body text Char"/>
    <w:basedOn w:val="DefaultParagraphFont"/>
    <w:link w:val="BodyText1"/>
    <w:locked/>
    <w:rsid w:val="00F07EC6"/>
    <w:rPr>
      <w:iCs/>
      <w:sz w:val="22"/>
      <w:szCs w:val="24"/>
    </w:rPr>
  </w:style>
  <w:style w:type="character" w:customStyle="1" w:styleId="FootnoteTextChar3">
    <w:name w:val="Footnote Text Char3"/>
    <w:aliases w:val="Geneva 9 Char1,Font: Geneva 9 Char1,Boston 10 Char1,f Char1,Char Char1,Fußnote Char1,foot note text Char1,Footnote Text Char2 Char1,Footnote Text Char1 Char Char1,Footnote Text Char Char Char Char1,single space Char1,FOOTNOTES Char1"/>
    <w:basedOn w:val="DefaultParagraphFont"/>
    <w:locked/>
    <w:rsid w:val="00E73483"/>
    <w:rPr>
      <w:rFonts w:ascii="Book Antiqua" w:hAnsi="Book Antiqua" w:cs="Times New Roman"/>
      <w:sz w:val="20"/>
      <w:szCs w:val="20"/>
    </w:rPr>
  </w:style>
  <w:style w:type="character" w:styleId="CommentReference">
    <w:name w:val="annotation reference"/>
    <w:uiPriority w:val="99"/>
    <w:semiHidden/>
    <w:unhideWhenUsed/>
    <w:rsid w:val="00345436"/>
    <w:rPr>
      <w:sz w:val="16"/>
      <w:szCs w:val="16"/>
    </w:rPr>
  </w:style>
  <w:style w:type="paragraph" w:styleId="CommentText">
    <w:name w:val="annotation text"/>
    <w:basedOn w:val="Normal"/>
    <w:link w:val="CommentTextChar"/>
    <w:uiPriority w:val="99"/>
    <w:unhideWhenUsed/>
    <w:rsid w:val="00345436"/>
    <w:pPr>
      <w:widowControl/>
      <w:spacing w:before="0" w:after="200" w:line="276" w:lineRule="auto"/>
      <w:jc w:val="left"/>
    </w:pPr>
    <w:rPr>
      <w:rFonts w:ascii="Calibri" w:eastAsia="Calibri" w:hAnsi="Calibri" w:cs="Arial"/>
      <w:snapToGrid/>
      <w:sz w:val="20"/>
    </w:rPr>
  </w:style>
  <w:style w:type="character" w:customStyle="1" w:styleId="CommentTextChar">
    <w:name w:val="Comment Text Char"/>
    <w:basedOn w:val="DefaultParagraphFont"/>
    <w:link w:val="CommentText"/>
    <w:uiPriority w:val="99"/>
    <w:rsid w:val="00345436"/>
    <w:rPr>
      <w:rFonts w:ascii="Calibri" w:eastAsia="Calibri" w:hAnsi="Calibri" w:cs="Arial"/>
    </w:rPr>
  </w:style>
  <w:style w:type="paragraph" w:customStyle="1" w:styleId="Sourcenote-Box">
    <w:name w:val="Source note - Box"/>
    <w:basedOn w:val="Tabletext"/>
    <w:qFormat/>
    <w:rsid w:val="00345436"/>
    <w:pPr>
      <w:keepNext w:val="0"/>
      <w:widowControl/>
      <w:spacing w:before="20" w:after="180" w:line="276" w:lineRule="auto"/>
      <w:contextualSpacing/>
      <w:jc w:val="left"/>
      <w:outlineLvl w:val="9"/>
    </w:pPr>
    <w:rPr>
      <w:rFonts w:ascii="Calibri" w:hAnsi="Calibri"/>
      <w:noProof w:val="0"/>
      <w:sz w:val="18"/>
    </w:rPr>
  </w:style>
  <w:style w:type="paragraph" w:customStyle="1" w:styleId="Figureandtablecaption">
    <w:name w:val="Figure and table caption"/>
    <w:basedOn w:val="Normal"/>
    <w:rsid w:val="00345436"/>
    <w:pPr>
      <w:keepNext/>
      <w:widowControl/>
      <w:spacing w:before="240"/>
      <w:jc w:val="left"/>
    </w:pPr>
    <w:rPr>
      <w:rFonts w:ascii="Arial" w:hAnsi="Arial"/>
      <w:b/>
      <w:snapToGrid/>
      <w:sz w:val="18"/>
      <w:lang w:val="en-GB"/>
    </w:rPr>
  </w:style>
  <w:style w:type="paragraph" w:customStyle="1" w:styleId="Tabletextbullet">
    <w:name w:val="Table text bullet"/>
    <w:basedOn w:val="ListParagraph"/>
    <w:qFormat/>
    <w:rsid w:val="00345436"/>
    <w:pPr>
      <w:numPr>
        <w:numId w:val="15"/>
      </w:numPr>
      <w:spacing w:before="20" w:after="20"/>
      <w:ind w:left="158" w:hanging="158"/>
      <w:jc w:val="left"/>
    </w:pPr>
    <w:rPr>
      <w:rFonts w:ascii="Arial" w:hAnsi="Arial" w:cs="Arial"/>
      <w:sz w:val="18"/>
    </w:rPr>
  </w:style>
  <w:style w:type="paragraph" w:customStyle="1" w:styleId="Tableheadingcenter">
    <w:name w:val="Table heading center"/>
    <w:basedOn w:val="Normal"/>
    <w:qFormat/>
    <w:rsid w:val="00345436"/>
    <w:pPr>
      <w:widowControl/>
      <w:tabs>
        <w:tab w:val="left" w:pos="4500"/>
        <w:tab w:val="left" w:pos="4770"/>
      </w:tabs>
      <w:spacing w:before="20" w:after="20"/>
      <w:jc w:val="center"/>
    </w:pPr>
    <w:rPr>
      <w:rFonts w:ascii="Arial" w:hAnsi="Arial" w:cs="Arial"/>
      <w:b/>
      <w:color w:val="000000" w:themeColor="text1"/>
      <w:sz w:val="18"/>
      <w:szCs w:val="18"/>
    </w:rPr>
  </w:style>
  <w:style w:type="paragraph" w:customStyle="1" w:styleId="Tableheadingleft">
    <w:name w:val="Table heading left"/>
    <w:basedOn w:val="Tableheadingcenter"/>
    <w:qFormat/>
    <w:rsid w:val="00345436"/>
    <w:pPr>
      <w:jc w:val="left"/>
    </w:pPr>
  </w:style>
  <w:style w:type="paragraph" w:customStyle="1" w:styleId="FigTablesourcenote">
    <w:name w:val="FigTable source note"/>
    <w:basedOn w:val="Normal"/>
    <w:rsid w:val="00345436"/>
    <w:pPr>
      <w:widowControl/>
      <w:spacing w:before="0" w:after="240"/>
    </w:pPr>
    <w:rPr>
      <w:rFonts w:asciiTheme="minorHAnsi" w:hAnsiTheme="minorHAnsi"/>
      <w:sz w:val="20"/>
    </w:rPr>
  </w:style>
  <w:style w:type="paragraph" w:customStyle="1" w:styleId="Boxtext">
    <w:name w:val="Box text"/>
    <w:basedOn w:val="Normal"/>
    <w:rsid w:val="00345436"/>
    <w:pPr>
      <w:widowControl/>
    </w:pPr>
    <w:rPr>
      <w:rFonts w:asciiTheme="minorHAnsi" w:hAnsiTheme="minorHAnsi"/>
      <w:snapToGrid/>
      <w:sz w:val="20"/>
    </w:rPr>
  </w:style>
  <w:style w:type="paragraph" w:customStyle="1" w:styleId="Boxcaption">
    <w:name w:val="Box caption"/>
    <w:basedOn w:val="Figureandtablecaption"/>
    <w:rsid w:val="00345436"/>
  </w:style>
  <w:style w:type="paragraph" w:customStyle="1" w:styleId="Boxbullet">
    <w:name w:val="Box bullet"/>
    <w:basedOn w:val="Boxtext"/>
    <w:rsid w:val="00345436"/>
    <w:pPr>
      <w:numPr>
        <w:numId w:val="14"/>
      </w:numPr>
    </w:pPr>
    <w:rPr>
      <w:bCs/>
      <w:iCs/>
    </w:rPr>
  </w:style>
  <w:style w:type="paragraph" w:customStyle="1" w:styleId="FigTablesourcenote3ptafter">
    <w:name w:val="FigTable source note (3 pt after)"/>
    <w:basedOn w:val="FigTablesourcenote"/>
    <w:rsid w:val="00345436"/>
    <w:pPr>
      <w:spacing w:after="60"/>
    </w:pPr>
    <w:rPr>
      <w:i/>
    </w:rPr>
  </w:style>
  <w:style w:type="paragraph" w:customStyle="1" w:styleId="Tabletextbullet8ptsinglespace">
    <w:name w:val="Table text bullet 8 pt single space"/>
    <w:basedOn w:val="Tabletextbullet"/>
    <w:qFormat/>
    <w:rsid w:val="003D0971"/>
    <w:pPr>
      <w:numPr>
        <w:numId w:val="7"/>
      </w:numPr>
      <w:spacing w:before="0" w:after="0"/>
      <w:ind w:left="158" w:hanging="158"/>
    </w:pPr>
    <w:rPr>
      <w:sz w:val="16"/>
      <w:szCs w:val="16"/>
    </w:rPr>
  </w:style>
  <w:style w:type="paragraph" w:customStyle="1" w:styleId="Heading-FiguresandTables">
    <w:name w:val="Heading - Figures and Tables"/>
    <w:basedOn w:val="Normal"/>
    <w:link w:val="Heading-FiguresandTablesChar"/>
    <w:qFormat/>
    <w:rsid w:val="00FA3BDB"/>
    <w:pPr>
      <w:widowControl/>
      <w:spacing w:before="240" w:after="180"/>
      <w:jc w:val="center"/>
    </w:pPr>
    <w:rPr>
      <w:rFonts w:ascii="Times New Roman Bold" w:hAnsi="Times New Roman Bold"/>
      <w:b/>
    </w:rPr>
  </w:style>
  <w:style w:type="character" w:customStyle="1" w:styleId="Heading-FiguresandTablesChar">
    <w:name w:val="Heading - Figures and Tables Char"/>
    <w:basedOn w:val="DefaultParagraphFont"/>
    <w:link w:val="Heading-FiguresandTables"/>
    <w:rsid w:val="00FA3BDB"/>
    <w:rPr>
      <w:rFonts w:ascii="Times New Roman Bold" w:hAnsi="Times New Roman Bold"/>
      <w:b/>
      <w:snapToGrid w:val="0"/>
      <w:sz w:val="24"/>
    </w:rPr>
  </w:style>
  <w:style w:type="paragraph" w:customStyle="1" w:styleId="Sourcenote">
    <w:name w:val="Source note"/>
    <w:basedOn w:val="Tabletext"/>
    <w:qFormat/>
    <w:rsid w:val="00FA3BDB"/>
    <w:pPr>
      <w:keepNext w:val="0"/>
      <w:widowControl/>
      <w:spacing w:before="20" w:after="180"/>
      <w:contextualSpacing/>
      <w:jc w:val="left"/>
      <w:outlineLvl w:val="9"/>
    </w:pPr>
    <w:rPr>
      <w:rFonts w:ascii="Calibri" w:hAnsi="Calibri"/>
      <w:noProof w:val="0"/>
      <w:sz w:val="18"/>
    </w:rPr>
  </w:style>
  <w:style w:type="character" w:styleId="EndnoteReference">
    <w:name w:val="endnote reference"/>
    <w:basedOn w:val="DefaultParagraphFont"/>
    <w:rsid w:val="00FA3BDB"/>
    <w:rPr>
      <w:vertAlign w:val="superscript"/>
    </w:rPr>
  </w:style>
  <w:style w:type="paragraph" w:styleId="EndnoteText">
    <w:name w:val="endnote text"/>
    <w:basedOn w:val="Normal"/>
    <w:link w:val="EndnoteTextChar"/>
    <w:rsid w:val="00FA3BDB"/>
    <w:pPr>
      <w:widowControl/>
    </w:pPr>
    <w:rPr>
      <w:snapToGrid/>
      <w:sz w:val="20"/>
    </w:rPr>
  </w:style>
  <w:style w:type="character" w:customStyle="1" w:styleId="EndnoteTextChar">
    <w:name w:val="Endnote Text Char"/>
    <w:basedOn w:val="DefaultParagraphFont"/>
    <w:link w:val="EndnoteText"/>
    <w:rsid w:val="00FA3BDB"/>
  </w:style>
  <w:style w:type="paragraph" w:customStyle="1" w:styleId="EcoBulletList1">
    <w:name w:val="*Eco Bullet List 1"/>
    <w:basedOn w:val="Normal"/>
    <w:rsid w:val="00750F5A"/>
    <w:pPr>
      <w:widowControl/>
      <w:numPr>
        <w:numId w:val="18"/>
      </w:numPr>
      <w:tabs>
        <w:tab w:val="clear" w:pos="567"/>
      </w:tabs>
      <w:spacing w:before="60" w:after="60" w:line="288" w:lineRule="auto"/>
      <w:ind w:left="568" w:hanging="284"/>
    </w:pPr>
    <w:rPr>
      <w:rFonts w:ascii="Arial" w:eastAsiaTheme="minorHAnsi" w:hAnsi="Arial" w:cstheme="minorBidi"/>
      <w:snapToGrid/>
      <w:sz w:val="22"/>
      <w:szCs w:val="22"/>
      <w:lang w:val="en-CA"/>
    </w:rPr>
  </w:style>
  <w:style w:type="paragraph" w:customStyle="1" w:styleId="EcoBulletList2">
    <w:name w:val="*Eco Bullet List 2"/>
    <w:basedOn w:val="Normal"/>
    <w:rsid w:val="00750F5A"/>
    <w:pPr>
      <w:widowControl/>
      <w:numPr>
        <w:ilvl w:val="1"/>
        <w:numId w:val="18"/>
      </w:numPr>
      <w:tabs>
        <w:tab w:val="clear" w:pos="851"/>
      </w:tabs>
      <w:spacing w:before="60" w:after="60" w:line="288" w:lineRule="auto"/>
    </w:pPr>
    <w:rPr>
      <w:rFonts w:ascii="Arial" w:eastAsiaTheme="minorHAnsi" w:hAnsi="Arial" w:cstheme="minorBidi"/>
      <w:snapToGrid/>
      <w:sz w:val="22"/>
      <w:szCs w:val="22"/>
      <w:lang w:val="en-CA"/>
    </w:rPr>
  </w:style>
  <w:style w:type="paragraph" w:customStyle="1" w:styleId="EcoBulletList3">
    <w:name w:val="*Eco Bullet List 3"/>
    <w:basedOn w:val="Normal"/>
    <w:rsid w:val="00750F5A"/>
    <w:pPr>
      <w:widowControl/>
      <w:numPr>
        <w:ilvl w:val="2"/>
        <w:numId w:val="18"/>
      </w:numPr>
      <w:tabs>
        <w:tab w:val="clear" w:pos="1134"/>
      </w:tabs>
      <w:suppressAutoHyphens/>
      <w:spacing w:before="60" w:after="60" w:line="288" w:lineRule="auto"/>
      <w:ind w:left="1135" w:hanging="284"/>
    </w:pPr>
    <w:rPr>
      <w:rFonts w:ascii="Arial" w:eastAsiaTheme="minorHAnsi" w:hAnsi="Arial" w:cstheme="minorBidi"/>
      <w:snapToGrid/>
      <w:sz w:val="22"/>
      <w:szCs w:val="22"/>
      <w:lang w:val="en-CA"/>
    </w:rPr>
  </w:style>
  <w:style w:type="numbering" w:customStyle="1" w:styleId="Listedespuces">
    <w:name w:val="*Liste des puces"/>
    <w:basedOn w:val="NoList"/>
    <w:uiPriority w:val="99"/>
    <w:rsid w:val="00750F5A"/>
    <w:pPr>
      <w:numPr>
        <w:numId w:val="18"/>
      </w:numPr>
    </w:pPr>
  </w:style>
  <w:style w:type="paragraph" w:customStyle="1" w:styleId="EcoNumberedList">
    <w:name w:val="*Eco Numbered List"/>
    <w:basedOn w:val="Normal"/>
    <w:rsid w:val="00750F5A"/>
    <w:pPr>
      <w:widowControl/>
      <w:numPr>
        <w:numId w:val="19"/>
      </w:numPr>
      <w:suppressAutoHyphens/>
      <w:spacing w:before="60" w:after="60" w:line="288" w:lineRule="auto"/>
      <w:ind w:left="602" w:hanging="318"/>
    </w:pPr>
    <w:rPr>
      <w:rFonts w:ascii="Arial" w:eastAsiaTheme="minorHAnsi" w:hAnsi="Arial" w:cstheme="minorBidi"/>
      <w:snapToGrid/>
      <w:sz w:val="22"/>
      <w:szCs w:val="22"/>
      <w:lang w:val="en-CA"/>
    </w:rPr>
  </w:style>
  <w:style w:type="paragraph" w:customStyle="1" w:styleId="FootnoteText1">
    <w:name w:val="Footnote Text1"/>
    <w:basedOn w:val="FootnoteText"/>
    <w:link w:val="FootnotetextChar0"/>
    <w:rsid w:val="00CB193B"/>
    <w:pPr>
      <w:spacing w:before="0" w:after="0" w:line="0" w:lineRule="atLeast"/>
      <w:ind w:left="187" w:hanging="187"/>
      <w:jc w:val="left"/>
    </w:pPr>
    <w:rPr>
      <w:szCs w:val="24"/>
    </w:rPr>
  </w:style>
  <w:style w:type="character" w:customStyle="1" w:styleId="FootnoteChar">
    <w:name w:val="Footnote Char"/>
    <w:basedOn w:val="DefaultParagraphFont"/>
    <w:rsid w:val="00C81F5E"/>
    <w:rPr>
      <w:snapToGrid w:val="0"/>
      <w:szCs w:val="24"/>
      <w:vertAlign w:val="superscript"/>
    </w:rPr>
  </w:style>
  <w:style w:type="character" w:customStyle="1" w:styleId="FootnotetextChar0">
    <w:name w:val="Footnote text Char"/>
    <w:basedOn w:val="FootnoteChar"/>
    <w:link w:val="FootnoteText1"/>
    <w:rsid w:val="00CB193B"/>
    <w:rPr>
      <w:snapToGrid/>
      <w:szCs w:val="24"/>
      <w:vertAlign w:val="superscript"/>
      <w:lang w:val="en-GB"/>
    </w:rPr>
  </w:style>
  <w:style w:type="character" w:customStyle="1" w:styleId="field-content">
    <w:name w:val="field-content"/>
    <w:basedOn w:val="DefaultParagraphFont"/>
    <w:rsid w:val="00C81F5E"/>
  </w:style>
  <w:style w:type="paragraph" w:customStyle="1" w:styleId="ProjectName">
    <w:name w:val="Project Name"/>
    <w:basedOn w:val="Normal"/>
    <w:semiHidden/>
    <w:qFormat/>
    <w:rsid w:val="00363766"/>
    <w:pPr>
      <w:widowControl/>
      <w:spacing w:before="1800" w:after="0"/>
      <w:jc w:val="left"/>
    </w:pPr>
    <w:rPr>
      <w:rFonts w:ascii="Arial" w:eastAsiaTheme="minorHAnsi" w:hAnsi="Arial" w:cstheme="minorBidi"/>
      <w:b/>
      <w:caps/>
      <w:snapToGrid/>
      <w:color w:val="00467F"/>
      <w:sz w:val="48"/>
      <w:szCs w:val="22"/>
      <w:lang w:val="en-CA"/>
    </w:rPr>
  </w:style>
  <w:style w:type="paragraph" w:customStyle="1" w:styleId="EcoTableText">
    <w:name w:val="*Eco Table Text"/>
    <w:basedOn w:val="Normal"/>
    <w:rsid w:val="007B4BC2"/>
    <w:pPr>
      <w:widowControl/>
      <w:suppressAutoHyphens/>
      <w:spacing w:before="60" w:after="60"/>
      <w:jc w:val="left"/>
    </w:pPr>
    <w:rPr>
      <w:rFonts w:ascii="Arial" w:eastAsiaTheme="minorHAnsi" w:hAnsi="Arial" w:cstheme="minorBidi"/>
      <w:snapToGrid/>
      <w:sz w:val="20"/>
      <w:szCs w:val="22"/>
      <w:lang w:val="en-CA"/>
    </w:rPr>
  </w:style>
  <w:style w:type="paragraph" w:customStyle="1" w:styleId="EcoTableTitleRow">
    <w:name w:val="*Eco Table Title Row"/>
    <w:basedOn w:val="Normal"/>
    <w:rsid w:val="007B4BC2"/>
    <w:pPr>
      <w:keepNext/>
      <w:keepLines/>
      <w:widowControl/>
      <w:jc w:val="center"/>
    </w:pPr>
    <w:rPr>
      <w:rFonts w:ascii="Arial" w:eastAsiaTheme="minorHAnsi" w:hAnsi="Arial" w:cstheme="minorBidi"/>
      <w:b/>
      <w:snapToGrid/>
      <w:color w:val="00467F"/>
      <w:sz w:val="20"/>
      <w:szCs w:val="22"/>
      <w:lang w:val="en-CA"/>
    </w:rPr>
  </w:style>
  <w:style w:type="paragraph" w:customStyle="1" w:styleId="EcolegendforTables">
    <w:name w:val="*Eco legend for Tables"/>
    <w:basedOn w:val="Caption"/>
    <w:next w:val="Normal"/>
    <w:rsid w:val="007B4BC2"/>
    <w:pPr>
      <w:keepNext/>
      <w:keepLines/>
      <w:widowControl/>
      <w:suppressAutoHyphens/>
      <w:spacing w:before="240"/>
      <w:outlineLvl w:val="9"/>
    </w:pPr>
    <w:rPr>
      <w:rFonts w:eastAsiaTheme="minorHAnsi" w:cstheme="minorBidi"/>
      <w:bCs/>
      <w:color w:val="00467F"/>
      <w:sz w:val="22"/>
      <w:szCs w:val="18"/>
      <w:lang w:val="en-CA"/>
    </w:rPr>
  </w:style>
  <w:style w:type="table" w:customStyle="1" w:styleId="Econoler1-2015">
    <w:name w:val="Econoler 1-2015"/>
    <w:basedOn w:val="TableNormal"/>
    <w:uiPriority w:val="99"/>
    <w:rsid w:val="007B4BC2"/>
    <w:rPr>
      <w:rFonts w:ascii="Arial" w:eastAsiaTheme="minorHAnsi" w:hAnsi="Arial" w:cstheme="minorBidi"/>
      <w:szCs w:val="22"/>
      <w:lang w:val="fr-CA"/>
    </w:rPr>
    <w:tblPr>
      <w:tblStyleRowBandSize w:val="1"/>
      <w:jc w:val="center"/>
      <w:tblBorders>
        <w:top w:val="single" w:sz="4" w:space="0" w:color="00467F"/>
        <w:left w:val="single" w:sz="4" w:space="0" w:color="00467F"/>
        <w:bottom w:val="single" w:sz="4" w:space="0" w:color="00467F"/>
        <w:right w:val="single" w:sz="4" w:space="0" w:color="00467F"/>
        <w:insideH w:val="single" w:sz="4" w:space="0" w:color="00467F"/>
        <w:insideV w:val="single" w:sz="4" w:space="0" w:color="00467F"/>
      </w:tblBorders>
    </w:tblPr>
    <w:trPr>
      <w:jc w:val="center"/>
    </w:trPr>
    <w:tblStylePr w:type="firstRow">
      <w:pPr>
        <w:wordWrap/>
        <w:spacing w:beforeLines="0" w:before="120" w:beforeAutospacing="0" w:afterLines="0" w:after="120" w:afterAutospacing="0" w:line="240" w:lineRule="auto"/>
        <w:contextualSpacing w:val="0"/>
        <w:jc w:val="center"/>
      </w:pPr>
      <w:rPr>
        <w:rFonts w:ascii="Arial" w:hAnsi="Arial"/>
        <w:color w:val="00467F"/>
        <w:sz w:val="20"/>
      </w:rPr>
      <w:tblPr>
        <w:jc w:val="center"/>
      </w:tblPr>
      <w:trPr>
        <w:tblHeader/>
        <w:jc w:val="center"/>
      </w:trPr>
      <w:tcPr>
        <w:shd w:val="clear" w:color="auto" w:fill="BCDA68"/>
        <w:vAlign w:val="center"/>
      </w:tcPr>
    </w:tblStylePr>
    <w:tblStylePr w:type="firstCol">
      <w:pPr>
        <w:jc w:val="left"/>
      </w:pPr>
      <w:rPr>
        <w:rFonts w:ascii="Arial" w:hAnsi="Arial"/>
        <w:sz w:val="20"/>
      </w:rPr>
    </w:tblStylePr>
    <w:tblStylePr w:type="band1Horz">
      <w:pPr>
        <w:jc w:val="left"/>
      </w:pPr>
      <w:rPr>
        <w:rFonts w:ascii="Arial" w:hAnsi="Arial"/>
        <w:sz w:val="20"/>
      </w:rPr>
      <w:tblPr>
        <w:jc w:val="center"/>
      </w:tblPr>
      <w:trPr>
        <w:jc w:val="center"/>
      </w:trPr>
      <w:tcPr>
        <w:vAlign w:val="center"/>
      </w:tcPr>
    </w:tblStylePr>
    <w:tblStylePr w:type="band2Horz">
      <w:pPr>
        <w:jc w:val="left"/>
      </w:pPr>
      <w:rPr>
        <w:rFonts w:ascii="Arial" w:hAnsi="Arial"/>
        <w:sz w:val="20"/>
      </w:rPr>
      <w:tblPr>
        <w:jc w:val="center"/>
      </w:tblPr>
      <w:trPr>
        <w:jc w:val="center"/>
      </w:trPr>
      <w:tcPr>
        <w:vAlign w:val="center"/>
      </w:tcPr>
    </w:tblStylePr>
  </w:style>
  <w:style w:type="paragraph" w:customStyle="1" w:styleId="Ecotext">
    <w:name w:val="*Eco text"/>
    <w:link w:val="EcotextCar"/>
    <w:rsid w:val="006943AA"/>
    <w:pPr>
      <w:suppressAutoHyphens/>
      <w:spacing w:before="180" w:after="180" w:line="288" w:lineRule="auto"/>
      <w:jc w:val="both"/>
    </w:pPr>
    <w:rPr>
      <w:rFonts w:ascii="Arial" w:eastAsiaTheme="minorHAnsi" w:hAnsi="Arial" w:cstheme="minorBidi"/>
      <w:sz w:val="22"/>
      <w:szCs w:val="22"/>
      <w:lang w:val="en-CA"/>
    </w:rPr>
  </w:style>
  <w:style w:type="character" w:customStyle="1" w:styleId="EcotextCar">
    <w:name w:val="*Eco text Car"/>
    <w:basedOn w:val="DefaultParagraphFont"/>
    <w:link w:val="Ecotext"/>
    <w:rsid w:val="006943AA"/>
    <w:rPr>
      <w:rFonts w:ascii="Arial" w:eastAsiaTheme="minorHAnsi" w:hAnsi="Arial" w:cstheme="minorBidi"/>
      <w:sz w:val="22"/>
      <w:szCs w:val="22"/>
      <w:lang w:val="en-CA"/>
    </w:rPr>
  </w:style>
  <w:style w:type="paragraph" w:customStyle="1" w:styleId="bullet">
    <w:name w:val="bullet"/>
    <w:basedOn w:val="Normal"/>
    <w:link w:val="bulletChar"/>
    <w:rsid w:val="006F6392"/>
    <w:pPr>
      <w:widowControl/>
      <w:numPr>
        <w:numId w:val="26"/>
      </w:numPr>
      <w:tabs>
        <w:tab w:val="left" w:pos="1080"/>
      </w:tabs>
      <w:spacing w:before="60" w:after="60"/>
    </w:pPr>
    <w:rPr>
      <w:rFonts w:eastAsia="SimSun"/>
      <w:snapToGrid/>
      <w:szCs w:val="24"/>
    </w:rPr>
  </w:style>
  <w:style w:type="character" w:customStyle="1" w:styleId="bulletChar">
    <w:name w:val="bullet Char"/>
    <w:basedOn w:val="DefaultParagraphFont"/>
    <w:link w:val="bullet"/>
    <w:rsid w:val="006F6392"/>
    <w:rPr>
      <w:rFonts w:eastAsia="SimSun"/>
      <w:sz w:val="24"/>
      <w:szCs w:val="24"/>
    </w:rPr>
  </w:style>
  <w:style w:type="paragraph" w:styleId="CommentSubject">
    <w:name w:val="annotation subject"/>
    <w:basedOn w:val="CommentText"/>
    <w:next w:val="CommentText"/>
    <w:link w:val="CommentSubjectChar"/>
    <w:semiHidden/>
    <w:unhideWhenUsed/>
    <w:rsid w:val="003606D0"/>
    <w:pPr>
      <w:widowControl w:val="0"/>
      <w:spacing w:before="120" w:after="120" w:line="240" w:lineRule="auto"/>
      <w:jc w:val="both"/>
    </w:pPr>
    <w:rPr>
      <w:rFonts w:ascii="Times New Roman" w:eastAsia="Times New Roman" w:hAnsi="Times New Roman" w:cs="Times New Roman"/>
      <w:b/>
      <w:bCs/>
      <w:snapToGrid w:val="0"/>
    </w:rPr>
  </w:style>
  <w:style w:type="character" w:customStyle="1" w:styleId="CommentSubjectChar">
    <w:name w:val="Comment Subject Char"/>
    <w:basedOn w:val="CommentTextChar"/>
    <w:link w:val="CommentSubject"/>
    <w:semiHidden/>
    <w:rsid w:val="003606D0"/>
    <w:rPr>
      <w:rFonts w:ascii="Calibri" w:eastAsia="Calibri" w:hAnsi="Calibri" w:cs="Arial"/>
      <w:b/>
      <w:bCs/>
      <w:snapToGrid w:val="0"/>
    </w:rPr>
  </w:style>
  <w:style w:type="paragraph" w:styleId="Revision">
    <w:name w:val="Revision"/>
    <w:hidden/>
    <w:uiPriority w:val="99"/>
    <w:semiHidden/>
    <w:rsid w:val="00665681"/>
    <w:rPr>
      <w:snapToGrid w:val="0"/>
      <w:sz w:val="24"/>
    </w:rPr>
  </w:style>
  <w:style w:type="character" w:customStyle="1" w:styleId="st">
    <w:name w:val="st"/>
    <w:basedOn w:val="DefaultParagraphFont"/>
    <w:rsid w:val="00A17AA5"/>
  </w:style>
  <w:style w:type="character" w:customStyle="1" w:styleId="Heading3Char">
    <w:name w:val="Heading 3 Char"/>
    <w:basedOn w:val="DefaultParagraphFont"/>
    <w:link w:val="Heading3"/>
    <w:rsid w:val="00C6290F"/>
    <w:rPr>
      <w:rFonts w:ascii="Times New Roman Bold" w:hAnsi="Times New Roman Bold"/>
      <w:b/>
      <w:noProof/>
      <w:color w:val="002060"/>
      <w:sz w:val="24"/>
    </w:rPr>
  </w:style>
  <w:style w:type="paragraph" w:customStyle="1" w:styleId="2FrontpageSubtitle">
    <w:name w:val="2. Frontpage Subtitle"/>
    <w:basedOn w:val="Normal"/>
    <w:rsid w:val="00B05301"/>
    <w:pPr>
      <w:widowControl/>
      <w:spacing w:before="0" w:after="240" w:line="720" w:lineRule="atLeast"/>
    </w:pPr>
    <w:rPr>
      <w:rFonts w:ascii="Calibri" w:eastAsia="PMingLiU" w:hAnsi="Calibri"/>
      <w:b/>
      <w:snapToGrid/>
      <w:color w:val="449D37"/>
      <w:sz w:val="64"/>
      <w:lang w:val="nl-NL" w:eastAsia="nl-NL"/>
    </w:rPr>
  </w:style>
  <w:style w:type="character" w:customStyle="1" w:styleId="newsquote">
    <w:name w:val="news_quote"/>
    <w:basedOn w:val="DefaultParagraphFont"/>
    <w:rsid w:val="001E77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93301">
      <w:bodyDiv w:val="1"/>
      <w:marLeft w:val="0"/>
      <w:marRight w:val="0"/>
      <w:marTop w:val="0"/>
      <w:marBottom w:val="0"/>
      <w:divBdr>
        <w:top w:val="none" w:sz="0" w:space="0" w:color="auto"/>
        <w:left w:val="none" w:sz="0" w:space="0" w:color="auto"/>
        <w:bottom w:val="none" w:sz="0" w:space="0" w:color="auto"/>
        <w:right w:val="none" w:sz="0" w:space="0" w:color="auto"/>
      </w:divBdr>
      <w:divsChild>
        <w:div w:id="1281835740">
          <w:marLeft w:val="547"/>
          <w:marRight w:val="0"/>
          <w:marTop w:val="96"/>
          <w:marBottom w:val="0"/>
          <w:divBdr>
            <w:top w:val="none" w:sz="0" w:space="0" w:color="auto"/>
            <w:left w:val="none" w:sz="0" w:space="0" w:color="auto"/>
            <w:bottom w:val="none" w:sz="0" w:space="0" w:color="auto"/>
            <w:right w:val="none" w:sz="0" w:space="0" w:color="auto"/>
          </w:divBdr>
        </w:div>
      </w:divsChild>
    </w:div>
    <w:div w:id="234978331">
      <w:bodyDiv w:val="1"/>
      <w:marLeft w:val="0"/>
      <w:marRight w:val="0"/>
      <w:marTop w:val="0"/>
      <w:marBottom w:val="0"/>
      <w:divBdr>
        <w:top w:val="none" w:sz="0" w:space="0" w:color="auto"/>
        <w:left w:val="none" w:sz="0" w:space="0" w:color="auto"/>
        <w:bottom w:val="none" w:sz="0" w:space="0" w:color="auto"/>
        <w:right w:val="none" w:sz="0" w:space="0" w:color="auto"/>
      </w:divBdr>
      <w:divsChild>
        <w:div w:id="61295404">
          <w:marLeft w:val="547"/>
          <w:marRight w:val="0"/>
          <w:marTop w:val="96"/>
          <w:marBottom w:val="0"/>
          <w:divBdr>
            <w:top w:val="none" w:sz="0" w:space="0" w:color="auto"/>
            <w:left w:val="none" w:sz="0" w:space="0" w:color="auto"/>
            <w:bottom w:val="none" w:sz="0" w:space="0" w:color="auto"/>
            <w:right w:val="none" w:sz="0" w:space="0" w:color="auto"/>
          </w:divBdr>
        </w:div>
        <w:div w:id="1040713579">
          <w:marLeft w:val="547"/>
          <w:marRight w:val="0"/>
          <w:marTop w:val="96"/>
          <w:marBottom w:val="0"/>
          <w:divBdr>
            <w:top w:val="none" w:sz="0" w:space="0" w:color="auto"/>
            <w:left w:val="none" w:sz="0" w:space="0" w:color="auto"/>
            <w:bottom w:val="none" w:sz="0" w:space="0" w:color="auto"/>
            <w:right w:val="none" w:sz="0" w:space="0" w:color="auto"/>
          </w:divBdr>
        </w:div>
      </w:divsChild>
    </w:div>
    <w:div w:id="335692306">
      <w:bodyDiv w:val="1"/>
      <w:marLeft w:val="0"/>
      <w:marRight w:val="0"/>
      <w:marTop w:val="0"/>
      <w:marBottom w:val="0"/>
      <w:divBdr>
        <w:top w:val="none" w:sz="0" w:space="0" w:color="auto"/>
        <w:left w:val="none" w:sz="0" w:space="0" w:color="auto"/>
        <w:bottom w:val="none" w:sz="0" w:space="0" w:color="auto"/>
        <w:right w:val="none" w:sz="0" w:space="0" w:color="auto"/>
      </w:divBdr>
      <w:divsChild>
        <w:div w:id="75322051">
          <w:marLeft w:val="547"/>
          <w:marRight w:val="0"/>
          <w:marTop w:val="96"/>
          <w:marBottom w:val="0"/>
          <w:divBdr>
            <w:top w:val="none" w:sz="0" w:space="0" w:color="auto"/>
            <w:left w:val="none" w:sz="0" w:space="0" w:color="auto"/>
            <w:bottom w:val="none" w:sz="0" w:space="0" w:color="auto"/>
            <w:right w:val="none" w:sz="0" w:space="0" w:color="auto"/>
          </w:divBdr>
        </w:div>
        <w:div w:id="115031081">
          <w:marLeft w:val="547"/>
          <w:marRight w:val="0"/>
          <w:marTop w:val="96"/>
          <w:marBottom w:val="0"/>
          <w:divBdr>
            <w:top w:val="none" w:sz="0" w:space="0" w:color="auto"/>
            <w:left w:val="none" w:sz="0" w:space="0" w:color="auto"/>
            <w:bottom w:val="none" w:sz="0" w:space="0" w:color="auto"/>
            <w:right w:val="none" w:sz="0" w:space="0" w:color="auto"/>
          </w:divBdr>
        </w:div>
        <w:div w:id="627249304">
          <w:marLeft w:val="547"/>
          <w:marRight w:val="0"/>
          <w:marTop w:val="96"/>
          <w:marBottom w:val="0"/>
          <w:divBdr>
            <w:top w:val="none" w:sz="0" w:space="0" w:color="auto"/>
            <w:left w:val="none" w:sz="0" w:space="0" w:color="auto"/>
            <w:bottom w:val="none" w:sz="0" w:space="0" w:color="auto"/>
            <w:right w:val="none" w:sz="0" w:space="0" w:color="auto"/>
          </w:divBdr>
        </w:div>
        <w:div w:id="712073312">
          <w:marLeft w:val="547"/>
          <w:marRight w:val="0"/>
          <w:marTop w:val="96"/>
          <w:marBottom w:val="0"/>
          <w:divBdr>
            <w:top w:val="none" w:sz="0" w:space="0" w:color="auto"/>
            <w:left w:val="none" w:sz="0" w:space="0" w:color="auto"/>
            <w:bottom w:val="none" w:sz="0" w:space="0" w:color="auto"/>
            <w:right w:val="none" w:sz="0" w:space="0" w:color="auto"/>
          </w:divBdr>
        </w:div>
        <w:div w:id="882714676">
          <w:marLeft w:val="547"/>
          <w:marRight w:val="0"/>
          <w:marTop w:val="96"/>
          <w:marBottom w:val="0"/>
          <w:divBdr>
            <w:top w:val="none" w:sz="0" w:space="0" w:color="auto"/>
            <w:left w:val="none" w:sz="0" w:space="0" w:color="auto"/>
            <w:bottom w:val="none" w:sz="0" w:space="0" w:color="auto"/>
            <w:right w:val="none" w:sz="0" w:space="0" w:color="auto"/>
          </w:divBdr>
        </w:div>
        <w:div w:id="954486306">
          <w:marLeft w:val="547"/>
          <w:marRight w:val="0"/>
          <w:marTop w:val="96"/>
          <w:marBottom w:val="0"/>
          <w:divBdr>
            <w:top w:val="none" w:sz="0" w:space="0" w:color="auto"/>
            <w:left w:val="none" w:sz="0" w:space="0" w:color="auto"/>
            <w:bottom w:val="none" w:sz="0" w:space="0" w:color="auto"/>
            <w:right w:val="none" w:sz="0" w:space="0" w:color="auto"/>
          </w:divBdr>
        </w:div>
        <w:div w:id="1302612785">
          <w:marLeft w:val="547"/>
          <w:marRight w:val="0"/>
          <w:marTop w:val="96"/>
          <w:marBottom w:val="0"/>
          <w:divBdr>
            <w:top w:val="none" w:sz="0" w:space="0" w:color="auto"/>
            <w:left w:val="none" w:sz="0" w:space="0" w:color="auto"/>
            <w:bottom w:val="none" w:sz="0" w:space="0" w:color="auto"/>
            <w:right w:val="none" w:sz="0" w:space="0" w:color="auto"/>
          </w:divBdr>
        </w:div>
      </w:divsChild>
    </w:div>
    <w:div w:id="393508857">
      <w:bodyDiv w:val="1"/>
      <w:marLeft w:val="0"/>
      <w:marRight w:val="0"/>
      <w:marTop w:val="0"/>
      <w:marBottom w:val="0"/>
      <w:divBdr>
        <w:top w:val="none" w:sz="0" w:space="0" w:color="auto"/>
        <w:left w:val="none" w:sz="0" w:space="0" w:color="auto"/>
        <w:bottom w:val="none" w:sz="0" w:space="0" w:color="auto"/>
        <w:right w:val="none" w:sz="0" w:space="0" w:color="auto"/>
      </w:divBdr>
      <w:divsChild>
        <w:div w:id="312876014">
          <w:marLeft w:val="547"/>
          <w:marRight w:val="0"/>
          <w:marTop w:val="86"/>
          <w:marBottom w:val="0"/>
          <w:divBdr>
            <w:top w:val="none" w:sz="0" w:space="0" w:color="auto"/>
            <w:left w:val="none" w:sz="0" w:space="0" w:color="auto"/>
            <w:bottom w:val="none" w:sz="0" w:space="0" w:color="auto"/>
            <w:right w:val="none" w:sz="0" w:space="0" w:color="auto"/>
          </w:divBdr>
        </w:div>
        <w:div w:id="523592451">
          <w:marLeft w:val="547"/>
          <w:marRight w:val="0"/>
          <w:marTop w:val="86"/>
          <w:marBottom w:val="60"/>
          <w:divBdr>
            <w:top w:val="none" w:sz="0" w:space="0" w:color="auto"/>
            <w:left w:val="none" w:sz="0" w:space="0" w:color="auto"/>
            <w:bottom w:val="none" w:sz="0" w:space="0" w:color="auto"/>
            <w:right w:val="none" w:sz="0" w:space="0" w:color="auto"/>
          </w:divBdr>
        </w:div>
        <w:div w:id="1411848094">
          <w:marLeft w:val="547"/>
          <w:marRight w:val="0"/>
          <w:marTop w:val="86"/>
          <w:marBottom w:val="60"/>
          <w:divBdr>
            <w:top w:val="none" w:sz="0" w:space="0" w:color="auto"/>
            <w:left w:val="none" w:sz="0" w:space="0" w:color="auto"/>
            <w:bottom w:val="none" w:sz="0" w:space="0" w:color="auto"/>
            <w:right w:val="none" w:sz="0" w:space="0" w:color="auto"/>
          </w:divBdr>
        </w:div>
        <w:div w:id="1496412015">
          <w:marLeft w:val="547"/>
          <w:marRight w:val="0"/>
          <w:marTop w:val="86"/>
          <w:marBottom w:val="0"/>
          <w:divBdr>
            <w:top w:val="none" w:sz="0" w:space="0" w:color="auto"/>
            <w:left w:val="none" w:sz="0" w:space="0" w:color="auto"/>
            <w:bottom w:val="none" w:sz="0" w:space="0" w:color="auto"/>
            <w:right w:val="none" w:sz="0" w:space="0" w:color="auto"/>
          </w:divBdr>
        </w:div>
        <w:div w:id="1760323792">
          <w:marLeft w:val="547"/>
          <w:marRight w:val="0"/>
          <w:marTop w:val="86"/>
          <w:marBottom w:val="60"/>
          <w:divBdr>
            <w:top w:val="none" w:sz="0" w:space="0" w:color="auto"/>
            <w:left w:val="none" w:sz="0" w:space="0" w:color="auto"/>
            <w:bottom w:val="none" w:sz="0" w:space="0" w:color="auto"/>
            <w:right w:val="none" w:sz="0" w:space="0" w:color="auto"/>
          </w:divBdr>
        </w:div>
        <w:div w:id="2018387874">
          <w:marLeft w:val="547"/>
          <w:marRight w:val="0"/>
          <w:marTop w:val="86"/>
          <w:marBottom w:val="60"/>
          <w:divBdr>
            <w:top w:val="none" w:sz="0" w:space="0" w:color="auto"/>
            <w:left w:val="none" w:sz="0" w:space="0" w:color="auto"/>
            <w:bottom w:val="none" w:sz="0" w:space="0" w:color="auto"/>
            <w:right w:val="none" w:sz="0" w:space="0" w:color="auto"/>
          </w:divBdr>
        </w:div>
      </w:divsChild>
    </w:div>
    <w:div w:id="413555269">
      <w:bodyDiv w:val="1"/>
      <w:marLeft w:val="0"/>
      <w:marRight w:val="0"/>
      <w:marTop w:val="0"/>
      <w:marBottom w:val="0"/>
      <w:divBdr>
        <w:top w:val="none" w:sz="0" w:space="0" w:color="auto"/>
        <w:left w:val="none" w:sz="0" w:space="0" w:color="auto"/>
        <w:bottom w:val="none" w:sz="0" w:space="0" w:color="auto"/>
        <w:right w:val="none" w:sz="0" w:space="0" w:color="auto"/>
      </w:divBdr>
    </w:div>
    <w:div w:id="447235086">
      <w:bodyDiv w:val="1"/>
      <w:marLeft w:val="0"/>
      <w:marRight w:val="0"/>
      <w:marTop w:val="0"/>
      <w:marBottom w:val="0"/>
      <w:divBdr>
        <w:top w:val="none" w:sz="0" w:space="0" w:color="auto"/>
        <w:left w:val="none" w:sz="0" w:space="0" w:color="auto"/>
        <w:bottom w:val="none" w:sz="0" w:space="0" w:color="auto"/>
        <w:right w:val="none" w:sz="0" w:space="0" w:color="auto"/>
      </w:divBdr>
      <w:divsChild>
        <w:div w:id="629088236">
          <w:marLeft w:val="274"/>
          <w:marRight w:val="0"/>
          <w:marTop w:val="0"/>
          <w:marBottom w:val="0"/>
          <w:divBdr>
            <w:top w:val="none" w:sz="0" w:space="0" w:color="auto"/>
            <w:left w:val="none" w:sz="0" w:space="0" w:color="auto"/>
            <w:bottom w:val="none" w:sz="0" w:space="0" w:color="auto"/>
            <w:right w:val="none" w:sz="0" w:space="0" w:color="auto"/>
          </w:divBdr>
        </w:div>
        <w:div w:id="1576083782">
          <w:marLeft w:val="274"/>
          <w:marRight w:val="0"/>
          <w:marTop w:val="0"/>
          <w:marBottom w:val="0"/>
          <w:divBdr>
            <w:top w:val="none" w:sz="0" w:space="0" w:color="auto"/>
            <w:left w:val="none" w:sz="0" w:space="0" w:color="auto"/>
            <w:bottom w:val="none" w:sz="0" w:space="0" w:color="auto"/>
            <w:right w:val="none" w:sz="0" w:space="0" w:color="auto"/>
          </w:divBdr>
        </w:div>
        <w:div w:id="1591743507">
          <w:marLeft w:val="274"/>
          <w:marRight w:val="0"/>
          <w:marTop w:val="0"/>
          <w:marBottom w:val="0"/>
          <w:divBdr>
            <w:top w:val="none" w:sz="0" w:space="0" w:color="auto"/>
            <w:left w:val="none" w:sz="0" w:space="0" w:color="auto"/>
            <w:bottom w:val="none" w:sz="0" w:space="0" w:color="auto"/>
            <w:right w:val="none" w:sz="0" w:space="0" w:color="auto"/>
          </w:divBdr>
        </w:div>
      </w:divsChild>
    </w:div>
    <w:div w:id="540559856">
      <w:bodyDiv w:val="1"/>
      <w:marLeft w:val="0"/>
      <w:marRight w:val="0"/>
      <w:marTop w:val="0"/>
      <w:marBottom w:val="0"/>
      <w:divBdr>
        <w:top w:val="none" w:sz="0" w:space="0" w:color="auto"/>
        <w:left w:val="none" w:sz="0" w:space="0" w:color="auto"/>
        <w:bottom w:val="none" w:sz="0" w:space="0" w:color="auto"/>
        <w:right w:val="none" w:sz="0" w:space="0" w:color="auto"/>
      </w:divBdr>
    </w:div>
    <w:div w:id="620917559">
      <w:bodyDiv w:val="1"/>
      <w:marLeft w:val="0"/>
      <w:marRight w:val="0"/>
      <w:marTop w:val="0"/>
      <w:marBottom w:val="0"/>
      <w:divBdr>
        <w:top w:val="none" w:sz="0" w:space="0" w:color="auto"/>
        <w:left w:val="none" w:sz="0" w:space="0" w:color="auto"/>
        <w:bottom w:val="none" w:sz="0" w:space="0" w:color="auto"/>
        <w:right w:val="none" w:sz="0" w:space="0" w:color="auto"/>
      </w:divBdr>
    </w:div>
    <w:div w:id="681398293">
      <w:bodyDiv w:val="1"/>
      <w:marLeft w:val="0"/>
      <w:marRight w:val="0"/>
      <w:marTop w:val="0"/>
      <w:marBottom w:val="0"/>
      <w:divBdr>
        <w:top w:val="none" w:sz="0" w:space="0" w:color="auto"/>
        <w:left w:val="none" w:sz="0" w:space="0" w:color="auto"/>
        <w:bottom w:val="none" w:sz="0" w:space="0" w:color="auto"/>
        <w:right w:val="none" w:sz="0" w:space="0" w:color="auto"/>
      </w:divBdr>
      <w:divsChild>
        <w:div w:id="2057846957">
          <w:marLeft w:val="446"/>
          <w:marRight w:val="0"/>
          <w:marTop w:val="0"/>
          <w:marBottom w:val="120"/>
          <w:divBdr>
            <w:top w:val="none" w:sz="0" w:space="0" w:color="auto"/>
            <w:left w:val="none" w:sz="0" w:space="0" w:color="auto"/>
            <w:bottom w:val="none" w:sz="0" w:space="0" w:color="auto"/>
            <w:right w:val="none" w:sz="0" w:space="0" w:color="auto"/>
          </w:divBdr>
        </w:div>
        <w:div w:id="2060518358">
          <w:marLeft w:val="446"/>
          <w:marRight w:val="0"/>
          <w:marTop w:val="0"/>
          <w:marBottom w:val="0"/>
          <w:divBdr>
            <w:top w:val="none" w:sz="0" w:space="0" w:color="auto"/>
            <w:left w:val="none" w:sz="0" w:space="0" w:color="auto"/>
            <w:bottom w:val="none" w:sz="0" w:space="0" w:color="auto"/>
            <w:right w:val="none" w:sz="0" w:space="0" w:color="auto"/>
          </w:divBdr>
        </w:div>
      </w:divsChild>
    </w:div>
    <w:div w:id="708452349">
      <w:bodyDiv w:val="1"/>
      <w:marLeft w:val="0"/>
      <w:marRight w:val="0"/>
      <w:marTop w:val="0"/>
      <w:marBottom w:val="0"/>
      <w:divBdr>
        <w:top w:val="none" w:sz="0" w:space="0" w:color="auto"/>
        <w:left w:val="none" w:sz="0" w:space="0" w:color="auto"/>
        <w:bottom w:val="none" w:sz="0" w:space="0" w:color="auto"/>
        <w:right w:val="none" w:sz="0" w:space="0" w:color="auto"/>
      </w:divBdr>
      <w:divsChild>
        <w:div w:id="286131441">
          <w:marLeft w:val="274"/>
          <w:marRight w:val="0"/>
          <w:marTop w:val="0"/>
          <w:marBottom w:val="0"/>
          <w:divBdr>
            <w:top w:val="none" w:sz="0" w:space="0" w:color="auto"/>
            <w:left w:val="none" w:sz="0" w:space="0" w:color="auto"/>
            <w:bottom w:val="none" w:sz="0" w:space="0" w:color="auto"/>
            <w:right w:val="none" w:sz="0" w:space="0" w:color="auto"/>
          </w:divBdr>
        </w:div>
        <w:div w:id="581178341">
          <w:marLeft w:val="274"/>
          <w:marRight w:val="0"/>
          <w:marTop w:val="0"/>
          <w:marBottom w:val="0"/>
          <w:divBdr>
            <w:top w:val="none" w:sz="0" w:space="0" w:color="auto"/>
            <w:left w:val="none" w:sz="0" w:space="0" w:color="auto"/>
            <w:bottom w:val="none" w:sz="0" w:space="0" w:color="auto"/>
            <w:right w:val="none" w:sz="0" w:space="0" w:color="auto"/>
          </w:divBdr>
        </w:div>
        <w:div w:id="1147740350">
          <w:marLeft w:val="274"/>
          <w:marRight w:val="0"/>
          <w:marTop w:val="0"/>
          <w:marBottom w:val="0"/>
          <w:divBdr>
            <w:top w:val="none" w:sz="0" w:space="0" w:color="auto"/>
            <w:left w:val="none" w:sz="0" w:space="0" w:color="auto"/>
            <w:bottom w:val="none" w:sz="0" w:space="0" w:color="auto"/>
            <w:right w:val="none" w:sz="0" w:space="0" w:color="auto"/>
          </w:divBdr>
        </w:div>
        <w:div w:id="1551724433">
          <w:marLeft w:val="274"/>
          <w:marRight w:val="0"/>
          <w:marTop w:val="0"/>
          <w:marBottom w:val="0"/>
          <w:divBdr>
            <w:top w:val="none" w:sz="0" w:space="0" w:color="auto"/>
            <w:left w:val="none" w:sz="0" w:space="0" w:color="auto"/>
            <w:bottom w:val="none" w:sz="0" w:space="0" w:color="auto"/>
            <w:right w:val="none" w:sz="0" w:space="0" w:color="auto"/>
          </w:divBdr>
        </w:div>
        <w:div w:id="1756508821">
          <w:marLeft w:val="274"/>
          <w:marRight w:val="0"/>
          <w:marTop w:val="0"/>
          <w:marBottom w:val="0"/>
          <w:divBdr>
            <w:top w:val="none" w:sz="0" w:space="0" w:color="auto"/>
            <w:left w:val="none" w:sz="0" w:space="0" w:color="auto"/>
            <w:bottom w:val="none" w:sz="0" w:space="0" w:color="auto"/>
            <w:right w:val="none" w:sz="0" w:space="0" w:color="auto"/>
          </w:divBdr>
        </w:div>
      </w:divsChild>
    </w:div>
    <w:div w:id="732775060">
      <w:bodyDiv w:val="1"/>
      <w:marLeft w:val="0"/>
      <w:marRight w:val="0"/>
      <w:marTop w:val="0"/>
      <w:marBottom w:val="0"/>
      <w:divBdr>
        <w:top w:val="none" w:sz="0" w:space="0" w:color="auto"/>
        <w:left w:val="none" w:sz="0" w:space="0" w:color="auto"/>
        <w:bottom w:val="none" w:sz="0" w:space="0" w:color="auto"/>
        <w:right w:val="none" w:sz="0" w:space="0" w:color="auto"/>
      </w:divBdr>
      <w:divsChild>
        <w:div w:id="53898557">
          <w:marLeft w:val="547"/>
          <w:marRight w:val="0"/>
          <w:marTop w:val="86"/>
          <w:marBottom w:val="0"/>
          <w:divBdr>
            <w:top w:val="none" w:sz="0" w:space="0" w:color="auto"/>
            <w:left w:val="none" w:sz="0" w:space="0" w:color="auto"/>
            <w:bottom w:val="none" w:sz="0" w:space="0" w:color="auto"/>
            <w:right w:val="none" w:sz="0" w:space="0" w:color="auto"/>
          </w:divBdr>
        </w:div>
        <w:div w:id="648750521">
          <w:marLeft w:val="547"/>
          <w:marRight w:val="0"/>
          <w:marTop w:val="86"/>
          <w:marBottom w:val="0"/>
          <w:divBdr>
            <w:top w:val="none" w:sz="0" w:space="0" w:color="auto"/>
            <w:left w:val="none" w:sz="0" w:space="0" w:color="auto"/>
            <w:bottom w:val="none" w:sz="0" w:space="0" w:color="auto"/>
            <w:right w:val="none" w:sz="0" w:space="0" w:color="auto"/>
          </w:divBdr>
        </w:div>
        <w:div w:id="918058558">
          <w:marLeft w:val="547"/>
          <w:marRight w:val="0"/>
          <w:marTop w:val="86"/>
          <w:marBottom w:val="0"/>
          <w:divBdr>
            <w:top w:val="none" w:sz="0" w:space="0" w:color="auto"/>
            <w:left w:val="none" w:sz="0" w:space="0" w:color="auto"/>
            <w:bottom w:val="none" w:sz="0" w:space="0" w:color="auto"/>
            <w:right w:val="none" w:sz="0" w:space="0" w:color="auto"/>
          </w:divBdr>
        </w:div>
        <w:div w:id="1020469695">
          <w:marLeft w:val="547"/>
          <w:marRight w:val="0"/>
          <w:marTop w:val="86"/>
          <w:marBottom w:val="0"/>
          <w:divBdr>
            <w:top w:val="none" w:sz="0" w:space="0" w:color="auto"/>
            <w:left w:val="none" w:sz="0" w:space="0" w:color="auto"/>
            <w:bottom w:val="none" w:sz="0" w:space="0" w:color="auto"/>
            <w:right w:val="none" w:sz="0" w:space="0" w:color="auto"/>
          </w:divBdr>
        </w:div>
        <w:div w:id="1218007565">
          <w:marLeft w:val="547"/>
          <w:marRight w:val="0"/>
          <w:marTop w:val="86"/>
          <w:marBottom w:val="0"/>
          <w:divBdr>
            <w:top w:val="none" w:sz="0" w:space="0" w:color="auto"/>
            <w:left w:val="none" w:sz="0" w:space="0" w:color="auto"/>
            <w:bottom w:val="none" w:sz="0" w:space="0" w:color="auto"/>
            <w:right w:val="none" w:sz="0" w:space="0" w:color="auto"/>
          </w:divBdr>
        </w:div>
        <w:div w:id="1226527643">
          <w:marLeft w:val="547"/>
          <w:marRight w:val="0"/>
          <w:marTop w:val="86"/>
          <w:marBottom w:val="0"/>
          <w:divBdr>
            <w:top w:val="none" w:sz="0" w:space="0" w:color="auto"/>
            <w:left w:val="none" w:sz="0" w:space="0" w:color="auto"/>
            <w:bottom w:val="none" w:sz="0" w:space="0" w:color="auto"/>
            <w:right w:val="none" w:sz="0" w:space="0" w:color="auto"/>
          </w:divBdr>
        </w:div>
        <w:div w:id="1474105047">
          <w:marLeft w:val="547"/>
          <w:marRight w:val="0"/>
          <w:marTop w:val="86"/>
          <w:marBottom w:val="0"/>
          <w:divBdr>
            <w:top w:val="none" w:sz="0" w:space="0" w:color="auto"/>
            <w:left w:val="none" w:sz="0" w:space="0" w:color="auto"/>
            <w:bottom w:val="none" w:sz="0" w:space="0" w:color="auto"/>
            <w:right w:val="none" w:sz="0" w:space="0" w:color="auto"/>
          </w:divBdr>
        </w:div>
      </w:divsChild>
    </w:div>
    <w:div w:id="898712854">
      <w:bodyDiv w:val="1"/>
      <w:marLeft w:val="0"/>
      <w:marRight w:val="0"/>
      <w:marTop w:val="0"/>
      <w:marBottom w:val="0"/>
      <w:divBdr>
        <w:top w:val="none" w:sz="0" w:space="0" w:color="auto"/>
        <w:left w:val="none" w:sz="0" w:space="0" w:color="auto"/>
        <w:bottom w:val="none" w:sz="0" w:space="0" w:color="auto"/>
        <w:right w:val="none" w:sz="0" w:space="0" w:color="auto"/>
      </w:divBdr>
    </w:div>
    <w:div w:id="955597917">
      <w:bodyDiv w:val="1"/>
      <w:marLeft w:val="0"/>
      <w:marRight w:val="0"/>
      <w:marTop w:val="0"/>
      <w:marBottom w:val="0"/>
      <w:divBdr>
        <w:top w:val="none" w:sz="0" w:space="0" w:color="auto"/>
        <w:left w:val="none" w:sz="0" w:space="0" w:color="auto"/>
        <w:bottom w:val="none" w:sz="0" w:space="0" w:color="auto"/>
        <w:right w:val="none" w:sz="0" w:space="0" w:color="auto"/>
      </w:divBdr>
    </w:div>
    <w:div w:id="1004746608">
      <w:bodyDiv w:val="1"/>
      <w:marLeft w:val="0"/>
      <w:marRight w:val="0"/>
      <w:marTop w:val="0"/>
      <w:marBottom w:val="0"/>
      <w:divBdr>
        <w:top w:val="none" w:sz="0" w:space="0" w:color="auto"/>
        <w:left w:val="none" w:sz="0" w:space="0" w:color="auto"/>
        <w:bottom w:val="none" w:sz="0" w:space="0" w:color="auto"/>
        <w:right w:val="none" w:sz="0" w:space="0" w:color="auto"/>
      </w:divBdr>
    </w:div>
    <w:div w:id="1106576598">
      <w:bodyDiv w:val="1"/>
      <w:marLeft w:val="0"/>
      <w:marRight w:val="0"/>
      <w:marTop w:val="0"/>
      <w:marBottom w:val="0"/>
      <w:divBdr>
        <w:top w:val="none" w:sz="0" w:space="0" w:color="auto"/>
        <w:left w:val="none" w:sz="0" w:space="0" w:color="auto"/>
        <w:bottom w:val="none" w:sz="0" w:space="0" w:color="auto"/>
        <w:right w:val="none" w:sz="0" w:space="0" w:color="auto"/>
      </w:divBdr>
      <w:divsChild>
        <w:div w:id="64374499">
          <w:marLeft w:val="547"/>
          <w:marRight w:val="0"/>
          <w:marTop w:val="77"/>
          <w:marBottom w:val="0"/>
          <w:divBdr>
            <w:top w:val="none" w:sz="0" w:space="0" w:color="auto"/>
            <w:left w:val="none" w:sz="0" w:space="0" w:color="auto"/>
            <w:bottom w:val="none" w:sz="0" w:space="0" w:color="auto"/>
            <w:right w:val="none" w:sz="0" w:space="0" w:color="auto"/>
          </w:divBdr>
        </w:div>
        <w:div w:id="189880671">
          <w:marLeft w:val="1440"/>
          <w:marRight w:val="0"/>
          <w:marTop w:val="77"/>
          <w:marBottom w:val="0"/>
          <w:divBdr>
            <w:top w:val="none" w:sz="0" w:space="0" w:color="auto"/>
            <w:left w:val="none" w:sz="0" w:space="0" w:color="auto"/>
            <w:bottom w:val="none" w:sz="0" w:space="0" w:color="auto"/>
            <w:right w:val="none" w:sz="0" w:space="0" w:color="auto"/>
          </w:divBdr>
        </w:div>
        <w:div w:id="914363630">
          <w:marLeft w:val="1440"/>
          <w:marRight w:val="0"/>
          <w:marTop w:val="77"/>
          <w:marBottom w:val="0"/>
          <w:divBdr>
            <w:top w:val="none" w:sz="0" w:space="0" w:color="auto"/>
            <w:left w:val="none" w:sz="0" w:space="0" w:color="auto"/>
            <w:bottom w:val="none" w:sz="0" w:space="0" w:color="auto"/>
            <w:right w:val="none" w:sz="0" w:space="0" w:color="auto"/>
          </w:divBdr>
        </w:div>
        <w:div w:id="1623341867">
          <w:marLeft w:val="1440"/>
          <w:marRight w:val="0"/>
          <w:marTop w:val="77"/>
          <w:marBottom w:val="0"/>
          <w:divBdr>
            <w:top w:val="none" w:sz="0" w:space="0" w:color="auto"/>
            <w:left w:val="none" w:sz="0" w:space="0" w:color="auto"/>
            <w:bottom w:val="none" w:sz="0" w:space="0" w:color="auto"/>
            <w:right w:val="none" w:sz="0" w:space="0" w:color="auto"/>
          </w:divBdr>
        </w:div>
      </w:divsChild>
    </w:div>
    <w:div w:id="1218587260">
      <w:bodyDiv w:val="1"/>
      <w:marLeft w:val="0"/>
      <w:marRight w:val="0"/>
      <w:marTop w:val="0"/>
      <w:marBottom w:val="0"/>
      <w:divBdr>
        <w:top w:val="none" w:sz="0" w:space="0" w:color="auto"/>
        <w:left w:val="none" w:sz="0" w:space="0" w:color="auto"/>
        <w:bottom w:val="none" w:sz="0" w:space="0" w:color="auto"/>
        <w:right w:val="none" w:sz="0" w:space="0" w:color="auto"/>
      </w:divBdr>
    </w:div>
    <w:div w:id="1223785199">
      <w:bodyDiv w:val="1"/>
      <w:marLeft w:val="0"/>
      <w:marRight w:val="0"/>
      <w:marTop w:val="0"/>
      <w:marBottom w:val="0"/>
      <w:divBdr>
        <w:top w:val="none" w:sz="0" w:space="0" w:color="auto"/>
        <w:left w:val="none" w:sz="0" w:space="0" w:color="auto"/>
        <w:bottom w:val="none" w:sz="0" w:space="0" w:color="auto"/>
        <w:right w:val="none" w:sz="0" w:space="0" w:color="auto"/>
      </w:divBdr>
      <w:divsChild>
        <w:div w:id="7564108">
          <w:marLeft w:val="1267"/>
          <w:marRight w:val="0"/>
          <w:marTop w:val="0"/>
          <w:marBottom w:val="60"/>
          <w:divBdr>
            <w:top w:val="none" w:sz="0" w:space="0" w:color="auto"/>
            <w:left w:val="none" w:sz="0" w:space="0" w:color="auto"/>
            <w:bottom w:val="none" w:sz="0" w:space="0" w:color="auto"/>
            <w:right w:val="none" w:sz="0" w:space="0" w:color="auto"/>
          </w:divBdr>
        </w:div>
        <w:div w:id="20741813">
          <w:marLeft w:val="547"/>
          <w:marRight w:val="0"/>
          <w:marTop w:val="0"/>
          <w:marBottom w:val="60"/>
          <w:divBdr>
            <w:top w:val="none" w:sz="0" w:space="0" w:color="auto"/>
            <w:left w:val="none" w:sz="0" w:space="0" w:color="auto"/>
            <w:bottom w:val="none" w:sz="0" w:space="0" w:color="auto"/>
            <w:right w:val="none" w:sz="0" w:space="0" w:color="auto"/>
          </w:divBdr>
        </w:div>
        <w:div w:id="130487475">
          <w:marLeft w:val="446"/>
          <w:marRight w:val="0"/>
          <w:marTop w:val="0"/>
          <w:marBottom w:val="0"/>
          <w:divBdr>
            <w:top w:val="none" w:sz="0" w:space="0" w:color="auto"/>
            <w:left w:val="none" w:sz="0" w:space="0" w:color="auto"/>
            <w:bottom w:val="none" w:sz="0" w:space="0" w:color="auto"/>
            <w:right w:val="none" w:sz="0" w:space="0" w:color="auto"/>
          </w:divBdr>
        </w:div>
        <w:div w:id="892084760">
          <w:marLeft w:val="1267"/>
          <w:marRight w:val="0"/>
          <w:marTop w:val="0"/>
          <w:marBottom w:val="60"/>
          <w:divBdr>
            <w:top w:val="none" w:sz="0" w:space="0" w:color="auto"/>
            <w:left w:val="none" w:sz="0" w:space="0" w:color="auto"/>
            <w:bottom w:val="none" w:sz="0" w:space="0" w:color="auto"/>
            <w:right w:val="none" w:sz="0" w:space="0" w:color="auto"/>
          </w:divBdr>
        </w:div>
        <w:div w:id="1354262919">
          <w:marLeft w:val="446"/>
          <w:marRight w:val="0"/>
          <w:marTop w:val="0"/>
          <w:marBottom w:val="0"/>
          <w:divBdr>
            <w:top w:val="none" w:sz="0" w:space="0" w:color="auto"/>
            <w:left w:val="none" w:sz="0" w:space="0" w:color="auto"/>
            <w:bottom w:val="none" w:sz="0" w:space="0" w:color="auto"/>
            <w:right w:val="none" w:sz="0" w:space="0" w:color="auto"/>
          </w:divBdr>
        </w:div>
        <w:div w:id="1558012036">
          <w:marLeft w:val="446"/>
          <w:marRight w:val="0"/>
          <w:marTop w:val="0"/>
          <w:marBottom w:val="120"/>
          <w:divBdr>
            <w:top w:val="none" w:sz="0" w:space="0" w:color="auto"/>
            <w:left w:val="none" w:sz="0" w:space="0" w:color="auto"/>
            <w:bottom w:val="none" w:sz="0" w:space="0" w:color="auto"/>
            <w:right w:val="none" w:sz="0" w:space="0" w:color="auto"/>
          </w:divBdr>
        </w:div>
        <w:div w:id="1588533342">
          <w:marLeft w:val="1267"/>
          <w:marRight w:val="0"/>
          <w:marTop w:val="0"/>
          <w:marBottom w:val="60"/>
          <w:divBdr>
            <w:top w:val="none" w:sz="0" w:space="0" w:color="auto"/>
            <w:left w:val="none" w:sz="0" w:space="0" w:color="auto"/>
            <w:bottom w:val="none" w:sz="0" w:space="0" w:color="auto"/>
            <w:right w:val="none" w:sz="0" w:space="0" w:color="auto"/>
          </w:divBdr>
        </w:div>
        <w:div w:id="1679309131">
          <w:marLeft w:val="446"/>
          <w:marRight w:val="0"/>
          <w:marTop w:val="0"/>
          <w:marBottom w:val="120"/>
          <w:divBdr>
            <w:top w:val="none" w:sz="0" w:space="0" w:color="auto"/>
            <w:left w:val="none" w:sz="0" w:space="0" w:color="auto"/>
            <w:bottom w:val="none" w:sz="0" w:space="0" w:color="auto"/>
            <w:right w:val="none" w:sz="0" w:space="0" w:color="auto"/>
          </w:divBdr>
        </w:div>
        <w:div w:id="1928733423">
          <w:marLeft w:val="547"/>
          <w:marRight w:val="0"/>
          <w:marTop w:val="0"/>
          <w:marBottom w:val="60"/>
          <w:divBdr>
            <w:top w:val="none" w:sz="0" w:space="0" w:color="auto"/>
            <w:left w:val="none" w:sz="0" w:space="0" w:color="auto"/>
            <w:bottom w:val="none" w:sz="0" w:space="0" w:color="auto"/>
            <w:right w:val="none" w:sz="0" w:space="0" w:color="auto"/>
          </w:divBdr>
        </w:div>
        <w:div w:id="1953659768">
          <w:marLeft w:val="446"/>
          <w:marRight w:val="0"/>
          <w:marTop w:val="0"/>
          <w:marBottom w:val="120"/>
          <w:divBdr>
            <w:top w:val="none" w:sz="0" w:space="0" w:color="auto"/>
            <w:left w:val="none" w:sz="0" w:space="0" w:color="auto"/>
            <w:bottom w:val="none" w:sz="0" w:space="0" w:color="auto"/>
            <w:right w:val="none" w:sz="0" w:space="0" w:color="auto"/>
          </w:divBdr>
        </w:div>
      </w:divsChild>
    </w:div>
    <w:div w:id="1349481603">
      <w:bodyDiv w:val="1"/>
      <w:marLeft w:val="0"/>
      <w:marRight w:val="0"/>
      <w:marTop w:val="0"/>
      <w:marBottom w:val="0"/>
      <w:divBdr>
        <w:top w:val="none" w:sz="0" w:space="0" w:color="auto"/>
        <w:left w:val="none" w:sz="0" w:space="0" w:color="auto"/>
        <w:bottom w:val="none" w:sz="0" w:space="0" w:color="auto"/>
        <w:right w:val="none" w:sz="0" w:space="0" w:color="auto"/>
      </w:divBdr>
    </w:div>
    <w:div w:id="1420709036">
      <w:bodyDiv w:val="1"/>
      <w:marLeft w:val="0"/>
      <w:marRight w:val="0"/>
      <w:marTop w:val="0"/>
      <w:marBottom w:val="0"/>
      <w:divBdr>
        <w:top w:val="none" w:sz="0" w:space="0" w:color="auto"/>
        <w:left w:val="none" w:sz="0" w:space="0" w:color="auto"/>
        <w:bottom w:val="none" w:sz="0" w:space="0" w:color="auto"/>
        <w:right w:val="none" w:sz="0" w:space="0" w:color="auto"/>
      </w:divBdr>
      <w:divsChild>
        <w:div w:id="18972246">
          <w:marLeft w:val="1166"/>
          <w:marRight w:val="0"/>
          <w:marTop w:val="0"/>
          <w:marBottom w:val="0"/>
          <w:divBdr>
            <w:top w:val="none" w:sz="0" w:space="0" w:color="auto"/>
            <w:left w:val="none" w:sz="0" w:space="0" w:color="auto"/>
            <w:bottom w:val="none" w:sz="0" w:space="0" w:color="auto"/>
            <w:right w:val="none" w:sz="0" w:space="0" w:color="auto"/>
          </w:divBdr>
        </w:div>
        <w:div w:id="46224401">
          <w:marLeft w:val="446"/>
          <w:marRight w:val="0"/>
          <w:marTop w:val="0"/>
          <w:marBottom w:val="120"/>
          <w:divBdr>
            <w:top w:val="none" w:sz="0" w:space="0" w:color="auto"/>
            <w:left w:val="none" w:sz="0" w:space="0" w:color="auto"/>
            <w:bottom w:val="none" w:sz="0" w:space="0" w:color="auto"/>
            <w:right w:val="none" w:sz="0" w:space="0" w:color="auto"/>
          </w:divBdr>
        </w:div>
        <w:div w:id="327948505">
          <w:marLeft w:val="1166"/>
          <w:marRight w:val="0"/>
          <w:marTop w:val="0"/>
          <w:marBottom w:val="0"/>
          <w:divBdr>
            <w:top w:val="none" w:sz="0" w:space="0" w:color="auto"/>
            <w:left w:val="none" w:sz="0" w:space="0" w:color="auto"/>
            <w:bottom w:val="none" w:sz="0" w:space="0" w:color="auto"/>
            <w:right w:val="none" w:sz="0" w:space="0" w:color="auto"/>
          </w:divBdr>
        </w:div>
        <w:div w:id="488447491">
          <w:marLeft w:val="446"/>
          <w:marRight w:val="0"/>
          <w:marTop w:val="0"/>
          <w:marBottom w:val="120"/>
          <w:divBdr>
            <w:top w:val="none" w:sz="0" w:space="0" w:color="auto"/>
            <w:left w:val="none" w:sz="0" w:space="0" w:color="auto"/>
            <w:bottom w:val="none" w:sz="0" w:space="0" w:color="auto"/>
            <w:right w:val="none" w:sz="0" w:space="0" w:color="auto"/>
          </w:divBdr>
        </w:div>
        <w:div w:id="689376889">
          <w:marLeft w:val="1166"/>
          <w:marRight w:val="0"/>
          <w:marTop w:val="0"/>
          <w:marBottom w:val="0"/>
          <w:divBdr>
            <w:top w:val="none" w:sz="0" w:space="0" w:color="auto"/>
            <w:left w:val="none" w:sz="0" w:space="0" w:color="auto"/>
            <w:bottom w:val="none" w:sz="0" w:space="0" w:color="auto"/>
            <w:right w:val="none" w:sz="0" w:space="0" w:color="auto"/>
          </w:divBdr>
        </w:div>
        <w:div w:id="748120580">
          <w:marLeft w:val="1166"/>
          <w:marRight w:val="0"/>
          <w:marTop w:val="0"/>
          <w:marBottom w:val="0"/>
          <w:divBdr>
            <w:top w:val="none" w:sz="0" w:space="0" w:color="auto"/>
            <w:left w:val="none" w:sz="0" w:space="0" w:color="auto"/>
            <w:bottom w:val="none" w:sz="0" w:space="0" w:color="auto"/>
            <w:right w:val="none" w:sz="0" w:space="0" w:color="auto"/>
          </w:divBdr>
        </w:div>
        <w:div w:id="1047100516">
          <w:marLeft w:val="446"/>
          <w:marRight w:val="0"/>
          <w:marTop w:val="0"/>
          <w:marBottom w:val="0"/>
          <w:divBdr>
            <w:top w:val="none" w:sz="0" w:space="0" w:color="auto"/>
            <w:left w:val="none" w:sz="0" w:space="0" w:color="auto"/>
            <w:bottom w:val="none" w:sz="0" w:space="0" w:color="auto"/>
            <w:right w:val="none" w:sz="0" w:space="0" w:color="auto"/>
          </w:divBdr>
        </w:div>
        <w:div w:id="1095202811">
          <w:marLeft w:val="1166"/>
          <w:marRight w:val="0"/>
          <w:marTop w:val="0"/>
          <w:marBottom w:val="0"/>
          <w:divBdr>
            <w:top w:val="none" w:sz="0" w:space="0" w:color="auto"/>
            <w:left w:val="none" w:sz="0" w:space="0" w:color="auto"/>
            <w:bottom w:val="none" w:sz="0" w:space="0" w:color="auto"/>
            <w:right w:val="none" w:sz="0" w:space="0" w:color="auto"/>
          </w:divBdr>
        </w:div>
        <w:div w:id="1692025274">
          <w:marLeft w:val="446"/>
          <w:marRight w:val="0"/>
          <w:marTop w:val="0"/>
          <w:marBottom w:val="0"/>
          <w:divBdr>
            <w:top w:val="none" w:sz="0" w:space="0" w:color="auto"/>
            <w:left w:val="none" w:sz="0" w:space="0" w:color="auto"/>
            <w:bottom w:val="none" w:sz="0" w:space="0" w:color="auto"/>
            <w:right w:val="none" w:sz="0" w:space="0" w:color="auto"/>
          </w:divBdr>
        </w:div>
        <w:div w:id="1847089637">
          <w:marLeft w:val="446"/>
          <w:marRight w:val="0"/>
          <w:marTop w:val="0"/>
          <w:marBottom w:val="120"/>
          <w:divBdr>
            <w:top w:val="none" w:sz="0" w:space="0" w:color="auto"/>
            <w:left w:val="none" w:sz="0" w:space="0" w:color="auto"/>
            <w:bottom w:val="none" w:sz="0" w:space="0" w:color="auto"/>
            <w:right w:val="none" w:sz="0" w:space="0" w:color="auto"/>
          </w:divBdr>
        </w:div>
        <w:div w:id="1939672032">
          <w:marLeft w:val="446"/>
          <w:marRight w:val="0"/>
          <w:marTop w:val="0"/>
          <w:marBottom w:val="0"/>
          <w:divBdr>
            <w:top w:val="none" w:sz="0" w:space="0" w:color="auto"/>
            <w:left w:val="none" w:sz="0" w:space="0" w:color="auto"/>
            <w:bottom w:val="none" w:sz="0" w:space="0" w:color="auto"/>
            <w:right w:val="none" w:sz="0" w:space="0" w:color="auto"/>
          </w:divBdr>
        </w:div>
      </w:divsChild>
    </w:div>
    <w:div w:id="1446541833">
      <w:bodyDiv w:val="1"/>
      <w:marLeft w:val="0"/>
      <w:marRight w:val="0"/>
      <w:marTop w:val="0"/>
      <w:marBottom w:val="0"/>
      <w:divBdr>
        <w:top w:val="none" w:sz="0" w:space="0" w:color="auto"/>
        <w:left w:val="none" w:sz="0" w:space="0" w:color="auto"/>
        <w:bottom w:val="none" w:sz="0" w:space="0" w:color="auto"/>
        <w:right w:val="none" w:sz="0" w:space="0" w:color="auto"/>
      </w:divBdr>
    </w:div>
    <w:div w:id="1458837237">
      <w:bodyDiv w:val="1"/>
      <w:marLeft w:val="0"/>
      <w:marRight w:val="0"/>
      <w:marTop w:val="0"/>
      <w:marBottom w:val="0"/>
      <w:divBdr>
        <w:top w:val="none" w:sz="0" w:space="0" w:color="auto"/>
        <w:left w:val="none" w:sz="0" w:space="0" w:color="auto"/>
        <w:bottom w:val="none" w:sz="0" w:space="0" w:color="auto"/>
        <w:right w:val="none" w:sz="0" w:space="0" w:color="auto"/>
      </w:divBdr>
    </w:div>
    <w:div w:id="1521815107">
      <w:bodyDiv w:val="1"/>
      <w:marLeft w:val="0"/>
      <w:marRight w:val="0"/>
      <w:marTop w:val="0"/>
      <w:marBottom w:val="0"/>
      <w:divBdr>
        <w:top w:val="none" w:sz="0" w:space="0" w:color="auto"/>
        <w:left w:val="none" w:sz="0" w:space="0" w:color="auto"/>
        <w:bottom w:val="none" w:sz="0" w:space="0" w:color="auto"/>
        <w:right w:val="none" w:sz="0" w:space="0" w:color="auto"/>
      </w:divBdr>
    </w:div>
    <w:div w:id="1553273405">
      <w:bodyDiv w:val="1"/>
      <w:marLeft w:val="0"/>
      <w:marRight w:val="0"/>
      <w:marTop w:val="0"/>
      <w:marBottom w:val="0"/>
      <w:divBdr>
        <w:top w:val="none" w:sz="0" w:space="0" w:color="auto"/>
        <w:left w:val="none" w:sz="0" w:space="0" w:color="auto"/>
        <w:bottom w:val="none" w:sz="0" w:space="0" w:color="auto"/>
        <w:right w:val="none" w:sz="0" w:space="0" w:color="auto"/>
      </w:divBdr>
    </w:div>
    <w:div w:id="1671442336">
      <w:bodyDiv w:val="1"/>
      <w:marLeft w:val="0"/>
      <w:marRight w:val="0"/>
      <w:marTop w:val="0"/>
      <w:marBottom w:val="0"/>
      <w:divBdr>
        <w:top w:val="none" w:sz="0" w:space="0" w:color="auto"/>
        <w:left w:val="none" w:sz="0" w:space="0" w:color="auto"/>
        <w:bottom w:val="none" w:sz="0" w:space="0" w:color="auto"/>
        <w:right w:val="none" w:sz="0" w:space="0" w:color="auto"/>
      </w:divBdr>
    </w:div>
    <w:div w:id="2028217314">
      <w:bodyDiv w:val="1"/>
      <w:marLeft w:val="0"/>
      <w:marRight w:val="0"/>
      <w:marTop w:val="0"/>
      <w:marBottom w:val="0"/>
      <w:divBdr>
        <w:top w:val="none" w:sz="0" w:space="0" w:color="auto"/>
        <w:left w:val="none" w:sz="0" w:space="0" w:color="auto"/>
        <w:bottom w:val="none" w:sz="0" w:space="0" w:color="auto"/>
        <w:right w:val="none" w:sz="0" w:space="0" w:color="auto"/>
      </w:divBdr>
      <w:divsChild>
        <w:div w:id="1987469225">
          <w:marLeft w:val="547"/>
          <w:marRight w:val="0"/>
          <w:marTop w:val="96"/>
          <w:marBottom w:val="0"/>
          <w:divBdr>
            <w:top w:val="none" w:sz="0" w:space="0" w:color="auto"/>
            <w:left w:val="none" w:sz="0" w:space="0" w:color="auto"/>
            <w:bottom w:val="none" w:sz="0" w:space="0" w:color="auto"/>
            <w:right w:val="none" w:sz="0" w:space="0" w:color="auto"/>
          </w:divBdr>
        </w:div>
      </w:divsChild>
    </w:div>
    <w:div w:id="2029983916">
      <w:bodyDiv w:val="1"/>
      <w:marLeft w:val="0"/>
      <w:marRight w:val="0"/>
      <w:marTop w:val="0"/>
      <w:marBottom w:val="0"/>
      <w:divBdr>
        <w:top w:val="none" w:sz="0" w:space="0" w:color="auto"/>
        <w:left w:val="none" w:sz="0" w:space="0" w:color="auto"/>
        <w:bottom w:val="none" w:sz="0" w:space="0" w:color="auto"/>
        <w:right w:val="none" w:sz="0" w:space="0" w:color="auto"/>
      </w:divBdr>
    </w:div>
    <w:div w:id="206636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image" Target="media/image7.emf"/><Relationship Id="rId39" Type="http://schemas.openxmlformats.org/officeDocument/2006/relationships/header" Target="header13.xml"/><Relationship Id="rId21" Type="http://schemas.openxmlformats.org/officeDocument/2006/relationships/header" Target="header8.xml"/><Relationship Id="rId34" Type="http://schemas.openxmlformats.org/officeDocument/2006/relationships/footer" Target="footer3.xml"/><Relationship Id="rId42" Type="http://schemas.openxmlformats.org/officeDocument/2006/relationships/image" Target="media/image14.emf"/><Relationship Id="rId47" Type="http://schemas.openxmlformats.org/officeDocument/2006/relationships/image" Target="media/image19.png"/><Relationship Id="rId50" Type="http://schemas.openxmlformats.org/officeDocument/2006/relationships/image" Target="media/image22.emf"/><Relationship Id="rId55" Type="http://schemas.openxmlformats.org/officeDocument/2006/relationships/image" Target="media/image24.emf"/><Relationship Id="rId63"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2.xml"/><Relationship Id="rId29" Type="http://schemas.openxmlformats.org/officeDocument/2006/relationships/image" Target="media/image10.emf"/><Relationship Id="rId41" Type="http://schemas.openxmlformats.org/officeDocument/2006/relationships/header" Target="header14.xml"/><Relationship Id="rId54" Type="http://schemas.openxmlformats.org/officeDocument/2006/relationships/header" Target="header16.xml"/><Relationship Id="rId62"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ubrights@worldbank.org" TargetMode="Externa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footer" Target="footer4.xml"/><Relationship Id="rId40" Type="http://schemas.openxmlformats.org/officeDocument/2006/relationships/footer" Target="footer5.xml"/><Relationship Id="rId45" Type="http://schemas.openxmlformats.org/officeDocument/2006/relationships/image" Target="media/image17.emf"/><Relationship Id="rId53" Type="http://schemas.openxmlformats.org/officeDocument/2006/relationships/footer" Target="footer6.xml"/><Relationship Id="rId58"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emf"/><Relationship Id="rId36" Type="http://schemas.openxmlformats.org/officeDocument/2006/relationships/header" Target="header11.xml"/><Relationship Id="rId49" Type="http://schemas.openxmlformats.org/officeDocument/2006/relationships/image" Target="media/image21.emf"/><Relationship Id="rId57" Type="http://schemas.openxmlformats.org/officeDocument/2006/relationships/image" Target="media/image25.emf"/><Relationship Id="rId61" Type="http://schemas.openxmlformats.org/officeDocument/2006/relationships/image" Target="media/image29.emf"/><Relationship Id="rId10" Type="http://schemas.openxmlformats.org/officeDocument/2006/relationships/hyperlink" Target="http://www.copyright.com" TargetMode="External"/><Relationship Id="rId19" Type="http://schemas.openxmlformats.org/officeDocument/2006/relationships/header" Target="header7.xml"/><Relationship Id="rId31" Type="http://schemas.openxmlformats.org/officeDocument/2006/relationships/image" Target="media/image12.emf"/><Relationship Id="rId44" Type="http://schemas.openxmlformats.org/officeDocument/2006/relationships/image" Target="media/image16.emf"/><Relationship Id="rId52" Type="http://schemas.openxmlformats.org/officeDocument/2006/relationships/header" Target="header15.xml"/><Relationship Id="rId60" Type="http://schemas.openxmlformats.org/officeDocument/2006/relationships/image" Target="media/image28.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header" Target="header10.xml"/><Relationship Id="rId43" Type="http://schemas.openxmlformats.org/officeDocument/2006/relationships/image" Target="media/image15.emf"/><Relationship Id="rId48" Type="http://schemas.openxmlformats.org/officeDocument/2006/relationships/image" Target="media/image20.emf"/><Relationship Id="rId56" Type="http://schemas.openxmlformats.org/officeDocument/2006/relationships/footer" Target="footer7.xm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image" Target="media/image6.emf"/><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image" Target="media/image18.emf"/><Relationship Id="rId59" Type="http://schemas.openxmlformats.org/officeDocument/2006/relationships/image" Target="media/image27.emf"/></Relationships>
</file>

<file path=word/_rels/footnotes.xml.rels><?xml version="1.0" encoding="UTF-8" standalone="yes"?>
<Relationships xmlns="http://schemas.openxmlformats.org/package/2006/relationships"><Relationship Id="rId8" Type="http://schemas.openxmlformats.org/officeDocument/2006/relationships/hyperlink" Target="https://www.iea.org/media/workshops/2015/platformistanbul2015/GovernmentPoliciesandMeasuresPromotingInvestmentsforEEandREFocusonGeorgia.pdf" TargetMode="External"/><Relationship Id="rId13" Type="http://schemas.openxmlformats.org/officeDocument/2006/relationships/hyperlink" Target="http://www.eneffect.bg/" TargetMode="External"/><Relationship Id="rId3" Type="http://schemas.openxmlformats.org/officeDocument/2006/relationships/hyperlink" Target="https://www.fmglobal.com/assets/pdf/P15105.pdf" TargetMode="External"/><Relationship Id="rId7" Type="http://schemas.openxmlformats.org/officeDocument/2006/relationships/hyperlink" Target="http://www.energycharter.org/fileadmin/DocumentsMedia/IDEER/IDEER-Georgia_2012_en.pdf" TargetMode="External"/><Relationship Id="rId12" Type="http://schemas.openxmlformats.org/officeDocument/2006/relationships/hyperlink" Target="http://www.econolerint.com/home.aspx" TargetMode="External"/><Relationship Id="rId2" Type="http://schemas.openxmlformats.org/officeDocument/2006/relationships/hyperlink" Target="http://www.covenantofmayors.eu/actions/sustainable-energy-action-plans_en.html" TargetMode="External"/><Relationship Id="rId1" Type="http://schemas.openxmlformats.org/officeDocument/2006/relationships/hyperlink" Target="http://www.iea.org/statistics" TargetMode="External"/><Relationship Id="rId6" Type="http://schemas.openxmlformats.org/officeDocument/2006/relationships/hyperlink" Target="http://www.eecgeo.org/" TargetMode="External"/><Relationship Id="rId11" Type="http://schemas.openxmlformats.org/officeDocument/2006/relationships/hyperlink" Target="http://iet.jrc.ec.europa.eu/energyefficiency/covenant-mayors/sustainable-energy-action-plans" TargetMode="External"/><Relationship Id="rId5" Type="http://schemas.openxmlformats.org/officeDocument/2006/relationships/hyperlink" Target="http://www.mdf.org.ge/?site-lang=en" TargetMode="External"/><Relationship Id="rId10" Type="http://schemas.openxmlformats.org/officeDocument/2006/relationships/hyperlink" Target="http://www.mitigationmomentum.org/partner_countries_georgia.html" TargetMode="External"/><Relationship Id="rId4" Type="http://schemas.openxmlformats.org/officeDocument/2006/relationships/hyperlink" Target="http://www.unece.org/fileadmin/DAM/env/eia/meetings/2015/December_11_Georgia_high_level_SEA/IV._1._The_Code_on_Env_ENG_%C3%9F%C3%A2%C3%96%C3%9F%C3%A2_%C3%9F%C3%A2%C3%B4%C3%9F%C3%A2%C3%B6%C3%9F%C3%A2%C3%91%C3%9F%C3%A2%C3%AD%C3%9F%C3%A2%C3%BF%C3%9F%C3%A2%C3%AD.pdf" TargetMode="External"/><Relationship Id="rId9" Type="http://schemas.openxmlformats.org/officeDocument/2006/relationships/hyperlink" Target="https://www.usaid.gov/georgia/environment" TargetMode="External"/><Relationship Id="rId14" Type="http://schemas.openxmlformats.org/officeDocument/2006/relationships/hyperlink" Target="http://www.elana.net/en/holding/holding.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113DD1-23E3-4DAC-93C6-18CC99724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69</Pages>
  <Words>22433</Words>
  <Characters>133097</Characters>
  <Application>Microsoft Office Word</Application>
  <DocSecurity>0</DocSecurity>
  <Lines>1109</Lines>
  <Paragraphs>310</Paragraphs>
  <ScaleCrop>false</ScaleCrop>
  <HeadingPairs>
    <vt:vector size="2" baseType="variant">
      <vt:variant>
        <vt:lpstr>Title</vt:lpstr>
      </vt:variant>
      <vt:variant>
        <vt:i4>1</vt:i4>
      </vt:variant>
    </vt:vector>
  </HeadingPairs>
  <TitlesOfParts>
    <vt:vector size="1" baseType="lpstr">
      <vt:lpstr>MODEL CONTRACT WITH TECHNICAL CONSULTANT TO HITEC</vt:lpstr>
    </vt:vector>
  </TitlesOfParts>
  <Company>Microsoft</Company>
  <LinksUpToDate>false</LinksUpToDate>
  <CharactersWithSpaces>155220</CharactersWithSpaces>
  <SharedDoc>false</SharedDoc>
  <HLinks>
    <vt:vector size="24" baseType="variant">
      <vt:variant>
        <vt:i4>3538962</vt:i4>
      </vt:variant>
      <vt:variant>
        <vt:i4>9</vt:i4>
      </vt:variant>
      <vt:variant>
        <vt:i4>0</vt:i4>
      </vt:variant>
      <vt:variant>
        <vt:i4>5</vt:i4>
      </vt:variant>
      <vt:variant>
        <vt:lpwstr>mailto:anne.trevor@mnre.gov.ws</vt:lpwstr>
      </vt:variant>
      <vt:variant>
        <vt:lpwstr/>
      </vt:variant>
      <vt:variant>
        <vt:i4>3997696</vt:i4>
      </vt:variant>
      <vt:variant>
        <vt:i4>6</vt:i4>
      </vt:variant>
      <vt:variant>
        <vt:i4>0</vt:i4>
      </vt:variant>
      <vt:variant>
        <vt:i4>5</vt:i4>
      </vt:variant>
      <vt:variant>
        <vt:lpwstr>mailto:sagato.tuiafiso@mnre.gov.ws</vt:lpwstr>
      </vt:variant>
      <vt:variant>
        <vt:lpwstr/>
      </vt:variant>
      <vt:variant>
        <vt:i4>393252</vt:i4>
      </vt:variant>
      <vt:variant>
        <vt:i4>3</vt:i4>
      </vt:variant>
      <vt:variant>
        <vt:i4>0</vt:i4>
      </vt:variant>
      <vt:variant>
        <vt:i4>5</vt:i4>
      </vt:variant>
      <vt:variant>
        <vt:lpwstr>mailto:dlimaye@attglobal.net</vt:lpwstr>
      </vt:variant>
      <vt:variant>
        <vt:lpwstr/>
      </vt:variant>
      <vt:variant>
        <vt:i4>7536648</vt:i4>
      </vt:variant>
      <vt:variant>
        <vt:i4>0</vt:i4>
      </vt:variant>
      <vt:variant>
        <vt:i4>0</vt:i4>
      </vt:variant>
      <vt:variant>
        <vt:i4>5</vt:i4>
      </vt:variant>
      <vt:variant>
        <vt:lpwstr>mailto:joseph.walter@rocketmail.com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CONTRACT WITH TECHNICAL CONSULTANT TO HITEC</dc:title>
  <dc:creator>Preferred Customer</dc:creator>
  <cp:lastModifiedBy>Dung Kim Le</cp:lastModifiedBy>
  <cp:revision>21</cp:revision>
  <cp:lastPrinted>2016-09-29T16:57:00Z</cp:lastPrinted>
  <dcterms:created xsi:type="dcterms:W3CDTF">2016-09-06T19:57:00Z</dcterms:created>
  <dcterms:modified xsi:type="dcterms:W3CDTF">2016-10-05T22:30:00Z</dcterms:modified>
</cp:coreProperties>
</file>