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CC3" w:rsidRDefault="001F537F" w:rsidP="006A6CC3">
      <w:pPr>
        <w:pStyle w:val="SE4ALLchapterhead"/>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89.3pt;margin-top:-46.35pt;width:114.75pt;height:40.75pt;z-index:251658240" stroked="f">
            <v:textbox>
              <w:txbxContent>
                <w:p w:rsidR="001F537F" w:rsidRDefault="001F537F" w:rsidP="001F537F">
                  <w:pPr>
                    <w:rPr>
                      <w:rFonts w:ascii="Arial" w:hAnsi="Arial" w:cs="Arial"/>
                      <w:sz w:val="44"/>
                      <w:szCs w:val="44"/>
                    </w:rPr>
                  </w:pPr>
                  <w:bookmarkStart w:id="0" w:name="_GoBack"/>
                  <w:r>
                    <w:rPr>
                      <w:rFonts w:ascii="Arial" w:hAnsi="Arial" w:cs="Arial"/>
                      <w:sz w:val="44"/>
                      <w:szCs w:val="44"/>
                    </w:rPr>
                    <w:t>77889 v1</w:t>
                  </w:r>
                  <w:bookmarkEnd w:id="0"/>
                </w:p>
              </w:txbxContent>
            </v:textbox>
          </v:shape>
        </w:pict>
      </w:r>
      <w:r w:rsidR="006A6CC3">
        <w:t>Résumé</w:t>
      </w:r>
    </w:p>
    <w:p w:rsidR="006A6CC3" w:rsidRPr="006A6CC3" w:rsidRDefault="006A6CC3" w:rsidP="006A6CC3">
      <w:pPr>
        <w:pStyle w:val="SE4ALLbodycopy"/>
        <w:keepNext/>
        <w:framePr w:dropCap="drop" w:lines="3" w:wrap="around" w:vAnchor="text" w:hAnchor="text"/>
        <w:spacing w:after="0" w:line="926" w:lineRule="exact"/>
        <w:rPr>
          <w:rFonts w:ascii="Calibri" w:hAnsi="Calibri"/>
          <w:position w:val="-8"/>
          <w:sz w:val="122"/>
        </w:rPr>
      </w:pPr>
      <w:r>
        <w:rPr>
          <w:rFonts w:ascii="Calibri" w:hAnsi="Calibri"/>
          <w:sz w:val="122"/>
        </w:rPr>
        <w:t>E</w:t>
      </w:r>
    </w:p>
    <w:p w:rsidR="00077CC6" w:rsidRDefault="00C67665" w:rsidP="00DC4F95">
      <w:pPr>
        <w:pStyle w:val="SE4ALLbodycopy"/>
      </w:pPr>
      <w:r>
        <w:t>n déclarant 2012 « Année internationale de l</w:t>
      </w:r>
      <w:r w:rsidR="00D26D75">
        <w:t>’</w:t>
      </w:r>
      <w:r>
        <w:t>énergie durable pour tous », l</w:t>
      </w:r>
      <w:r w:rsidR="00D26D75">
        <w:t>’</w:t>
      </w:r>
      <w:r>
        <w:t>Assemblée générale des Nations Unies (2011) a défini, à l</w:t>
      </w:r>
      <w:r w:rsidR="00D26D75">
        <w:t>’</w:t>
      </w:r>
      <w:r>
        <w:t>initiative personnelle du Secrétaire général de l</w:t>
      </w:r>
      <w:r w:rsidR="00D26D75">
        <w:t>’</w:t>
      </w:r>
      <w:r>
        <w:t>ONU, trois objectifs mondiaux devant être atteints à l</w:t>
      </w:r>
      <w:r w:rsidR="00D26D75">
        <w:t>’</w:t>
      </w:r>
      <w:r>
        <w:t>horizon 2030. Ces objectifs sont les suivants</w:t>
      </w:r>
      <w:r w:rsidR="00D26D75">
        <w:t> </w:t>
      </w:r>
      <w:r>
        <w:t>: assurer un accès universel à des services énergétiques modernes (comprenant l</w:t>
      </w:r>
      <w:r w:rsidR="00D26D75">
        <w:t>’</w:t>
      </w:r>
      <w:r>
        <w:t xml:space="preserve">électricité et des solutions de cuisson </w:t>
      </w:r>
      <w:r w:rsidR="00D26D75">
        <w:t xml:space="preserve">des aliments </w:t>
      </w:r>
      <w:r>
        <w:t>modernes et propres), doubler le taux mondial d</w:t>
      </w:r>
      <w:r w:rsidR="00D26D75">
        <w:t>’</w:t>
      </w:r>
      <w:r>
        <w:t>amélioration de l</w:t>
      </w:r>
      <w:r w:rsidR="00D26D75">
        <w:t>’</w:t>
      </w:r>
      <w:r>
        <w:t>efficacité énergétique, et doubler la part des énergies renouvelables dans le panier énergétique mondial. Soixante-dix pays ont officiellement adopté l</w:t>
      </w:r>
      <w:r w:rsidR="00D26D75">
        <w:t>’</w:t>
      </w:r>
      <w:r>
        <w:t>initiative « Une énergie durable pour tous » et de nombreuses sociétés et organisations se sont engagées à verser des dizaines de milliards de dollars pour atteindre ces objectifs. Fin 2012, l</w:t>
      </w:r>
      <w:r w:rsidR="00D26D75">
        <w:t>’</w:t>
      </w:r>
      <w:r>
        <w:t>Assemblée générale des Nations Unies a annoncé une « Décennie de l</w:t>
      </w:r>
      <w:r w:rsidR="00D26D75">
        <w:t>’</w:t>
      </w:r>
      <w:r>
        <w:t>énergie durable pour tous</w:t>
      </w:r>
      <w:r w:rsidR="00D26D75">
        <w:t> </w:t>
      </w:r>
      <w:r>
        <w:t>», couvrant la période 2014 à 2024.</w:t>
      </w:r>
    </w:p>
    <w:p w:rsidR="00D178D8" w:rsidRDefault="00CD5A68" w:rsidP="00FA4606">
      <w:pPr>
        <w:pStyle w:val="SE4ALLbodycopy"/>
      </w:pPr>
      <w:r>
        <w:t>Le maintien de la dynamique suscitée pour atteindre les objectifs de l</w:t>
      </w:r>
      <w:r w:rsidR="00D26D75">
        <w:t>’</w:t>
      </w:r>
      <w:r>
        <w:t>initiative précitée nécessitera l</w:t>
      </w:r>
      <w:r w:rsidR="00D26D75">
        <w:t>’</w:t>
      </w:r>
      <w:r>
        <w:t>adoption d</w:t>
      </w:r>
      <w:r w:rsidR="00D26D75">
        <w:t>’</w:t>
      </w:r>
      <w:r>
        <w:t xml:space="preserve">un système de </w:t>
      </w:r>
      <w:r w:rsidR="00D26D75">
        <w:t>suivi</w:t>
      </w:r>
      <w:r>
        <w:t xml:space="preserve"> des progrès mondiaux accomplis au fil des ans jusqu</w:t>
      </w:r>
      <w:r w:rsidR="00D26D75">
        <w:t>’</w:t>
      </w:r>
      <w:r>
        <w:t>à l</w:t>
      </w:r>
      <w:r w:rsidR="00D26D75">
        <w:t>’</w:t>
      </w:r>
      <w:r>
        <w:t xml:space="preserve">horizon 2030. </w:t>
      </w:r>
      <w:r>
        <w:rPr>
          <w:rFonts w:cs="Calibri"/>
          <w:color w:val="000000"/>
        </w:rPr>
        <w:t xml:space="preserve">La conception du cadre nécessaire a été coordonnée par le </w:t>
      </w:r>
      <w:r>
        <w:t>Programme d</w:t>
      </w:r>
      <w:r w:rsidR="00D26D75">
        <w:t>’</w:t>
      </w:r>
      <w:r>
        <w:t>assistance à la gestion du secteur énergétique (ESMAP) de la Banque mondiale et l</w:t>
      </w:r>
      <w:r w:rsidR="00D26D75">
        <w:t>’</w:t>
      </w:r>
      <w:r>
        <w:t>Agence internationale de l</w:t>
      </w:r>
      <w:r w:rsidR="00D26D75">
        <w:t>’</w:t>
      </w:r>
      <w:r>
        <w:t>énergie (AIE), avec le concours de 13 autres organismes.</w:t>
      </w:r>
      <w:r>
        <w:rPr>
          <w:rFonts w:cs="Calibri"/>
          <w:color w:val="000000"/>
        </w:rPr>
        <w:t xml:space="preserve"> Ce processus a fait l</w:t>
      </w:r>
      <w:r w:rsidR="00D26D75">
        <w:rPr>
          <w:rFonts w:cs="Calibri"/>
          <w:color w:val="000000"/>
        </w:rPr>
        <w:t>’</w:t>
      </w:r>
      <w:r>
        <w:rPr>
          <w:rFonts w:cs="Calibri"/>
          <w:color w:val="000000"/>
        </w:rPr>
        <w:t>objet de consultations publiques avec plus de cent groupes concernés.</w:t>
      </w:r>
    </w:p>
    <w:p w:rsidR="009275E5" w:rsidRDefault="009275E5" w:rsidP="00067E45">
      <w:pPr>
        <w:pStyle w:val="Heading2"/>
      </w:pPr>
      <w:r>
        <w:rPr>
          <w:bCs/>
          <w:iCs/>
        </w:rPr>
        <w:t>Un nouveau cadre de suivi des progrès vers la réalisation de l</w:t>
      </w:r>
      <w:r w:rsidR="00D26D75">
        <w:rPr>
          <w:bCs/>
          <w:iCs/>
        </w:rPr>
        <w:t>’</w:t>
      </w:r>
      <w:r>
        <w:rPr>
          <w:bCs/>
          <w:iCs/>
        </w:rPr>
        <w:t>objectif d</w:t>
      </w:r>
      <w:r w:rsidR="00D26D75">
        <w:rPr>
          <w:bCs/>
          <w:iCs/>
        </w:rPr>
        <w:t>’</w:t>
      </w:r>
      <w:r>
        <w:rPr>
          <w:bCs/>
          <w:iCs/>
        </w:rPr>
        <w:t xml:space="preserve"> « Une énergie durable pour tous »</w:t>
      </w:r>
    </w:p>
    <w:p w:rsidR="00CD5A68" w:rsidRDefault="00FA4606" w:rsidP="00CD5A68">
      <w:pPr>
        <w:pStyle w:val="SE4ALLbodycopy"/>
      </w:pPr>
      <w:r>
        <w:t xml:space="preserve">Le Cadre de suivi mondial décrit dans le présent rapport fournit un premier système de notification mondiale périodique, fondé sur des indicateurs techniquement rigoureux et faciles à calculer à partir des bases de données énergétiques mondiales </w:t>
      </w:r>
      <w:r>
        <w:rPr>
          <w:i/>
          <w:iCs/>
        </w:rPr>
        <w:t>actuelles</w:t>
      </w:r>
      <w:r>
        <w:t>, et susceptible d</w:t>
      </w:r>
      <w:r w:rsidR="00D26D75">
        <w:t>’</w:t>
      </w:r>
      <w:r>
        <w:t>être amélioré au fil des ans. Bien que l</w:t>
      </w:r>
      <w:r w:rsidR="00D26D75">
        <w:t>’</w:t>
      </w:r>
      <w:r>
        <w:t>identification d</w:t>
      </w:r>
      <w:r w:rsidR="00D26D75">
        <w:t>’</w:t>
      </w:r>
      <w:r>
        <w:t>indicateurs appropriés ait posé d</w:t>
      </w:r>
      <w:r w:rsidR="00D26D75">
        <w:t>’</w:t>
      </w:r>
      <w:r>
        <w:t>importants problèmes méthodologiques, ceux-ci n</w:t>
      </w:r>
      <w:r w:rsidR="00D26D75">
        <w:t>’</w:t>
      </w:r>
      <w:r>
        <w:t>étaient pas plus complexes que ceux rencontrés pour mesurer d</w:t>
      </w:r>
      <w:r w:rsidR="00D26D75">
        <w:t>’</w:t>
      </w:r>
      <w:r>
        <w:t>autres aspects du développement, tels que la pauvreté, la santé humaine ou l</w:t>
      </w:r>
      <w:r w:rsidR="00D26D75">
        <w:t>’</w:t>
      </w:r>
      <w:r>
        <w:t>accès à l</w:t>
      </w:r>
      <w:r w:rsidR="00D26D75">
        <w:t>’</w:t>
      </w:r>
      <w:r>
        <w:t>eau salubre et aux services d</w:t>
      </w:r>
      <w:r w:rsidR="00D26D75">
        <w:t>’</w:t>
      </w:r>
      <w:r>
        <w:t>assainissement, dont les progrès font de longue date l</w:t>
      </w:r>
      <w:r w:rsidR="00D26D75">
        <w:t>’</w:t>
      </w:r>
      <w:r>
        <w:t>objet d</w:t>
      </w:r>
      <w:r w:rsidR="00D26D75">
        <w:t>’</w:t>
      </w:r>
      <w:r>
        <w:t>un suivi mondial. Un effort continu de renforcement des capacités analytiques et statistiques a été nécessaire pour suivre tous ces aspects du développement dans la majorité des pays.</w:t>
      </w:r>
    </w:p>
    <w:p w:rsidR="00CB68BF" w:rsidRDefault="00A36DD6" w:rsidP="00FA4606">
      <w:pPr>
        <w:pStyle w:val="SE4ALLbodycopy"/>
      </w:pPr>
      <w:r>
        <w:t>Pour ce qui est de l</w:t>
      </w:r>
      <w:r w:rsidR="00D26D75">
        <w:t>’</w:t>
      </w:r>
      <w:r>
        <w:t>accès à l</w:t>
      </w:r>
      <w:r w:rsidR="00D26D75">
        <w:t>’</w:t>
      </w:r>
      <w:r>
        <w:t>énergie, les données des enquêtes sur les ménages permettent de déterminer le pourcentage de la population connectée au réseau électrique et le pourcentage de la population qui utilise principalement des combustibles non solides pour la cuisson</w:t>
      </w:r>
      <w:r w:rsidR="00D26D75">
        <w:t xml:space="preserve"> des aliments</w:t>
      </w:r>
      <w:r>
        <w:t>. L</w:t>
      </w:r>
      <w:r w:rsidR="00D26D75">
        <w:t>’</w:t>
      </w:r>
      <w:r>
        <w:t>intensité énergétique totale a longtemps été utilisée pour représenter l</w:t>
      </w:r>
      <w:r w:rsidR="00D26D75">
        <w:t>’</w:t>
      </w:r>
      <w:r>
        <w:t>efficacité énergétique. Le présent cadre adopte cette approche en utilisant toutefois l</w:t>
      </w:r>
      <w:r w:rsidR="00D26D75">
        <w:t>’</w:t>
      </w:r>
      <w:r>
        <w:t>analyse statistique pour mieux représenter l</w:t>
      </w:r>
      <w:r w:rsidR="00D26D75">
        <w:t>’</w:t>
      </w:r>
      <w:r>
        <w:t>efficacité énergétique sous-jacente, et en complétant les indicateurs nationaux d</w:t>
      </w:r>
      <w:r w:rsidR="00D26D75">
        <w:t>’</w:t>
      </w:r>
      <w:r>
        <w:t xml:space="preserve">intensité énergétique par des indicateurs équivalents pour les quatre principaux secteurs économiques. Pour ce qui est des </w:t>
      </w:r>
      <w:r>
        <w:lastRenderedPageBreak/>
        <w:t>énergies renouvelables, l</w:t>
      </w:r>
      <w:r w:rsidR="00D26D75">
        <w:t>’</w:t>
      </w:r>
      <w:r>
        <w:t>indicateur utilisé est la part de la consommation énergétique</w:t>
      </w:r>
      <w:r>
        <w:rPr>
          <w:rStyle w:val="FootnoteReference"/>
        </w:rPr>
        <w:footnoteReference w:id="1"/>
      </w:r>
      <w:r>
        <w:t xml:space="preserve"> finale totale provenant de l</w:t>
      </w:r>
      <w:r w:rsidR="00D26D75">
        <w:t>’</w:t>
      </w:r>
      <w:r>
        <w:t>ensemble des sources renouvelables (bioénergie, aérothermie, géothermie, hydroénergie, océan, solaire, éolien).</w:t>
      </w:r>
    </w:p>
    <w:p w:rsidR="00BA6F04" w:rsidRDefault="00BA6F04" w:rsidP="00BA6F04">
      <w:pPr>
        <w:pStyle w:val="SE4ALLbodycopy"/>
      </w:pPr>
      <w:r>
        <w:t>Pour pouvoir suivre les progrès, l</w:t>
      </w:r>
      <w:r w:rsidR="00D26D75">
        <w:t>’</w:t>
      </w:r>
      <w:r>
        <w:t>initiative « Une énergie durable pour tous » a établi une plateforme de données mondiale pour l</w:t>
      </w:r>
      <w:r w:rsidR="00D26D75">
        <w:t>’</w:t>
      </w:r>
      <w:r>
        <w:t>ensemble des enquêtes sur les ménages et des bilans énergétiques nationaux disponibles. Ces sources</w:t>
      </w:r>
      <w:r>
        <w:rPr>
          <w:rFonts w:ascii="Calibri" w:eastAsia="Calibri" w:hAnsi="Calibri" w:cs="Times New Roman"/>
        </w:rPr>
        <w:t xml:space="preserve"> couvrent un large éventail de pays – allant de 181 pour l</w:t>
      </w:r>
      <w:r w:rsidR="00D26D75">
        <w:rPr>
          <w:rFonts w:ascii="Calibri" w:eastAsia="Calibri" w:hAnsi="Calibri" w:cs="Times New Roman"/>
        </w:rPr>
        <w:t>’</w:t>
      </w:r>
      <w:r>
        <w:rPr>
          <w:rFonts w:ascii="Calibri" w:eastAsia="Calibri" w:hAnsi="Calibri" w:cs="Times New Roman"/>
        </w:rPr>
        <w:t>énergie propre à 212 pour les services énergétiques modernes – soit plus de 98</w:t>
      </w:r>
      <w:r w:rsidR="00D26D75">
        <w:rPr>
          <w:rFonts w:ascii="Calibri" w:eastAsia="Calibri" w:hAnsi="Calibri" w:cs="Times New Roman"/>
        </w:rPr>
        <w:t> </w:t>
      </w:r>
      <w:r>
        <w:rPr>
          <w:rFonts w:ascii="Calibri" w:eastAsia="Calibri" w:hAnsi="Calibri" w:cs="Times New Roman"/>
        </w:rPr>
        <w:t xml:space="preserve">% de la population mondiale </w:t>
      </w:r>
      <w:r>
        <w:t>sur la période 1990-2010. Les indicateurs de chaque pays sont consultables dans l</w:t>
      </w:r>
      <w:r w:rsidR="00D26D75">
        <w:t>’</w:t>
      </w:r>
      <w:r>
        <w:t>annexe de données du Cadre de suivi mondial ainsi que sur la plateforme de libre accès aux données de la Banque mondiale, disponible à http://data.worldbank.org/data-catalog.</w:t>
      </w:r>
    </w:p>
    <w:p w:rsidR="009275E5" w:rsidRDefault="009275E5" w:rsidP="00067E45">
      <w:pPr>
        <w:pStyle w:val="Heading2"/>
      </w:pPr>
      <w:r>
        <w:rPr>
          <w:bCs/>
          <w:iCs/>
        </w:rPr>
        <w:t>Les récents progrès ont été trop lents pour atteindre les nouveaux objectifs</w:t>
      </w:r>
    </w:p>
    <w:p w:rsidR="00701C18" w:rsidRDefault="009275E5" w:rsidP="00701C18">
      <w:pPr>
        <w:pStyle w:val="SE4ALLbodycopy"/>
        <w:rPr>
          <w:rFonts w:cstheme="minorHAnsi"/>
          <w:color w:val="000000"/>
        </w:rPr>
      </w:pPr>
      <w:r>
        <w:rPr>
          <w:rFonts w:cstheme="minorHAnsi"/>
          <w:color w:val="000000"/>
        </w:rPr>
        <w:t>Les indicateurs précités témoignent des importants progrès accomplis à l</w:t>
      </w:r>
      <w:r w:rsidR="00D26D75">
        <w:rPr>
          <w:rFonts w:cstheme="minorHAnsi"/>
          <w:color w:val="000000"/>
        </w:rPr>
        <w:t>’</w:t>
      </w:r>
      <w:r>
        <w:rPr>
          <w:rFonts w:cstheme="minorHAnsi"/>
          <w:color w:val="000000"/>
        </w:rPr>
        <w:t>échelle mondiale dans le domaine énergétique au cours des 20 dernières années</w:t>
      </w:r>
      <w:r w:rsidR="00662539">
        <w:rPr>
          <w:rFonts w:cstheme="minorHAnsi"/>
          <w:color w:val="000000"/>
        </w:rPr>
        <w:t>. Au cours de cette période, 1,7</w:t>
      </w:r>
      <w:r w:rsidR="00D26D75">
        <w:rPr>
          <w:rFonts w:cstheme="minorHAnsi"/>
          <w:color w:val="000000"/>
        </w:rPr>
        <w:t> </w:t>
      </w:r>
      <w:r>
        <w:rPr>
          <w:rFonts w:cstheme="minorHAnsi"/>
          <w:color w:val="000000"/>
        </w:rPr>
        <w:t>milliard de personnes (soit la population de l</w:t>
      </w:r>
      <w:r w:rsidR="00D26D75">
        <w:rPr>
          <w:rFonts w:cstheme="minorHAnsi"/>
          <w:color w:val="000000"/>
        </w:rPr>
        <w:t>’</w:t>
      </w:r>
      <w:r>
        <w:rPr>
          <w:rFonts w:cstheme="minorHAnsi"/>
          <w:color w:val="000000"/>
        </w:rPr>
        <w:t>Inde et de l</w:t>
      </w:r>
      <w:r w:rsidR="00D26D75">
        <w:rPr>
          <w:rFonts w:cstheme="minorHAnsi"/>
          <w:color w:val="000000"/>
        </w:rPr>
        <w:t>’</w:t>
      </w:r>
      <w:r>
        <w:rPr>
          <w:rFonts w:cstheme="minorHAnsi"/>
          <w:color w:val="000000"/>
        </w:rPr>
        <w:t>Afrique subsaharienne) ont été reliées au réseau électrique tandis que 1,6</w:t>
      </w:r>
      <w:r w:rsidR="00D26D75">
        <w:rPr>
          <w:rFonts w:cstheme="minorHAnsi"/>
          <w:color w:val="000000"/>
        </w:rPr>
        <w:t> </w:t>
      </w:r>
      <w:r>
        <w:rPr>
          <w:rFonts w:cstheme="minorHAnsi"/>
          <w:color w:val="000000"/>
        </w:rPr>
        <w:t xml:space="preserve">milliard de personnes (soit la population de la Chine et des États-Unis) ont </w:t>
      </w:r>
      <w:r w:rsidR="00096A92">
        <w:rPr>
          <w:rFonts w:cstheme="minorHAnsi"/>
          <w:color w:val="000000"/>
        </w:rPr>
        <w:t>bénéficié d</w:t>
      </w:r>
      <w:r w:rsidR="001D1B14">
        <w:rPr>
          <w:rFonts w:cstheme="minorHAnsi"/>
          <w:color w:val="000000"/>
        </w:rPr>
        <w:t>’</w:t>
      </w:r>
      <w:r w:rsidR="00096A92">
        <w:rPr>
          <w:rFonts w:cstheme="minorHAnsi"/>
          <w:color w:val="000000"/>
        </w:rPr>
        <w:t xml:space="preserve">un </w:t>
      </w:r>
      <w:r>
        <w:rPr>
          <w:rFonts w:cstheme="minorHAnsi"/>
          <w:color w:val="000000"/>
        </w:rPr>
        <w:t>accès à des combustibles non solides généralement moins polluants. L</w:t>
      </w:r>
      <w:r w:rsidR="00D26D75">
        <w:rPr>
          <w:rFonts w:cstheme="minorHAnsi"/>
          <w:color w:val="000000"/>
        </w:rPr>
        <w:t>’</w:t>
      </w:r>
      <w:r>
        <w:rPr>
          <w:rFonts w:cstheme="minorHAnsi"/>
          <w:color w:val="000000"/>
        </w:rPr>
        <w:t>intensité énergétique a nettement baissé, évitant ainsi la production de 2</w:t>
      </w:r>
      <w:r w:rsidR="00D26D75">
        <w:rPr>
          <w:rFonts w:cstheme="minorHAnsi"/>
          <w:color w:val="000000"/>
        </w:rPr>
        <w:t> </w:t>
      </w:r>
      <w:r>
        <w:rPr>
          <w:rFonts w:cstheme="minorHAnsi"/>
          <w:color w:val="000000"/>
        </w:rPr>
        <w:t>300 exajoules d</w:t>
      </w:r>
      <w:r w:rsidR="00D26D75">
        <w:rPr>
          <w:rFonts w:cstheme="minorHAnsi"/>
          <w:color w:val="000000"/>
        </w:rPr>
        <w:t>’</w:t>
      </w:r>
      <w:r>
        <w:rPr>
          <w:rFonts w:cstheme="minorHAnsi"/>
          <w:color w:val="000000"/>
        </w:rPr>
        <w:t>énergie supplémentaire au cours des 20 dernières années, réduisant la demande énergétique mondiale cumulée de plus de 25</w:t>
      </w:r>
      <w:r w:rsidR="00D26D75">
        <w:rPr>
          <w:rFonts w:cstheme="minorHAnsi"/>
          <w:color w:val="000000"/>
        </w:rPr>
        <w:t> </w:t>
      </w:r>
      <w:r>
        <w:rPr>
          <w:rFonts w:cstheme="minorHAnsi"/>
          <w:color w:val="000000"/>
        </w:rPr>
        <w:t xml:space="preserve">% par rapport à 1990-2010, et maintenant la consommation de 2010 à </w:t>
      </w:r>
      <w:r w:rsidR="00096A92">
        <w:rPr>
          <w:rFonts w:cstheme="minorHAnsi"/>
          <w:color w:val="000000"/>
        </w:rPr>
        <w:t xml:space="preserve">environ deux </w:t>
      </w:r>
      <w:r>
        <w:rPr>
          <w:rFonts w:cstheme="minorHAnsi"/>
          <w:color w:val="000000"/>
        </w:rPr>
        <w:t xml:space="preserve">tiers </w:t>
      </w:r>
      <w:r w:rsidR="00096A92">
        <w:rPr>
          <w:rFonts w:cstheme="minorHAnsi"/>
          <w:color w:val="000000"/>
        </w:rPr>
        <w:t>de</w:t>
      </w:r>
      <w:r>
        <w:rPr>
          <w:rFonts w:cstheme="minorHAnsi"/>
          <w:color w:val="000000"/>
        </w:rPr>
        <w:t xml:space="preserve"> ce qu</w:t>
      </w:r>
      <w:r w:rsidR="00D26D75">
        <w:rPr>
          <w:rFonts w:cstheme="minorHAnsi"/>
          <w:color w:val="000000"/>
        </w:rPr>
        <w:t>’</w:t>
      </w:r>
      <w:r>
        <w:rPr>
          <w:rFonts w:cstheme="minorHAnsi"/>
          <w:color w:val="000000"/>
        </w:rPr>
        <w:t>elle aurait été autrement.</w:t>
      </w:r>
      <w:r w:rsidR="00D26D75">
        <w:rPr>
          <w:rFonts w:cstheme="minorHAnsi"/>
          <w:color w:val="000000"/>
        </w:rPr>
        <w:t xml:space="preserve"> </w:t>
      </w:r>
      <w:r>
        <w:rPr>
          <w:rFonts w:cs="Helv"/>
          <w:color w:val="000000"/>
        </w:rPr>
        <w:t>Les énergies renouvelables ont fourni plus de 1000 exajoules à l</w:t>
      </w:r>
      <w:r w:rsidR="00D26D75">
        <w:rPr>
          <w:rFonts w:cs="Helv"/>
          <w:color w:val="000000"/>
        </w:rPr>
        <w:t>’</w:t>
      </w:r>
      <w:r>
        <w:rPr>
          <w:rFonts w:cs="Helv"/>
          <w:color w:val="000000"/>
        </w:rPr>
        <w:t>échelle mondiale au cours de la période 1990-2010, soit autant que la consommation énergétique finale cumulée de la Chine et de la France au cours de la même période.</w:t>
      </w:r>
    </w:p>
    <w:p w:rsidR="00136D6A" w:rsidRDefault="002C5BDD" w:rsidP="00701C18">
      <w:pPr>
        <w:pStyle w:val="SE4ALLbodycopy"/>
        <w:rPr>
          <w:rFonts w:cstheme="minorHAnsi"/>
          <w:color w:val="000000"/>
        </w:rPr>
      </w:pPr>
      <w:r>
        <w:rPr>
          <w:rFonts w:cstheme="minorHAnsi"/>
          <w:color w:val="000000"/>
        </w:rPr>
        <w:t>Mais la forte croissance démographique et économique des 20 dernières années a quelque peu atténué l</w:t>
      </w:r>
      <w:r w:rsidR="00D26D75">
        <w:rPr>
          <w:rFonts w:cstheme="minorHAnsi"/>
          <w:color w:val="000000"/>
        </w:rPr>
        <w:t>’</w:t>
      </w:r>
      <w:r>
        <w:rPr>
          <w:rFonts w:cstheme="minorHAnsi"/>
          <w:color w:val="000000"/>
        </w:rPr>
        <w:t>impact de ces progrès. Par exemple, la population ayant accès à l</w:t>
      </w:r>
      <w:r w:rsidR="00D26D75">
        <w:rPr>
          <w:rFonts w:cstheme="minorHAnsi"/>
          <w:color w:val="000000"/>
        </w:rPr>
        <w:t>’</w:t>
      </w:r>
      <w:r>
        <w:rPr>
          <w:rFonts w:cstheme="minorHAnsi"/>
          <w:color w:val="000000"/>
        </w:rPr>
        <w:t>électricité et à des combustibles non solides a augmenté de 1,2 et 1,1</w:t>
      </w:r>
      <w:r w:rsidR="00D26D75">
        <w:rPr>
          <w:rFonts w:cstheme="minorHAnsi"/>
          <w:color w:val="000000"/>
        </w:rPr>
        <w:t> </w:t>
      </w:r>
      <w:r>
        <w:rPr>
          <w:rFonts w:cstheme="minorHAnsi"/>
          <w:color w:val="000000"/>
        </w:rPr>
        <w:t>% respectivement par an entre</w:t>
      </w:r>
      <w:r w:rsidR="00D26D75">
        <w:rPr>
          <w:rFonts w:cstheme="minorHAnsi"/>
          <w:color w:val="000000"/>
        </w:rPr>
        <w:t> </w:t>
      </w:r>
      <w:r>
        <w:rPr>
          <w:rFonts w:cstheme="minorHAnsi"/>
          <w:color w:val="000000"/>
        </w:rPr>
        <w:t>1990 et</w:t>
      </w:r>
      <w:r w:rsidR="00D26D75">
        <w:rPr>
          <w:rFonts w:cstheme="minorHAnsi"/>
          <w:color w:val="000000"/>
        </w:rPr>
        <w:t> </w:t>
      </w:r>
      <w:r>
        <w:rPr>
          <w:rFonts w:cstheme="minorHAnsi"/>
          <w:color w:val="000000"/>
        </w:rPr>
        <w:t>2010, soit légèrement moins rapidement que la croissance démographique mondiale enregistrée au cours de la même période (1,3</w:t>
      </w:r>
      <w:r w:rsidR="00D26D75">
        <w:rPr>
          <w:rFonts w:cstheme="minorHAnsi"/>
          <w:color w:val="000000"/>
        </w:rPr>
        <w:t> </w:t>
      </w:r>
      <w:r>
        <w:rPr>
          <w:rFonts w:cstheme="minorHAnsi"/>
          <w:color w:val="000000"/>
        </w:rPr>
        <w:t xml:space="preserve">%). Cela signifie que la croissance </w:t>
      </w:r>
      <w:r w:rsidR="00096A92">
        <w:rPr>
          <w:rFonts w:cstheme="minorHAnsi"/>
          <w:color w:val="000000"/>
        </w:rPr>
        <w:t xml:space="preserve">annuelle </w:t>
      </w:r>
      <w:r>
        <w:rPr>
          <w:rFonts w:cstheme="minorHAnsi"/>
          <w:color w:val="000000"/>
        </w:rPr>
        <w:t xml:space="preserve">des </w:t>
      </w:r>
      <w:r>
        <w:rPr>
          <w:rFonts w:cstheme="minorHAnsi"/>
          <w:i/>
          <w:iCs/>
          <w:color w:val="000000"/>
        </w:rPr>
        <w:t>taux</w:t>
      </w:r>
      <w:r>
        <w:rPr>
          <w:rFonts w:cstheme="minorHAnsi"/>
          <w:color w:val="000000"/>
        </w:rPr>
        <w:t xml:space="preserve"> d</w:t>
      </w:r>
      <w:r w:rsidR="00D26D75">
        <w:rPr>
          <w:rFonts w:cstheme="minorHAnsi"/>
          <w:color w:val="000000"/>
        </w:rPr>
        <w:t>’</w:t>
      </w:r>
      <w:r>
        <w:rPr>
          <w:rFonts w:cstheme="minorHAnsi"/>
          <w:color w:val="000000"/>
        </w:rPr>
        <w:t>accès à l</w:t>
      </w:r>
      <w:r w:rsidR="00D26D75">
        <w:rPr>
          <w:rFonts w:cstheme="minorHAnsi"/>
          <w:color w:val="000000"/>
        </w:rPr>
        <w:t>’</w:t>
      </w:r>
      <w:r>
        <w:rPr>
          <w:rFonts w:cstheme="minorHAnsi"/>
          <w:color w:val="000000"/>
        </w:rPr>
        <w:t>énergie est restée proche de 1</w:t>
      </w:r>
      <w:r w:rsidR="00D26D75">
        <w:rPr>
          <w:rFonts w:cstheme="minorHAnsi"/>
          <w:color w:val="000000"/>
        </w:rPr>
        <w:t> </w:t>
      </w:r>
      <w:r w:rsidR="00096A92">
        <w:rPr>
          <w:rFonts w:cstheme="minorHAnsi"/>
          <w:color w:val="000000"/>
        </w:rPr>
        <w:t>% de la population</w:t>
      </w:r>
      <w:r>
        <w:rPr>
          <w:rFonts w:cstheme="minorHAnsi"/>
          <w:color w:val="000000"/>
        </w:rPr>
        <w:t>. Bien que la consommation finale d</w:t>
      </w:r>
      <w:r w:rsidR="00D26D75">
        <w:rPr>
          <w:rFonts w:cstheme="minorHAnsi"/>
          <w:color w:val="000000"/>
        </w:rPr>
        <w:t>’</w:t>
      </w:r>
      <w:r>
        <w:rPr>
          <w:rFonts w:cstheme="minorHAnsi"/>
          <w:color w:val="000000"/>
        </w:rPr>
        <w:t>énergie renouvelable ait augmenté de 2</w:t>
      </w:r>
      <w:r w:rsidR="00D26D75">
        <w:rPr>
          <w:rFonts w:cstheme="minorHAnsi"/>
          <w:color w:val="000000"/>
        </w:rPr>
        <w:t> </w:t>
      </w:r>
      <w:r>
        <w:rPr>
          <w:rFonts w:cstheme="minorHAnsi"/>
          <w:color w:val="000000"/>
        </w:rPr>
        <w:t>% par an entre</w:t>
      </w:r>
      <w:r w:rsidR="00D26D75">
        <w:rPr>
          <w:rFonts w:cstheme="minorHAnsi"/>
          <w:color w:val="000000"/>
        </w:rPr>
        <w:t> </w:t>
      </w:r>
      <w:r>
        <w:rPr>
          <w:rFonts w:cstheme="minorHAnsi"/>
          <w:color w:val="000000"/>
        </w:rPr>
        <w:t>1990 et</w:t>
      </w:r>
      <w:r w:rsidR="00D26D75">
        <w:rPr>
          <w:rFonts w:cstheme="minorHAnsi"/>
          <w:color w:val="000000"/>
        </w:rPr>
        <w:t> </w:t>
      </w:r>
      <w:r>
        <w:rPr>
          <w:rFonts w:cstheme="minorHAnsi"/>
          <w:color w:val="000000"/>
        </w:rPr>
        <w:t>2010, ce chiffre n</w:t>
      </w:r>
      <w:r w:rsidR="00D26D75">
        <w:rPr>
          <w:rFonts w:cstheme="minorHAnsi"/>
          <w:color w:val="000000"/>
        </w:rPr>
        <w:t>’</w:t>
      </w:r>
      <w:r>
        <w:rPr>
          <w:rFonts w:cstheme="minorHAnsi"/>
          <w:color w:val="000000"/>
        </w:rPr>
        <w:t>est que légèrement meilleur que les 1,5</w:t>
      </w:r>
      <w:r w:rsidR="00D26D75">
        <w:rPr>
          <w:rFonts w:cstheme="minorHAnsi"/>
          <w:color w:val="000000"/>
        </w:rPr>
        <w:t> </w:t>
      </w:r>
      <w:r>
        <w:rPr>
          <w:rFonts w:cstheme="minorHAnsi"/>
          <w:color w:val="000000"/>
        </w:rPr>
        <w:t>% du taux de croissance annuelle de la consommation énergétique finale totale. Il s</w:t>
      </w:r>
      <w:r w:rsidR="00D26D75">
        <w:rPr>
          <w:rFonts w:cstheme="minorHAnsi"/>
          <w:color w:val="000000"/>
        </w:rPr>
        <w:t>’</w:t>
      </w:r>
      <w:r>
        <w:rPr>
          <w:rFonts w:cstheme="minorHAnsi"/>
          <w:color w:val="000000"/>
        </w:rPr>
        <w:t>ensuit que la part correspondante des énergies renouvelables n</w:t>
      </w:r>
      <w:r w:rsidR="00D26D75">
        <w:rPr>
          <w:rFonts w:cstheme="minorHAnsi"/>
          <w:color w:val="000000"/>
        </w:rPr>
        <w:t>’</w:t>
      </w:r>
      <w:r>
        <w:rPr>
          <w:rFonts w:cstheme="minorHAnsi"/>
          <w:color w:val="000000"/>
        </w:rPr>
        <w:t>a augmenté que légèrement, passant de 16,6</w:t>
      </w:r>
      <w:r w:rsidR="00D26D75">
        <w:rPr>
          <w:rFonts w:cstheme="minorHAnsi"/>
          <w:color w:val="000000"/>
        </w:rPr>
        <w:t> </w:t>
      </w:r>
      <w:r>
        <w:rPr>
          <w:rFonts w:cstheme="minorHAnsi"/>
          <w:color w:val="000000"/>
        </w:rPr>
        <w:t>% en 1990 à 18</w:t>
      </w:r>
      <w:r w:rsidR="00D26D75">
        <w:rPr>
          <w:rFonts w:cstheme="minorHAnsi"/>
          <w:color w:val="000000"/>
        </w:rPr>
        <w:t> </w:t>
      </w:r>
      <w:r>
        <w:rPr>
          <w:rFonts w:cstheme="minorHAnsi"/>
          <w:color w:val="000000"/>
        </w:rPr>
        <w:t>% en 2010.</w:t>
      </w:r>
    </w:p>
    <w:p w:rsidR="00701C18" w:rsidRDefault="008344B1" w:rsidP="00701C18">
      <w:pPr>
        <w:pStyle w:val="SE4ALLbodycopy"/>
        <w:rPr>
          <w:rFonts w:cstheme="minorHAnsi"/>
          <w:color w:val="000000"/>
        </w:rPr>
      </w:pPr>
      <w:r>
        <w:rPr>
          <w:rFonts w:eastAsia="Arial Unicode MS" w:cstheme="minorHAnsi"/>
          <w:color w:val="000000"/>
          <w:u w:color="000000"/>
        </w:rPr>
        <w:t xml:space="preserve">Le Cadre de suivi mondial a </w:t>
      </w:r>
      <w:r>
        <w:rPr>
          <w:u w:color="000000"/>
        </w:rPr>
        <w:t>défini des points de départ qui seront utilisés pour évaluer les progrès de l</w:t>
      </w:r>
      <w:r w:rsidR="00D26D75">
        <w:rPr>
          <w:u w:color="000000"/>
        </w:rPr>
        <w:t>’</w:t>
      </w:r>
      <w:r>
        <w:rPr>
          <w:u w:color="000000"/>
        </w:rPr>
        <w:t>initiative « Une énergie durable pour tous » (tableau ES.1). Les taux d</w:t>
      </w:r>
      <w:r w:rsidR="00D26D75">
        <w:rPr>
          <w:u w:color="000000"/>
        </w:rPr>
        <w:t>’</w:t>
      </w:r>
      <w:r>
        <w:rPr>
          <w:u w:color="000000"/>
        </w:rPr>
        <w:t>accès à l</w:t>
      </w:r>
      <w:r w:rsidR="00D26D75">
        <w:rPr>
          <w:u w:color="000000"/>
        </w:rPr>
        <w:t>’</w:t>
      </w:r>
      <w:r>
        <w:rPr>
          <w:u w:color="000000"/>
        </w:rPr>
        <w:t>électricité et d</w:t>
      </w:r>
      <w:r w:rsidR="00D26D75">
        <w:rPr>
          <w:u w:color="000000"/>
        </w:rPr>
        <w:t>’</w:t>
      </w:r>
      <w:r>
        <w:rPr>
          <w:u w:color="000000"/>
        </w:rPr>
        <w:t>utilisation des combustibles non solides comme principaux combustibles pour la cuisson des aliments devront passer de 83</w:t>
      </w:r>
      <w:r w:rsidR="00D26D75">
        <w:rPr>
          <w:u w:color="000000"/>
        </w:rPr>
        <w:t> </w:t>
      </w:r>
      <w:r>
        <w:rPr>
          <w:u w:color="000000"/>
        </w:rPr>
        <w:t>% et 59</w:t>
      </w:r>
      <w:r w:rsidR="00D26D75">
        <w:rPr>
          <w:u w:color="000000"/>
        </w:rPr>
        <w:t> </w:t>
      </w:r>
      <w:r>
        <w:rPr>
          <w:u w:color="000000"/>
        </w:rPr>
        <w:t>% respectivement en 2010 à 100</w:t>
      </w:r>
      <w:r w:rsidR="00D26D75">
        <w:rPr>
          <w:u w:color="000000"/>
        </w:rPr>
        <w:t> </w:t>
      </w:r>
      <w:r>
        <w:rPr>
          <w:u w:color="000000"/>
        </w:rPr>
        <w:t>% à l</w:t>
      </w:r>
      <w:r w:rsidR="00D26D75">
        <w:rPr>
          <w:u w:color="000000"/>
        </w:rPr>
        <w:t>’</w:t>
      </w:r>
      <w:r>
        <w:rPr>
          <w:u w:color="000000"/>
        </w:rPr>
        <w:t xml:space="preserve">horizon 2030. Le taux </w:t>
      </w:r>
      <w:r>
        <w:rPr>
          <w:u w:color="000000"/>
        </w:rPr>
        <w:lastRenderedPageBreak/>
        <w:t>d</w:t>
      </w:r>
      <w:r w:rsidR="00D26D75">
        <w:rPr>
          <w:u w:color="000000"/>
        </w:rPr>
        <w:t>’</w:t>
      </w:r>
      <w:r>
        <w:rPr>
          <w:u w:color="000000"/>
        </w:rPr>
        <w:t>amélioration de l</w:t>
      </w:r>
      <w:r w:rsidR="00D26D75">
        <w:rPr>
          <w:u w:color="000000"/>
        </w:rPr>
        <w:t>’</w:t>
      </w:r>
      <w:r>
        <w:rPr>
          <w:u w:color="000000"/>
        </w:rPr>
        <w:t>intensité énergétique devra doubler et passer de 1,3</w:t>
      </w:r>
      <w:r w:rsidR="00D26D75">
        <w:rPr>
          <w:u w:color="000000"/>
        </w:rPr>
        <w:t> </w:t>
      </w:r>
      <w:r>
        <w:rPr>
          <w:u w:color="000000"/>
        </w:rPr>
        <w:t>% pour la période 1990-2010 à 2,6</w:t>
      </w:r>
      <w:r w:rsidR="00D26D75">
        <w:rPr>
          <w:u w:color="000000"/>
        </w:rPr>
        <w:t> </w:t>
      </w:r>
      <w:r>
        <w:rPr>
          <w:u w:color="000000"/>
        </w:rPr>
        <w:t>% pour 2010-2030. La part des énergies renouvelables dans la consommation énergétique finale mondiale devra doubler par rapport à la part estimée en 2010 (18</w:t>
      </w:r>
      <w:r w:rsidR="00D26D75">
        <w:rPr>
          <w:u w:color="000000"/>
        </w:rPr>
        <w:t> </w:t>
      </w:r>
      <w:r>
        <w:rPr>
          <w:u w:color="000000"/>
        </w:rPr>
        <w:t>%) et atteindre l</w:t>
      </w:r>
      <w:r w:rsidR="00D26D75">
        <w:rPr>
          <w:u w:color="000000"/>
        </w:rPr>
        <w:t>’</w:t>
      </w:r>
      <w:r>
        <w:rPr>
          <w:u w:color="000000"/>
        </w:rPr>
        <w:t>objectif de 36</w:t>
      </w:r>
      <w:r w:rsidR="00D26D75">
        <w:rPr>
          <w:u w:color="000000"/>
        </w:rPr>
        <w:t> </w:t>
      </w:r>
      <w:r>
        <w:rPr>
          <w:u w:color="000000"/>
        </w:rPr>
        <w:t>% d</w:t>
      </w:r>
      <w:r w:rsidR="00D26D75">
        <w:rPr>
          <w:u w:color="000000"/>
        </w:rPr>
        <w:t>’</w:t>
      </w:r>
      <w:r>
        <w:rPr>
          <w:u w:color="000000"/>
        </w:rPr>
        <w:t>ici 2030.</w:t>
      </w:r>
    </w:p>
    <w:p w:rsidR="009A2178" w:rsidRDefault="00701C18" w:rsidP="006F2A37">
      <w:pPr>
        <w:pStyle w:val="SE4ALLtablecaption"/>
      </w:pPr>
      <w:r>
        <w:rPr>
          <w:bCs/>
        </w:rPr>
        <w:t>Tableau ES.1.</w:t>
      </w:r>
      <w:r>
        <w:rPr>
          <w:b w:val="0"/>
        </w:rPr>
        <w:t xml:space="preserve"> </w:t>
      </w:r>
      <w:r>
        <w:rPr>
          <w:bCs/>
        </w:rPr>
        <w:t>Objectifs de l</w:t>
      </w:r>
      <w:r w:rsidR="00D26D75">
        <w:rPr>
          <w:bCs/>
        </w:rPr>
        <w:t>’</w:t>
      </w:r>
      <w:r>
        <w:rPr>
          <w:bCs/>
        </w:rPr>
        <w:t>initiative « Une énergie durable pour tous » – Perspective historique</w:t>
      </w:r>
    </w:p>
    <w:p w:rsidR="00701C18" w:rsidRDefault="00701C18" w:rsidP="00701C18">
      <w:pPr>
        <w:pStyle w:val="SE4ALLtabletext"/>
      </w:pPr>
      <w:r>
        <w:t>Pourcentage</w:t>
      </w:r>
    </w:p>
    <w:tbl>
      <w:tblPr>
        <w:tblStyle w:val="TableGrid"/>
        <w:tblW w:w="5000" w:type="pct"/>
        <w:tblBorders>
          <w:top w:val="single" w:sz="2" w:space="0" w:color="000000" w:themeColor="text1"/>
          <w:left w:val="none" w:sz="0" w:space="0" w:color="auto"/>
          <w:bottom w:val="single" w:sz="2" w:space="0" w:color="000000" w:themeColor="text1"/>
          <w:right w:val="none" w:sz="0" w:space="0" w:color="auto"/>
          <w:insideH w:val="single" w:sz="2" w:space="0" w:color="000000" w:themeColor="text1"/>
        </w:tblBorders>
        <w:tblLook w:val="04A0" w:firstRow="1" w:lastRow="0" w:firstColumn="1" w:lastColumn="0" w:noHBand="0" w:noVBand="1"/>
      </w:tblPr>
      <w:tblGrid>
        <w:gridCol w:w="1818"/>
        <w:gridCol w:w="1890"/>
        <w:gridCol w:w="1955"/>
        <w:gridCol w:w="1770"/>
        <w:gridCol w:w="186"/>
        <w:gridCol w:w="1957"/>
      </w:tblGrid>
      <w:tr w:rsidR="00701C18" w:rsidRPr="00B81A58" w:rsidTr="00106AB0">
        <w:tc>
          <w:tcPr>
            <w:tcW w:w="949" w:type="pct"/>
            <w:vMerge w:val="restart"/>
            <w:tcBorders>
              <w:right w:val="nil"/>
            </w:tcBorders>
            <w:vAlign w:val="bottom"/>
          </w:tcPr>
          <w:p w:rsidR="00701C18" w:rsidRPr="00067E45" w:rsidDel="00512CEE" w:rsidRDefault="000436AC" w:rsidP="000436AC">
            <w:pPr>
              <w:pStyle w:val="SE4ALLfiguresubcaption"/>
              <w:jc w:val="left"/>
              <w:rPr>
                <w:rFonts w:ascii="Arial Narrow" w:hAnsi="Arial Narrow"/>
                <w:color w:val="auto"/>
                <w:sz w:val="18"/>
                <w:szCs w:val="18"/>
              </w:rPr>
            </w:pPr>
            <w:r>
              <w:rPr>
                <w:rFonts w:ascii="Arial Narrow" w:hAnsi="Arial Narrow"/>
                <w:color w:val="auto"/>
                <w:sz w:val="18"/>
                <w:szCs w:val="18"/>
              </w:rPr>
              <w:t>Indicateur indirect</w:t>
            </w:r>
          </w:p>
        </w:tc>
        <w:tc>
          <w:tcPr>
            <w:tcW w:w="2008" w:type="pct"/>
            <w:gridSpan w:val="2"/>
            <w:tcBorders>
              <w:left w:val="nil"/>
              <w:right w:val="nil"/>
            </w:tcBorders>
            <w:vAlign w:val="bottom"/>
          </w:tcPr>
          <w:p w:rsidR="00701C18" w:rsidRPr="00B81A58" w:rsidRDefault="00701C18" w:rsidP="00CD5A68">
            <w:pPr>
              <w:pStyle w:val="SE4ALLfiguresubcaption"/>
            </w:pPr>
            <w:r>
              <w:t>Objectif 1</w:t>
            </w:r>
          </w:p>
        </w:tc>
        <w:tc>
          <w:tcPr>
            <w:tcW w:w="924" w:type="pct"/>
            <w:tcBorders>
              <w:left w:val="nil"/>
              <w:right w:val="nil"/>
            </w:tcBorders>
            <w:vAlign w:val="bottom"/>
          </w:tcPr>
          <w:p w:rsidR="00701C18" w:rsidRPr="00B81A58" w:rsidRDefault="00701C18" w:rsidP="00CD5A68">
            <w:pPr>
              <w:pStyle w:val="SE4ALLfiguresubcaption"/>
            </w:pPr>
            <w:r>
              <w:t>Objectif 2</w:t>
            </w:r>
          </w:p>
        </w:tc>
        <w:tc>
          <w:tcPr>
            <w:tcW w:w="1119" w:type="pct"/>
            <w:gridSpan w:val="2"/>
            <w:tcBorders>
              <w:left w:val="nil"/>
              <w:right w:val="nil"/>
            </w:tcBorders>
            <w:vAlign w:val="bottom"/>
          </w:tcPr>
          <w:p w:rsidR="00701C18" w:rsidRPr="00B81A58" w:rsidRDefault="00701C18" w:rsidP="00CD5A68">
            <w:pPr>
              <w:pStyle w:val="SE4ALLfiguresubcaption"/>
            </w:pPr>
            <w:r>
              <w:t>Objectif 3</w:t>
            </w:r>
          </w:p>
        </w:tc>
      </w:tr>
      <w:tr w:rsidR="000436AC" w:rsidRPr="00B81A58" w:rsidTr="00106AB0">
        <w:tc>
          <w:tcPr>
            <w:tcW w:w="949" w:type="pct"/>
            <w:vMerge/>
            <w:tcBorders>
              <w:right w:val="nil"/>
            </w:tcBorders>
            <w:vAlign w:val="bottom"/>
          </w:tcPr>
          <w:p w:rsidR="000436AC" w:rsidRDefault="000436AC" w:rsidP="00CD5A68">
            <w:pPr>
              <w:pStyle w:val="SE4ALLfiguresubcaption"/>
              <w:rPr>
                <w:rFonts w:asciiTheme="majorHAnsi" w:eastAsiaTheme="majorEastAsia" w:hAnsiTheme="majorHAnsi" w:cstheme="majorBidi"/>
                <w:i/>
                <w:iCs/>
                <w:color w:val="4F81BD" w:themeColor="accent1"/>
              </w:rPr>
            </w:pPr>
          </w:p>
        </w:tc>
        <w:tc>
          <w:tcPr>
            <w:tcW w:w="2008" w:type="pct"/>
            <w:gridSpan w:val="2"/>
            <w:tcBorders>
              <w:left w:val="nil"/>
              <w:right w:val="nil"/>
            </w:tcBorders>
            <w:vAlign w:val="bottom"/>
          </w:tcPr>
          <w:p w:rsidR="000436AC" w:rsidRPr="00067E45" w:rsidRDefault="000436AC" w:rsidP="00067E45">
            <w:pPr>
              <w:pStyle w:val="SE4ALLtabletext"/>
              <w:jc w:val="center"/>
              <w:rPr>
                <w:rFonts w:asciiTheme="majorHAnsi" w:eastAsiaTheme="majorEastAsia" w:hAnsiTheme="majorHAnsi" w:cstheme="majorBidi"/>
                <w:b/>
                <w:i/>
                <w:iCs/>
                <w:color w:val="4F81BD" w:themeColor="accent1"/>
              </w:rPr>
            </w:pPr>
            <w:r>
              <w:rPr>
                <w:b/>
                <w:bCs/>
              </w:rPr>
              <w:t>Accès universel</w:t>
            </w:r>
            <w:r>
              <w:t xml:space="preserve"> </w:t>
            </w:r>
            <w:r>
              <w:br/>
            </w:r>
            <w:r>
              <w:rPr>
                <w:b/>
                <w:bCs/>
              </w:rPr>
              <w:t>à des services énergétiques modernes</w:t>
            </w:r>
          </w:p>
        </w:tc>
        <w:tc>
          <w:tcPr>
            <w:tcW w:w="1021" w:type="pct"/>
            <w:gridSpan w:val="2"/>
            <w:tcBorders>
              <w:left w:val="nil"/>
              <w:right w:val="nil"/>
            </w:tcBorders>
            <w:vAlign w:val="bottom"/>
          </w:tcPr>
          <w:p w:rsidR="000436AC" w:rsidRPr="00067E45" w:rsidRDefault="006F2A37" w:rsidP="00D26D75">
            <w:pPr>
              <w:pStyle w:val="SE4ALLtabletext"/>
              <w:jc w:val="center"/>
              <w:rPr>
                <w:rFonts w:eastAsiaTheme="majorEastAsia" w:cstheme="majorBidi"/>
                <w:b/>
                <w:iCs/>
              </w:rPr>
            </w:pPr>
            <w:r>
              <w:rPr>
                <w:b/>
                <w:bCs/>
              </w:rPr>
              <w:t xml:space="preserve">Doublement du taux </w:t>
            </w:r>
            <w:r>
              <w:br/>
            </w:r>
            <w:r>
              <w:rPr>
                <w:b/>
                <w:bCs/>
              </w:rPr>
              <w:t xml:space="preserve"> mondial d</w:t>
            </w:r>
            <w:r w:rsidR="00D26D75">
              <w:rPr>
                <w:b/>
                <w:bCs/>
              </w:rPr>
              <w:t>’</w:t>
            </w:r>
            <w:r>
              <w:rPr>
                <w:b/>
                <w:bCs/>
              </w:rPr>
              <w:t xml:space="preserve">amélioration </w:t>
            </w:r>
            <w:r>
              <w:br/>
            </w:r>
            <w:r>
              <w:rPr>
                <w:b/>
                <w:bCs/>
              </w:rPr>
              <w:t>de l</w:t>
            </w:r>
            <w:r w:rsidR="00D26D75">
              <w:rPr>
                <w:b/>
                <w:bCs/>
              </w:rPr>
              <w:t>’</w:t>
            </w:r>
            <w:r>
              <w:rPr>
                <w:b/>
                <w:bCs/>
              </w:rPr>
              <w:t>efficacité énergétique</w:t>
            </w:r>
          </w:p>
        </w:tc>
        <w:tc>
          <w:tcPr>
            <w:tcW w:w="1022" w:type="pct"/>
            <w:tcBorders>
              <w:left w:val="nil"/>
              <w:right w:val="nil"/>
            </w:tcBorders>
            <w:vAlign w:val="bottom"/>
          </w:tcPr>
          <w:p w:rsidR="000436AC" w:rsidRPr="00106AB0" w:rsidRDefault="00106AB0" w:rsidP="00067E45">
            <w:pPr>
              <w:pStyle w:val="SE4ALLtabletext"/>
              <w:jc w:val="center"/>
              <w:rPr>
                <w:rFonts w:asciiTheme="majorHAnsi" w:hAnsiTheme="majorHAnsi"/>
                <w:b/>
                <w:bCs/>
                <w:iCs/>
              </w:rPr>
            </w:pPr>
            <w:r>
              <w:rPr>
                <w:rFonts w:eastAsiaTheme="majorEastAsia" w:cstheme="majorBidi"/>
                <w:b/>
                <w:bCs/>
              </w:rPr>
              <w:t>Doublement de la part des énergies renouvelables dans le panier énergétique mondial</w:t>
            </w:r>
          </w:p>
        </w:tc>
      </w:tr>
      <w:tr w:rsidR="000436AC" w:rsidRPr="00B81A58" w:rsidTr="00106AB0">
        <w:tc>
          <w:tcPr>
            <w:tcW w:w="949" w:type="pct"/>
            <w:vMerge/>
            <w:tcBorders>
              <w:right w:val="nil"/>
            </w:tcBorders>
          </w:tcPr>
          <w:p w:rsidR="000436AC" w:rsidRDefault="000436AC" w:rsidP="00CD5A68">
            <w:pPr>
              <w:pStyle w:val="SE4ALLtabletext"/>
            </w:pPr>
          </w:p>
        </w:tc>
        <w:tc>
          <w:tcPr>
            <w:tcW w:w="987" w:type="pct"/>
            <w:tcBorders>
              <w:left w:val="nil"/>
              <w:right w:val="nil"/>
            </w:tcBorders>
            <w:vAlign w:val="bottom"/>
          </w:tcPr>
          <w:p w:rsidR="000436AC" w:rsidRPr="00067E45" w:rsidRDefault="00B6472F" w:rsidP="00D26D75">
            <w:pPr>
              <w:pStyle w:val="SE4ALLtabletext"/>
              <w:jc w:val="center"/>
              <w:rPr>
                <w:rFonts w:asciiTheme="majorHAnsi" w:eastAsiaTheme="majorEastAsia" w:hAnsiTheme="majorHAnsi" w:cstheme="majorBidi"/>
                <w:b/>
                <w:i/>
                <w:iCs/>
                <w:color w:val="4F81BD" w:themeColor="accent1"/>
              </w:rPr>
            </w:pPr>
            <w:r>
              <w:rPr>
                <w:b/>
                <w:bCs/>
              </w:rPr>
              <w:t>Pourcentage de la population ayant accès à l</w:t>
            </w:r>
            <w:r w:rsidR="00D26D75">
              <w:rPr>
                <w:b/>
                <w:bCs/>
              </w:rPr>
              <w:t>’</w:t>
            </w:r>
            <w:r>
              <w:rPr>
                <w:b/>
                <w:bCs/>
              </w:rPr>
              <w:t>électricité</w:t>
            </w:r>
          </w:p>
        </w:tc>
        <w:tc>
          <w:tcPr>
            <w:tcW w:w="1021" w:type="pct"/>
            <w:tcBorders>
              <w:left w:val="nil"/>
              <w:right w:val="nil"/>
            </w:tcBorders>
            <w:vAlign w:val="bottom"/>
          </w:tcPr>
          <w:p w:rsidR="000436AC" w:rsidRPr="00067E45" w:rsidRDefault="00B6472F" w:rsidP="00067E45">
            <w:pPr>
              <w:pStyle w:val="SE4ALLtabletext"/>
              <w:jc w:val="center"/>
              <w:rPr>
                <w:rFonts w:asciiTheme="majorHAnsi" w:eastAsiaTheme="majorEastAsia" w:hAnsiTheme="majorHAnsi" w:cstheme="majorBidi"/>
                <w:b/>
                <w:i/>
                <w:iCs/>
                <w:color w:val="4F81BD" w:themeColor="accent1"/>
              </w:rPr>
            </w:pPr>
            <w:r>
              <w:rPr>
                <w:b/>
                <w:bCs/>
              </w:rPr>
              <w:t>Pourcentage de la population ayant essentiellement recours à des combustibles non solides</w:t>
            </w:r>
          </w:p>
        </w:tc>
        <w:tc>
          <w:tcPr>
            <w:tcW w:w="1021" w:type="pct"/>
            <w:gridSpan w:val="2"/>
            <w:tcBorders>
              <w:left w:val="nil"/>
              <w:right w:val="nil"/>
            </w:tcBorders>
            <w:vAlign w:val="bottom"/>
          </w:tcPr>
          <w:p w:rsidR="000436AC" w:rsidRPr="00067E45" w:rsidRDefault="006F2A37" w:rsidP="00D26D75">
            <w:pPr>
              <w:pStyle w:val="SE4ALLtabletext"/>
              <w:jc w:val="center"/>
              <w:rPr>
                <w:rFonts w:asciiTheme="majorHAnsi" w:eastAsiaTheme="majorEastAsia" w:hAnsiTheme="majorHAnsi" w:cstheme="majorBidi"/>
                <w:b/>
                <w:i/>
                <w:iCs/>
                <w:color w:val="4F81BD" w:themeColor="accent1"/>
              </w:rPr>
            </w:pPr>
            <w:r>
              <w:rPr>
                <w:b/>
                <w:bCs/>
              </w:rPr>
              <w:t>Taux d</w:t>
            </w:r>
            <w:r w:rsidR="00D26D75">
              <w:rPr>
                <w:b/>
                <w:bCs/>
              </w:rPr>
              <w:t>’</w:t>
            </w:r>
            <w:r>
              <w:rPr>
                <w:b/>
                <w:bCs/>
              </w:rPr>
              <w:t>amélioration</w:t>
            </w:r>
            <w:r>
              <w:t xml:space="preserve"> </w:t>
            </w:r>
            <w:r>
              <w:br/>
            </w:r>
            <w:r>
              <w:rPr>
                <w:b/>
                <w:bCs/>
              </w:rPr>
              <w:t>de l</w:t>
            </w:r>
            <w:r w:rsidR="00D26D75">
              <w:rPr>
                <w:b/>
                <w:bCs/>
              </w:rPr>
              <w:t>’</w:t>
            </w:r>
            <w:r>
              <w:rPr>
                <w:b/>
                <w:bCs/>
              </w:rPr>
              <w:t>intensité énergétique*</w:t>
            </w:r>
          </w:p>
        </w:tc>
        <w:tc>
          <w:tcPr>
            <w:tcW w:w="1022" w:type="pct"/>
            <w:tcBorders>
              <w:left w:val="nil"/>
              <w:right w:val="nil"/>
            </w:tcBorders>
            <w:vAlign w:val="bottom"/>
          </w:tcPr>
          <w:p w:rsidR="000436AC" w:rsidRPr="00067E45" w:rsidRDefault="00106AB0" w:rsidP="00D26D75">
            <w:pPr>
              <w:pStyle w:val="SE4ALLtabletext"/>
              <w:jc w:val="center"/>
              <w:rPr>
                <w:b/>
              </w:rPr>
            </w:pPr>
            <w:r>
              <w:rPr>
                <w:b/>
                <w:bCs/>
              </w:rPr>
              <w:t>Part des énergies renouvelables dans la consommation énergétique finale totale</w:t>
            </w:r>
          </w:p>
        </w:tc>
      </w:tr>
      <w:tr w:rsidR="00106AB0" w:rsidRPr="00B81A58" w:rsidTr="00106AB0">
        <w:trPr>
          <w:trHeight w:val="301"/>
        </w:trPr>
        <w:tc>
          <w:tcPr>
            <w:tcW w:w="949" w:type="pct"/>
            <w:tcBorders>
              <w:right w:val="nil"/>
            </w:tcBorders>
            <w:vAlign w:val="center"/>
          </w:tcPr>
          <w:p w:rsidR="00106AB0" w:rsidRDefault="00106AB0" w:rsidP="00CD5A68">
            <w:pPr>
              <w:pStyle w:val="SE4ALLtabletext"/>
              <w:rPr>
                <w:rFonts w:asciiTheme="majorHAnsi" w:eastAsiaTheme="majorEastAsia" w:hAnsiTheme="majorHAnsi" w:cstheme="majorBidi"/>
                <w:b/>
                <w:bCs/>
                <w:i/>
                <w:iCs/>
                <w:color w:val="4F81BD" w:themeColor="accent1"/>
                <w:szCs w:val="20"/>
              </w:rPr>
            </w:pPr>
            <w:r>
              <w:t>Référence historique 1990</w:t>
            </w:r>
          </w:p>
        </w:tc>
        <w:tc>
          <w:tcPr>
            <w:tcW w:w="987" w:type="pct"/>
            <w:tcBorders>
              <w:left w:val="nil"/>
              <w:right w:val="nil"/>
            </w:tcBorders>
            <w:vAlign w:val="center"/>
          </w:tcPr>
          <w:p w:rsidR="00106AB0" w:rsidRDefault="008A3773" w:rsidP="008A3773">
            <w:pPr>
              <w:pStyle w:val="SE4ALLtabletext"/>
              <w:jc w:val="center"/>
              <w:rPr>
                <w:rFonts w:asciiTheme="majorHAnsi" w:eastAsiaTheme="majorEastAsia" w:hAnsiTheme="majorHAnsi" w:cstheme="majorBidi"/>
                <w:b/>
                <w:bCs/>
                <w:i/>
                <w:iCs/>
                <w:color w:val="4F81BD" w:themeColor="accent1"/>
                <w:szCs w:val="20"/>
              </w:rPr>
            </w:pPr>
            <w:r>
              <w:t>76</w:t>
            </w:r>
          </w:p>
        </w:tc>
        <w:tc>
          <w:tcPr>
            <w:tcW w:w="1021" w:type="pct"/>
            <w:tcBorders>
              <w:left w:val="nil"/>
              <w:right w:val="nil"/>
            </w:tcBorders>
            <w:vAlign w:val="center"/>
          </w:tcPr>
          <w:p w:rsidR="00106AB0" w:rsidRDefault="00106AB0" w:rsidP="00CD5A68">
            <w:pPr>
              <w:pStyle w:val="SE4ALLtabletext"/>
              <w:jc w:val="center"/>
              <w:rPr>
                <w:rFonts w:asciiTheme="majorHAnsi" w:eastAsiaTheme="majorEastAsia" w:hAnsiTheme="majorHAnsi" w:cstheme="majorBidi"/>
                <w:b/>
                <w:bCs/>
                <w:i/>
                <w:iCs/>
                <w:color w:val="4F81BD" w:themeColor="accent1"/>
                <w:szCs w:val="20"/>
              </w:rPr>
            </w:pPr>
            <w:r>
              <w:t>47</w:t>
            </w:r>
          </w:p>
        </w:tc>
        <w:tc>
          <w:tcPr>
            <w:tcW w:w="924" w:type="pct"/>
            <w:vMerge w:val="restart"/>
            <w:tcBorders>
              <w:left w:val="nil"/>
              <w:right w:val="nil"/>
            </w:tcBorders>
            <w:vAlign w:val="center"/>
          </w:tcPr>
          <w:p w:rsidR="00106AB0" w:rsidRDefault="00106AB0" w:rsidP="00106AB0">
            <w:pPr>
              <w:pStyle w:val="SE4ALLtabletext"/>
              <w:jc w:val="center"/>
            </w:pPr>
            <w:r>
              <w:t>–</w:t>
            </w:r>
            <w:r w:rsidR="00D26D75">
              <w:t xml:space="preserve"> </w:t>
            </w:r>
            <w:r>
              <w:t>1,3</w:t>
            </w:r>
          </w:p>
        </w:tc>
        <w:tc>
          <w:tcPr>
            <w:tcW w:w="1119" w:type="pct"/>
            <w:gridSpan w:val="2"/>
            <w:tcBorders>
              <w:left w:val="nil"/>
              <w:right w:val="nil"/>
            </w:tcBorders>
            <w:vAlign w:val="center"/>
          </w:tcPr>
          <w:p w:rsidR="00106AB0" w:rsidRDefault="00136D6A" w:rsidP="00106AB0">
            <w:pPr>
              <w:pStyle w:val="SE4ALLtabletext"/>
              <w:jc w:val="center"/>
            </w:pPr>
            <w:r>
              <w:t>16,6</w:t>
            </w:r>
          </w:p>
        </w:tc>
      </w:tr>
      <w:tr w:rsidR="00106AB0" w:rsidRPr="00B81A58" w:rsidTr="00106AB0">
        <w:trPr>
          <w:trHeight w:val="679"/>
        </w:trPr>
        <w:tc>
          <w:tcPr>
            <w:tcW w:w="949" w:type="pct"/>
            <w:tcBorders>
              <w:bottom w:val="single" w:sz="2" w:space="0" w:color="000000" w:themeColor="text1"/>
              <w:right w:val="nil"/>
            </w:tcBorders>
            <w:vAlign w:val="center"/>
          </w:tcPr>
          <w:p w:rsidR="00106AB0" w:rsidRDefault="00106AB0" w:rsidP="00CD5A68">
            <w:pPr>
              <w:pStyle w:val="SE4ALLtabletext"/>
              <w:rPr>
                <w:rFonts w:asciiTheme="majorHAnsi" w:eastAsiaTheme="majorEastAsia" w:hAnsiTheme="majorHAnsi" w:cstheme="majorBidi"/>
                <w:b/>
                <w:bCs/>
                <w:i/>
                <w:iCs/>
                <w:color w:val="4F81BD" w:themeColor="accent1"/>
                <w:szCs w:val="20"/>
              </w:rPr>
            </w:pPr>
            <w:r>
              <w:t>Point de départ 2010</w:t>
            </w:r>
          </w:p>
        </w:tc>
        <w:tc>
          <w:tcPr>
            <w:tcW w:w="987" w:type="pct"/>
            <w:tcBorders>
              <w:left w:val="nil"/>
              <w:bottom w:val="single" w:sz="2" w:space="0" w:color="000000" w:themeColor="text1"/>
              <w:right w:val="nil"/>
            </w:tcBorders>
            <w:vAlign w:val="center"/>
          </w:tcPr>
          <w:p w:rsidR="00106AB0" w:rsidRDefault="00106AB0" w:rsidP="00CD5A68">
            <w:pPr>
              <w:pStyle w:val="SE4ALLtabletext"/>
              <w:jc w:val="center"/>
              <w:rPr>
                <w:rFonts w:asciiTheme="majorHAnsi" w:eastAsiaTheme="majorEastAsia" w:hAnsiTheme="majorHAnsi" w:cstheme="majorBidi"/>
                <w:b/>
                <w:bCs/>
                <w:i/>
                <w:iCs/>
                <w:color w:val="4F81BD" w:themeColor="accent1"/>
                <w:szCs w:val="20"/>
              </w:rPr>
            </w:pPr>
            <w:r>
              <w:t>83</w:t>
            </w:r>
          </w:p>
        </w:tc>
        <w:tc>
          <w:tcPr>
            <w:tcW w:w="1021" w:type="pct"/>
            <w:tcBorders>
              <w:left w:val="nil"/>
              <w:bottom w:val="single" w:sz="2" w:space="0" w:color="000000" w:themeColor="text1"/>
              <w:right w:val="nil"/>
            </w:tcBorders>
            <w:vAlign w:val="center"/>
          </w:tcPr>
          <w:p w:rsidR="00106AB0" w:rsidRDefault="00106AB0" w:rsidP="00CD5A68">
            <w:pPr>
              <w:pStyle w:val="SE4ALLtabletext"/>
              <w:jc w:val="center"/>
              <w:rPr>
                <w:rFonts w:asciiTheme="majorHAnsi" w:eastAsiaTheme="majorEastAsia" w:hAnsiTheme="majorHAnsi" w:cstheme="majorBidi"/>
                <w:b/>
                <w:bCs/>
                <w:i/>
                <w:iCs/>
                <w:color w:val="4F81BD" w:themeColor="accent1"/>
                <w:szCs w:val="20"/>
              </w:rPr>
            </w:pPr>
            <w:r>
              <w:t>59</w:t>
            </w:r>
          </w:p>
        </w:tc>
        <w:tc>
          <w:tcPr>
            <w:tcW w:w="924" w:type="pct"/>
            <w:vMerge/>
            <w:tcBorders>
              <w:left w:val="nil"/>
              <w:bottom w:val="single" w:sz="2" w:space="0" w:color="000000" w:themeColor="text1"/>
              <w:right w:val="nil"/>
            </w:tcBorders>
            <w:vAlign w:val="center"/>
          </w:tcPr>
          <w:p w:rsidR="00106AB0" w:rsidRDefault="00106AB0" w:rsidP="00CD5A68">
            <w:pPr>
              <w:pStyle w:val="SE4ALLtabletext"/>
              <w:jc w:val="center"/>
              <w:rPr>
                <w:rFonts w:asciiTheme="majorHAnsi" w:eastAsiaTheme="majorEastAsia" w:hAnsiTheme="majorHAnsi" w:cstheme="majorBidi"/>
                <w:b/>
                <w:bCs/>
                <w:i/>
                <w:iCs/>
                <w:color w:val="4F81BD" w:themeColor="accent1"/>
                <w:szCs w:val="20"/>
              </w:rPr>
            </w:pPr>
          </w:p>
        </w:tc>
        <w:tc>
          <w:tcPr>
            <w:tcW w:w="1119" w:type="pct"/>
            <w:gridSpan w:val="2"/>
            <w:tcBorders>
              <w:left w:val="nil"/>
              <w:bottom w:val="single" w:sz="2" w:space="0" w:color="000000" w:themeColor="text1"/>
              <w:right w:val="nil"/>
            </w:tcBorders>
            <w:vAlign w:val="center"/>
          </w:tcPr>
          <w:p w:rsidR="00106AB0" w:rsidRDefault="00106AB0" w:rsidP="00CD5A68">
            <w:pPr>
              <w:pStyle w:val="SE4ALLtabletext"/>
              <w:jc w:val="center"/>
            </w:pPr>
            <w:r>
              <w:t>18,0</w:t>
            </w:r>
          </w:p>
        </w:tc>
      </w:tr>
      <w:tr w:rsidR="000436AC" w:rsidRPr="00B81A58" w:rsidTr="00106AB0">
        <w:tc>
          <w:tcPr>
            <w:tcW w:w="949" w:type="pct"/>
            <w:tcBorders>
              <w:right w:val="nil"/>
            </w:tcBorders>
            <w:vAlign w:val="center"/>
          </w:tcPr>
          <w:p w:rsidR="000436AC" w:rsidRDefault="000436AC" w:rsidP="00CD5A68">
            <w:pPr>
              <w:pStyle w:val="SE4ALLtabletext"/>
              <w:rPr>
                <w:rFonts w:asciiTheme="majorHAnsi" w:eastAsiaTheme="majorEastAsia" w:hAnsiTheme="majorHAnsi" w:cstheme="majorBidi"/>
                <w:b/>
                <w:bCs/>
                <w:i/>
                <w:iCs/>
                <w:color w:val="4F81BD" w:themeColor="accent1"/>
                <w:szCs w:val="20"/>
              </w:rPr>
            </w:pPr>
            <w:r>
              <w:t>Objectif pour 2030</w:t>
            </w:r>
          </w:p>
        </w:tc>
        <w:tc>
          <w:tcPr>
            <w:tcW w:w="987" w:type="pct"/>
            <w:tcBorders>
              <w:left w:val="nil"/>
              <w:right w:val="nil"/>
            </w:tcBorders>
            <w:vAlign w:val="center"/>
          </w:tcPr>
          <w:p w:rsidR="000436AC" w:rsidRDefault="000436AC" w:rsidP="00CD5A68">
            <w:pPr>
              <w:pStyle w:val="SE4ALLtabletext"/>
              <w:jc w:val="center"/>
              <w:rPr>
                <w:rFonts w:asciiTheme="majorHAnsi" w:eastAsiaTheme="majorEastAsia" w:hAnsiTheme="majorHAnsi" w:cstheme="majorBidi"/>
                <w:b/>
                <w:bCs/>
                <w:i/>
                <w:iCs/>
                <w:color w:val="4F81BD" w:themeColor="accent1"/>
                <w:szCs w:val="20"/>
              </w:rPr>
            </w:pPr>
            <w:r>
              <w:t>100</w:t>
            </w:r>
          </w:p>
        </w:tc>
        <w:tc>
          <w:tcPr>
            <w:tcW w:w="1021" w:type="pct"/>
            <w:tcBorders>
              <w:left w:val="nil"/>
              <w:right w:val="nil"/>
            </w:tcBorders>
            <w:vAlign w:val="center"/>
          </w:tcPr>
          <w:p w:rsidR="000436AC" w:rsidRDefault="000436AC" w:rsidP="00CD5A68">
            <w:pPr>
              <w:pStyle w:val="SE4ALLtabletext"/>
              <w:jc w:val="center"/>
              <w:rPr>
                <w:rFonts w:asciiTheme="majorHAnsi" w:eastAsiaTheme="majorEastAsia" w:hAnsiTheme="majorHAnsi" w:cstheme="majorBidi"/>
                <w:b/>
                <w:bCs/>
                <w:i/>
                <w:iCs/>
                <w:color w:val="4F81BD" w:themeColor="accent1"/>
                <w:szCs w:val="20"/>
              </w:rPr>
            </w:pPr>
            <w:r>
              <w:t>100</w:t>
            </w:r>
          </w:p>
        </w:tc>
        <w:tc>
          <w:tcPr>
            <w:tcW w:w="924" w:type="pct"/>
            <w:tcBorders>
              <w:left w:val="nil"/>
              <w:right w:val="nil"/>
            </w:tcBorders>
            <w:vAlign w:val="center"/>
          </w:tcPr>
          <w:p w:rsidR="000436AC" w:rsidRDefault="00106AB0" w:rsidP="00CD5A68">
            <w:pPr>
              <w:pStyle w:val="SE4ALLtabletext"/>
              <w:jc w:val="center"/>
              <w:rPr>
                <w:rFonts w:asciiTheme="majorHAnsi" w:eastAsiaTheme="majorEastAsia" w:hAnsiTheme="majorHAnsi" w:cstheme="majorBidi"/>
                <w:b/>
                <w:bCs/>
                <w:i/>
                <w:iCs/>
                <w:color w:val="4F81BD" w:themeColor="accent1"/>
                <w:szCs w:val="20"/>
              </w:rPr>
            </w:pPr>
            <w:r>
              <w:t>-2,6</w:t>
            </w:r>
          </w:p>
        </w:tc>
        <w:tc>
          <w:tcPr>
            <w:tcW w:w="1119" w:type="pct"/>
            <w:gridSpan w:val="2"/>
            <w:tcBorders>
              <w:left w:val="nil"/>
              <w:right w:val="nil"/>
            </w:tcBorders>
            <w:vAlign w:val="center"/>
          </w:tcPr>
          <w:p w:rsidR="000436AC" w:rsidRPr="00B81A58" w:rsidRDefault="00106AB0" w:rsidP="00CD5A68">
            <w:pPr>
              <w:pStyle w:val="SE4ALLtabletext"/>
              <w:jc w:val="center"/>
            </w:pPr>
            <w:r>
              <w:t>36,0</w:t>
            </w:r>
          </w:p>
        </w:tc>
      </w:tr>
    </w:tbl>
    <w:p w:rsidR="00701C18" w:rsidRDefault="00701C18" w:rsidP="00701C18">
      <w:pPr>
        <w:pStyle w:val="SE4ALLsource"/>
      </w:pPr>
      <w:r>
        <w:t>Source : Auteurs.</w:t>
      </w:r>
    </w:p>
    <w:p w:rsidR="00CE192B" w:rsidRDefault="00CE192B" w:rsidP="00701C18">
      <w:pPr>
        <w:pStyle w:val="SE4ALLsource"/>
      </w:pPr>
    </w:p>
    <w:p w:rsidR="00B1694E" w:rsidRDefault="00B1694E" w:rsidP="00B1694E">
      <w:pPr>
        <w:pStyle w:val="SE4ALLsource"/>
      </w:pPr>
      <w:r>
        <w:t>* Mesurée en termes d</w:t>
      </w:r>
      <w:r w:rsidR="00D26D75">
        <w:t>’</w:t>
      </w:r>
      <w:r>
        <w:t>énergie primaire et PIB en parité de pouvoir d</w:t>
      </w:r>
      <w:r w:rsidR="00D26D75">
        <w:t>’</w:t>
      </w:r>
      <w:r>
        <w:t>achat</w:t>
      </w:r>
    </w:p>
    <w:p w:rsidR="00CE192B" w:rsidRDefault="009275E5" w:rsidP="00067E45">
      <w:pPr>
        <w:pStyle w:val="Heading2"/>
      </w:pPr>
      <w:r>
        <w:rPr>
          <w:bCs/>
          <w:iCs/>
        </w:rPr>
        <w:t>Les groupes de pays « à fort impact » et « en mutation rapide » seront déterminants</w:t>
      </w:r>
    </w:p>
    <w:p w:rsidR="00701C18" w:rsidRDefault="004E698A" w:rsidP="00701C18">
      <w:pPr>
        <w:pStyle w:val="SE4ALLbodycopy"/>
      </w:pPr>
      <w:r>
        <w:t>Bien qu</w:t>
      </w:r>
      <w:r w:rsidR="00D26D75">
        <w:t>’</w:t>
      </w:r>
      <w:r>
        <w:t xml:space="preserve">il soit important que tous les pays </w:t>
      </w:r>
      <w:r w:rsidR="00096A92">
        <w:t>progressent dans ce domaine</w:t>
      </w:r>
      <w:r>
        <w:t>, la réalisation des objectifs de l</w:t>
      </w:r>
      <w:r w:rsidR="00D26D75">
        <w:t>’</w:t>
      </w:r>
      <w:r>
        <w:t xml:space="preserve">initiative « Une énergie durable pour tous » dépendra en grande partie des efforts menés par certains </w:t>
      </w:r>
      <w:r>
        <w:rPr>
          <w:i/>
          <w:iCs/>
        </w:rPr>
        <w:t>pays à fort impact</w:t>
      </w:r>
      <w:r>
        <w:t>, qui jouent un rôle prépondérant dans les résultats à l</w:t>
      </w:r>
      <w:r w:rsidR="00D26D75">
        <w:t>’</w:t>
      </w:r>
      <w:r>
        <w:t>échelle de la planète. Deux groupes imbriqués de 20 pays d</w:t>
      </w:r>
      <w:r w:rsidR="00D26D75">
        <w:t>’</w:t>
      </w:r>
      <w:r>
        <w:t>Asie et d</w:t>
      </w:r>
      <w:r w:rsidR="00D26D75">
        <w:t>’</w:t>
      </w:r>
      <w:r>
        <w:t>Afrique représentent environ les deux tiers du déficit mondial d</w:t>
      </w:r>
      <w:r w:rsidR="00D26D75">
        <w:t>’</w:t>
      </w:r>
      <w:r>
        <w:t>électrification et les quatre cinquièmes du déficit mondial d</w:t>
      </w:r>
      <w:r w:rsidR="00D26D75">
        <w:t>’</w:t>
      </w:r>
      <w:r>
        <w:t>accès à des combustibles non solides (figure ES.1). L</w:t>
      </w:r>
      <w:r w:rsidR="00D26D75">
        <w:t>’</w:t>
      </w:r>
      <w:r>
        <w:t>atteinte de l</w:t>
      </w:r>
      <w:r w:rsidR="00D26D75">
        <w:t>’</w:t>
      </w:r>
      <w:r>
        <w:t>objectif d</w:t>
      </w:r>
      <w:r w:rsidR="00D26D75">
        <w:t>’</w:t>
      </w:r>
      <w:r>
        <w:t>un accès universel à l</w:t>
      </w:r>
      <w:r w:rsidR="00D26D75">
        <w:t>’</w:t>
      </w:r>
      <w:r>
        <w:t>échelle mondiale dépendra en grande partie des progrès pouvant être accomplis dans ces pays. Un troisième groupe de 20 pays émergents à revenu élevé représente les quatre cinquièmes de la consommation énergétique mondiale. Les objectifs mondiaux de l</w:t>
      </w:r>
      <w:r w:rsidR="00D26D75">
        <w:t>’</w:t>
      </w:r>
      <w:r>
        <w:t>initiative « Une énergie durable pour tous » concernant les énergies renouvelables et l</w:t>
      </w:r>
      <w:r w:rsidR="00D26D75">
        <w:t>’</w:t>
      </w:r>
      <w:r>
        <w:t>efficacité énergétique ne pourront être atteints sans d</w:t>
      </w:r>
      <w:r w:rsidR="00D26D75">
        <w:t>’</w:t>
      </w:r>
      <w:r>
        <w:t>importants progrès dans ces pays à fort impact.</w:t>
      </w:r>
    </w:p>
    <w:p w:rsidR="00B6472F" w:rsidRDefault="00B6472F">
      <w:pPr>
        <w:rPr>
          <w:b/>
        </w:rPr>
      </w:pPr>
      <w:r>
        <w:br w:type="page"/>
      </w:r>
    </w:p>
    <w:p w:rsidR="00701C18" w:rsidRDefault="00701C18" w:rsidP="00701C18">
      <w:pPr>
        <w:pStyle w:val="SE4ALLfigurecaption"/>
      </w:pPr>
      <w:r>
        <w:rPr>
          <w:bCs/>
        </w:rPr>
        <w:lastRenderedPageBreak/>
        <w:t>Figure ES.1.</w:t>
      </w:r>
      <w:r>
        <w:rPr>
          <w:b w:val="0"/>
        </w:rPr>
        <w:t xml:space="preserve"> </w:t>
      </w:r>
      <w:r>
        <w:rPr>
          <w:bCs/>
        </w:rPr>
        <w:t>Pays à fort impact (2010)</w:t>
      </w:r>
    </w:p>
    <w:tbl>
      <w:tblPr>
        <w:tblStyle w:val="TableGrid"/>
        <w:tblW w:w="50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9"/>
        <w:gridCol w:w="3296"/>
        <w:gridCol w:w="3274"/>
      </w:tblGrid>
      <w:tr w:rsidR="00701C18" w:rsidTr="00232C0E">
        <w:tc>
          <w:tcPr>
            <w:tcW w:w="1627" w:type="pct"/>
            <w:vAlign w:val="bottom"/>
          </w:tcPr>
          <w:p w:rsidR="00701C18" w:rsidRDefault="00701C18" w:rsidP="00D26D75">
            <w:pPr>
              <w:pStyle w:val="SE4ALLfiguresubcaption"/>
              <w:rPr>
                <w:rFonts w:asciiTheme="majorHAnsi" w:eastAsiaTheme="majorEastAsia" w:hAnsiTheme="majorHAnsi" w:cstheme="majorBidi"/>
                <w:i/>
                <w:iCs/>
                <w:color w:val="4F81BD" w:themeColor="accent1"/>
              </w:rPr>
            </w:pPr>
            <w:r>
              <w:t>Déficit d</w:t>
            </w:r>
            <w:r w:rsidR="00D26D75">
              <w:t>’</w:t>
            </w:r>
            <w:r>
              <w:t>accès à l</w:t>
            </w:r>
            <w:r w:rsidR="00D26D75">
              <w:t>’</w:t>
            </w:r>
            <w:r>
              <w:t>électricité (millions)</w:t>
            </w:r>
          </w:p>
        </w:tc>
        <w:tc>
          <w:tcPr>
            <w:tcW w:w="1692" w:type="pct"/>
            <w:vAlign w:val="bottom"/>
          </w:tcPr>
          <w:p w:rsidR="00701C18" w:rsidRDefault="00701C18" w:rsidP="00D26D75">
            <w:pPr>
              <w:pStyle w:val="SE4ALLfiguresubcaption"/>
              <w:rPr>
                <w:rFonts w:asciiTheme="majorHAnsi" w:eastAsiaTheme="majorEastAsia" w:hAnsiTheme="majorHAnsi" w:cstheme="majorBidi"/>
                <w:i/>
                <w:iCs/>
                <w:color w:val="4F81BD" w:themeColor="accent1"/>
              </w:rPr>
            </w:pPr>
            <w:r>
              <w:t>Déficit d</w:t>
            </w:r>
            <w:r w:rsidR="00D26D75">
              <w:t>’</w:t>
            </w:r>
            <w:r>
              <w:t>accès à des combustibles non solides (millions)</w:t>
            </w:r>
          </w:p>
        </w:tc>
        <w:tc>
          <w:tcPr>
            <w:tcW w:w="1681" w:type="pct"/>
            <w:vAlign w:val="bottom"/>
          </w:tcPr>
          <w:p w:rsidR="00701C18" w:rsidRDefault="00701C18" w:rsidP="00D26D75">
            <w:pPr>
              <w:pStyle w:val="SE4ALLfiguresubcaption"/>
              <w:rPr>
                <w:rFonts w:asciiTheme="majorHAnsi" w:eastAsiaTheme="majorEastAsia" w:hAnsiTheme="majorHAnsi" w:cstheme="majorBidi"/>
                <w:i/>
                <w:iCs/>
                <w:color w:val="4F81BD" w:themeColor="accent1"/>
              </w:rPr>
            </w:pPr>
            <w:r>
              <w:t>Demande d</w:t>
            </w:r>
            <w:r w:rsidR="00D26D75">
              <w:t>’</w:t>
            </w:r>
            <w:r>
              <w:t>énergie primaire (exajoules)</w:t>
            </w:r>
          </w:p>
        </w:tc>
      </w:tr>
      <w:tr w:rsidR="00701C18" w:rsidTr="008A3773">
        <w:tc>
          <w:tcPr>
            <w:tcW w:w="1627" w:type="pct"/>
          </w:tcPr>
          <w:p w:rsidR="00701C18" w:rsidRDefault="00D10FD8" w:rsidP="008A3773">
            <w:pPr>
              <w:spacing w:after="120"/>
              <w:jc w:val="center"/>
              <w:rPr>
                <w:b/>
              </w:rPr>
            </w:pPr>
            <w:r>
              <w:rPr>
                <w:noProof/>
              </w:rPr>
              <w:drawing>
                <wp:inline distT="0" distB="0" distL="0" distR="0">
                  <wp:extent cx="1824878" cy="2743200"/>
                  <wp:effectExtent l="0" t="0" r="444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1692" w:type="pct"/>
          </w:tcPr>
          <w:p w:rsidR="00701C18" w:rsidRDefault="00701C18" w:rsidP="00CD5A68">
            <w:pPr>
              <w:spacing w:after="120"/>
              <w:jc w:val="center"/>
              <w:rPr>
                <w:b/>
              </w:rPr>
            </w:pPr>
            <w:r>
              <w:rPr>
                <w:noProof/>
              </w:rPr>
              <w:drawing>
                <wp:inline distT="0" distB="0" distL="0" distR="0">
                  <wp:extent cx="1838325" cy="2743200"/>
                  <wp:effectExtent l="0" t="0" r="0" b="0"/>
                  <wp:docPr id="5" name="Chart 2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1681" w:type="pct"/>
          </w:tcPr>
          <w:p w:rsidR="00701C18" w:rsidRDefault="00701C18" w:rsidP="00CD5A68">
            <w:pPr>
              <w:spacing w:after="120"/>
              <w:jc w:val="center"/>
              <w:rPr>
                <w:b/>
              </w:rPr>
            </w:pPr>
            <w:r>
              <w:rPr>
                <w:noProof/>
              </w:rPr>
              <w:drawing>
                <wp:inline distT="0" distB="0" distL="0" distR="0">
                  <wp:extent cx="1838325" cy="2743200"/>
                  <wp:effectExtent l="0" t="0" r="0" b="0"/>
                  <wp:docPr id="6" name="Chart 2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E15C2C" w:rsidRDefault="00E15C2C" w:rsidP="00E15C2C">
      <w:pPr>
        <w:pStyle w:val="SE4ALLbodycopy"/>
      </w:pPr>
      <w:r>
        <w:t>Lors de la formulation de la voie à suivre pour atteindre les objectifs de l</w:t>
      </w:r>
      <w:r w:rsidR="00D26D75">
        <w:t>’</w:t>
      </w:r>
      <w:r>
        <w:t>initiative « Une énergie durable pour tous », il sera également important de tirer les enseignements de l</w:t>
      </w:r>
      <w:r w:rsidR="00D26D75">
        <w:t>’</w:t>
      </w:r>
      <w:r>
        <w:t xml:space="preserve">expérience des </w:t>
      </w:r>
      <w:r>
        <w:rPr>
          <w:i/>
          <w:iCs/>
        </w:rPr>
        <w:t>pays à mutation rapide</w:t>
      </w:r>
      <w:r>
        <w:t xml:space="preserve"> qui ont accompli des progrès relativement rapides au cours de la période 1990-2010 concernant les trois indicateurs énergétiques. Dans le cas de l</w:t>
      </w:r>
      <w:r w:rsidR="00D26D75">
        <w:t>’</w:t>
      </w:r>
      <w:r>
        <w:t>électrification et des combustibles pour la cuisson des aliments, l</w:t>
      </w:r>
      <w:r w:rsidR="00D26D75">
        <w:t>’</w:t>
      </w:r>
      <w:r>
        <w:t>augmentation de l</w:t>
      </w:r>
      <w:r w:rsidR="00D26D75">
        <w:t>’</w:t>
      </w:r>
      <w:r>
        <w:t>accès à ces sources d</w:t>
      </w:r>
      <w:r w:rsidR="00D26D75">
        <w:t>’</w:t>
      </w:r>
      <w:r>
        <w:t>énergie dans les pays connaissant une mutation particulièrement rapide représente chaque année entre 3 à 4</w:t>
      </w:r>
      <w:r w:rsidR="00D26D75">
        <w:t> </w:t>
      </w:r>
      <w:r>
        <w:t>% de leur population. Les améliorations les plus rapides de l</w:t>
      </w:r>
      <w:r w:rsidR="00D26D75">
        <w:t>’</w:t>
      </w:r>
      <w:r>
        <w:t xml:space="preserve">intensité énergétique, qui atteignent un taux de croissance annuel cumulé de moins 4 à </w:t>
      </w:r>
      <w:r w:rsidR="007F209C">
        <w:t>moins</w:t>
      </w:r>
      <w:r w:rsidR="001D1B14">
        <w:t xml:space="preserve"> </w:t>
      </w:r>
      <w:r>
        <w:t>8</w:t>
      </w:r>
      <w:r w:rsidR="00D26D75">
        <w:t> </w:t>
      </w:r>
      <w:r>
        <w:t>%, ont été obtenues dans les pays où l</w:t>
      </w:r>
      <w:r w:rsidR="00D26D75">
        <w:t>’</w:t>
      </w:r>
      <w:r>
        <w:t>intensité énergétique était élevée et où les gains d</w:t>
      </w:r>
      <w:r w:rsidR="00D26D75">
        <w:t>’</w:t>
      </w:r>
      <w:r>
        <w:t>efficacité étaient relativement facilement réalisables. Dans le cas des énergies renouvelables, les pays connaissant une mutation particulièrement rapide ont enregistré des taux de croissance annuels cumulés de 10 à 15</w:t>
      </w:r>
      <w:r w:rsidR="00D26D75">
        <w:t> </w:t>
      </w:r>
      <w:r>
        <w:t>% de la consommation d</w:t>
      </w:r>
      <w:r w:rsidR="00D26D75">
        <w:t>’</w:t>
      </w:r>
      <w:r>
        <w:t>énergie issue de sources renouvelables (hors biomasse traditionnelle), bien que leur point de départ était très bas.</w:t>
      </w:r>
    </w:p>
    <w:p w:rsidR="00E15C2C" w:rsidRDefault="00E15C2C" w:rsidP="00E15C2C">
      <w:pPr>
        <w:pStyle w:val="SE4ALLbodycopy"/>
      </w:pPr>
      <w:r>
        <w:t>Si l</w:t>
      </w:r>
      <w:r w:rsidR="00D26D75">
        <w:t>’</w:t>
      </w:r>
      <w:r>
        <w:t>on tient compte de ces trois aspects du développement du secteur énergétique, la Chine et, dans une moindre mesure, l</w:t>
      </w:r>
      <w:r w:rsidR="00D26D75">
        <w:t>’</w:t>
      </w:r>
      <w:r>
        <w:t xml:space="preserve">Inde se distinguent en tant que pays à fort impact </w:t>
      </w:r>
      <w:r>
        <w:rPr>
          <w:i/>
          <w:iCs/>
        </w:rPr>
        <w:t>et</w:t>
      </w:r>
      <w:r>
        <w:t xml:space="preserve"> à mutation rapide.</w:t>
      </w:r>
    </w:p>
    <w:p w:rsidR="009275E5" w:rsidRDefault="009275E5" w:rsidP="00067E45">
      <w:pPr>
        <w:pStyle w:val="Heading2"/>
      </w:pPr>
      <w:r>
        <w:rPr>
          <w:bCs/>
          <w:iCs/>
        </w:rPr>
        <w:t>Comment évaluer l</w:t>
      </w:r>
      <w:r w:rsidR="00D26D75">
        <w:rPr>
          <w:bCs/>
          <w:iCs/>
        </w:rPr>
        <w:t>’</w:t>
      </w:r>
      <w:r>
        <w:rPr>
          <w:bCs/>
          <w:iCs/>
        </w:rPr>
        <w:t>ampleur du défi que représente l</w:t>
      </w:r>
      <w:r w:rsidR="00D26D75">
        <w:rPr>
          <w:bCs/>
          <w:iCs/>
        </w:rPr>
        <w:t>’</w:t>
      </w:r>
      <w:r>
        <w:rPr>
          <w:bCs/>
          <w:iCs/>
        </w:rPr>
        <w:t>énergie durable</w:t>
      </w:r>
      <w:r w:rsidR="00D26D75">
        <w:rPr>
          <w:bCs/>
          <w:iCs/>
        </w:rPr>
        <w:t>…</w:t>
      </w:r>
    </w:p>
    <w:p w:rsidR="00240AF1" w:rsidRPr="00A918FC" w:rsidRDefault="00630EAE" w:rsidP="00A918FC">
      <w:pPr>
        <w:pStyle w:val="SE4ALLbodycopy"/>
      </w:pPr>
      <w:r>
        <w:t>Comment pourra-t-on atteindre les trois objectifs énergétiques de l</w:t>
      </w:r>
      <w:r w:rsidR="00D26D75">
        <w:t>’</w:t>
      </w:r>
      <w:r>
        <w:t>initiative « Une énergie durable pour tous » à l</w:t>
      </w:r>
      <w:r w:rsidR="00D26D75">
        <w:t>’</w:t>
      </w:r>
      <w:r>
        <w:t xml:space="preserve">échelle mondiale à </w:t>
      </w:r>
      <w:r w:rsidR="007F209C">
        <w:t>l</w:t>
      </w:r>
      <w:r w:rsidR="001D1B14">
        <w:t>’</w:t>
      </w:r>
      <w:r w:rsidR="007F209C">
        <w:t xml:space="preserve">horizon </w:t>
      </w:r>
      <w:r>
        <w:t>2030</w:t>
      </w:r>
      <w:r w:rsidR="00D26D75">
        <w:t> </w:t>
      </w:r>
      <w:r>
        <w:t>? Les scénarios fondés sur les modèles énergétiques mondiaux permettent d</w:t>
      </w:r>
      <w:r w:rsidR="00D26D75">
        <w:t>’</w:t>
      </w:r>
      <w:r>
        <w:t>évaluer l</w:t>
      </w:r>
      <w:r w:rsidR="00D26D75">
        <w:t>’</w:t>
      </w:r>
      <w:r>
        <w:t>ampleur de l</w:t>
      </w:r>
      <w:r w:rsidR="00D26D75">
        <w:t>’</w:t>
      </w:r>
      <w:r>
        <w:t>effort mondial nécessaire pour atteindre ces trois objectifs. Ces scénarios montrent clairement que les choses ne changeront pas toutes seules. Pour ce qui est de l</w:t>
      </w:r>
      <w:r w:rsidR="00D26D75">
        <w:t>’</w:t>
      </w:r>
      <w:r>
        <w:t>accès universel, 12 et 31</w:t>
      </w:r>
      <w:r w:rsidR="00D26D75">
        <w:t> </w:t>
      </w:r>
      <w:r>
        <w:t>% de la population mondiale se trouveront en 2030 sans électricité et sans solutions de cuisson modernes respectivement si aucune mesure n</w:t>
      </w:r>
      <w:r w:rsidR="00D26D75">
        <w:t>’</w:t>
      </w:r>
      <w:r>
        <w:t>est prise. Pour ce qui est de l</w:t>
      </w:r>
      <w:r w:rsidR="00D26D75">
        <w:t>’</w:t>
      </w:r>
      <w:r>
        <w:t xml:space="preserve">efficacité énergétique, la mise en œuvre de toutes les mesures actuellement disponibles avec des </w:t>
      </w:r>
      <w:r>
        <w:lastRenderedPageBreak/>
        <w:t>périodes d</w:t>
      </w:r>
      <w:r w:rsidR="00D26D75">
        <w:t>’</w:t>
      </w:r>
      <w:r>
        <w:t>amortissement raisonnables serait suffisante pour atteindre, voire dépasser, les objectifs de l</w:t>
      </w:r>
      <w:r w:rsidR="00D26D75">
        <w:t>’</w:t>
      </w:r>
      <w:r w:rsidR="007F209C">
        <w:t>initiative</w:t>
      </w:r>
      <w:r>
        <w:t>. Des obstacles entravent toutefois l</w:t>
      </w:r>
      <w:r w:rsidR="00D26D75">
        <w:t>’</w:t>
      </w:r>
      <w:r>
        <w:t>application d</w:t>
      </w:r>
      <w:r w:rsidR="00D26D75">
        <w:t>’</w:t>
      </w:r>
      <w:r>
        <w:t>un grand nombre de ces mesures et leur adoption est donc relativement faible, et se situe entre environ 20</w:t>
      </w:r>
      <w:r w:rsidR="00D26D75">
        <w:t> </w:t>
      </w:r>
      <w:r>
        <w:t>% pour la production d</w:t>
      </w:r>
      <w:r w:rsidR="00D26D75">
        <w:t>’</w:t>
      </w:r>
      <w:r>
        <w:t>électricité et le bâtiment et 40</w:t>
      </w:r>
      <w:r w:rsidR="00D26D75">
        <w:t> </w:t>
      </w:r>
      <w:r>
        <w:t>% pour la fabrication de produits finis et les transports. Pour ce qui est des énergies renouvelables, les scénarios laissant présager une part supérieure à 30</w:t>
      </w:r>
      <w:r w:rsidR="00D26D75">
        <w:t> </w:t>
      </w:r>
      <w:r>
        <w:t xml:space="preserve">% à </w:t>
      </w:r>
      <w:r w:rsidR="007F209C">
        <w:t>l</w:t>
      </w:r>
      <w:r w:rsidR="001D1B14">
        <w:t>’</w:t>
      </w:r>
      <w:r w:rsidR="007F209C">
        <w:t xml:space="preserve">horizon </w:t>
      </w:r>
      <w:r>
        <w:t>2030 sont peu nombreux.</w:t>
      </w:r>
    </w:p>
    <w:p w:rsidR="00077CC6" w:rsidRDefault="00BA02FB" w:rsidP="00961B15">
      <w:pPr>
        <w:pStyle w:val="SE4ALLbodycopy"/>
      </w:pPr>
      <w:r>
        <w:t>Les investissements mondiaux actuels dans les domaines couverts par les trois objectifs de l</w:t>
      </w:r>
      <w:r w:rsidR="00D26D75">
        <w:t>’</w:t>
      </w:r>
      <w:r>
        <w:t>initiative « Une énergie durable pour tous » ont été estimés en 2010 à environ 400</w:t>
      </w:r>
      <w:r w:rsidR="00D26D75">
        <w:t> </w:t>
      </w:r>
      <w:r>
        <w:t xml:space="preserve">milliards de dollars. Les investissements nécessaires pour </w:t>
      </w:r>
      <w:r>
        <w:rPr>
          <w:i/>
          <w:iCs/>
        </w:rPr>
        <w:t>atteindre</w:t>
      </w:r>
      <w:r>
        <w:t xml:space="preserve"> les trois objectifs ont été estimés de manière approximative à au moins 600 à 800</w:t>
      </w:r>
      <w:r w:rsidR="00D26D75">
        <w:t> </w:t>
      </w:r>
      <w:r>
        <w:t xml:space="preserve">milliards de dollars par an </w:t>
      </w:r>
      <w:r>
        <w:rPr>
          <w:i/>
          <w:iCs/>
        </w:rPr>
        <w:t xml:space="preserve">de plus </w:t>
      </w:r>
      <w:r>
        <w:t>que les niveaux actuels, soit le double ou le triple des flux financiers actuels. Ces investissements sont pour l</w:t>
      </w:r>
      <w:r w:rsidR="00D26D75">
        <w:t>’</w:t>
      </w:r>
      <w:r>
        <w:t>essentiel liés aux objectifs concernant l</w:t>
      </w:r>
      <w:r w:rsidR="00D26D75">
        <w:t>’</w:t>
      </w:r>
      <w:r>
        <w:t>efficacité énergétique et les énergies renouvelables, les dépenses relatives à l</w:t>
      </w:r>
      <w:r w:rsidR="00D26D75">
        <w:t>’</w:t>
      </w:r>
      <w:r>
        <w:t>accès représentant une part relativement faible des coûts différentiels (10 à 20</w:t>
      </w:r>
      <w:r w:rsidR="00D26D75">
        <w:t> </w:t>
      </w:r>
      <w:r>
        <w:t>%). Une augmentation aussi forte du financement de l</w:t>
      </w:r>
      <w:r w:rsidR="00D26D75">
        <w:t>’</w:t>
      </w:r>
      <w:r>
        <w:t>énergie ne sera sans doute pas possible sans d</w:t>
      </w:r>
      <w:r w:rsidR="00D26D75">
        <w:t>’</w:t>
      </w:r>
      <w:r>
        <w:t>importants investissements du secteur privé.</w:t>
      </w:r>
    </w:p>
    <w:p w:rsidR="00077CC6" w:rsidRDefault="00A82A8C" w:rsidP="00961B15">
      <w:pPr>
        <w:pStyle w:val="SE4ALLbodycopy"/>
      </w:pPr>
      <w:r>
        <w:t xml:space="preserve">Les modèles énergétiques mondiaux permettent également de préciser le type de mesures gouvernementales nécessaires pour atteindre les trois objectifs concernant les énergies renouvelables. Les </w:t>
      </w:r>
      <w:r>
        <w:rPr>
          <w:i/>
          <w:iCs/>
        </w:rPr>
        <w:t>Perspectives énergétiques mondiales</w:t>
      </w:r>
      <w:r>
        <w:t xml:space="preserve"> de l</w:t>
      </w:r>
      <w:r w:rsidR="00D26D75">
        <w:t>’</w:t>
      </w:r>
      <w:r>
        <w:t>AIE et l</w:t>
      </w:r>
      <w:r w:rsidR="00D26D75">
        <w:t>’</w:t>
      </w:r>
      <w:r>
        <w:t>Évaluation de l</w:t>
      </w:r>
      <w:r w:rsidR="00D26D75">
        <w:t>’</w:t>
      </w:r>
      <w:r>
        <w:t>énergie dans le monde de l</w:t>
      </w:r>
      <w:r w:rsidR="00D26D75">
        <w:t>’</w:t>
      </w:r>
      <w:r>
        <w:t>Institut international pour l</w:t>
      </w:r>
      <w:r w:rsidR="00D26D75">
        <w:t>’</w:t>
      </w:r>
      <w:r>
        <w:t>analyse des systèmes appliqués (IIASA) soulignent le besoin d</w:t>
      </w:r>
      <w:r w:rsidR="00D26D75">
        <w:t>’</w:t>
      </w:r>
      <w:r>
        <w:t>éliminer progressivement les subventions accordées aux combustibles fossiles, de fixer le prix de l</w:t>
      </w:r>
      <w:r w:rsidR="00D26D75">
        <w:t>’</w:t>
      </w:r>
      <w:r>
        <w:t>énergie en tenant pleinement compte de tous les coûts environnementaux locaux et mondiaux associés, d</w:t>
      </w:r>
      <w:r w:rsidR="00D26D75">
        <w:t>’</w:t>
      </w:r>
      <w:r>
        <w:t>adopter des normes techniques mondiales cohérentes en matière d</w:t>
      </w:r>
      <w:r w:rsidR="00D26D75">
        <w:t>’</w:t>
      </w:r>
      <w:r>
        <w:t>efficacité énergétique et de bien concevoir des subventions ciblées pour améliorer l</w:t>
      </w:r>
      <w:r w:rsidR="00D26D75">
        <w:t>’</w:t>
      </w:r>
      <w:r>
        <w:t>accès à l</w:t>
      </w:r>
      <w:r w:rsidR="00D26D75">
        <w:t>’</w:t>
      </w:r>
      <w:r>
        <w:t>électricité et à des combustibles propres pour la cuisson des aliments.</w:t>
      </w:r>
    </w:p>
    <w:p w:rsidR="009275E5" w:rsidRDefault="009275E5" w:rsidP="00067E45">
      <w:pPr>
        <w:pStyle w:val="Heading2"/>
      </w:pPr>
      <w:r>
        <w:rPr>
          <w:bCs/>
          <w:iCs/>
        </w:rPr>
        <w:t>… et les chemins les plus courts pour atteindre le but recherché</w:t>
      </w:r>
    </w:p>
    <w:p w:rsidR="00961B15" w:rsidRDefault="00BA02FB" w:rsidP="00961B15">
      <w:pPr>
        <w:pStyle w:val="SE4ALLbodycopy"/>
      </w:pPr>
      <w:r>
        <w:t>Le Cadre de suivi mondial définit également les types d</w:t>
      </w:r>
      <w:r w:rsidR="00D26D75">
        <w:t>’</w:t>
      </w:r>
      <w:r>
        <w:t>efforts qui seront probablement nécessaires dans les diverses régions géographiques pour atteindre les trois objectifs, compte tenu de leurs points de départ, de leur potentiel d</w:t>
      </w:r>
      <w:r w:rsidR="00D26D75">
        <w:t>’</w:t>
      </w:r>
      <w:r>
        <w:t>amélioration et de leur avantage comparatif. Pour ce qui est de l</w:t>
      </w:r>
      <w:r w:rsidR="00D26D75">
        <w:t>’</w:t>
      </w:r>
      <w:r>
        <w:t>efficacité énergétique, les taux d</w:t>
      </w:r>
      <w:r w:rsidR="00D26D75">
        <w:t>’</w:t>
      </w:r>
      <w:r>
        <w:t>amélioration les plus élevés – environ moins 4</w:t>
      </w:r>
      <w:r w:rsidR="00D26D75">
        <w:t> </w:t>
      </w:r>
      <w:r>
        <w:t>% par an – sont anticipés pour l</w:t>
      </w:r>
      <w:r w:rsidR="00D26D75">
        <w:t>’</w:t>
      </w:r>
      <w:r>
        <w:t>Asie (en particulier la Chine) et les pays de l</w:t>
      </w:r>
      <w:r w:rsidR="00D26D75">
        <w:t>’</w:t>
      </w:r>
      <w:r>
        <w:t>ex-Union soviétique. Pour ce qui est des énergies renouvelables, l</w:t>
      </w:r>
      <w:r w:rsidR="00D26D75">
        <w:t>’</w:t>
      </w:r>
      <w:r>
        <w:t>Amérique latine et l</w:t>
      </w:r>
      <w:r w:rsidR="00D26D75">
        <w:t>’</w:t>
      </w:r>
      <w:r>
        <w:t>Afrique subsaharienne (cette dernière du fait de sa forte utilisation de la biomasse traditionnelle) se profilent comme les régions où la part des énergies renouvelables devrait être la plus élevée en 2030 (plus de 50</w:t>
      </w:r>
      <w:r w:rsidR="00D26D75">
        <w:t> </w:t>
      </w:r>
      <w:r>
        <w:t>%) alors qu</w:t>
      </w:r>
      <w:r w:rsidR="00D26D75">
        <w:t>’</w:t>
      </w:r>
      <w:r>
        <w:t>elle devrait se situer entre 20 et 40</w:t>
      </w:r>
      <w:r w:rsidR="00D26D75">
        <w:t> </w:t>
      </w:r>
      <w:r>
        <w:t>% dans une bonne partie du reste du monde.</w:t>
      </w:r>
    </w:p>
    <w:p w:rsidR="00A82A8C" w:rsidRDefault="007613C9" w:rsidP="00A82A8C">
      <w:pPr>
        <w:pStyle w:val="SE4ALLbodycopy"/>
      </w:pPr>
      <w:r>
        <w:t>De plus, les modèles énergétiques mondiaux précisent les interactions (généralement complémentaires) existant entre les objectifs de l</w:t>
      </w:r>
      <w:r w:rsidR="00D26D75">
        <w:t>’</w:t>
      </w:r>
      <w:r>
        <w:t>initiative « Une énergie durable pour tous »</w:t>
      </w:r>
      <w:r w:rsidR="007F209C">
        <w:t>,</w:t>
      </w:r>
      <w:r>
        <w:t xml:space="preserve"> ainsi que leur impact sur le changement climatique et les autres grands problèmes mondiaux. L</w:t>
      </w:r>
      <w:r w:rsidR="00D26D75">
        <w:t>’</w:t>
      </w:r>
      <w:r>
        <w:t>atteinte de l</w:t>
      </w:r>
      <w:r w:rsidR="00D26D75">
        <w:t>’</w:t>
      </w:r>
      <w:r>
        <w:t>objectif sur les énergies renouvelables sera par exemple facilitée par les progrès en matière d</w:t>
      </w:r>
      <w:r w:rsidR="00D26D75">
        <w:t>’</w:t>
      </w:r>
      <w:r>
        <w:t>efficacité énergétique et le ralentissement associé de la croissance de la demande énergétique cumulée. De plus, l</w:t>
      </w:r>
      <w:r w:rsidR="00D26D75">
        <w:t>’</w:t>
      </w:r>
      <w:r>
        <w:t xml:space="preserve">AIE estime que ni </w:t>
      </w:r>
      <w:r>
        <w:lastRenderedPageBreak/>
        <w:t>l</w:t>
      </w:r>
      <w:r w:rsidR="00D26D75">
        <w:t>’</w:t>
      </w:r>
      <w:r>
        <w:t xml:space="preserve">efficacité énergétique ni les énergies renouvelables ne pourront </w:t>
      </w:r>
      <w:r>
        <w:rPr>
          <w:i/>
          <w:iCs/>
        </w:rPr>
        <w:t>à elles seules</w:t>
      </w:r>
      <w:r>
        <w:t xml:space="preserve"> limiter le réchauffement planétaire à deux degrés Celsius à l</w:t>
      </w:r>
      <w:r w:rsidR="00D26D75">
        <w:t>’</w:t>
      </w:r>
      <w:r>
        <w:t>horizon 2030, mais que leur effet conjugué pourrait permettre de se rapprocher de cet objectif. L</w:t>
      </w:r>
      <w:r w:rsidR="00D26D75">
        <w:t>’</w:t>
      </w:r>
      <w:r>
        <w:t>accès universel à des services énergétiques modernes entraînerait néanmoins une augmentation négligeable des émissions de dioxyde de carbone (0,6</w:t>
      </w:r>
      <w:r w:rsidR="00D26D75">
        <w:t> </w:t>
      </w:r>
      <w:r>
        <w:t>%) par rapport au scénario actuel. L</w:t>
      </w:r>
      <w:r w:rsidR="00D26D75">
        <w:t>’</w:t>
      </w:r>
      <w:r>
        <w:t>Évaluation de l</w:t>
      </w:r>
      <w:r w:rsidR="00D26D75">
        <w:t>’</w:t>
      </w:r>
      <w:r>
        <w:t>énergie dans le monde estime que la probabilité de limiter le réchauffement planétaire de deux degrés Celsius augmentera de 66 à 90</w:t>
      </w:r>
      <w:r w:rsidR="00D26D75">
        <w:t> </w:t>
      </w:r>
      <w:r>
        <w:t>% lorsque les objectifs de l</w:t>
      </w:r>
      <w:r w:rsidR="00D26D75">
        <w:t>’</w:t>
      </w:r>
      <w:r>
        <w:t>initiative « Une énergie durable pour tous » concernant les énergies renouvelables et l</w:t>
      </w:r>
      <w:r w:rsidR="00D26D75">
        <w:t>’</w:t>
      </w:r>
      <w:r>
        <w:t xml:space="preserve">efficacité énergétique seront atteints </w:t>
      </w:r>
      <w:r>
        <w:rPr>
          <w:i/>
          <w:iCs/>
        </w:rPr>
        <w:t>simultanément</w:t>
      </w:r>
      <w:r>
        <w:t>, soit plus que si l</w:t>
      </w:r>
      <w:r w:rsidR="00D26D75">
        <w:t>’</w:t>
      </w:r>
      <w:r>
        <w:t>un ou l</w:t>
      </w:r>
      <w:r w:rsidR="00D26D75">
        <w:t>’</w:t>
      </w:r>
      <w:r>
        <w:t>autre de ces objectifs est atteint séparément. L</w:t>
      </w:r>
      <w:r w:rsidR="00D26D75">
        <w:t>’</w:t>
      </w:r>
      <w:r>
        <w:t>accès universel à des solutions de cuisson modernes, qui augmenterait le recours à des combustibles non solides généralement fossiles</w:t>
      </w:r>
      <w:r w:rsidR="007C5EFA">
        <w:t>,</w:t>
      </w:r>
      <w:r>
        <w:t xml:space="preserve"> aurait un faible effet compensateur, réduisant la part des énergies renouvelables dans le panier énergétique mondial de quelque 2</w:t>
      </w:r>
      <w:r w:rsidR="00D26D75">
        <w:t> </w:t>
      </w:r>
      <w:r>
        <w:t>%, avec un impact négligeable sur la probabilité d</w:t>
      </w:r>
      <w:r w:rsidR="00D26D75">
        <w:t>’</w:t>
      </w:r>
      <w:r>
        <w:t>atteindre la cible de deux degrés Celsius.</w:t>
      </w:r>
    </w:p>
    <w:p w:rsidR="001954FD" w:rsidRDefault="001954FD" w:rsidP="00067E45">
      <w:pPr>
        <w:pStyle w:val="Heading2"/>
      </w:pPr>
      <w:r>
        <w:rPr>
          <w:bCs/>
          <w:iCs/>
        </w:rPr>
        <w:t>Améliorer les méthodes statistiques pour améliorer le suivi</w:t>
      </w:r>
    </w:p>
    <w:p w:rsidR="00AF4E71" w:rsidRDefault="00254491" w:rsidP="00067E45">
      <w:pPr>
        <w:pStyle w:val="SE4ALLbodycopy"/>
      </w:pPr>
      <w:r>
        <w:t>Pour ce qui est de l</w:t>
      </w:r>
      <w:r w:rsidR="00D26D75">
        <w:t>’</w:t>
      </w:r>
      <w:r>
        <w:t>avenir, bien que la méthodologie du Cadre de suivi mondial de l</w:t>
      </w:r>
      <w:r w:rsidR="00D26D75">
        <w:t>’</w:t>
      </w:r>
      <w:r>
        <w:t>initiative « Une énergie durable pour tous » fournisse une plateforme appropriée pour effectuer un suivi mondial élémentaire, ce cadre pourrait être considérablement amélioré. Le suivi actif des progrès d</w:t>
      </w:r>
      <w:r w:rsidR="00D26D75">
        <w:t>’</w:t>
      </w:r>
      <w:r>
        <w:t>ici à 2030 nécessitera des investissements progressifs dans les systèmes de données sur l</w:t>
      </w:r>
      <w:r w:rsidR="00D26D75">
        <w:t>’</w:t>
      </w:r>
      <w:r>
        <w:t>énergie, aux niveaux tant mondial que national. Ces améliorations d</w:t>
      </w:r>
      <w:r w:rsidR="00D26D75">
        <w:t>’</w:t>
      </w:r>
      <w:r>
        <w:t>un bon rapport coût-efficacité et à fort impact pourraient se concrétiser au cours des cinq prochaines années, sous réserve des fonds disponibles. Pour ce qui est de l</w:t>
      </w:r>
      <w:r w:rsidR="00D26D75">
        <w:t>’</w:t>
      </w:r>
      <w:r>
        <w:t>accès à l</w:t>
      </w:r>
      <w:r w:rsidR="00D26D75">
        <w:t>’</w:t>
      </w:r>
      <w:r>
        <w:t xml:space="preserve">énergie, il </w:t>
      </w:r>
      <w:r w:rsidR="007F209C">
        <w:t>conviendra d</w:t>
      </w:r>
      <w:r w:rsidR="001D1B14">
        <w:t>’</w:t>
      </w:r>
      <w:r>
        <w:t xml:space="preserve">aller au-delà des mesures binaires et </w:t>
      </w:r>
      <w:r w:rsidR="007F209C">
        <w:t>d</w:t>
      </w:r>
      <w:r w:rsidR="001D1B14">
        <w:t>’</w:t>
      </w:r>
      <w:r>
        <w:t>adopter un cadre à plusieurs niveaux qui permette de mieux suivre la quantité et la qualité de l</w:t>
      </w:r>
      <w:r w:rsidR="00D26D75">
        <w:t>’</w:t>
      </w:r>
      <w:r>
        <w:t>électricité fournie, ainsi que l</w:t>
      </w:r>
      <w:r w:rsidR="00D26D75">
        <w:t>’</w:t>
      </w:r>
      <w:r>
        <w:t>efficacité, la sécurité et la commodité des cuisinières, y compris de celles qui utilisent la biomasse. Pour ce qui est de l</w:t>
      </w:r>
      <w:r w:rsidR="00D26D75">
        <w:t>’</w:t>
      </w:r>
      <w:r>
        <w:t>efficacité énergétique, la principale préoccupation concerne le renforcement des capacités des pays à produire des données désagrégées sur la consommation énergétique sectorielle et sous-sectorielle, qui soient pleinement intégrées aux mesures de production de ces secteurs. Dans le cas des énergies renouvelables, la principale priorité sera d</w:t>
      </w:r>
      <w:r w:rsidR="00D26D75">
        <w:t>’</w:t>
      </w:r>
      <w:r>
        <w:t>améliorer la capacité d</w:t>
      </w:r>
      <w:r w:rsidR="00D26D75">
        <w:t>’</w:t>
      </w:r>
      <w:r>
        <w:t>évaluer la viabilité de divers types d</w:t>
      </w:r>
      <w:r w:rsidR="00D26D75">
        <w:t>’</w:t>
      </w:r>
      <w:r>
        <w:t>énergies renouvelables, en particulier de la biomasse traditionnelle. Toutes ces améliorations statistiques s</w:t>
      </w:r>
      <w:r w:rsidR="007F209C">
        <w:t>er</w:t>
      </w:r>
      <w:r>
        <w:t>ont nécessaires pour appuyer l</w:t>
      </w:r>
      <w:r w:rsidR="00D26D75">
        <w:t>’</w:t>
      </w:r>
      <w:r>
        <w:t xml:space="preserve">élaboration et la mise en œuvre de politiques produisant des résultats tangibles. Le renforcement des capacités des pays à élaborer de meilleurs indicateurs et </w:t>
      </w:r>
      <w:r w:rsidR="001D1B14">
        <w:t xml:space="preserve">à </w:t>
      </w:r>
      <w:r>
        <w:t>s</w:t>
      </w:r>
      <w:r w:rsidR="00D26D75">
        <w:t>’</w:t>
      </w:r>
      <w:r>
        <w:t>y adapter est une tâche importante.</w:t>
      </w:r>
    </w:p>
    <w:p w:rsidR="001954FD" w:rsidRDefault="001954FD" w:rsidP="00067E45">
      <w:pPr>
        <w:pStyle w:val="Heading2"/>
      </w:pPr>
      <w:r>
        <w:rPr>
          <w:bCs/>
          <w:iCs/>
        </w:rPr>
        <w:t>Une politique ambitieuse</w:t>
      </w:r>
      <w:r w:rsidR="00D26D75">
        <w:rPr>
          <w:bCs/>
          <w:iCs/>
        </w:rPr>
        <w:t>…</w:t>
      </w:r>
      <w:r>
        <w:rPr>
          <w:bCs/>
          <w:iCs/>
        </w:rPr>
        <w:t xml:space="preserve"> et un environnement propice à l</w:t>
      </w:r>
      <w:r w:rsidR="00D26D75">
        <w:rPr>
          <w:bCs/>
          <w:iCs/>
        </w:rPr>
        <w:t>’</w:t>
      </w:r>
      <w:r>
        <w:rPr>
          <w:bCs/>
          <w:iCs/>
        </w:rPr>
        <w:t>investissement et l</w:t>
      </w:r>
      <w:r w:rsidR="00D26D75">
        <w:rPr>
          <w:bCs/>
          <w:iCs/>
        </w:rPr>
        <w:t>’</w:t>
      </w:r>
      <w:r>
        <w:rPr>
          <w:bCs/>
          <w:iCs/>
        </w:rPr>
        <w:t>innovation</w:t>
      </w:r>
    </w:p>
    <w:p w:rsidR="007613C9" w:rsidRDefault="007613C9" w:rsidP="00067E45">
      <w:pPr>
        <w:pStyle w:val="SE4ALLbodycopy"/>
      </w:pPr>
      <w:r>
        <w:t>Enfin, compte tenu de l</w:t>
      </w:r>
      <w:r w:rsidR="00D26D75">
        <w:t>’</w:t>
      </w:r>
      <w:r>
        <w:t>ampleur du défi à relever pour atteindre les trois objectifs de l</w:t>
      </w:r>
      <w:r w:rsidR="00D26D75">
        <w:t>’</w:t>
      </w:r>
      <w:r>
        <w:t>initiative « Une énergie durable pour tous », il ne fait aucun doute que des mesures gouvernementales ambitieuses, associées à un environnement réglementaire et institutionnel propice à l</w:t>
      </w:r>
      <w:r w:rsidR="00D26D75">
        <w:t>’</w:t>
      </w:r>
      <w:r>
        <w:t>innovation et à l</w:t>
      </w:r>
      <w:r w:rsidR="00D26D75">
        <w:t>’</w:t>
      </w:r>
      <w:r>
        <w:t xml:space="preserve">investissement, seront nécessaires pour produire les augmentations </w:t>
      </w:r>
      <w:r w:rsidR="001D1B14">
        <w:t>requises</w:t>
      </w:r>
      <w:r>
        <w:t xml:space="preserve"> de la capacité du secteur énergétique à élargir l</w:t>
      </w:r>
      <w:r w:rsidR="00D26D75">
        <w:t>’</w:t>
      </w:r>
      <w:r>
        <w:t>accès, améliorer le rendement d</w:t>
      </w:r>
      <w:r w:rsidR="00D26D75">
        <w:t>’</w:t>
      </w:r>
      <w:r>
        <w:t>une unité d</w:t>
      </w:r>
      <w:r w:rsidR="00D26D75">
        <w:t>’</w:t>
      </w:r>
      <w:r>
        <w:t>énergie donnée et augmenter la part des énergies renouvelables dans le panier énergétique total. L</w:t>
      </w:r>
      <w:r w:rsidR="00D26D75">
        <w:t>’</w:t>
      </w:r>
      <w:r>
        <w:t>analyse détaillée du cadre d</w:t>
      </w:r>
      <w:r w:rsidR="00D26D75">
        <w:t>’</w:t>
      </w:r>
      <w:r>
        <w:t>action des pays n</w:t>
      </w:r>
      <w:r w:rsidR="00D26D75">
        <w:t>’</w:t>
      </w:r>
      <w:r>
        <w:t xml:space="preserve">est pas abordée dans le Cadre de suivi mondial, qui est axé sur le suivi des progrès vers la </w:t>
      </w:r>
      <w:r>
        <w:lastRenderedPageBreak/>
        <w:t>réalisation des objectifs de l</w:t>
      </w:r>
      <w:r w:rsidR="00D26D75">
        <w:t>’</w:t>
      </w:r>
      <w:r>
        <w:t>initiative « Une énergie durable pour tous » à l</w:t>
      </w:r>
      <w:r w:rsidR="00D26D75">
        <w:t>’</w:t>
      </w:r>
      <w:r>
        <w:t>échelle de la planète. Elle sera toutefois au centre des futurs travaux qui seront menés pour étayer les importants objectifs sociaux, économiques et environnementaux de cette initiative.</w:t>
      </w:r>
    </w:p>
    <w:sectPr w:rsidR="007613C9" w:rsidSect="0095325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35E" w:rsidRDefault="0070235E" w:rsidP="00095C62">
      <w:pPr>
        <w:spacing w:after="0" w:line="240" w:lineRule="auto"/>
      </w:pPr>
      <w:r>
        <w:separator/>
      </w:r>
    </w:p>
  </w:endnote>
  <w:endnote w:type="continuationSeparator" w:id="0">
    <w:p w:rsidR="0070235E" w:rsidRDefault="0070235E" w:rsidP="00095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75" w:rsidRDefault="00D26D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80" w:rsidRPr="006C3BD7" w:rsidRDefault="009452A5" w:rsidP="00095C62">
    <w:pPr>
      <w:pStyle w:val="Footer"/>
      <w:framePr w:wrap="around" w:vAnchor="text" w:hAnchor="page" w:x="6121" w:y="1"/>
      <w:rPr>
        <w:rStyle w:val="PageNumber"/>
      </w:rPr>
    </w:pPr>
    <w:r>
      <w:rPr>
        <w:rStyle w:val="PageNumber"/>
        <w:sz w:val="18"/>
        <w:szCs w:val="18"/>
      </w:rPr>
      <w:fldChar w:fldCharType="begin"/>
    </w:r>
    <w:r w:rsidR="00C97D14">
      <w:rPr>
        <w:rStyle w:val="PageNumber"/>
        <w:sz w:val="18"/>
        <w:szCs w:val="18"/>
      </w:rPr>
      <w:instrText xml:space="preserve">PAGE  </w:instrText>
    </w:r>
    <w:r>
      <w:rPr>
        <w:rStyle w:val="PageNumber"/>
        <w:sz w:val="18"/>
        <w:szCs w:val="18"/>
      </w:rPr>
      <w:fldChar w:fldCharType="separate"/>
    </w:r>
    <w:r w:rsidR="001F537F">
      <w:rPr>
        <w:rStyle w:val="PageNumber"/>
        <w:noProof/>
        <w:sz w:val="18"/>
        <w:szCs w:val="18"/>
      </w:rPr>
      <w:t>7</w:t>
    </w:r>
    <w:r>
      <w:rPr>
        <w:rStyle w:val="PageNumber"/>
        <w:sz w:val="18"/>
        <w:szCs w:val="18"/>
      </w:rPr>
      <w:fldChar w:fldCharType="end"/>
    </w:r>
  </w:p>
  <w:p w:rsidR="00403B80" w:rsidRDefault="00403B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75" w:rsidRDefault="00D26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35E" w:rsidRDefault="0070235E" w:rsidP="00095C62">
      <w:pPr>
        <w:spacing w:after="0" w:line="240" w:lineRule="auto"/>
      </w:pPr>
      <w:r>
        <w:separator/>
      </w:r>
    </w:p>
  </w:footnote>
  <w:footnote w:type="continuationSeparator" w:id="0">
    <w:p w:rsidR="0070235E" w:rsidRDefault="0070235E" w:rsidP="00095C62">
      <w:pPr>
        <w:spacing w:after="0" w:line="240" w:lineRule="auto"/>
      </w:pPr>
      <w:r>
        <w:continuationSeparator/>
      </w:r>
    </w:p>
  </w:footnote>
  <w:footnote w:id="1">
    <w:p w:rsidR="00BE1CC6" w:rsidRDefault="004E4D7D">
      <w:pPr>
        <w:pStyle w:val="FootnoteText"/>
      </w:pPr>
      <w:r>
        <w:rPr>
          <w:rStyle w:val="FootnoteReference"/>
          <w:sz w:val="20"/>
        </w:rPr>
        <w:footnoteRef/>
      </w:r>
      <w:r>
        <w:rPr>
          <w:sz w:val="20"/>
        </w:rPr>
        <w:t xml:space="preserve"> </w:t>
      </w:r>
      <w:r>
        <w:rPr>
          <w:rFonts w:ascii="Calibri" w:hAnsi="Calibri"/>
          <w:sz w:val="18"/>
          <w:szCs w:val="18"/>
        </w:rPr>
        <w:t>Bien que l</w:t>
      </w:r>
      <w:r w:rsidR="00D26D75">
        <w:rPr>
          <w:rFonts w:ascii="Calibri" w:hAnsi="Calibri"/>
          <w:sz w:val="18"/>
          <w:szCs w:val="18"/>
        </w:rPr>
        <w:t>’</w:t>
      </w:r>
      <w:r>
        <w:rPr>
          <w:rFonts w:ascii="Calibri" w:hAnsi="Calibri"/>
          <w:sz w:val="18"/>
          <w:szCs w:val="18"/>
        </w:rPr>
        <w:t xml:space="preserve">énergie ne puisse techniquement pas être consommée, dans le présent rapport le terme </w:t>
      </w:r>
      <w:r>
        <w:rPr>
          <w:rFonts w:ascii="Calibri" w:hAnsi="Calibri"/>
          <w:i/>
          <w:iCs/>
          <w:sz w:val="18"/>
          <w:szCs w:val="18"/>
        </w:rPr>
        <w:t xml:space="preserve">consommation énergétique </w:t>
      </w:r>
      <w:r>
        <w:rPr>
          <w:rFonts w:ascii="Calibri" w:hAnsi="Calibri"/>
          <w:sz w:val="18"/>
          <w:szCs w:val="18"/>
        </w:rPr>
        <w:t>fait référence à la « quantité d</w:t>
      </w:r>
      <w:r w:rsidR="00D26D75">
        <w:rPr>
          <w:rFonts w:ascii="Calibri" w:hAnsi="Calibri"/>
          <w:sz w:val="18"/>
          <w:szCs w:val="18"/>
        </w:rPr>
        <w:t>’</w:t>
      </w:r>
      <w:r>
        <w:rPr>
          <w:rFonts w:ascii="Calibri" w:hAnsi="Calibri"/>
          <w:sz w:val="18"/>
          <w:szCs w:val="18"/>
        </w:rPr>
        <w:t>énergie appliquée », conformément à la définition de l</w:t>
      </w:r>
      <w:r w:rsidR="00D26D75">
        <w:rPr>
          <w:rFonts w:ascii="Calibri" w:hAnsi="Calibri"/>
          <w:sz w:val="18"/>
          <w:szCs w:val="18"/>
        </w:rPr>
        <w:t>’</w:t>
      </w:r>
      <w:r>
        <w:rPr>
          <w:rFonts w:ascii="Calibri" w:hAnsi="Calibri"/>
          <w:sz w:val="18"/>
          <w:szCs w:val="18"/>
        </w:rPr>
        <w:t>ISO 50001</w:t>
      </w:r>
      <w:r w:rsidR="00D26D75">
        <w:rPr>
          <w:rFonts w:ascii="Calibri" w:hAnsi="Calibri"/>
          <w:sz w:val="18"/>
          <w:szCs w:val="18"/>
        </w:rPr>
        <w:t> </w:t>
      </w:r>
      <w:r>
        <w:rPr>
          <w:rFonts w:ascii="Calibri" w:hAnsi="Calibri"/>
          <w:sz w:val="18"/>
          <w:szCs w:val="18"/>
        </w:rPr>
        <w:t>:</w:t>
      </w:r>
      <w:r w:rsidR="00D26D75">
        <w:rPr>
          <w:rFonts w:ascii="Calibri" w:hAnsi="Calibri"/>
          <w:sz w:val="18"/>
          <w:szCs w:val="18"/>
        </w:rPr>
        <w:t xml:space="preserve"> </w:t>
      </w:r>
      <w:r>
        <w:rPr>
          <w:rFonts w:ascii="Calibri" w:hAnsi="Calibri"/>
          <w:sz w:val="18"/>
          <w:szCs w:val="18"/>
        </w:rPr>
        <w:t>2011 et de la future norme ISO 13273-1 Efficacité énergétique et énergies renouvelables – Terminologie internationale commune Partie 1</w:t>
      </w:r>
      <w:r w:rsidR="00D26D75">
        <w:rPr>
          <w:rFonts w:ascii="Calibri" w:hAnsi="Calibri"/>
          <w:sz w:val="18"/>
          <w:szCs w:val="18"/>
        </w:rPr>
        <w:t> </w:t>
      </w:r>
      <w:r>
        <w:rPr>
          <w:rFonts w:ascii="Calibri" w:hAnsi="Calibri"/>
          <w:sz w:val="18"/>
          <w:szCs w:val="18"/>
        </w:rPr>
        <w:t>: Efficacité énergétique.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75" w:rsidRDefault="00D26D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80" w:rsidRPr="00095C62" w:rsidRDefault="00403B80" w:rsidP="00095C62">
    <w:pPr>
      <w:pStyle w:val="Header"/>
      <w:jc w:val="center"/>
      <w:rPr>
        <w:smallCaps/>
        <w:sz w:val="18"/>
        <w:szCs w:val="18"/>
      </w:rPr>
    </w:pPr>
    <w:r>
      <w:rPr>
        <w:smallCaps/>
        <w:sz w:val="18"/>
        <w:szCs w:val="18"/>
      </w:rPr>
      <w:t>CADRE DE SUIVI MONDIAL DE L'INITIATIVE « UNE ÉNERGIE DURABLE POUR TOUS » | RÉSUMÉ</w:t>
    </w:r>
  </w:p>
  <w:p w:rsidR="00403B80" w:rsidRDefault="00403B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75" w:rsidRDefault="00D26D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4F42"/>
    <w:multiLevelType w:val="hybridMultilevel"/>
    <w:tmpl w:val="15C47B66"/>
    <w:lvl w:ilvl="0" w:tplc="60A61FE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750BB"/>
    <w:multiLevelType w:val="hybridMultilevel"/>
    <w:tmpl w:val="10F88152"/>
    <w:lvl w:ilvl="0" w:tplc="5C66269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6C2C0F"/>
    <w:multiLevelType w:val="hybridMultilevel"/>
    <w:tmpl w:val="CC18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7068B1"/>
    <w:multiLevelType w:val="hybridMultilevel"/>
    <w:tmpl w:val="7538776A"/>
    <w:lvl w:ilvl="0" w:tplc="0409000F">
      <w:start w:val="1"/>
      <w:numFmt w:val="decimal"/>
      <w:lvlText w:val="%1."/>
      <w:lvlJc w:val="left"/>
      <w:pPr>
        <w:ind w:left="720" w:hanging="360"/>
      </w:pPr>
    </w:lvl>
    <w:lvl w:ilvl="1" w:tplc="AFAE4F5E">
      <w:start w:val="1"/>
      <w:numFmt w:val="bullet"/>
      <w:pStyle w:val="SE4ALLboxbullets"/>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CC5818"/>
    <w:multiLevelType w:val="multilevel"/>
    <w:tmpl w:val="B950A6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52B"/>
    <w:rsid w:val="00000295"/>
    <w:rsid w:val="00000A46"/>
    <w:rsid w:val="00001531"/>
    <w:rsid w:val="00001C3B"/>
    <w:rsid w:val="00001DC5"/>
    <w:rsid w:val="00001F80"/>
    <w:rsid w:val="000022B8"/>
    <w:rsid w:val="00002A3A"/>
    <w:rsid w:val="00002B4F"/>
    <w:rsid w:val="00005049"/>
    <w:rsid w:val="000056DE"/>
    <w:rsid w:val="0000574B"/>
    <w:rsid w:val="00005F08"/>
    <w:rsid w:val="000062C8"/>
    <w:rsid w:val="000065F4"/>
    <w:rsid w:val="00006C10"/>
    <w:rsid w:val="00006E8E"/>
    <w:rsid w:val="00006F01"/>
    <w:rsid w:val="0000757E"/>
    <w:rsid w:val="00007D86"/>
    <w:rsid w:val="0001070F"/>
    <w:rsid w:val="0001102E"/>
    <w:rsid w:val="0001106D"/>
    <w:rsid w:val="000117CD"/>
    <w:rsid w:val="00011D3E"/>
    <w:rsid w:val="000120D7"/>
    <w:rsid w:val="00012180"/>
    <w:rsid w:val="00012C6D"/>
    <w:rsid w:val="000135BA"/>
    <w:rsid w:val="00013F93"/>
    <w:rsid w:val="0001431D"/>
    <w:rsid w:val="00014B35"/>
    <w:rsid w:val="000153D4"/>
    <w:rsid w:val="00016645"/>
    <w:rsid w:val="0001664B"/>
    <w:rsid w:val="0001720B"/>
    <w:rsid w:val="00017C4C"/>
    <w:rsid w:val="00017C59"/>
    <w:rsid w:val="00020055"/>
    <w:rsid w:val="00020ECF"/>
    <w:rsid w:val="0002103D"/>
    <w:rsid w:val="00021826"/>
    <w:rsid w:val="00021A45"/>
    <w:rsid w:val="00021E2D"/>
    <w:rsid w:val="0002200A"/>
    <w:rsid w:val="0002273C"/>
    <w:rsid w:val="00022BC9"/>
    <w:rsid w:val="000230AB"/>
    <w:rsid w:val="00023516"/>
    <w:rsid w:val="000257E9"/>
    <w:rsid w:val="000263F1"/>
    <w:rsid w:val="0002700E"/>
    <w:rsid w:val="0002708F"/>
    <w:rsid w:val="000278DB"/>
    <w:rsid w:val="00027C4E"/>
    <w:rsid w:val="00027C54"/>
    <w:rsid w:val="00027CA0"/>
    <w:rsid w:val="00027F03"/>
    <w:rsid w:val="0003006B"/>
    <w:rsid w:val="00030EB0"/>
    <w:rsid w:val="000315A1"/>
    <w:rsid w:val="00031901"/>
    <w:rsid w:val="000327CC"/>
    <w:rsid w:val="00032D58"/>
    <w:rsid w:val="00032E7F"/>
    <w:rsid w:val="00033353"/>
    <w:rsid w:val="000336F7"/>
    <w:rsid w:val="00033BB4"/>
    <w:rsid w:val="00033C03"/>
    <w:rsid w:val="000352F0"/>
    <w:rsid w:val="0003612E"/>
    <w:rsid w:val="0003791F"/>
    <w:rsid w:val="00037EBA"/>
    <w:rsid w:val="0004009B"/>
    <w:rsid w:val="000401AC"/>
    <w:rsid w:val="000401EC"/>
    <w:rsid w:val="00041A89"/>
    <w:rsid w:val="00041BB1"/>
    <w:rsid w:val="000420B1"/>
    <w:rsid w:val="00042406"/>
    <w:rsid w:val="000428EC"/>
    <w:rsid w:val="00042EA7"/>
    <w:rsid w:val="00042EF0"/>
    <w:rsid w:val="000432D2"/>
    <w:rsid w:val="000436AC"/>
    <w:rsid w:val="00043AE7"/>
    <w:rsid w:val="00043DBB"/>
    <w:rsid w:val="00044494"/>
    <w:rsid w:val="00044876"/>
    <w:rsid w:val="00044E96"/>
    <w:rsid w:val="00045658"/>
    <w:rsid w:val="000457B9"/>
    <w:rsid w:val="000477DE"/>
    <w:rsid w:val="000500BF"/>
    <w:rsid w:val="00050289"/>
    <w:rsid w:val="0005074E"/>
    <w:rsid w:val="000509EA"/>
    <w:rsid w:val="00050BA0"/>
    <w:rsid w:val="00050EBF"/>
    <w:rsid w:val="000529A8"/>
    <w:rsid w:val="000535A3"/>
    <w:rsid w:val="00053BB6"/>
    <w:rsid w:val="0005406C"/>
    <w:rsid w:val="000541B8"/>
    <w:rsid w:val="00054DD2"/>
    <w:rsid w:val="00054E31"/>
    <w:rsid w:val="000566C5"/>
    <w:rsid w:val="000572FB"/>
    <w:rsid w:val="00057321"/>
    <w:rsid w:val="000600AF"/>
    <w:rsid w:val="00060B90"/>
    <w:rsid w:val="00060BA2"/>
    <w:rsid w:val="00060F87"/>
    <w:rsid w:val="000618B7"/>
    <w:rsid w:val="00061AB0"/>
    <w:rsid w:val="00061C1E"/>
    <w:rsid w:val="00061F0A"/>
    <w:rsid w:val="0006221F"/>
    <w:rsid w:val="00063417"/>
    <w:rsid w:val="00063B20"/>
    <w:rsid w:val="00063F4B"/>
    <w:rsid w:val="000644DA"/>
    <w:rsid w:val="000644F2"/>
    <w:rsid w:val="000646E7"/>
    <w:rsid w:val="00065693"/>
    <w:rsid w:val="00066979"/>
    <w:rsid w:val="00066CC2"/>
    <w:rsid w:val="0006775E"/>
    <w:rsid w:val="00067E45"/>
    <w:rsid w:val="00070103"/>
    <w:rsid w:val="00070C71"/>
    <w:rsid w:val="00070E17"/>
    <w:rsid w:val="00071206"/>
    <w:rsid w:val="00071453"/>
    <w:rsid w:val="0007169A"/>
    <w:rsid w:val="00071A6C"/>
    <w:rsid w:val="00071FC6"/>
    <w:rsid w:val="000727E6"/>
    <w:rsid w:val="000728D1"/>
    <w:rsid w:val="000729AA"/>
    <w:rsid w:val="00073F2B"/>
    <w:rsid w:val="00073FA9"/>
    <w:rsid w:val="00074402"/>
    <w:rsid w:val="00074845"/>
    <w:rsid w:val="00075B4F"/>
    <w:rsid w:val="00075F59"/>
    <w:rsid w:val="00075FEB"/>
    <w:rsid w:val="00077CC6"/>
    <w:rsid w:val="00080F4A"/>
    <w:rsid w:val="0008103E"/>
    <w:rsid w:val="000815AE"/>
    <w:rsid w:val="0008192C"/>
    <w:rsid w:val="00081CE8"/>
    <w:rsid w:val="000822F1"/>
    <w:rsid w:val="00082347"/>
    <w:rsid w:val="00082359"/>
    <w:rsid w:val="000824CC"/>
    <w:rsid w:val="00082655"/>
    <w:rsid w:val="000829E3"/>
    <w:rsid w:val="000832F7"/>
    <w:rsid w:val="00083734"/>
    <w:rsid w:val="00083A7F"/>
    <w:rsid w:val="00084BD5"/>
    <w:rsid w:val="000850CA"/>
    <w:rsid w:val="00086366"/>
    <w:rsid w:val="000865C9"/>
    <w:rsid w:val="00086CE1"/>
    <w:rsid w:val="000872F2"/>
    <w:rsid w:val="00087C4B"/>
    <w:rsid w:val="00087CDE"/>
    <w:rsid w:val="000913D8"/>
    <w:rsid w:val="000913F6"/>
    <w:rsid w:val="00091AF6"/>
    <w:rsid w:val="00091FC8"/>
    <w:rsid w:val="00092058"/>
    <w:rsid w:val="000929A8"/>
    <w:rsid w:val="00092AAE"/>
    <w:rsid w:val="000934FC"/>
    <w:rsid w:val="00093CAD"/>
    <w:rsid w:val="00093DED"/>
    <w:rsid w:val="00094A6C"/>
    <w:rsid w:val="0009501C"/>
    <w:rsid w:val="00095C62"/>
    <w:rsid w:val="00095F93"/>
    <w:rsid w:val="000962EF"/>
    <w:rsid w:val="00096571"/>
    <w:rsid w:val="00096A92"/>
    <w:rsid w:val="000971BC"/>
    <w:rsid w:val="000977B7"/>
    <w:rsid w:val="0009790C"/>
    <w:rsid w:val="000A0042"/>
    <w:rsid w:val="000A125C"/>
    <w:rsid w:val="000A2A25"/>
    <w:rsid w:val="000A2B64"/>
    <w:rsid w:val="000A2C88"/>
    <w:rsid w:val="000A30B4"/>
    <w:rsid w:val="000A345C"/>
    <w:rsid w:val="000A38E8"/>
    <w:rsid w:val="000A4976"/>
    <w:rsid w:val="000A4B00"/>
    <w:rsid w:val="000A4C8C"/>
    <w:rsid w:val="000A5104"/>
    <w:rsid w:val="000A63A3"/>
    <w:rsid w:val="000A73B7"/>
    <w:rsid w:val="000A76E6"/>
    <w:rsid w:val="000A78FB"/>
    <w:rsid w:val="000B0593"/>
    <w:rsid w:val="000B079F"/>
    <w:rsid w:val="000B16D1"/>
    <w:rsid w:val="000B1CA0"/>
    <w:rsid w:val="000B26B2"/>
    <w:rsid w:val="000B3617"/>
    <w:rsid w:val="000B56F9"/>
    <w:rsid w:val="000B5A98"/>
    <w:rsid w:val="000B5E5F"/>
    <w:rsid w:val="000B5EB6"/>
    <w:rsid w:val="000B607F"/>
    <w:rsid w:val="000B61B8"/>
    <w:rsid w:val="000B6AA2"/>
    <w:rsid w:val="000B71F5"/>
    <w:rsid w:val="000B7D88"/>
    <w:rsid w:val="000B7FB7"/>
    <w:rsid w:val="000C01BA"/>
    <w:rsid w:val="000C132C"/>
    <w:rsid w:val="000C13D1"/>
    <w:rsid w:val="000C1BE2"/>
    <w:rsid w:val="000C287E"/>
    <w:rsid w:val="000C325A"/>
    <w:rsid w:val="000C32A6"/>
    <w:rsid w:val="000C3EFC"/>
    <w:rsid w:val="000C7F44"/>
    <w:rsid w:val="000D072C"/>
    <w:rsid w:val="000D097A"/>
    <w:rsid w:val="000D19AE"/>
    <w:rsid w:val="000D1FC5"/>
    <w:rsid w:val="000D25C6"/>
    <w:rsid w:val="000D31C3"/>
    <w:rsid w:val="000D329E"/>
    <w:rsid w:val="000D34B6"/>
    <w:rsid w:val="000D43A0"/>
    <w:rsid w:val="000D46E6"/>
    <w:rsid w:val="000D61F9"/>
    <w:rsid w:val="000D62C1"/>
    <w:rsid w:val="000D6342"/>
    <w:rsid w:val="000D63C9"/>
    <w:rsid w:val="000D64F9"/>
    <w:rsid w:val="000D663D"/>
    <w:rsid w:val="000D6C20"/>
    <w:rsid w:val="000D6C9B"/>
    <w:rsid w:val="000D762E"/>
    <w:rsid w:val="000E0285"/>
    <w:rsid w:val="000E078C"/>
    <w:rsid w:val="000E15A4"/>
    <w:rsid w:val="000E1EAD"/>
    <w:rsid w:val="000E212E"/>
    <w:rsid w:val="000E2727"/>
    <w:rsid w:val="000E292D"/>
    <w:rsid w:val="000E30E0"/>
    <w:rsid w:val="000E313D"/>
    <w:rsid w:val="000E34DC"/>
    <w:rsid w:val="000E353F"/>
    <w:rsid w:val="000E3DA2"/>
    <w:rsid w:val="000E4E42"/>
    <w:rsid w:val="000E50EF"/>
    <w:rsid w:val="000E5580"/>
    <w:rsid w:val="000E6422"/>
    <w:rsid w:val="000E7669"/>
    <w:rsid w:val="000E7AA2"/>
    <w:rsid w:val="000E7B8A"/>
    <w:rsid w:val="000E7B94"/>
    <w:rsid w:val="000E7B9C"/>
    <w:rsid w:val="000F093B"/>
    <w:rsid w:val="000F19F9"/>
    <w:rsid w:val="000F2DEA"/>
    <w:rsid w:val="000F3F01"/>
    <w:rsid w:val="000F3F73"/>
    <w:rsid w:val="000F3FF0"/>
    <w:rsid w:val="000F466B"/>
    <w:rsid w:val="000F4A78"/>
    <w:rsid w:val="000F4DF7"/>
    <w:rsid w:val="000F54BE"/>
    <w:rsid w:val="000F5D2E"/>
    <w:rsid w:val="000F7FCB"/>
    <w:rsid w:val="001008C3"/>
    <w:rsid w:val="001008F2"/>
    <w:rsid w:val="001009F6"/>
    <w:rsid w:val="001010BE"/>
    <w:rsid w:val="0010249B"/>
    <w:rsid w:val="001028BC"/>
    <w:rsid w:val="00103DBC"/>
    <w:rsid w:val="001042A8"/>
    <w:rsid w:val="001044AD"/>
    <w:rsid w:val="00104C2E"/>
    <w:rsid w:val="001050D4"/>
    <w:rsid w:val="00105138"/>
    <w:rsid w:val="001051C4"/>
    <w:rsid w:val="0010592F"/>
    <w:rsid w:val="00105A40"/>
    <w:rsid w:val="00105B4D"/>
    <w:rsid w:val="001061D7"/>
    <w:rsid w:val="00106AB0"/>
    <w:rsid w:val="00106EB2"/>
    <w:rsid w:val="001073DB"/>
    <w:rsid w:val="001073F5"/>
    <w:rsid w:val="00110097"/>
    <w:rsid w:val="00110346"/>
    <w:rsid w:val="00110EFB"/>
    <w:rsid w:val="00111649"/>
    <w:rsid w:val="00111B4E"/>
    <w:rsid w:val="00111C3F"/>
    <w:rsid w:val="001128E3"/>
    <w:rsid w:val="00112FA1"/>
    <w:rsid w:val="0011352A"/>
    <w:rsid w:val="00113C5D"/>
    <w:rsid w:val="00113C72"/>
    <w:rsid w:val="0011424A"/>
    <w:rsid w:val="00114710"/>
    <w:rsid w:val="00114E22"/>
    <w:rsid w:val="0011501D"/>
    <w:rsid w:val="001159D5"/>
    <w:rsid w:val="00115CA5"/>
    <w:rsid w:val="001173C0"/>
    <w:rsid w:val="00117400"/>
    <w:rsid w:val="001174E8"/>
    <w:rsid w:val="001177F4"/>
    <w:rsid w:val="00117DBE"/>
    <w:rsid w:val="00120104"/>
    <w:rsid w:val="00120330"/>
    <w:rsid w:val="001204C4"/>
    <w:rsid w:val="001204D9"/>
    <w:rsid w:val="00120830"/>
    <w:rsid w:val="001208D4"/>
    <w:rsid w:val="00120942"/>
    <w:rsid w:val="00121286"/>
    <w:rsid w:val="001212F3"/>
    <w:rsid w:val="001216B5"/>
    <w:rsid w:val="0012185B"/>
    <w:rsid w:val="00121A0A"/>
    <w:rsid w:val="00121DE0"/>
    <w:rsid w:val="00122233"/>
    <w:rsid w:val="001235A9"/>
    <w:rsid w:val="001236CB"/>
    <w:rsid w:val="00123984"/>
    <w:rsid w:val="00123A55"/>
    <w:rsid w:val="001242F9"/>
    <w:rsid w:val="001248E1"/>
    <w:rsid w:val="00125388"/>
    <w:rsid w:val="001255F1"/>
    <w:rsid w:val="00125689"/>
    <w:rsid w:val="00125876"/>
    <w:rsid w:val="00125A26"/>
    <w:rsid w:val="00125D28"/>
    <w:rsid w:val="00125F83"/>
    <w:rsid w:val="00125FEA"/>
    <w:rsid w:val="00125FF7"/>
    <w:rsid w:val="00126140"/>
    <w:rsid w:val="0012666E"/>
    <w:rsid w:val="00126AE5"/>
    <w:rsid w:val="00126E58"/>
    <w:rsid w:val="001278F1"/>
    <w:rsid w:val="00127CCF"/>
    <w:rsid w:val="00127FC5"/>
    <w:rsid w:val="001315DC"/>
    <w:rsid w:val="001317A2"/>
    <w:rsid w:val="00131C47"/>
    <w:rsid w:val="00131F58"/>
    <w:rsid w:val="00132A44"/>
    <w:rsid w:val="00132E04"/>
    <w:rsid w:val="001330DE"/>
    <w:rsid w:val="00133457"/>
    <w:rsid w:val="00133933"/>
    <w:rsid w:val="00133B2C"/>
    <w:rsid w:val="00133D60"/>
    <w:rsid w:val="00134708"/>
    <w:rsid w:val="00134DB5"/>
    <w:rsid w:val="00134DE6"/>
    <w:rsid w:val="00135026"/>
    <w:rsid w:val="001356D1"/>
    <w:rsid w:val="0013592B"/>
    <w:rsid w:val="0013640A"/>
    <w:rsid w:val="00136617"/>
    <w:rsid w:val="00136D6A"/>
    <w:rsid w:val="00137121"/>
    <w:rsid w:val="001371F4"/>
    <w:rsid w:val="00137BF5"/>
    <w:rsid w:val="001403D0"/>
    <w:rsid w:val="001406A1"/>
    <w:rsid w:val="00140FE3"/>
    <w:rsid w:val="00141307"/>
    <w:rsid w:val="0014221C"/>
    <w:rsid w:val="00142250"/>
    <w:rsid w:val="00142573"/>
    <w:rsid w:val="00142DDE"/>
    <w:rsid w:val="001434FC"/>
    <w:rsid w:val="00143E8F"/>
    <w:rsid w:val="0014440C"/>
    <w:rsid w:val="00144828"/>
    <w:rsid w:val="00144C29"/>
    <w:rsid w:val="001451B5"/>
    <w:rsid w:val="00145A7E"/>
    <w:rsid w:val="00145E2B"/>
    <w:rsid w:val="00146353"/>
    <w:rsid w:val="00146E25"/>
    <w:rsid w:val="00146E8D"/>
    <w:rsid w:val="00150ABD"/>
    <w:rsid w:val="00150EFE"/>
    <w:rsid w:val="00150FC3"/>
    <w:rsid w:val="00151205"/>
    <w:rsid w:val="001526D4"/>
    <w:rsid w:val="0015295F"/>
    <w:rsid w:val="00152F1A"/>
    <w:rsid w:val="001530B9"/>
    <w:rsid w:val="0015378A"/>
    <w:rsid w:val="001537C2"/>
    <w:rsid w:val="00153A23"/>
    <w:rsid w:val="00153D8A"/>
    <w:rsid w:val="00154793"/>
    <w:rsid w:val="00154988"/>
    <w:rsid w:val="00154FFC"/>
    <w:rsid w:val="001561ED"/>
    <w:rsid w:val="001565B3"/>
    <w:rsid w:val="00156658"/>
    <w:rsid w:val="00156662"/>
    <w:rsid w:val="00157528"/>
    <w:rsid w:val="001578A1"/>
    <w:rsid w:val="0016151F"/>
    <w:rsid w:val="00161F8C"/>
    <w:rsid w:val="001623CB"/>
    <w:rsid w:val="00162537"/>
    <w:rsid w:val="0016299D"/>
    <w:rsid w:val="00162E6A"/>
    <w:rsid w:val="001638E1"/>
    <w:rsid w:val="001644B3"/>
    <w:rsid w:val="00164B62"/>
    <w:rsid w:val="00164C4A"/>
    <w:rsid w:val="00165E26"/>
    <w:rsid w:val="00165FFE"/>
    <w:rsid w:val="0016764D"/>
    <w:rsid w:val="0016770A"/>
    <w:rsid w:val="00167C2C"/>
    <w:rsid w:val="00170510"/>
    <w:rsid w:val="00170936"/>
    <w:rsid w:val="00171133"/>
    <w:rsid w:val="00171471"/>
    <w:rsid w:val="00171A43"/>
    <w:rsid w:val="00171C8A"/>
    <w:rsid w:val="00172C36"/>
    <w:rsid w:val="00172C69"/>
    <w:rsid w:val="00172D86"/>
    <w:rsid w:val="0017363B"/>
    <w:rsid w:val="00173E1C"/>
    <w:rsid w:val="00173EA3"/>
    <w:rsid w:val="00174056"/>
    <w:rsid w:val="0017441F"/>
    <w:rsid w:val="00175313"/>
    <w:rsid w:val="001757D4"/>
    <w:rsid w:val="0017693E"/>
    <w:rsid w:val="00177076"/>
    <w:rsid w:val="001816CC"/>
    <w:rsid w:val="001816F9"/>
    <w:rsid w:val="00181CAA"/>
    <w:rsid w:val="001829BD"/>
    <w:rsid w:val="0018362F"/>
    <w:rsid w:val="00184F31"/>
    <w:rsid w:val="0018507F"/>
    <w:rsid w:val="00185267"/>
    <w:rsid w:val="0018531B"/>
    <w:rsid w:val="0018542C"/>
    <w:rsid w:val="00185AAF"/>
    <w:rsid w:val="00186200"/>
    <w:rsid w:val="0018658F"/>
    <w:rsid w:val="0018701B"/>
    <w:rsid w:val="0018772C"/>
    <w:rsid w:val="00187FE0"/>
    <w:rsid w:val="0019116F"/>
    <w:rsid w:val="0019128E"/>
    <w:rsid w:val="0019185C"/>
    <w:rsid w:val="00191934"/>
    <w:rsid w:val="00191D7D"/>
    <w:rsid w:val="00192225"/>
    <w:rsid w:val="00192DE0"/>
    <w:rsid w:val="00193278"/>
    <w:rsid w:val="00193771"/>
    <w:rsid w:val="00193D8C"/>
    <w:rsid w:val="00193DBA"/>
    <w:rsid w:val="00193FA4"/>
    <w:rsid w:val="00194163"/>
    <w:rsid w:val="001954FD"/>
    <w:rsid w:val="00195ACC"/>
    <w:rsid w:val="00195D8E"/>
    <w:rsid w:val="001964AB"/>
    <w:rsid w:val="001964D3"/>
    <w:rsid w:val="00196A23"/>
    <w:rsid w:val="00196AA6"/>
    <w:rsid w:val="0019711C"/>
    <w:rsid w:val="001971EC"/>
    <w:rsid w:val="0019722F"/>
    <w:rsid w:val="00197B6C"/>
    <w:rsid w:val="00197CFF"/>
    <w:rsid w:val="00197D7F"/>
    <w:rsid w:val="00197EB9"/>
    <w:rsid w:val="001A0B0C"/>
    <w:rsid w:val="001A0F36"/>
    <w:rsid w:val="001A1B96"/>
    <w:rsid w:val="001A1F07"/>
    <w:rsid w:val="001A2819"/>
    <w:rsid w:val="001A3FB7"/>
    <w:rsid w:val="001A4418"/>
    <w:rsid w:val="001A44D0"/>
    <w:rsid w:val="001A4795"/>
    <w:rsid w:val="001A4836"/>
    <w:rsid w:val="001A568A"/>
    <w:rsid w:val="001A56D3"/>
    <w:rsid w:val="001A5976"/>
    <w:rsid w:val="001A5F6A"/>
    <w:rsid w:val="001A6219"/>
    <w:rsid w:val="001A665F"/>
    <w:rsid w:val="001A7600"/>
    <w:rsid w:val="001A7A4D"/>
    <w:rsid w:val="001B01F6"/>
    <w:rsid w:val="001B0B1C"/>
    <w:rsid w:val="001B102D"/>
    <w:rsid w:val="001B1D98"/>
    <w:rsid w:val="001B1E1F"/>
    <w:rsid w:val="001B1F09"/>
    <w:rsid w:val="001B2869"/>
    <w:rsid w:val="001B2998"/>
    <w:rsid w:val="001B29AA"/>
    <w:rsid w:val="001B3069"/>
    <w:rsid w:val="001B3191"/>
    <w:rsid w:val="001B3E47"/>
    <w:rsid w:val="001B4071"/>
    <w:rsid w:val="001B47EC"/>
    <w:rsid w:val="001B524D"/>
    <w:rsid w:val="001B5556"/>
    <w:rsid w:val="001B5684"/>
    <w:rsid w:val="001B59BC"/>
    <w:rsid w:val="001B5ABA"/>
    <w:rsid w:val="001B5EAB"/>
    <w:rsid w:val="001B62E3"/>
    <w:rsid w:val="001B658C"/>
    <w:rsid w:val="001B6848"/>
    <w:rsid w:val="001B6E19"/>
    <w:rsid w:val="001B759E"/>
    <w:rsid w:val="001B7B66"/>
    <w:rsid w:val="001B7D4F"/>
    <w:rsid w:val="001B7E40"/>
    <w:rsid w:val="001C0785"/>
    <w:rsid w:val="001C1395"/>
    <w:rsid w:val="001C1956"/>
    <w:rsid w:val="001C2A25"/>
    <w:rsid w:val="001C2A57"/>
    <w:rsid w:val="001C3702"/>
    <w:rsid w:val="001C40A2"/>
    <w:rsid w:val="001C494D"/>
    <w:rsid w:val="001C508C"/>
    <w:rsid w:val="001C55DC"/>
    <w:rsid w:val="001C5DFB"/>
    <w:rsid w:val="001C71E2"/>
    <w:rsid w:val="001C7274"/>
    <w:rsid w:val="001C727E"/>
    <w:rsid w:val="001C734D"/>
    <w:rsid w:val="001C7BF0"/>
    <w:rsid w:val="001C7CD3"/>
    <w:rsid w:val="001D0017"/>
    <w:rsid w:val="001D018B"/>
    <w:rsid w:val="001D1A8A"/>
    <w:rsid w:val="001D1B14"/>
    <w:rsid w:val="001D2737"/>
    <w:rsid w:val="001D2BE4"/>
    <w:rsid w:val="001D356B"/>
    <w:rsid w:val="001D3577"/>
    <w:rsid w:val="001D3A01"/>
    <w:rsid w:val="001D3B97"/>
    <w:rsid w:val="001D3BEC"/>
    <w:rsid w:val="001D3E60"/>
    <w:rsid w:val="001D4CAD"/>
    <w:rsid w:val="001D5241"/>
    <w:rsid w:val="001D57D4"/>
    <w:rsid w:val="001D58EC"/>
    <w:rsid w:val="001D5D20"/>
    <w:rsid w:val="001D6038"/>
    <w:rsid w:val="001D66CD"/>
    <w:rsid w:val="001D6A1D"/>
    <w:rsid w:val="001D7A15"/>
    <w:rsid w:val="001D7C61"/>
    <w:rsid w:val="001E0603"/>
    <w:rsid w:val="001E0CC3"/>
    <w:rsid w:val="001E1DDA"/>
    <w:rsid w:val="001E1DDB"/>
    <w:rsid w:val="001E1DF2"/>
    <w:rsid w:val="001E25A1"/>
    <w:rsid w:val="001E35C4"/>
    <w:rsid w:val="001E3857"/>
    <w:rsid w:val="001E3B01"/>
    <w:rsid w:val="001E3BEB"/>
    <w:rsid w:val="001E3C0F"/>
    <w:rsid w:val="001E4531"/>
    <w:rsid w:val="001E4758"/>
    <w:rsid w:val="001E4816"/>
    <w:rsid w:val="001E48FF"/>
    <w:rsid w:val="001E4A35"/>
    <w:rsid w:val="001E582E"/>
    <w:rsid w:val="001E63A9"/>
    <w:rsid w:val="001E6F08"/>
    <w:rsid w:val="001E75B5"/>
    <w:rsid w:val="001E75E4"/>
    <w:rsid w:val="001E7B9E"/>
    <w:rsid w:val="001F0413"/>
    <w:rsid w:val="001F07AC"/>
    <w:rsid w:val="001F0850"/>
    <w:rsid w:val="001F0E2B"/>
    <w:rsid w:val="001F0EB8"/>
    <w:rsid w:val="001F1BAD"/>
    <w:rsid w:val="001F24A9"/>
    <w:rsid w:val="001F27CA"/>
    <w:rsid w:val="001F2CA7"/>
    <w:rsid w:val="001F3007"/>
    <w:rsid w:val="001F301D"/>
    <w:rsid w:val="001F3670"/>
    <w:rsid w:val="001F3730"/>
    <w:rsid w:val="001F3D92"/>
    <w:rsid w:val="001F3E9C"/>
    <w:rsid w:val="001F482A"/>
    <w:rsid w:val="001F49A2"/>
    <w:rsid w:val="001F537F"/>
    <w:rsid w:val="001F556F"/>
    <w:rsid w:val="001F636B"/>
    <w:rsid w:val="001F6BDF"/>
    <w:rsid w:val="001F6E19"/>
    <w:rsid w:val="001F6F46"/>
    <w:rsid w:val="001F7E30"/>
    <w:rsid w:val="001F7FF3"/>
    <w:rsid w:val="0020047E"/>
    <w:rsid w:val="002006F3"/>
    <w:rsid w:val="0020102A"/>
    <w:rsid w:val="00202341"/>
    <w:rsid w:val="0020302A"/>
    <w:rsid w:val="002030AA"/>
    <w:rsid w:val="00203232"/>
    <w:rsid w:val="00205033"/>
    <w:rsid w:val="0020528A"/>
    <w:rsid w:val="002057AD"/>
    <w:rsid w:val="00205D0D"/>
    <w:rsid w:val="002061A6"/>
    <w:rsid w:val="0020672C"/>
    <w:rsid w:val="002076D2"/>
    <w:rsid w:val="002077DB"/>
    <w:rsid w:val="00210ADD"/>
    <w:rsid w:val="00210E80"/>
    <w:rsid w:val="002111F3"/>
    <w:rsid w:val="00211494"/>
    <w:rsid w:val="0021150E"/>
    <w:rsid w:val="00211D93"/>
    <w:rsid w:val="00212B6D"/>
    <w:rsid w:val="002157E6"/>
    <w:rsid w:val="00215E50"/>
    <w:rsid w:val="00215F1B"/>
    <w:rsid w:val="00216930"/>
    <w:rsid w:val="002169EB"/>
    <w:rsid w:val="00216C93"/>
    <w:rsid w:val="00217275"/>
    <w:rsid w:val="002174E8"/>
    <w:rsid w:val="00217C58"/>
    <w:rsid w:val="0022016B"/>
    <w:rsid w:val="002201DC"/>
    <w:rsid w:val="0022077C"/>
    <w:rsid w:val="00220F9B"/>
    <w:rsid w:val="002216A8"/>
    <w:rsid w:val="00221A69"/>
    <w:rsid w:val="00221EE0"/>
    <w:rsid w:val="00222591"/>
    <w:rsid w:val="00222949"/>
    <w:rsid w:val="00222B0F"/>
    <w:rsid w:val="00224C42"/>
    <w:rsid w:val="00224EE5"/>
    <w:rsid w:val="00224F1E"/>
    <w:rsid w:val="00225140"/>
    <w:rsid w:val="00225E2F"/>
    <w:rsid w:val="00226836"/>
    <w:rsid w:val="002268C9"/>
    <w:rsid w:val="00226B2B"/>
    <w:rsid w:val="00227214"/>
    <w:rsid w:val="00227D03"/>
    <w:rsid w:val="00230005"/>
    <w:rsid w:val="0023087D"/>
    <w:rsid w:val="00230F94"/>
    <w:rsid w:val="00230F9A"/>
    <w:rsid w:val="00230FD1"/>
    <w:rsid w:val="00231112"/>
    <w:rsid w:val="00231581"/>
    <w:rsid w:val="00232C0E"/>
    <w:rsid w:val="00232EA9"/>
    <w:rsid w:val="0023377A"/>
    <w:rsid w:val="00233F31"/>
    <w:rsid w:val="002341F1"/>
    <w:rsid w:val="002342D0"/>
    <w:rsid w:val="00234B43"/>
    <w:rsid w:val="002353AE"/>
    <w:rsid w:val="002357AD"/>
    <w:rsid w:val="00235B67"/>
    <w:rsid w:val="00235BC2"/>
    <w:rsid w:val="00236066"/>
    <w:rsid w:val="0023702B"/>
    <w:rsid w:val="002371B3"/>
    <w:rsid w:val="00240640"/>
    <w:rsid w:val="002406FC"/>
    <w:rsid w:val="00240AF1"/>
    <w:rsid w:val="00240C74"/>
    <w:rsid w:val="00240F3D"/>
    <w:rsid w:val="00240F70"/>
    <w:rsid w:val="00241165"/>
    <w:rsid w:val="00241690"/>
    <w:rsid w:val="00241A7F"/>
    <w:rsid w:val="0024220A"/>
    <w:rsid w:val="0024277F"/>
    <w:rsid w:val="00242B2E"/>
    <w:rsid w:val="00244E61"/>
    <w:rsid w:val="0024524C"/>
    <w:rsid w:val="00245602"/>
    <w:rsid w:val="00245B08"/>
    <w:rsid w:val="00247118"/>
    <w:rsid w:val="0024715F"/>
    <w:rsid w:val="00247E08"/>
    <w:rsid w:val="00251A7E"/>
    <w:rsid w:val="002522DD"/>
    <w:rsid w:val="002522E3"/>
    <w:rsid w:val="002524BC"/>
    <w:rsid w:val="00252686"/>
    <w:rsid w:val="002527B9"/>
    <w:rsid w:val="00252881"/>
    <w:rsid w:val="00252DA3"/>
    <w:rsid w:val="0025319C"/>
    <w:rsid w:val="00253319"/>
    <w:rsid w:val="00253E61"/>
    <w:rsid w:val="00254332"/>
    <w:rsid w:val="002543EC"/>
    <w:rsid w:val="00254491"/>
    <w:rsid w:val="002548F4"/>
    <w:rsid w:val="00254ABA"/>
    <w:rsid w:val="002561F8"/>
    <w:rsid w:val="00260A5D"/>
    <w:rsid w:val="002616BE"/>
    <w:rsid w:val="00261D68"/>
    <w:rsid w:val="0026205F"/>
    <w:rsid w:val="002622F0"/>
    <w:rsid w:val="00262569"/>
    <w:rsid w:val="0026274F"/>
    <w:rsid w:val="002632D0"/>
    <w:rsid w:val="002633A3"/>
    <w:rsid w:val="002635A2"/>
    <w:rsid w:val="00263A7F"/>
    <w:rsid w:val="0026426E"/>
    <w:rsid w:val="00264337"/>
    <w:rsid w:val="00264753"/>
    <w:rsid w:val="0026510C"/>
    <w:rsid w:val="00265575"/>
    <w:rsid w:val="00266FDA"/>
    <w:rsid w:val="002675E7"/>
    <w:rsid w:val="00267EAE"/>
    <w:rsid w:val="00267F83"/>
    <w:rsid w:val="002707F4"/>
    <w:rsid w:val="00270CD2"/>
    <w:rsid w:val="00270F12"/>
    <w:rsid w:val="00271503"/>
    <w:rsid w:val="00271538"/>
    <w:rsid w:val="00272890"/>
    <w:rsid w:val="00273F85"/>
    <w:rsid w:val="00274351"/>
    <w:rsid w:val="002749CA"/>
    <w:rsid w:val="00275BED"/>
    <w:rsid w:val="00275F76"/>
    <w:rsid w:val="002761DE"/>
    <w:rsid w:val="00276426"/>
    <w:rsid w:val="002770F6"/>
    <w:rsid w:val="0027744D"/>
    <w:rsid w:val="00277535"/>
    <w:rsid w:val="0027798B"/>
    <w:rsid w:val="00277D22"/>
    <w:rsid w:val="00277DA1"/>
    <w:rsid w:val="002801E1"/>
    <w:rsid w:val="002804D0"/>
    <w:rsid w:val="00281EB9"/>
    <w:rsid w:val="00282288"/>
    <w:rsid w:val="00283093"/>
    <w:rsid w:val="00283396"/>
    <w:rsid w:val="002837C1"/>
    <w:rsid w:val="002841AE"/>
    <w:rsid w:val="0028624A"/>
    <w:rsid w:val="002869AF"/>
    <w:rsid w:val="00286CAF"/>
    <w:rsid w:val="002877E3"/>
    <w:rsid w:val="00287DEC"/>
    <w:rsid w:val="00290382"/>
    <w:rsid w:val="0029046D"/>
    <w:rsid w:val="00290493"/>
    <w:rsid w:val="00290689"/>
    <w:rsid w:val="00290AD1"/>
    <w:rsid w:val="00290AFD"/>
    <w:rsid w:val="00290BBC"/>
    <w:rsid w:val="0029134B"/>
    <w:rsid w:val="0029198C"/>
    <w:rsid w:val="00292301"/>
    <w:rsid w:val="00292558"/>
    <w:rsid w:val="00292DC0"/>
    <w:rsid w:val="00292ED1"/>
    <w:rsid w:val="00293A94"/>
    <w:rsid w:val="0029424F"/>
    <w:rsid w:val="00294262"/>
    <w:rsid w:val="00294511"/>
    <w:rsid w:val="002946E6"/>
    <w:rsid w:val="00294E9C"/>
    <w:rsid w:val="00295108"/>
    <w:rsid w:val="00296202"/>
    <w:rsid w:val="002A081C"/>
    <w:rsid w:val="002A0C21"/>
    <w:rsid w:val="002A0C81"/>
    <w:rsid w:val="002A1EF1"/>
    <w:rsid w:val="002A2A01"/>
    <w:rsid w:val="002A2F39"/>
    <w:rsid w:val="002A34EA"/>
    <w:rsid w:val="002A372E"/>
    <w:rsid w:val="002A3802"/>
    <w:rsid w:val="002A3E02"/>
    <w:rsid w:val="002A3E99"/>
    <w:rsid w:val="002A401B"/>
    <w:rsid w:val="002A48BB"/>
    <w:rsid w:val="002A6021"/>
    <w:rsid w:val="002A653A"/>
    <w:rsid w:val="002A664D"/>
    <w:rsid w:val="002A6685"/>
    <w:rsid w:val="002A6DCB"/>
    <w:rsid w:val="002A772F"/>
    <w:rsid w:val="002B2184"/>
    <w:rsid w:val="002B23A8"/>
    <w:rsid w:val="002B2597"/>
    <w:rsid w:val="002B30FC"/>
    <w:rsid w:val="002B45A5"/>
    <w:rsid w:val="002B5DFE"/>
    <w:rsid w:val="002B5E16"/>
    <w:rsid w:val="002B5F25"/>
    <w:rsid w:val="002B61F0"/>
    <w:rsid w:val="002B680C"/>
    <w:rsid w:val="002B68DF"/>
    <w:rsid w:val="002B6E70"/>
    <w:rsid w:val="002B6F8B"/>
    <w:rsid w:val="002B7504"/>
    <w:rsid w:val="002B7567"/>
    <w:rsid w:val="002B7B19"/>
    <w:rsid w:val="002C0297"/>
    <w:rsid w:val="002C072D"/>
    <w:rsid w:val="002C1682"/>
    <w:rsid w:val="002C1A60"/>
    <w:rsid w:val="002C28B8"/>
    <w:rsid w:val="002C47BC"/>
    <w:rsid w:val="002C4D1F"/>
    <w:rsid w:val="002C4F77"/>
    <w:rsid w:val="002C57E9"/>
    <w:rsid w:val="002C58FF"/>
    <w:rsid w:val="002C5BDD"/>
    <w:rsid w:val="002C5EBB"/>
    <w:rsid w:val="002C5EC5"/>
    <w:rsid w:val="002C6704"/>
    <w:rsid w:val="002C6A6C"/>
    <w:rsid w:val="002D0173"/>
    <w:rsid w:val="002D01D2"/>
    <w:rsid w:val="002D04D5"/>
    <w:rsid w:val="002D08DB"/>
    <w:rsid w:val="002D1019"/>
    <w:rsid w:val="002D103E"/>
    <w:rsid w:val="002D13D6"/>
    <w:rsid w:val="002D18F2"/>
    <w:rsid w:val="002D3649"/>
    <w:rsid w:val="002D3B2A"/>
    <w:rsid w:val="002D405B"/>
    <w:rsid w:val="002D4363"/>
    <w:rsid w:val="002D4818"/>
    <w:rsid w:val="002D4938"/>
    <w:rsid w:val="002D5B11"/>
    <w:rsid w:val="002D7394"/>
    <w:rsid w:val="002E0E38"/>
    <w:rsid w:val="002E100A"/>
    <w:rsid w:val="002E2671"/>
    <w:rsid w:val="002E29E2"/>
    <w:rsid w:val="002E3A4A"/>
    <w:rsid w:val="002E3F1B"/>
    <w:rsid w:val="002E446A"/>
    <w:rsid w:val="002E55EB"/>
    <w:rsid w:val="002E57A7"/>
    <w:rsid w:val="002E69F7"/>
    <w:rsid w:val="002E75F5"/>
    <w:rsid w:val="002E7AB8"/>
    <w:rsid w:val="002E7DC5"/>
    <w:rsid w:val="002E7DFF"/>
    <w:rsid w:val="002F0B90"/>
    <w:rsid w:val="002F0BC6"/>
    <w:rsid w:val="002F0E5D"/>
    <w:rsid w:val="002F0FF8"/>
    <w:rsid w:val="002F172A"/>
    <w:rsid w:val="002F18EF"/>
    <w:rsid w:val="002F2559"/>
    <w:rsid w:val="002F283F"/>
    <w:rsid w:val="002F2D5F"/>
    <w:rsid w:val="002F3354"/>
    <w:rsid w:val="002F4DD7"/>
    <w:rsid w:val="002F4E47"/>
    <w:rsid w:val="002F58E2"/>
    <w:rsid w:val="002F5D93"/>
    <w:rsid w:val="002F5F05"/>
    <w:rsid w:val="002F623B"/>
    <w:rsid w:val="002F67C7"/>
    <w:rsid w:val="002F6E73"/>
    <w:rsid w:val="002F74D6"/>
    <w:rsid w:val="002F76ED"/>
    <w:rsid w:val="002F7FA7"/>
    <w:rsid w:val="0030008E"/>
    <w:rsid w:val="003002DB"/>
    <w:rsid w:val="00300984"/>
    <w:rsid w:val="00301634"/>
    <w:rsid w:val="0030197A"/>
    <w:rsid w:val="00302175"/>
    <w:rsid w:val="003024B4"/>
    <w:rsid w:val="00302A42"/>
    <w:rsid w:val="00302F61"/>
    <w:rsid w:val="00302FC3"/>
    <w:rsid w:val="0030427B"/>
    <w:rsid w:val="00304741"/>
    <w:rsid w:val="00304940"/>
    <w:rsid w:val="00304C17"/>
    <w:rsid w:val="0030556D"/>
    <w:rsid w:val="003056F1"/>
    <w:rsid w:val="003058C1"/>
    <w:rsid w:val="00306098"/>
    <w:rsid w:val="003064CD"/>
    <w:rsid w:val="00306C50"/>
    <w:rsid w:val="003073F1"/>
    <w:rsid w:val="003078DF"/>
    <w:rsid w:val="00307988"/>
    <w:rsid w:val="00307E3C"/>
    <w:rsid w:val="00310464"/>
    <w:rsid w:val="003104B5"/>
    <w:rsid w:val="00310A18"/>
    <w:rsid w:val="00310D9B"/>
    <w:rsid w:val="00310E95"/>
    <w:rsid w:val="00311316"/>
    <w:rsid w:val="00311E27"/>
    <w:rsid w:val="00311F76"/>
    <w:rsid w:val="003125F0"/>
    <w:rsid w:val="00312935"/>
    <w:rsid w:val="00312ABA"/>
    <w:rsid w:val="00312C8F"/>
    <w:rsid w:val="00313892"/>
    <w:rsid w:val="00314760"/>
    <w:rsid w:val="0031557B"/>
    <w:rsid w:val="0031558B"/>
    <w:rsid w:val="00315B39"/>
    <w:rsid w:val="00315EEC"/>
    <w:rsid w:val="003164AA"/>
    <w:rsid w:val="00316989"/>
    <w:rsid w:val="00316CC0"/>
    <w:rsid w:val="00316FDA"/>
    <w:rsid w:val="00317741"/>
    <w:rsid w:val="00317A80"/>
    <w:rsid w:val="00317B9D"/>
    <w:rsid w:val="00320118"/>
    <w:rsid w:val="00320466"/>
    <w:rsid w:val="00321C2A"/>
    <w:rsid w:val="003220CD"/>
    <w:rsid w:val="00323913"/>
    <w:rsid w:val="00324E57"/>
    <w:rsid w:val="0032514F"/>
    <w:rsid w:val="00325F6A"/>
    <w:rsid w:val="0032734A"/>
    <w:rsid w:val="003274F9"/>
    <w:rsid w:val="00327A32"/>
    <w:rsid w:val="003301DE"/>
    <w:rsid w:val="0033043B"/>
    <w:rsid w:val="003310F4"/>
    <w:rsid w:val="003314B3"/>
    <w:rsid w:val="003314F8"/>
    <w:rsid w:val="00331FB4"/>
    <w:rsid w:val="0033247A"/>
    <w:rsid w:val="003329AB"/>
    <w:rsid w:val="00333192"/>
    <w:rsid w:val="003335B9"/>
    <w:rsid w:val="00333C32"/>
    <w:rsid w:val="00334464"/>
    <w:rsid w:val="00334DF4"/>
    <w:rsid w:val="003358BA"/>
    <w:rsid w:val="00336298"/>
    <w:rsid w:val="003368D7"/>
    <w:rsid w:val="00336957"/>
    <w:rsid w:val="00336DD1"/>
    <w:rsid w:val="00336F24"/>
    <w:rsid w:val="00336FA1"/>
    <w:rsid w:val="00337325"/>
    <w:rsid w:val="00337866"/>
    <w:rsid w:val="00337945"/>
    <w:rsid w:val="0034038E"/>
    <w:rsid w:val="00340973"/>
    <w:rsid w:val="00340AD7"/>
    <w:rsid w:val="00340F62"/>
    <w:rsid w:val="0034116C"/>
    <w:rsid w:val="003417C2"/>
    <w:rsid w:val="00341F01"/>
    <w:rsid w:val="00342535"/>
    <w:rsid w:val="00343105"/>
    <w:rsid w:val="00343230"/>
    <w:rsid w:val="003437E2"/>
    <w:rsid w:val="0034579D"/>
    <w:rsid w:val="00345828"/>
    <w:rsid w:val="00345E90"/>
    <w:rsid w:val="003461B0"/>
    <w:rsid w:val="003462C2"/>
    <w:rsid w:val="003464C5"/>
    <w:rsid w:val="00346EC6"/>
    <w:rsid w:val="003473A8"/>
    <w:rsid w:val="00347E60"/>
    <w:rsid w:val="00347E7F"/>
    <w:rsid w:val="00350297"/>
    <w:rsid w:val="00350D4B"/>
    <w:rsid w:val="003514F7"/>
    <w:rsid w:val="00351990"/>
    <w:rsid w:val="00351BBC"/>
    <w:rsid w:val="00351F27"/>
    <w:rsid w:val="003524BC"/>
    <w:rsid w:val="00352695"/>
    <w:rsid w:val="003557FF"/>
    <w:rsid w:val="00355922"/>
    <w:rsid w:val="00356008"/>
    <w:rsid w:val="00356035"/>
    <w:rsid w:val="003563C0"/>
    <w:rsid w:val="003565B9"/>
    <w:rsid w:val="00356678"/>
    <w:rsid w:val="003566C0"/>
    <w:rsid w:val="00360972"/>
    <w:rsid w:val="003609BD"/>
    <w:rsid w:val="00360FD6"/>
    <w:rsid w:val="0036113E"/>
    <w:rsid w:val="003615D9"/>
    <w:rsid w:val="00362DE3"/>
    <w:rsid w:val="0036454F"/>
    <w:rsid w:val="0036492D"/>
    <w:rsid w:val="00365292"/>
    <w:rsid w:val="0036579D"/>
    <w:rsid w:val="00365BBC"/>
    <w:rsid w:val="00365EF8"/>
    <w:rsid w:val="00366199"/>
    <w:rsid w:val="00367383"/>
    <w:rsid w:val="003676F8"/>
    <w:rsid w:val="00367F30"/>
    <w:rsid w:val="0037044F"/>
    <w:rsid w:val="003706B4"/>
    <w:rsid w:val="00370932"/>
    <w:rsid w:val="00370F49"/>
    <w:rsid w:val="0037110A"/>
    <w:rsid w:val="003713EA"/>
    <w:rsid w:val="00371817"/>
    <w:rsid w:val="003719BB"/>
    <w:rsid w:val="00371C92"/>
    <w:rsid w:val="003722BC"/>
    <w:rsid w:val="00372C52"/>
    <w:rsid w:val="003732BA"/>
    <w:rsid w:val="00373343"/>
    <w:rsid w:val="003733C5"/>
    <w:rsid w:val="00373CCD"/>
    <w:rsid w:val="00373D87"/>
    <w:rsid w:val="00373DDA"/>
    <w:rsid w:val="00373E60"/>
    <w:rsid w:val="00374772"/>
    <w:rsid w:val="00374C5D"/>
    <w:rsid w:val="0037657B"/>
    <w:rsid w:val="00376B90"/>
    <w:rsid w:val="0038110B"/>
    <w:rsid w:val="00381D30"/>
    <w:rsid w:val="003821CE"/>
    <w:rsid w:val="00382543"/>
    <w:rsid w:val="003833C0"/>
    <w:rsid w:val="003837AA"/>
    <w:rsid w:val="00383CEA"/>
    <w:rsid w:val="00385B32"/>
    <w:rsid w:val="003861C3"/>
    <w:rsid w:val="003863C5"/>
    <w:rsid w:val="00386B23"/>
    <w:rsid w:val="0038799B"/>
    <w:rsid w:val="00390D47"/>
    <w:rsid w:val="00391416"/>
    <w:rsid w:val="00391BA8"/>
    <w:rsid w:val="00391C2A"/>
    <w:rsid w:val="00391C31"/>
    <w:rsid w:val="00392105"/>
    <w:rsid w:val="0039236A"/>
    <w:rsid w:val="003930C6"/>
    <w:rsid w:val="00393371"/>
    <w:rsid w:val="00393EA4"/>
    <w:rsid w:val="00393FBE"/>
    <w:rsid w:val="00394528"/>
    <w:rsid w:val="00394D2B"/>
    <w:rsid w:val="00394DFE"/>
    <w:rsid w:val="0039528B"/>
    <w:rsid w:val="00395E96"/>
    <w:rsid w:val="00396142"/>
    <w:rsid w:val="00396B16"/>
    <w:rsid w:val="00396D20"/>
    <w:rsid w:val="00397413"/>
    <w:rsid w:val="00397FAE"/>
    <w:rsid w:val="003A0234"/>
    <w:rsid w:val="003A03AE"/>
    <w:rsid w:val="003A08E8"/>
    <w:rsid w:val="003A0BE3"/>
    <w:rsid w:val="003A0FF4"/>
    <w:rsid w:val="003A1480"/>
    <w:rsid w:val="003A16B7"/>
    <w:rsid w:val="003A1D53"/>
    <w:rsid w:val="003A1DBA"/>
    <w:rsid w:val="003A22F8"/>
    <w:rsid w:val="003A28D7"/>
    <w:rsid w:val="003A2AE9"/>
    <w:rsid w:val="003A3340"/>
    <w:rsid w:val="003A34CB"/>
    <w:rsid w:val="003A385A"/>
    <w:rsid w:val="003A3BA0"/>
    <w:rsid w:val="003A3E16"/>
    <w:rsid w:val="003A585D"/>
    <w:rsid w:val="003A5A5B"/>
    <w:rsid w:val="003A63A2"/>
    <w:rsid w:val="003A63D4"/>
    <w:rsid w:val="003A70B1"/>
    <w:rsid w:val="003A7A43"/>
    <w:rsid w:val="003A7AA2"/>
    <w:rsid w:val="003A7CA3"/>
    <w:rsid w:val="003B09A4"/>
    <w:rsid w:val="003B12B7"/>
    <w:rsid w:val="003B1799"/>
    <w:rsid w:val="003B1948"/>
    <w:rsid w:val="003B1BC7"/>
    <w:rsid w:val="003B242C"/>
    <w:rsid w:val="003B39EA"/>
    <w:rsid w:val="003B3D54"/>
    <w:rsid w:val="003B3FD7"/>
    <w:rsid w:val="003B4048"/>
    <w:rsid w:val="003B46A3"/>
    <w:rsid w:val="003B498B"/>
    <w:rsid w:val="003B4D45"/>
    <w:rsid w:val="003B5321"/>
    <w:rsid w:val="003B65BA"/>
    <w:rsid w:val="003B6845"/>
    <w:rsid w:val="003B70CA"/>
    <w:rsid w:val="003B72E4"/>
    <w:rsid w:val="003B75DA"/>
    <w:rsid w:val="003C0111"/>
    <w:rsid w:val="003C1071"/>
    <w:rsid w:val="003C1AB6"/>
    <w:rsid w:val="003C223B"/>
    <w:rsid w:val="003C2304"/>
    <w:rsid w:val="003C3526"/>
    <w:rsid w:val="003C3A41"/>
    <w:rsid w:val="003C3CDA"/>
    <w:rsid w:val="003C4280"/>
    <w:rsid w:val="003C46B2"/>
    <w:rsid w:val="003C4A1D"/>
    <w:rsid w:val="003C4EEA"/>
    <w:rsid w:val="003C4F8A"/>
    <w:rsid w:val="003C5821"/>
    <w:rsid w:val="003C6680"/>
    <w:rsid w:val="003C6736"/>
    <w:rsid w:val="003C68BF"/>
    <w:rsid w:val="003C6915"/>
    <w:rsid w:val="003C6FEA"/>
    <w:rsid w:val="003C7A16"/>
    <w:rsid w:val="003D0816"/>
    <w:rsid w:val="003D0B12"/>
    <w:rsid w:val="003D11BB"/>
    <w:rsid w:val="003D1359"/>
    <w:rsid w:val="003D1B6F"/>
    <w:rsid w:val="003D1F60"/>
    <w:rsid w:val="003D2589"/>
    <w:rsid w:val="003D25F4"/>
    <w:rsid w:val="003D2836"/>
    <w:rsid w:val="003D3926"/>
    <w:rsid w:val="003D3ED7"/>
    <w:rsid w:val="003D533A"/>
    <w:rsid w:val="003D58DC"/>
    <w:rsid w:val="003D5DA6"/>
    <w:rsid w:val="003D65B4"/>
    <w:rsid w:val="003D696A"/>
    <w:rsid w:val="003D731D"/>
    <w:rsid w:val="003D773B"/>
    <w:rsid w:val="003D78DA"/>
    <w:rsid w:val="003E03E7"/>
    <w:rsid w:val="003E0501"/>
    <w:rsid w:val="003E08B7"/>
    <w:rsid w:val="003E0A98"/>
    <w:rsid w:val="003E11D9"/>
    <w:rsid w:val="003E141A"/>
    <w:rsid w:val="003E1578"/>
    <w:rsid w:val="003E19B0"/>
    <w:rsid w:val="003E26BB"/>
    <w:rsid w:val="003E38FF"/>
    <w:rsid w:val="003E3B4F"/>
    <w:rsid w:val="003E41D5"/>
    <w:rsid w:val="003E4350"/>
    <w:rsid w:val="003E4384"/>
    <w:rsid w:val="003E4D7D"/>
    <w:rsid w:val="003E5217"/>
    <w:rsid w:val="003E52A2"/>
    <w:rsid w:val="003E57D0"/>
    <w:rsid w:val="003E6A77"/>
    <w:rsid w:val="003E794B"/>
    <w:rsid w:val="003F09E7"/>
    <w:rsid w:val="003F12B2"/>
    <w:rsid w:val="003F1649"/>
    <w:rsid w:val="003F191F"/>
    <w:rsid w:val="003F19B2"/>
    <w:rsid w:val="003F1D2E"/>
    <w:rsid w:val="003F2A75"/>
    <w:rsid w:val="003F2DD4"/>
    <w:rsid w:val="003F3308"/>
    <w:rsid w:val="003F3407"/>
    <w:rsid w:val="003F3537"/>
    <w:rsid w:val="003F3F87"/>
    <w:rsid w:val="003F422A"/>
    <w:rsid w:val="003F47A6"/>
    <w:rsid w:val="003F4AFF"/>
    <w:rsid w:val="003F4EC4"/>
    <w:rsid w:val="003F5102"/>
    <w:rsid w:val="003F590A"/>
    <w:rsid w:val="003F5FD8"/>
    <w:rsid w:val="003F672F"/>
    <w:rsid w:val="003F6ABF"/>
    <w:rsid w:val="003F6D44"/>
    <w:rsid w:val="003F73AF"/>
    <w:rsid w:val="004002C4"/>
    <w:rsid w:val="00400D94"/>
    <w:rsid w:val="004011F9"/>
    <w:rsid w:val="004013FB"/>
    <w:rsid w:val="00401B40"/>
    <w:rsid w:val="00402BCD"/>
    <w:rsid w:val="004032F0"/>
    <w:rsid w:val="00403B80"/>
    <w:rsid w:val="00403E9D"/>
    <w:rsid w:val="00404073"/>
    <w:rsid w:val="004042E7"/>
    <w:rsid w:val="00404406"/>
    <w:rsid w:val="00404587"/>
    <w:rsid w:val="00404935"/>
    <w:rsid w:val="00405917"/>
    <w:rsid w:val="00405947"/>
    <w:rsid w:val="00405B33"/>
    <w:rsid w:val="00405FEA"/>
    <w:rsid w:val="004067BB"/>
    <w:rsid w:val="00407AD0"/>
    <w:rsid w:val="0041044F"/>
    <w:rsid w:val="00410EC2"/>
    <w:rsid w:val="0041104E"/>
    <w:rsid w:val="0041161B"/>
    <w:rsid w:val="00412102"/>
    <w:rsid w:val="00412FBD"/>
    <w:rsid w:val="0041366A"/>
    <w:rsid w:val="00413B26"/>
    <w:rsid w:val="0041438D"/>
    <w:rsid w:val="004147B7"/>
    <w:rsid w:val="0041577C"/>
    <w:rsid w:val="004164C6"/>
    <w:rsid w:val="00416E33"/>
    <w:rsid w:val="00417159"/>
    <w:rsid w:val="0041746F"/>
    <w:rsid w:val="00417531"/>
    <w:rsid w:val="00417680"/>
    <w:rsid w:val="00417A2B"/>
    <w:rsid w:val="00417DB5"/>
    <w:rsid w:val="00417E88"/>
    <w:rsid w:val="00417E98"/>
    <w:rsid w:val="00420175"/>
    <w:rsid w:val="00420751"/>
    <w:rsid w:val="00420AB9"/>
    <w:rsid w:val="0042140A"/>
    <w:rsid w:val="0042303F"/>
    <w:rsid w:val="004230AD"/>
    <w:rsid w:val="00423433"/>
    <w:rsid w:val="00424088"/>
    <w:rsid w:val="00424558"/>
    <w:rsid w:val="00424B4E"/>
    <w:rsid w:val="00425569"/>
    <w:rsid w:val="00425BE7"/>
    <w:rsid w:val="00425C5F"/>
    <w:rsid w:val="00426AAF"/>
    <w:rsid w:val="00426EE7"/>
    <w:rsid w:val="00426FFB"/>
    <w:rsid w:val="004274E5"/>
    <w:rsid w:val="00427ECF"/>
    <w:rsid w:val="00427F2E"/>
    <w:rsid w:val="00430BB7"/>
    <w:rsid w:val="00430C03"/>
    <w:rsid w:val="00431230"/>
    <w:rsid w:val="004312E2"/>
    <w:rsid w:val="00431E11"/>
    <w:rsid w:val="00431E6D"/>
    <w:rsid w:val="00432493"/>
    <w:rsid w:val="004326AF"/>
    <w:rsid w:val="004327FB"/>
    <w:rsid w:val="00432857"/>
    <w:rsid w:val="004347F2"/>
    <w:rsid w:val="00434B15"/>
    <w:rsid w:val="0043510D"/>
    <w:rsid w:val="00435333"/>
    <w:rsid w:val="00435406"/>
    <w:rsid w:val="00436F9D"/>
    <w:rsid w:val="0043727E"/>
    <w:rsid w:val="00437A71"/>
    <w:rsid w:val="00440001"/>
    <w:rsid w:val="00440813"/>
    <w:rsid w:val="0044087B"/>
    <w:rsid w:val="00440AC9"/>
    <w:rsid w:val="0044101A"/>
    <w:rsid w:val="0044139A"/>
    <w:rsid w:val="004414A2"/>
    <w:rsid w:val="004415D1"/>
    <w:rsid w:val="004430C4"/>
    <w:rsid w:val="00443BD3"/>
    <w:rsid w:val="00443D53"/>
    <w:rsid w:val="004444FD"/>
    <w:rsid w:val="00444BB6"/>
    <w:rsid w:val="00444CA4"/>
    <w:rsid w:val="00446040"/>
    <w:rsid w:val="00446424"/>
    <w:rsid w:val="004475F6"/>
    <w:rsid w:val="0044768D"/>
    <w:rsid w:val="00447A58"/>
    <w:rsid w:val="00447B6A"/>
    <w:rsid w:val="00450A40"/>
    <w:rsid w:val="00451858"/>
    <w:rsid w:val="0045191E"/>
    <w:rsid w:val="00452ACE"/>
    <w:rsid w:val="00454F42"/>
    <w:rsid w:val="00455799"/>
    <w:rsid w:val="00455F97"/>
    <w:rsid w:val="00456068"/>
    <w:rsid w:val="0045617F"/>
    <w:rsid w:val="004562D6"/>
    <w:rsid w:val="00457499"/>
    <w:rsid w:val="0045762F"/>
    <w:rsid w:val="004579A3"/>
    <w:rsid w:val="00457A68"/>
    <w:rsid w:val="00460AF9"/>
    <w:rsid w:val="004613FB"/>
    <w:rsid w:val="00461781"/>
    <w:rsid w:val="00461DEB"/>
    <w:rsid w:val="004620F5"/>
    <w:rsid w:val="004622BF"/>
    <w:rsid w:val="00462EB3"/>
    <w:rsid w:val="0046305D"/>
    <w:rsid w:val="0046383C"/>
    <w:rsid w:val="00463E0D"/>
    <w:rsid w:val="00464567"/>
    <w:rsid w:val="00465C70"/>
    <w:rsid w:val="00465DB1"/>
    <w:rsid w:val="00465E0B"/>
    <w:rsid w:val="00466572"/>
    <w:rsid w:val="004666D5"/>
    <w:rsid w:val="00466ACC"/>
    <w:rsid w:val="0046729F"/>
    <w:rsid w:val="0046750D"/>
    <w:rsid w:val="00467669"/>
    <w:rsid w:val="00470073"/>
    <w:rsid w:val="00470701"/>
    <w:rsid w:val="004709F0"/>
    <w:rsid w:val="0047109F"/>
    <w:rsid w:val="00471363"/>
    <w:rsid w:val="00471369"/>
    <w:rsid w:val="00471681"/>
    <w:rsid w:val="00471DB9"/>
    <w:rsid w:val="0047391A"/>
    <w:rsid w:val="00473D19"/>
    <w:rsid w:val="00474089"/>
    <w:rsid w:val="0047471B"/>
    <w:rsid w:val="0047581C"/>
    <w:rsid w:val="004771BC"/>
    <w:rsid w:val="00477790"/>
    <w:rsid w:val="00477ACD"/>
    <w:rsid w:val="00477CFD"/>
    <w:rsid w:val="00477E0D"/>
    <w:rsid w:val="004814B4"/>
    <w:rsid w:val="004817F8"/>
    <w:rsid w:val="004820AB"/>
    <w:rsid w:val="0048250A"/>
    <w:rsid w:val="00483432"/>
    <w:rsid w:val="004836F1"/>
    <w:rsid w:val="00483812"/>
    <w:rsid w:val="00483A90"/>
    <w:rsid w:val="00483B51"/>
    <w:rsid w:val="00483D60"/>
    <w:rsid w:val="00483E18"/>
    <w:rsid w:val="0048434C"/>
    <w:rsid w:val="0048447F"/>
    <w:rsid w:val="00484757"/>
    <w:rsid w:val="0048523C"/>
    <w:rsid w:val="00485AB9"/>
    <w:rsid w:val="00486840"/>
    <w:rsid w:val="00486DB1"/>
    <w:rsid w:val="004870DC"/>
    <w:rsid w:val="00487557"/>
    <w:rsid w:val="0048773D"/>
    <w:rsid w:val="00487935"/>
    <w:rsid w:val="00490C1A"/>
    <w:rsid w:val="00492540"/>
    <w:rsid w:val="004927F3"/>
    <w:rsid w:val="00492971"/>
    <w:rsid w:val="004929CA"/>
    <w:rsid w:val="00492EDD"/>
    <w:rsid w:val="00492F9C"/>
    <w:rsid w:val="00493424"/>
    <w:rsid w:val="00493B09"/>
    <w:rsid w:val="00493DE0"/>
    <w:rsid w:val="004945E1"/>
    <w:rsid w:val="00494795"/>
    <w:rsid w:val="00495106"/>
    <w:rsid w:val="00495C3E"/>
    <w:rsid w:val="00495F43"/>
    <w:rsid w:val="004964A7"/>
    <w:rsid w:val="00496541"/>
    <w:rsid w:val="00496CEF"/>
    <w:rsid w:val="00496DBA"/>
    <w:rsid w:val="00496DBF"/>
    <w:rsid w:val="00496ECE"/>
    <w:rsid w:val="004A0D37"/>
    <w:rsid w:val="004A0FA0"/>
    <w:rsid w:val="004A19D0"/>
    <w:rsid w:val="004A1EF7"/>
    <w:rsid w:val="004A2A21"/>
    <w:rsid w:val="004A2D41"/>
    <w:rsid w:val="004A33C8"/>
    <w:rsid w:val="004A3FA8"/>
    <w:rsid w:val="004A4E25"/>
    <w:rsid w:val="004A50F9"/>
    <w:rsid w:val="004A6031"/>
    <w:rsid w:val="004A626A"/>
    <w:rsid w:val="004A76D4"/>
    <w:rsid w:val="004A7882"/>
    <w:rsid w:val="004A7D84"/>
    <w:rsid w:val="004B036F"/>
    <w:rsid w:val="004B171C"/>
    <w:rsid w:val="004B18E6"/>
    <w:rsid w:val="004B1995"/>
    <w:rsid w:val="004B1FCB"/>
    <w:rsid w:val="004B2E59"/>
    <w:rsid w:val="004B37FB"/>
    <w:rsid w:val="004B4026"/>
    <w:rsid w:val="004B4693"/>
    <w:rsid w:val="004B4763"/>
    <w:rsid w:val="004B50A8"/>
    <w:rsid w:val="004B5489"/>
    <w:rsid w:val="004B5EEE"/>
    <w:rsid w:val="004B5F27"/>
    <w:rsid w:val="004B636B"/>
    <w:rsid w:val="004B66CB"/>
    <w:rsid w:val="004B7776"/>
    <w:rsid w:val="004B7EF4"/>
    <w:rsid w:val="004C005F"/>
    <w:rsid w:val="004C12F0"/>
    <w:rsid w:val="004C1325"/>
    <w:rsid w:val="004C15F0"/>
    <w:rsid w:val="004C1A01"/>
    <w:rsid w:val="004C1A0F"/>
    <w:rsid w:val="004C1F97"/>
    <w:rsid w:val="004C242D"/>
    <w:rsid w:val="004C2710"/>
    <w:rsid w:val="004C33CF"/>
    <w:rsid w:val="004C4411"/>
    <w:rsid w:val="004C4892"/>
    <w:rsid w:val="004C4C8D"/>
    <w:rsid w:val="004C4E69"/>
    <w:rsid w:val="004C5440"/>
    <w:rsid w:val="004C5D03"/>
    <w:rsid w:val="004C6684"/>
    <w:rsid w:val="004C6BC0"/>
    <w:rsid w:val="004C6E09"/>
    <w:rsid w:val="004C7B3D"/>
    <w:rsid w:val="004C7FB1"/>
    <w:rsid w:val="004D105A"/>
    <w:rsid w:val="004D1EB6"/>
    <w:rsid w:val="004D2D28"/>
    <w:rsid w:val="004D3AAD"/>
    <w:rsid w:val="004D3E9E"/>
    <w:rsid w:val="004D4717"/>
    <w:rsid w:val="004D542B"/>
    <w:rsid w:val="004D5A6F"/>
    <w:rsid w:val="004D5DB1"/>
    <w:rsid w:val="004D6055"/>
    <w:rsid w:val="004D6599"/>
    <w:rsid w:val="004D68D0"/>
    <w:rsid w:val="004D728B"/>
    <w:rsid w:val="004D743C"/>
    <w:rsid w:val="004D7490"/>
    <w:rsid w:val="004E03CF"/>
    <w:rsid w:val="004E07B4"/>
    <w:rsid w:val="004E0AAE"/>
    <w:rsid w:val="004E0E14"/>
    <w:rsid w:val="004E2415"/>
    <w:rsid w:val="004E335F"/>
    <w:rsid w:val="004E3A35"/>
    <w:rsid w:val="004E3AD6"/>
    <w:rsid w:val="004E3DF5"/>
    <w:rsid w:val="004E4429"/>
    <w:rsid w:val="004E4D7D"/>
    <w:rsid w:val="004E57F9"/>
    <w:rsid w:val="004E58AE"/>
    <w:rsid w:val="004E5CB2"/>
    <w:rsid w:val="004E66F2"/>
    <w:rsid w:val="004E698A"/>
    <w:rsid w:val="004E6D3B"/>
    <w:rsid w:val="004E717F"/>
    <w:rsid w:val="004E79E3"/>
    <w:rsid w:val="004E7CC9"/>
    <w:rsid w:val="004F009A"/>
    <w:rsid w:val="004F0658"/>
    <w:rsid w:val="004F084F"/>
    <w:rsid w:val="004F0FD8"/>
    <w:rsid w:val="004F1012"/>
    <w:rsid w:val="004F140D"/>
    <w:rsid w:val="004F2798"/>
    <w:rsid w:val="004F385D"/>
    <w:rsid w:val="004F48D4"/>
    <w:rsid w:val="004F4D3A"/>
    <w:rsid w:val="004F4F6B"/>
    <w:rsid w:val="004F5FE0"/>
    <w:rsid w:val="004F6EA4"/>
    <w:rsid w:val="004F75B8"/>
    <w:rsid w:val="00500229"/>
    <w:rsid w:val="00500419"/>
    <w:rsid w:val="0050064F"/>
    <w:rsid w:val="00501B8E"/>
    <w:rsid w:val="00502063"/>
    <w:rsid w:val="00502258"/>
    <w:rsid w:val="00502393"/>
    <w:rsid w:val="005029A6"/>
    <w:rsid w:val="00502A03"/>
    <w:rsid w:val="00502EC2"/>
    <w:rsid w:val="00502F92"/>
    <w:rsid w:val="00503037"/>
    <w:rsid w:val="00503263"/>
    <w:rsid w:val="00503486"/>
    <w:rsid w:val="00503805"/>
    <w:rsid w:val="00505E10"/>
    <w:rsid w:val="0050630F"/>
    <w:rsid w:val="005071F0"/>
    <w:rsid w:val="0050747F"/>
    <w:rsid w:val="00507540"/>
    <w:rsid w:val="005077C7"/>
    <w:rsid w:val="00510FA3"/>
    <w:rsid w:val="00511053"/>
    <w:rsid w:val="00511E9D"/>
    <w:rsid w:val="0051207A"/>
    <w:rsid w:val="00512632"/>
    <w:rsid w:val="00512D85"/>
    <w:rsid w:val="00513332"/>
    <w:rsid w:val="005140D6"/>
    <w:rsid w:val="005142C7"/>
    <w:rsid w:val="00514834"/>
    <w:rsid w:val="00514F91"/>
    <w:rsid w:val="00515129"/>
    <w:rsid w:val="00515269"/>
    <w:rsid w:val="005161A0"/>
    <w:rsid w:val="0051728A"/>
    <w:rsid w:val="005175A6"/>
    <w:rsid w:val="005178DF"/>
    <w:rsid w:val="005179EE"/>
    <w:rsid w:val="00517A48"/>
    <w:rsid w:val="00520936"/>
    <w:rsid w:val="0052116A"/>
    <w:rsid w:val="00521254"/>
    <w:rsid w:val="00522037"/>
    <w:rsid w:val="00522574"/>
    <w:rsid w:val="00522E69"/>
    <w:rsid w:val="00523046"/>
    <w:rsid w:val="005232C2"/>
    <w:rsid w:val="0052349B"/>
    <w:rsid w:val="0052439F"/>
    <w:rsid w:val="00524456"/>
    <w:rsid w:val="0052471F"/>
    <w:rsid w:val="005249BF"/>
    <w:rsid w:val="00524E59"/>
    <w:rsid w:val="00525646"/>
    <w:rsid w:val="00525696"/>
    <w:rsid w:val="00525E29"/>
    <w:rsid w:val="00526090"/>
    <w:rsid w:val="00526C78"/>
    <w:rsid w:val="00526E16"/>
    <w:rsid w:val="00526EC8"/>
    <w:rsid w:val="0052730B"/>
    <w:rsid w:val="00527E7E"/>
    <w:rsid w:val="00530FD8"/>
    <w:rsid w:val="005317E4"/>
    <w:rsid w:val="00531856"/>
    <w:rsid w:val="00531966"/>
    <w:rsid w:val="00531A57"/>
    <w:rsid w:val="00532306"/>
    <w:rsid w:val="00532B85"/>
    <w:rsid w:val="0053349E"/>
    <w:rsid w:val="005342A8"/>
    <w:rsid w:val="00534384"/>
    <w:rsid w:val="00535FEB"/>
    <w:rsid w:val="00536092"/>
    <w:rsid w:val="00536865"/>
    <w:rsid w:val="00536F50"/>
    <w:rsid w:val="00537E1D"/>
    <w:rsid w:val="00540CDD"/>
    <w:rsid w:val="00541110"/>
    <w:rsid w:val="005416BC"/>
    <w:rsid w:val="0054170E"/>
    <w:rsid w:val="00541BED"/>
    <w:rsid w:val="00541FFF"/>
    <w:rsid w:val="005426B9"/>
    <w:rsid w:val="00542E15"/>
    <w:rsid w:val="00542EC5"/>
    <w:rsid w:val="00543443"/>
    <w:rsid w:val="0054363F"/>
    <w:rsid w:val="005440ED"/>
    <w:rsid w:val="005441FC"/>
    <w:rsid w:val="0054431C"/>
    <w:rsid w:val="00544753"/>
    <w:rsid w:val="00545835"/>
    <w:rsid w:val="00545E5E"/>
    <w:rsid w:val="00546A50"/>
    <w:rsid w:val="00547852"/>
    <w:rsid w:val="00547F32"/>
    <w:rsid w:val="00547F95"/>
    <w:rsid w:val="0055010F"/>
    <w:rsid w:val="0055029C"/>
    <w:rsid w:val="005508F1"/>
    <w:rsid w:val="00550B20"/>
    <w:rsid w:val="00550F4D"/>
    <w:rsid w:val="00551DE4"/>
    <w:rsid w:val="00552A4C"/>
    <w:rsid w:val="00552BAB"/>
    <w:rsid w:val="00552C23"/>
    <w:rsid w:val="005533BE"/>
    <w:rsid w:val="00553795"/>
    <w:rsid w:val="00553F80"/>
    <w:rsid w:val="00553FC0"/>
    <w:rsid w:val="0055523F"/>
    <w:rsid w:val="005552C5"/>
    <w:rsid w:val="00556783"/>
    <w:rsid w:val="00556A67"/>
    <w:rsid w:val="00556B03"/>
    <w:rsid w:val="00556F38"/>
    <w:rsid w:val="0055700C"/>
    <w:rsid w:val="0055773A"/>
    <w:rsid w:val="005578CE"/>
    <w:rsid w:val="00557DEF"/>
    <w:rsid w:val="0056071D"/>
    <w:rsid w:val="00561514"/>
    <w:rsid w:val="00561900"/>
    <w:rsid w:val="00561CFD"/>
    <w:rsid w:val="0056427F"/>
    <w:rsid w:val="0056440C"/>
    <w:rsid w:val="00564471"/>
    <w:rsid w:val="0056596C"/>
    <w:rsid w:val="00565D26"/>
    <w:rsid w:val="005660D0"/>
    <w:rsid w:val="0056632B"/>
    <w:rsid w:val="0056674F"/>
    <w:rsid w:val="00567369"/>
    <w:rsid w:val="00567650"/>
    <w:rsid w:val="00567F31"/>
    <w:rsid w:val="005703F2"/>
    <w:rsid w:val="00570500"/>
    <w:rsid w:val="00570880"/>
    <w:rsid w:val="005708FE"/>
    <w:rsid w:val="00571088"/>
    <w:rsid w:val="00571C2A"/>
    <w:rsid w:val="00571F9E"/>
    <w:rsid w:val="00573D68"/>
    <w:rsid w:val="005741B9"/>
    <w:rsid w:val="005742B5"/>
    <w:rsid w:val="00574A7D"/>
    <w:rsid w:val="00575226"/>
    <w:rsid w:val="0057600A"/>
    <w:rsid w:val="00576A70"/>
    <w:rsid w:val="00576B3C"/>
    <w:rsid w:val="00577531"/>
    <w:rsid w:val="005778CC"/>
    <w:rsid w:val="005778E5"/>
    <w:rsid w:val="0057791A"/>
    <w:rsid w:val="00577E3F"/>
    <w:rsid w:val="00581132"/>
    <w:rsid w:val="00581149"/>
    <w:rsid w:val="00581320"/>
    <w:rsid w:val="00581887"/>
    <w:rsid w:val="00581A0C"/>
    <w:rsid w:val="00581B4F"/>
    <w:rsid w:val="00581DCD"/>
    <w:rsid w:val="0058200D"/>
    <w:rsid w:val="00582794"/>
    <w:rsid w:val="005847ED"/>
    <w:rsid w:val="005849AF"/>
    <w:rsid w:val="00585574"/>
    <w:rsid w:val="00585866"/>
    <w:rsid w:val="0058595E"/>
    <w:rsid w:val="00585E12"/>
    <w:rsid w:val="005861D8"/>
    <w:rsid w:val="005861EF"/>
    <w:rsid w:val="005867F3"/>
    <w:rsid w:val="00586D9E"/>
    <w:rsid w:val="0059022B"/>
    <w:rsid w:val="00590ACC"/>
    <w:rsid w:val="00590CDD"/>
    <w:rsid w:val="00591251"/>
    <w:rsid w:val="005914FD"/>
    <w:rsid w:val="0059178D"/>
    <w:rsid w:val="00592560"/>
    <w:rsid w:val="00593255"/>
    <w:rsid w:val="00593E99"/>
    <w:rsid w:val="00593EB7"/>
    <w:rsid w:val="005944B5"/>
    <w:rsid w:val="00594E78"/>
    <w:rsid w:val="00596591"/>
    <w:rsid w:val="0059664E"/>
    <w:rsid w:val="00596D8D"/>
    <w:rsid w:val="0059761B"/>
    <w:rsid w:val="005A0B27"/>
    <w:rsid w:val="005A1109"/>
    <w:rsid w:val="005A167C"/>
    <w:rsid w:val="005A1B82"/>
    <w:rsid w:val="005A23FB"/>
    <w:rsid w:val="005A2B33"/>
    <w:rsid w:val="005A2CC1"/>
    <w:rsid w:val="005A2EF0"/>
    <w:rsid w:val="005A37BA"/>
    <w:rsid w:val="005A3C16"/>
    <w:rsid w:val="005A44E6"/>
    <w:rsid w:val="005A509B"/>
    <w:rsid w:val="005A5175"/>
    <w:rsid w:val="005A53E6"/>
    <w:rsid w:val="005A5B06"/>
    <w:rsid w:val="005A63B4"/>
    <w:rsid w:val="005A6ADF"/>
    <w:rsid w:val="005A7348"/>
    <w:rsid w:val="005A79D5"/>
    <w:rsid w:val="005A7F2E"/>
    <w:rsid w:val="005B062E"/>
    <w:rsid w:val="005B0B03"/>
    <w:rsid w:val="005B1771"/>
    <w:rsid w:val="005B18C9"/>
    <w:rsid w:val="005B29B2"/>
    <w:rsid w:val="005B2C82"/>
    <w:rsid w:val="005B305A"/>
    <w:rsid w:val="005B39DC"/>
    <w:rsid w:val="005B4005"/>
    <w:rsid w:val="005B4A30"/>
    <w:rsid w:val="005B4CEC"/>
    <w:rsid w:val="005B4D25"/>
    <w:rsid w:val="005B5DD8"/>
    <w:rsid w:val="005B6E86"/>
    <w:rsid w:val="005B6F17"/>
    <w:rsid w:val="005C0149"/>
    <w:rsid w:val="005C06BD"/>
    <w:rsid w:val="005C070D"/>
    <w:rsid w:val="005C0722"/>
    <w:rsid w:val="005C07F3"/>
    <w:rsid w:val="005C0BBA"/>
    <w:rsid w:val="005C0FD1"/>
    <w:rsid w:val="005C1053"/>
    <w:rsid w:val="005C126F"/>
    <w:rsid w:val="005C13E5"/>
    <w:rsid w:val="005C18AD"/>
    <w:rsid w:val="005C250D"/>
    <w:rsid w:val="005C2CDB"/>
    <w:rsid w:val="005C3401"/>
    <w:rsid w:val="005C3737"/>
    <w:rsid w:val="005C3F83"/>
    <w:rsid w:val="005C4508"/>
    <w:rsid w:val="005C4536"/>
    <w:rsid w:val="005C4BB4"/>
    <w:rsid w:val="005C4DD1"/>
    <w:rsid w:val="005C547A"/>
    <w:rsid w:val="005C667D"/>
    <w:rsid w:val="005C6825"/>
    <w:rsid w:val="005C7242"/>
    <w:rsid w:val="005D0512"/>
    <w:rsid w:val="005D060D"/>
    <w:rsid w:val="005D0A22"/>
    <w:rsid w:val="005D0DC9"/>
    <w:rsid w:val="005D2A7D"/>
    <w:rsid w:val="005D2E42"/>
    <w:rsid w:val="005D369B"/>
    <w:rsid w:val="005D3CAD"/>
    <w:rsid w:val="005D4318"/>
    <w:rsid w:val="005D4A5E"/>
    <w:rsid w:val="005D5529"/>
    <w:rsid w:val="005D564B"/>
    <w:rsid w:val="005D5FA3"/>
    <w:rsid w:val="005D6C43"/>
    <w:rsid w:val="005D7D4A"/>
    <w:rsid w:val="005E0A29"/>
    <w:rsid w:val="005E0F9A"/>
    <w:rsid w:val="005E240C"/>
    <w:rsid w:val="005E2AA9"/>
    <w:rsid w:val="005E338A"/>
    <w:rsid w:val="005E3699"/>
    <w:rsid w:val="005E3E5D"/>
    <w:rsid w:val="005E3F9F"/>
    <w:rsid w:val="005E473C"/>
    <w:rsid w:val="005E4E51"/>
    <w:rsid w:val="005E566E"/>
    <w:rsid w:val="005E5EB6"/>
    <w:rsid w:val="005E66E5"/>
    <w:rsid w:val="005E6801"/>
    <w:rsid w:val="005E68C8"/>
    <w:rsid w:val="005E6AA0"/>
    <w:rsid w:val="005E739E"/>
    <w:rsid w:val="005E7889"/>
    <w:rsid w:val="005E7B13"/>
    <w:rsid w:val="005F00A2"/>
    <w:rsid w:val="005F02C7"/>
    <w:rsid w:val="005F0AF4"/>
    <w:rsid w:val="005F0B78"/>
    <w:rsid w:val="005F114B"/>
    <w:rsid w:val="005F1764"/>
    <w:rsid w:val="005F20C1"/>
    <w:rsid w:val="005F3CF6"/>
    <w:rsid w:val="005F444F"/>
    <w:rsid w:val="005F48C9"/>
    <w:rsid w:val="005F4A44"/>
    <w:rsid w:val="005F5B36"/>
    <w:rsid w:val="005F5B66"/>
    <w:rsid w:val="005F5BEE"/>
    <w:rsid w:val="005F6419"/>
    <w:rsid w:val="005F66C6"/>
    <w:rsid w:val="005F67AF"/>
    <w:rsid w:val="005F67E7"/>
    <w:rsid w:val="005F6BE6"/>
    <w:rsid w:val="005F728D"/>
    <w:rsid w:val="00600EA0"/>
    <w:rsid w:val="0060157D"/>
    <w:rsid w:val="006017BD"/>
    <w:rsid w:val="00601977"/>
    <w:rsid w:val="00601A43"/>
    <w:rsid w:val="00601BCA"/>
    <w:rsid w:val="00602331"/>
    <w:rsid w:val="006030F6"/>
    <w:rsid w:val="00603DCB"/>
    <w:rsid w:val="00604492"/>
    <w:rsid w:val="006045CA"/>
    <w:rsid w:val="00604773"/>
    <w:rsid w:val="00604DD9"/>
    <w:rsid w:val="0060764A"/>
    <w:rsid w:val="00610755"/>
    <w:rsid w:val="0061079F"/>
    <w:rsid w:val="00610802"/>
    <w:rsid w:val="00610828"/>
    <w:rsid w:val="00610E41"/>
    <w:rsid w:val="006113E1"/>
    <w:rsid w:val="006114A3"/>
    <w:rsid w:val="00612099"/>
    <w:rsid w:val="00612422"/>
    <w:rsid w:val="0061282C"/>
    <w:rsid w:val="00612E43"/>
    <w:rsid w:val="0061305B"/>
    <w:rsid w:val="00613159"/>
    <w:rsid w:val="0061453C"/>
    <w:rsid w:val="00614625"/>
    <w:rsid w:val="006146C2"/>
    <w:rsid w:val="006155A5"/>
    <w:rsid w:val="00616863"/>
    <w:rsid w:val="00616A1D"/>
    <w:rsid w:val="00616BA4"/>
    <w:rsid w:val="00617657"/>
    <w:rsid w:val="00620BE4"/>
    <w:rsid w:val="00621534"/>
    <w:rsid w:val="006222ED"/>
    <w:rsid w:val="00622859"/>
    <w:rsid w:val="00622D0C"/>
    <w:rsid w:val="00622D9A"/>
    <w:rsid w:val="00622DD0"/>
    <w:rsid w:val="0062301E"/>
    <w:rsid w:val="006239FA"/>
    <w:rsid w:val="006246D3"/>
    <w:rsid w:val="00624783"/>
    <w:rsid w:val="00624D9E"/>
    <w:rsid w:val="00625CAF"/>
    <w:rsid w:val="006260CC"/>
    <w:rsid w:val="00626145"/>
    <w:rsid w:val="006261A7"/>
    <w:rsid w:val="006263CC"/>
    <w:rsid w:val="00626843"/>
    <w:rsid w:val="00627A37"/>
    <w:rsid w:val="00627BB5"/>
    <w:rsid w:val="00627E74"/>
    <w:rsid w:val="00630C88"/>
    <w:rsid w:val="00630D38"/>
    <w:rsid w:val="00630EAE"/>
    <w:rsid w:val="0063251F"/>
    <w:rsid w:val="00633434"/>
    <w:rsid w:val="00633522"/>
    <w:rsid w:val="006335BA"/>
    <w:rsid w:val="0063395E"/>
    <w:rsid w:val="00633BF5"/>
    <w:rsid w:val="00633DEA"/>
    <w:rsid w:val="00633E0C"/>
    <w:rsid w:val="00633F0C"/>
    <w:rsid w:val="00634116"/>
    <w:rsid w:val="0063426E"/>
    <w:rsid w:val="00634D8B"/>
    <w:rsid w:val="00635B95"/>
    <w:rsid w:val="00637AC1"/>
    <w:rsid w:val="006400C0"/>
    <w:rsid w:val="0064018E"/>
    <w:rsid w:val="00640345"/>
    <w:rsid w:val="00640F1E"/>
    <w:rsid w:val="006413C5"/>
    <w:rsid w:val="006416A5"/>
    <w:rsid w:val="00641A1A"/>
    <w:rsid w:val="00641A80"/>
    <w:rsid w:val="00642657"/>
    <w:rsid w:val="00642F75"/>
    <w:rsid w:val="00643A18"/>
    <w:rsid w:val="00643B59"/>
    <w:rsid w:val="00643E59"/>
    <w:rsid w:val="006442FD"/>
    <w:rsid w:val="0064478F"/>
    <w:rsid w:val="00644C34"/>
    <w:rsid w:val="00644F61"/>
    <w:rsid w:val="0064514C"/>
    <w:rsid w:val="00645FDD"/>
    <w:rsid w:val="00646C79"/>
    <w:rsid w:val="00646EC1"/>
    <w:rsid w:val="00646F87"/>
    <w:rsid w:val="00646FE8"/>
    <w:rsid w:val="0064744D"/>
    <w:rsid w:val="0065046B"/>
    <w:rsid w:val="0065060B"/>
    <w:rsid w:val="00650765"/>
    <w:rsid w:val="006509D7"/>
    <w:rsid w:val="00650AC2"/>
    <w:rsid w:val="00652AE9"/>
    <w:rsid w:val="006531A6"/>
    <w:rsid w:val="006533AC"/>
    <w:rsid w:val="00653CDA"/>
    <w:rsid w:val="006558E8"/>
    <w:rsid w:val="00656948"/>
    <w:rsid w:val="006572E1"/>
    <w:rsid w:val="0065776B"/>
    <w:rsid w:val="00657888"/>
    <w:rsid w:val="00657BAD"/>
    <w:rsid w:val="00657BDC"/>
    <w:rsid w:val="006602C4"/>
    <w:rsid w:val="006604DF"/>
    <w:rsid w:val="006606D7"/>
    <w:rsid w:val="006607C3"/>
    <w:rsid w:val="00660819"/>
    <w:rsid w:val="0066153A"/>
    <w:rsid w:val="00661D66"/>
    <w:rsid w:val="00662539"/>
    <w:rsid w:val="0066259D"/>
    <w:rsid w:val="006632AA"/>
    <w:rsid w:val="00663853"/>
    <w:rsid w:val="006646E2"/>
    <w:rsid w:val="00665167"/>
    <w:rsid w:val="006665DC"/>
    <w:rsid w:val="0066680C"/>
    <w:rsid w:val="00666BCA"/>
    <w:rsid w:val="00666F01"/>
    <w:rsid w:val="00667BBB"/>
    <w:rsid w:val="006703F0"/>
    <w:rsid w:val="00670A4F"/>
    <w:rsid w:val="00671177"/>
    <w:rsid w:val="0067180B"/>
    <w:rsid w:val="0067186A"/>
    <w:rsid w:val="00671AD2"/>
    <w:rsid w:val="006724E6"/>
    <w:rsid w:val="00672DD0"/>
    <w:rsid w:val="00672F6D"/>
    <w:rsid w:val="00673376"/>
    <w:rsid w:val="00673864"/>
    <w:rsid w:val="00674426"/>
    <w:rsid w:val="00674CFB"/>
    <w:rsid w:val="00674FC7"/>
    <w:rsid w:val="00675027"/>
    <w:rsid w:val="00675682"/>
    <w:rsid w:val="006769AA"/>
    <w:rsid w:val="006769D4"/>
    <w:rsid w:val="00677381"/>
    <w:rsid w:val="00677457"/>
    <w:rsid w:val="00677A73"/>
    <w:rsid w:val="00680318"/>
    <w:rsid w:val="00680D89"/>
    <w:rsid w:val="00680EB7"/>
    <w:rsid w:val="00681AF2"/>
    <w:rsid w:val="006822ED"/>
    <w:rsid w:val="006823E5"/>
    <w:rsid w:val="006845D5"/>
    <w:rsid w:val="006848B4"/>
    <w:rsid w:val="00685A34"/>
    <w:rsid w:val="00686970"/>
    <w:rsid w:val="00687314"/>
    <w:rsid w:val="00687486"/>
    <w:rsid w:val="00687BCA"/>
    <w:rsid w:val="00687E3A"/>
    <w:rsid w:val="00690817"/>
    <w:rsid w:val="00690ACA"/>
    <w:rsid w:val="00691407"/>
    <w:rsid w:val="00691518"/>
    <w:rsid w:val="00691586"/>
    <w:rsid w:val="00691B7F"/>
    <w:rsid w:val="00692763"/>
    <w:rsid w:val="00692BA6"/>
    <w:rsid w:val="00692CD5"/>
    <w:rsid w:val="00693DE7"/>
    <w:rsid w:val="0069428A"/>
    <w:rsid w:val="00694A11"/>
    <w:rsid w:val="00694D9E"/>
    <w:rsid w:val="006958D4"/>
    <w:rsid w:val="00695CD2"/>
    <w:rsid w:val="006967E4"/>
    <w:rsid w:val="00696C0D"/>
    <w:rsid w:val="006976E7"/>
    <w:rsid w:val="006A0D9B"/>
    <w:rsid w:val="006A0F6E"/>
    <w:rsid w:val="006A12AE"/>
    <w:rsid w:val="006A1CCD"/>
    <w:rsid w:val="006A2700"/>
    <w:rsid w:val="006A274C"/>
    <w:rsid w:val="006A2757"/>
    <w:rsid w:val="006A2AE7"/>
    <w:rsid w:val="006A31A2"/>
    <w:rsid w:val="006A346B"/>
    <w:rsid w:val="006A363A"/>
    <w:rsid w:val="006A38F2"/>
    <w:rsid w:val="006A4613"/>
    <w:rsid w:val="006A499D"/>
    <w:rsid w:val="006A4B05"/>
    <w:rsid w:val="006A4E2C"/>
    <w:rsid w:val="006A5849"/>
    <w:rsid w:val="006A60B8"/>
    <w:rsid w:val="006A6C02"/>
    <w:rsid w:val="006A6CC3"/>
    <w:rsid w:val="006A6E41"/>
    <w:rsid w:val="006A75E4"/>
    <w:rsid w:val="006A77F2"/>
    <w:rsid w:val="006A798C"/>
    <w:rsid w:val="006A7C2B"/>
    <w:rsid w:val="006A7FAA"/>
    <w:rsid w:val="006B031F"/>
    <w:rsid w:val="006B0F82"/>
    <w:rsid w:val="006B13B1"/>
    <w:rsid w:val="006B17AB"/>
    <w:rsid w:val="006B20FD"/>
    <w:rsid w:val="006B2C61"/>
    <w:rsid w:val="006B3725"/>
    <w:rsid w:val="006B3A1E"/>
    <w:rsid w:val="006B4280"/>
    <w:rsid w:val="006B5157"/>
    <w:rsid w:val="006B55AF"/>
    <w:rsid w:val="006B594E"/>
    <w:rsid w:val="006B62C4"/>
    <w:rsid w:val="006B6EC4"/>
    <w:rsid w:val="006B6ED7"/>
    <w:rsid w:val="006B7527"/>
    <w:rsid w:val="006B7F84"/>
    <w:rsid w:val="006B7FB4"/>
    <w:rsid w:val="006C0BFB"/>
    <w:rsid w:val="006C10B3"/>
    <w:rsid w:val="006C113C"/>
    <w:rsid w:val="006C156A"/>
    <w:rsid w:val="006C1C4E"/>
    <w:rsid w:val="006C1D32"/>
    <w:rsid w:val="006C2A78"/>
    <w:rsid w:val="006C45EB"/>
    <w:rsid w:val="006C4D6A"/>
    <w:rsid w:val="006C4E28"/>
    <w:rsid w:val="006C50D8"/>
    <w:rsid w:val="006C684E"/>
    <w:rsid w:val="006C6BF4"/>
    <w:rsid w:val="006C6F85"/>
    <w:rsid w:val="006C77A0"/>
    <w:rsid w:val="006C784D"/>
    <w:rsid w:val="006C7B00"/>
    <w:rsid w:val="006D0086"/>
    <w:rsid w:val="006D00A1"/>
    <w:rsid w:val="006D19B3"/>
    <w:rsid w:val="006D1BDC"/>
    <w:rsid w:val="006D265B"/>
    <w:rsid w:val="006D2E08"/>
    <w:rsid w:val="006D2E5C"/>
    <w:rsid w:val="006D3AB1"/>
    <w:rsid w:val="006D461C"/>
    <w:rsid w:val="006D4BF5"/>
    <w:rsid w:val="006D7125"/>
    <w:rsid w:val="006D7477"/>
    <w:rsid w:val="006D769A"/>
    <w:rsid w:val="006D7844"/>
    <w:rsid w:val="006E12F6"/>
    <w:rsid w:val="006E1BA7"/>
    <w:rsid w:val="006E20B2"/>
    <w:rsid w:val="006E225C"/>
    <w:rsid w:val="006E3174"/>
    <w:rsid w:val="006E3E62"/>
    <w:rsid w:val="006E4705"/>
    <w:rsid w:val="006E5622"/>
    <w:rsid w:val="006E5711"/>
    <w:rsid w:val="006E63B6"/>
    <w:rsid w:val="006E6F83"/>
    <w:rsid w:val="006E729C"/>
    <w:rsid w:val="006E7439"/>
    <w:rsid w:val="006E7DAC"/>
    <w:rsid w:val="006E7F4B"/>
    <w:rsid w:val="006F0065"/>
    <w:rsid w:val="006F0E7B"/>
    <w:rsid w:val="006F1350"/>
    <w:rsid w:val="006F1884"/>
    <w:rsid w:val="006F1D47"/>
    <w:rsid w:val="006F2A37"/>
    <w:rsid w:val="006F2AFF"/>
    <w:rsid w:val="006F3ACE"/>
    <w:rsid w:val="006F4FC1"/>
    <w:rsid w:val="006F50E8"/>
    <w:rsid w:val="006F56DB"/>
    <w:rsid w:val="006F5716"/>
    <w:rsid w:val="006F579C"/>
    <w:rsid w:val="006F5987"/>
    <w:rsid w:val="006F5B34"/>
    <w:rsid w:val="006F5D60"/>
    <w:rsid w:val="006F5D7E"/>
    <w:rsid w:val="006F6099"/>
    <w:rsid w:val="006F6B17"/>
    <w:rsid w:val="006F6DAD"/>
    <w:rsid w:val="006F70DF"/>
    <w:rsid w:val="006F7E14"/>
    <w:rsid w:val="007012BD"/>
    <w:rsid w:val="0070142A"/>
    <w:rsid w:val="00701C18"/>
    <w:rsid w:val="00701D78"/>
    <w:rsid w:val="0070235E"/>
    <w:rsid w:val="00702924"/>
    <w:rsid w:val="00702B2F"/>
    <w:rsid w:val="00702FFA"/>
    <w:rsid w:val="0070338E"/>
    <w:rsid w:val="007036E7"/>
    <w:rsid w:val="007045F0"/>
    <w:rsid w:val="00704B13"/>
    <w:rsid w:val="0070553F"/>
    <w:rsid w:val="00705A5A"/>
    <w:rsid w:val="007060AD"/>
    <w:rsid w:val="007065D1"/>
    <w:rsid w:val="007079F8"/>
    <w:rsid w:val="00707F59"/>
    <w:rsid w:val="007105ED"/>
    <w:rsid w:val="00710614"/>
    <w:rsid w:val="00712222"/>
    <w:rsid w:val="0071228B"/>
    <w:rsid w:val="00712FBE"/>
    <w:rsid w:val="00713334"/>
    <w:rsid w:val="0071338A"/>
    <w:rsid w:val="0071339D"/>
    <w:rsid w:val="00713893"/>
    <w:rsid w:val="00713DDE"/>
    <w:rsid w:val="00714F23"/>
    <w:rsid w:val="00715346"/>
    <w:rsid w:val="00715779"/>
    <w:rsid w:val="007164EF"/>
    <w:rsid w:val="007167D2"/>
    <w:rsid w:val="00717102"/>
    <w:rsid w:val="007208FD"/>
    <w:rsid w:val="007215B6"/>
    <w:rsid w:val="00721805"/>
    <w:rsid w:val="00721996"/>
    <w:rsid w:val="007224D2"/>
    <w:rsid w:val="00722B2C"/>
    <w:rsid w:val="00722DD1"/>
    <w:rsid w:val="00723213"/>
    <w:rsid w:val="007252DC"/>
    <w:rsid w:val="007255C0"/>
    <w:rsid w:val="0072580B"/>
    <w:rsid w:val="00725EFF"/>
    <w:rsid w:val="00726951"/>
    <w:rsid w:val="00726A9C"/>
    <w:rsid w:val="00727207"/>
    <w:rsid w:val="00727564"/>
    <w:rsid w:val="0073023F"/>
    <w:rsid w:val="007303A3"/>
    <w:rsid w:val="0073069D"/>
    <w:rsid w:val="00730AB9"/>
    <w:rsid w:val="007316BE"/>
    <w:rsid w:val="00731D14"/>
    <w:rsid w:val="00732769"/>
    <w:rsid w:val="00732A95"/>
    <w:rsid w:val="0073304B"/>
    <w:rsid w:val="007333C5"/>
    <w:rsid w:val="007335BA"/>
    <w:rsid w:val="007340EE"/>
    <w:rsid w:val="00734155"/>
    <w:rsid w:val="007349A5"/>
    <w:rsid w:val="00734B1D"/>
    <w:rsid w:val="007353CF"/>
    <w:rsid w:val="00735A02"/>
    <w:rsid w:val="00736080"/>
    <w:rsid w:val="00736A4B"/>
    <w:rsid w:val="00736EF0"/>
    <w:rsid w:val="007370C8"/>
    <w:rsid w:val="007371C2"/>
    <w:rsid w:val="00737699"/>
    <w:rsid w:val="00737BDE"/>
    <w:rsid w:val="0074065E"/>
    <w:rsid w:val="00740C88"/>
    <w:rsid w:val="00740E11"/>
    <w:rsid w:val="00741470"/>
    <w:rsid w:val="007415F5"/>
    <w:rsid w:val="00741B4F"/>
    <w:rsid w:val="0074238F"/>
    <w:rsid w:val="0074241C"/>
    <w:rsid w:val="00742790"/>
    <w:rsid w:val="00743145"/>
    <w:rsid w:val="007436DD"/>
    <w:rsid w:val="00744793"/>
    <w:rsid w:val="0074547A"/>
    <w:rsid w:val="00745592"/>
    <w:rsid w:val="00746EC6"/>
    <w:rsid w:val="00747716"/>
    <w:rsid w:val="00750685"/>
    <w:rsid w:val="00750C5D"/>
    <w:rsid w:val="00750DD4"/>
    <w:rsid w:val="00751672"/>
    <w:rsid w:val="00752003"/>
    <w:rsid w:val="007522EB"/>
    <w:rsid w:val="007526A3"/>
    <w:rsid w:val="00752CCD"/>
    <w:rsid w:val="00753B0A"/>
    <w:rsid w:val="007542C7"/>
    <w:rsid w:val="00754845"/>
    <w:rsid w:val="00754F3B"/>
    <w:rsid w:val="007551B2"/>
    <w:rsid w:val="007551B5"/>
    <w:rsid w:val="007552DF"/>
    <w:rsid w:val="00755B0B"/>
    <w:rsid w:val="00756C38"/>
    <w:rsid w:val="007570C9"/>
    <w:rsid w:val="0075752B"/>
    <w:rsid w:val="00757BEA"/>
    <w:rsid w:val="00760DCD"/>
    <w:rsid w:val="00760E72"/>
    <w:rsid w:val="007610DE"/>
    <w:rsid w:val="007613C9"/>
    <w:rsid w:val="0076290A"/>
    <w:rsid w:val="00762B21"/>
    <w:rsid w:val="00762CE1"/>
    <w:rsid w:val="00763033"/>
    <w:rsid w:val="00763510"/>
    <w:rsid w:val="00763750"/>
    <w:rsid w:val="00763AEE"/>
    <w:rsid w:val="0076455D"/>
    <w:rsid w:val="0076463E"/>
    <w:rsid w:val="007651C8"/>
    <w:rsid w:val="00765767"/>
    <w:rsid w:val="00765F23"/>
    <w:rsid w:val="00765FAB"/>
    <w:rsid w:val="00766091"/>
    <w:rsid w:val="007664AB"/>
    <w:rsid w:val="007667EC"/>
    <w:rsid w:val="00766A23"/>
    <w:rsid w:val="00766D1C"/>
    <w:rsid w:val="00766D5F"/>
    <w:rsid w:val="00767202"/>
    <w:rsid w:val="00767677"/>
    <w:rsid w:val="00767B29"/>
    <w:rsid w:val="00767F6F"/>
    <w:rsid w:val="007706B7"/>
    <w:rsid w:val="007710ED"/>
    <w:rsid w:val="0077117C"/>
    <w:rsid w:val="00771310"/>
    <w:rsid w:val="00771A13"/>
    <w:rsid w:val="00772C1B"/>
    <w:rsid w:val="00772C50"/>
    <w:rsid w:val="00772EDB"/>
    <w:rsid w:val="00773024"/>
    <w:rsid w:val="00773213"/>
    <w:rsid w:val="007735C7"/>
    <w:rsid w:val="00774186"/>
    <w:rsid w:val="00774F42"/>
    <w:rsid w:val="00775067"/>
    <w:rsid w:val="007751B6"/>
    <w:rsid w:val="007758C0"/>
    <w:rsid w:val="007758FD"/>
    <w:rsid w:val="00775C73"/>
    <w:rsid w:val="00776092"/>
    <w:rsid w:val="00776AD4"/>
    <w:rsid w:val="0077705F"/>
    <w:rsid w:val="00777716"/>
    <w:rsid w:val="00777C12"/>
    <w:rsid w:val="00780FD2"/>
    <w:rsid w:val="00781115"/>
    <w:rsid w:val="00781351"/>
    <w:rsid w:val="007817FC"/>
    <w:rsid w:val="00781FF8"/>
    <w:rsid w:val="00782276"/>
    <w:rsid w:val="0078243A"/>
    <w:rsid w:val="007825E3"/>
    <w:rsid w:val="00782B22"/>
    <w:rsid w:val="00783044"/>
    <w:rsid w:val="00783A5B"/>
    <w:rsid w:val="00783F89"/>
    <w:rsid w:val="0078419C"/>
    <w:rsid w:val="00784362"/>
    <w:rsid w:val="0078458B"/>
    <w:rsid w:val="00784B09"/>
    <w:rsid w:val="00784EB2"/>
    <w:rsid w:val="0078526C"/>
    <w:rsid w:val="00785382"/>
    <w:rsid w:val="00785554"/>
    <w:rsid w:val="0078572B"/>
    <w:rsid w:val="00785F23"/>
    <w:rsid w:val="00786412"/>
    <w:rsid w:val="00786C77"/>
    <w:rsid w:val="007873B4"/>
    <w:rsid w:val="0078747D"/>
    <w:rsid w:val="00787604"/>
    <w:rsid w:val="00787719"/>
    <w:rsid w:val="00787723"/>
    <w:rsid w:val="00787E5E"/>
    <w:rsid w:val="00787F20"/>
    <w:rsid w:val="00790FC9"/>
    <w:rsid w:val="007913F9"/>
    <w:rsid w:val="007916C3"/>
    <w:rsid w:val="00791A98"/>
    <w:rsid w:val="0079219D"/>
    <w:rsid w:val="00792CD9"/>
    <w:rsid w:val="007937F8"/>
    <w:rsid w:val="00793C97"/>
    <w:rsid w:val="007947F1"/>
    <w:rsid w:val="00794D2A"/>
    <w:rsid w:val="00795110"/>
    <w:rsid w:val="007951B5"/>
    <w:rsid w:val="00795582"/>
    <w:rsid w:val="007960FD"/>
    <w:rsid w:val="00796390"/>
    <w:rsid w:val="00796D92"/>
    <w:rsid w:val="007977EC"/>
    <w:rsid w:val="007A00C2"/>
    <w:rsid w:val="007A0BAB"/>
    <w:rsid w:val="007A119B"/>
    <w:rsid w:val="007A1A51"/>
    <w:rsid w:val="007A1F88"/>
    <w:rsid w:val="007A2D90"/>
    <w:rsid w:val="007A30F4"/>
    <w:rsid w:val="007A32D0"/>
    <w:rsid w:val="007A3AE0"/>
    <w:rsid w:val="007A3FFE"/>
    <w:rsid w:val="007A4632"/>
    <w:rsid w:val="007A46D6"/>
    <w:rsid w:val="007A53D1"/>
    <w:rsid w:val="007A5943"/>
    <w:rsid w:val="007A7EC0"/>
    <w:rsid w:val="007B02B9"/>
    <w:rsid w:val="007B080A"/>
    <w:rsid w:val="007B0B63"/>
    <w:rsid w:val="007B153E"/>
    <w:rsid w:val="007B2536"/>
    <w:rsid w:val="007B3A9C"/>
    <w:rsid w:val="007B3BFD"/>
    <w:rsid w:val="007B4603"/>
    <w:rsid w:val="007B48F5"/>
    <w:rsid w:val="007B5818"/>
    <w:rsid w:val="007B5E62"/>
    <w:rsid w:val="007B5F1F"/>
    <w:rsid w:val="007B5F82"/>
    <w:rsid w:val="007B6D97"/>
    <w:rsid w:val="007B6E49"/>
    <w:rsid w:val="007B7ADD"/>
    <w:rsid w:val="007C0971"/>
    <w:rsid w:val="007C09FE"/>
    <w:rsid w:val="007C15E5"/>
    <w:rsid w:val="007C167C"/>
    <w:rsid w:val="007C1733"/>
    <w:rsid w:val="007C1C84"/>
    <w:rsid w:val="007C2829"/>
    <w:rsid w:val="007C28E7"/>
    <w:rsid w:val="007C32C6"/>
    <w:rsid w:val="007C3ADE"/>
    <w:rsid w:val="007C3CFF"/>
    <w:rsid w:val="007C49CE"/>
    <w:rsid w:val="007C553C"/>
    <w:rsid w:val="007C564D"/>
    <w:rsid w:val="007C5C06"/>
    <w:rsid w:val="007C5EFA"/>
    <w:rsid w:val="007C65D0"/>
    <w:rsid w:val="007C66F1"/>
    <w:rsid w:val="007C71F0"/>
    <w:rsid w:val="007C7FAF"/>
    <w:rsid w:val="007D015D"/>
    <w:rsid w:val="007D04D1"/>
    <w:rsid w:val="007D075F"/>
    <w:rsid w:val="007D09AD"/>
    <w:rsid w:val="007D0D3C"/>
    <w:rsid w:val="007D1989"/>
    <w:rsid w:val="007D2044"/>
    <w:rsid w:val="007D2E72"/>
    <w:rsid w:val="007D3098"/>
    <w:rsid w:val="007D4406"/>
    <w:rsid w:val="007D47BE"/>
    <w:rsid w:val="007D49A3"/>
    <w:rsid w:val="007D4A36"/>
    <w:rsid w:val="007D4FA6"/>
    <w:rsid w:val="007D528F"/>
    <w:rsid w:val="007D54B2"/>
    <w:rsid w:val="007D61B3"/>
    <w:rsid w:val="007D6228"/>
    <w:rsid w:val="007D62DA"/>
    <w:rsid w:val="007D6DD9"/>
    <w:rsid w:val="007D76F8"/>
    <w:rsid w:val="007D7AB3"/>
    <w:rsid w:val="007E027E"/>
    <w:rsid w:val="007E096C"/>
    <w:rsid w:val="007E0F73"/>
    <w:rsid w:val="007E0F80"/>
    <w:rsid w:val="007E2225"/>
    <w:rsid w:val="007E2778"/>
    <w:rsid w:val="007E31C9"/>
    <w:rsid w:val="007E47DD"/>
    <w:rsid w:val="007E4A42"/>
    <w:rsid w:val="007E4C4F"/>
    <w:rsid w:val="007E4EA3"/>
    <w:rsid w:val="007E5660"/>
    <w:rsid w:val="007E5721"/>
    <w:rsid w:val="007E5A4E"/>
    <w:rsid w:val="007E5F19"/>
    <w:rsid w:val="007E5F68"/>
    <w:rsid w:val="007E6A25"/>
    <w:rsid w:val="007E70D5"/>
    <w:rsid w:val="007E7385"/>
    <w:rsid w:val="007F0AD2"/>
    <w:rsid w:val="007F13F7"/>
    <w:rsid w:val="007F17AD"/>
    <w:rsid w:val="007F1F6E"/>
    <w:rsid w:val="007F209C"/>
    <w:rsid w:val="007F2CB8"/>
    <w:rsid w:val="007F3156"/>
    <w:rsid w:val="007F3F17"/>
    <w:rsid w:val="007F476B"/>
    <w:rsid w:val="007F48CE"/>
    <w:rsid w:val="007F4965"/>
    <w:rsid w:val="007F49E9"/>
    <w:rsid w:val="007F508F"/>
    <w:rsid w:val="007F5406"/>
    <w:rsid w:val="007F61F0"/>
    <w:rsid w:val="007F663A"/>
    <w:rsid w:val="007F6C96"/>
    <w:rsid w:val="007F7DD4"/>
    <w:rsid w:val="008000F6"/>
    <w:rsid w:val="0080086B"/>
    <w:rsid w:val="00800ABB"/>
    <w:rsid w:val="00801540"/>
    <w:rsid w:val="008015B6"/>
    <w:rsid w:val="0080165C"/>
    <w:rsid w:val="0080240F"/>
    <w:rsid w:val="008024BC"/>
    <w:rsid w:val="008024E3"/>
    <w:rsid w:val="0080254A"/>
    <w:rsid w:val="00802B49"/>
    <w:rsid w:val="008041B4"/>
    <w:rsid w:val="00804458"/>
    <w:rsid w:val="0080575A"/>
    <w:rsid w:val="00805E86"/>
    <w:rsid w:val="0080693E"/>
    <w:rsid w:val="00806EA4"/>
    <w:rsid w:val="00807D20"/>
    <w:rsid w:val="008106D0"/>
    <w:rsid w:val="00810F89"/>
    <w:rsid w:val="00811922"/>
    <w:rsid w:val="00811DD5"/>
    <w:rsid w:val="008128D0"/>
    <w:rsid w:val="00812F80"/>
    <w:rsid w:val="008132A8"/>
    <w:rsid w:val="0081343D"/>
    <w:rsid w:val="00813979"/>
    <w:rsid w:val="00813BD1"/>
    <w:rsid w:val="00814262"/>
    <w:rsid w:val="008145A0"/>
    <w:rsid w:val="00815652"/>
    <w:rsid w:val="0081571E"/>
    <w:rsid w:val="008157ED"/>
    <w:rsid w:val="00816F7B"/>
    <w:rsid w:val="008174F5"/>
    <w:rsid w:val="00817A96"/>
    <w:rsid w:val="00817CD7"/>
    <w:rsid w:val="00817E49"/>
    <w:rsid w:val="008202C5"/>
    <w:rsid w:val="00821E34"/>
    <w:rsid w:val="0082223F"/>
    <w:rsid w:val="00822345"/>
    <w:rsid w:val="0082289E"/>
    <w:rsid w:val="00822A41"/>
    <w:rsid w:val="00823259"/>
    <w:rsid w:val="0082341D"/>
    <w:rsid w:val="008240D9"/>
    <w:rsid w:val="0082479F"/>
    <w:rsid w:val="00824C22"/>
    <w:rsid w:val="00824C98"/>
    <w:rsid w:val="008251F6"/>
    <w:rsid w:val="00825B26"/>
    <w:rsid w:val="00825E78"/>
    <w:rsid w:val="00825F44"/>
    <w:rsid w:val="008263CA"/>
    <w:rsid w:val="008270F3"/>
    <w:rsid w:val="00830C48"/>
    <w:rsid w:val="0083143B"/>
    <w:rsid w:val="00831ADC"/>
    <w:rsid w:val="00832846"/>
    <w:rsid w:val="008339C9"/>
    <w:rsid w:val="00833E03"/>
    <w:rsid w:val="0083432D"/>
    <w:rsid w:val="008344B1"/>
    <w:rsid w:val="008348E1"/>
    <w:rsid w:val="00834FEC"/>
    <w:rsid w:val="0083522D"/>
    <w:rsid w:val="00835D30"/>
    <w:rsid w:val="00836F99"/>
    <w:rsid w:val="00837258"/>
    <w:rsid w:val="00837553"/>
    <w:rsid w:val="00837698"/>
    <w:rsid w:val="00837723"/>
    <w:rsid w:val="00837754"/>
    <w:rsid w:val="008378A8"/>
    <w:rsid w:val="00837D97"/>
    <w:rsid w:val="0084037D"/>
    <w:rsid w:val="0084052A"/>
    <w:rsid w:val="00840885"/>
    <w:rsid w:val="00840927"/>
    <w:rsid w:val="00840D6E"/>
    <w:rsid w:val="00841339"/>
    <w:rsid w:val="00841615"/>
    <w:rsid w:val="00841746"/>
    <w:rsid w:val="00841E3B"/>
    <w:rsid w:val="008422F3"/>
    <w:rsid w:val="008423A2"/>
    <w:rsid w:val="008428C7"/>
    <w:rsid w:val="0084424E"/>
    <w:rsid w:val="00845A05"/>
    <w:rsid w:val="00845F0A"/>
    <w:rsid w:val="00846086"/>
    <w:rsid w:val="008470FC"/>
    <w:rsid w:val="0085080C"/>
    <w:rsid w:val="00850873"/>
    <w:rsid w:val="008510E2"/>
    <w:rsid w:val="00851464"/>
    <w:rsid w:val="00851621"/>
    <w:rsid w:val="008519A4"/>
    <w:rsid w:val="00851B34"/>
    <w:rsid w:val="00852028"/>
    <w:rsid w:val="0085206B"/>
    <w:rsid w:val="00852C3B"/>
    <w:rsid w:val="008536AF"/>
    <w:rsid w:val="00853FFD"/>
    <w:rsid w:val="00854177"/>
    <w:rsid w:val="00854592"/>
    <w:rsid w:val="00854BA5"/>
    <w:rsid w:val="0085514D"/>
    <w:rsid w:val="00855436"/>
    <w:rsid w:val="0085544B"/>
    <w:rsid w:val="0085565E"/>
    <w:rsid w:val="00856B15"/>
    <w:rsid w:val="00856F82"/>
    <w:rsid w:val="00857477"/>
    <w:rsid w:val="00857F48"/>
    <w:rsid w:val="0086007A"/>
    <w:rsid w:val="0086246F"/>
    <w:rsid w:val="008628BB"/>
    <w:rsid w:val="00862AFD"/>
    <w:rsid w:val="00862E02"/>
    <w:rsid w:val="00862EA3"/>
    <w:rsid w:val="00862F1E"/>
    <w:rsid w:val="008634C1"/>
    <w:rsid w:val="00863A0F"/>
    <w:rsid w:val="0086442E"/>
    <w:rsid w:val="008655D5"/>
    <w:rsid w:val="00865858"/>
    <w:rsid w:val="00865B5D"/>
    <w:rsid w:val="00865D02"/>
    <w:rsid w:val="00865E4E"/>
    <w:rsid w:val="008678F4"/>
    <w:rsid w:val="00867D3E"/>
    <w:rsid w:val="00870188"/>
    <w:rsid w:val="008708FC"/>
    <w:rsid w:val="00870C3F"/>
    <w:rsid w:val="008712A9"/>
    <w:rsid w:val="00871593"/>
    <w:rsid w:val="00871D91"/>
    <w:rsid w:val="008724A8"/>
    <w:rsid w:val="00872680"/>
    <w:rsid w:val="0087272B"/>
    <w:rsid w:val="00872FC7"/>
    <w:rsid w:val="0087385F"/>
    <w:rsid w:val="00873AB5"/>
    <w:rsid w:val="00873BE8"/>
    <w:rsid w:val="00873C3E"/>
    <w:rsid w:val="008743C0"/>
    <w:rsid w:val="00875B1B"/>
    <w:rsid w:val="00875D1A"/>
    <w:rsid w:val="00875DB5"/>
    <w:rsid w:val="00876362"/>
    <w:rsid w:val="0087658D"/>
    <w:rsid w:val="0087679B"/>
    <w:rsid w:val="00876B1D"/>
    <w:rsid w:val="00876B65"/>
    <w:rsid w:val="00876D47"/>
    <w:rsid w:val="00876FFB"/>
    <w:rsid w:val="008773C1"/>
    <w:rsid w:val="008806C6"/>
    <w:rsid w:val="00880F1A"/>
    <w:rsid w:val="00883267"/>
    <w:rsid w:val="008835F9"/>
    <w:rsid w:val="00883CF6"/>
    <w:rsid w:val="00884F2A"/>
    <w:rsid w:val="00885193"/>
    <w:rsid w:val="00885473"/>
    <w:rsid w:val="008858E8"/>
    <w:rsid w:val="00885A60"/>
    <w:rsid w:val="00885AF5"/>
    <w:rsid w:val="00885C58"/>
    <w:rsid w:val="00885F63"/>
    <w:rsid w:val="00886597"/>
    <w:rsid w:val="008867F8"/>
    <w:rsid w:val="00886DF0"/>
    <w:rsid w:val="00887424"/>
    <w:rsid w:val="00887AA7"/>
    <w:rsid w:val="00887DAA"/>
    <w:rsid w:val="0089196F"/>
    <w:rsid w:val="0089199F"/>
    <w:rsid w:val="00892750"/>
    <w:rsid w:val="00892A47"/>
    <w:rsid w:val="00892FA1"/>
    <w:rsid w:val="00893016"/>
    <w:rsid w:val="008934EC"/>
    <w:rsid w:val="00893C20"/>
    <w:rsid w:val="008942D2"/>
    <w:rsid w:val="008950BC"/>
    <w:rsid w:val="0089550B"/>
    <w:rsid w:val="00895B47"/>
    <w:rsid w:val="00895C87"/>
    <w:rsid w:val="00895CF0"/>
    <w:rsid w:val="0089639C"/>
    <w:rsid w:val="008963C9"/>
    <w:rsid w:val="008963F2"/>
    <w:rsid w:val="00896741"/>
    <w:rsid w:val="00896B26"/>
    <w:rsid w:val="00896BC8"/>
    <w:rsid w:val="00896C99"/>
    <w:rsid w:val="00896F86"/>
    <w:rsid w:val="00897443"/>
    <w:rsid w:val="00897949"/>
    <w:rsid w:val="00897A20"/>
    <w:rsid w:val="008A0102"/>
    <w:rsid w:val="008A040E"/>
    <w:rsid w:val="008A0B4E"/>
    <w:rsid w:val="008A1053"/>
    <w:rsid w:val="008A105B"/>
    <w:rsid w:val="008A1281"/>
    <w:rsid w:val="008A1468"/>
    <w:rsid w:val="008A2516"/>
    <w:rsid w:val="008A2602"/>
    <w:rsid w:val="008A280D"/>
    <w:rsid w:val="008A2F40"/>
    <w:rsid w:val="008A2F74"/>
    <w:rsid w:val="008A3773"/>
    <w:rsid w:val="008A3E98"/>
    <w:rsid w:val="008A40C3"/>
    <w:rsid w:val="008A4438"/>
    <w:rsid w:val="008A4854"/>
    <w:rsid w:val="008A4E7A"/>
    <w:rsid w:val="008A4EEC"/>
    <w:rsid w:val="008A51FC"/>
    <w:rsid w:val="008A5735"/>
    <w:rsid w:val="008A5BFC"/>
    <w:rsid w:val="008A5F1F"/>
    <w:rsid w:val="008A620B"/>
    <w:rsid w:val="008A64F8"/>
    <w:rsid w:val="008A676E"/>
    <w:rsid w:val="008A6EBD"/>
    <w:rsid w:val="008A7D23"/>
    <w:rsid w:val="008B00DF"/>
    <w:rsid w:val="008B027D"/>
    <w:rsid w:val="008B0C93"/>
    <w:rsid w:val="008B1391"/>
    <w:rsid w:val="008B1D2C"/>
    <w:rsid w:val="008B2093"/>
    <w:rsid w:val="008B22EF"/>
    <w:rsid w:val="008B2B19"/>
    <w:rsid w:val="008B2D33"/>
    <w:rsid w:val="008B2DB6"/>
    <w:rsid w:val="008B2DD9"/>
    <w:rsid w:val="008B314F"/>
    <w:rsid w:val="008B3376"/>
    <w:rsid w:val="008B3592"/>
    <w:rsid w:val="008B4187"/>
    <w:rsid w:val="008B4713"/>
    <w:rsid w:val="008B476B"/>
    <w:rsid w:val="008B4FF6"/>
    <w:rsid w:val="008B5995"/>
    <w:rsid w:val="008B59FB"/>
    <w:rsid w:val="008B6141"/>
    <w:rsid w:val="008B658F"/>
    <w:rsid w:val="008B6D22"/>
    <w:rsid w:val="008B7561"/>
    <w:rsid w:val="008B7AE6"/>
    <w:rsid w:val="008C0973"/>
    <w:rsid w:val="008C099A"/>
    <w:rsid w:val="008C0CAD"/>
    <w:rsid w:val="008C0E28"/>
    <w:rsid w:val="008C0EBE"/>
    <w:rsid w:val="008C0F90"/>
    <w:rsid w:val="008C176D"/>
    <w:rsid w:val="008C1ED1"/>
    <w:rsid w:val="008C2211"/>
    <w:rsid w:val="008C24B9"/>
    <w:rsid w:val="008C3FA8"/>
    <w:rsid w:val="008C4001"/>
    <w:rsid w:val="008C52AA"/>
    <w:rsid w:val="008C54D6"/>
    <w:rsid w:val="008C64BD"/>
    <w:rsid w:val="008C7295"/>
    <w:rsid w:val="008C7B55"/>
    <w:rsid w:val="008C7E79"/>
    <w:rsid w:val="008C7F1C"/>
    <w:rsid w:val="008D0456"/>
    <w:rsid w:val="008D1BFD"/>
    <w:rsid w:val="008D1DC7"/>
    <w:rsid w:val="008D25FB"/>
    <w:rsid w:val="008D358C"/>
    <w:rsid w:val="008D35B4"/>
    <w:rsid w:val="008D375B"/>
    <w:rsid w:val="008D3EC3"/>
    <w:rsid w:val="008D42B6"/>
    <w:rsid w:val="008D475A"/>
    <w:rsid w:val="008D4DDE"/>
    <w:rsid w:val="008D5DC3"/>
    <w:rsid w:val="008D6C0F"/>
    <w:rsid w:val="008D7E9F"/>
    <w:rsid w:val="008E0E18"/>
    <w:rsid w:val="008E0E2B"/>
    <w:rsid w:val="008E14B7"/>
    <w:rsid w:val="008E2D2E"/>
    <w:rsid w:val="008E3E7A"/>
    <w:rsid w:val="008E40A6"/>
    <w:rsid w:val="008E41E9"/>
    <w:rsid w:val="008E61F9"/>
    <w:rsid w:val="008E6CE5"/>
    <w:rsid w:val="008F1240"/>
    <w:rsid w:val="008F1513"/>
    <w:rsid w:val="008F1D1C"/>
    <w:rsid w:val="008F23D2"/>
    <w:rsid w:val="008F2856"/>
    <w:rsid w:val="008F2A13"/>
    <w:rsid w:val="008F2AA3"/>
    <w:rsid w:val="008F3A75"/>
    <w:rsid w:val="008F4261"/>
    <w:rsid w:val="008F525F"/>
    <w:rsid w:val="008F53FF"/>
    <w:rsid w:val="008F5610"/>
    <w:rsid w:val="008F58CC"/>
    <w:rsid w:val="008F5B2C"/>
    <w:rsid w:val="008F5BFC"/>
    <w:rsid w:val="008F5C4D"/>
    <w:rsid w:val="008F6040"/>
    <w:rsid w:val="008F6570"/>
    <w:rsid w:val="008F66F6"/>
    <w:rsid w:val="008F6731"/>
    <w:rsid w:val="008F71D6"/>
    <w:rsid w:val="008F71F7"/>
    <w:rsid w:val="008F7CFB"/>
    <w:rsid w:val="008F7DDC"/>
    <w:rsid w:val="00900394"/>
    <w:rsid w:val="00901010"/>
    <w:rsid w:val="009012C0"/>
    <w:rsid w:val="0090142B"/>
    <w:rsid w:val="00901CEF"/>
    <w:rsid w:val="00901DC6"/>
    <w:rsid w:val="0090214E"/>
    <w:rsid w:val="009023BC"/>
    <w:rsid w:val="00902557"/>
    <w:rsid w:val="00902723"/>
    <w:rsid w:val="00902A2D"/>
    <w:rsid w:val="00902B39"/>
    <w:rsid w:val="00903127"/>
    <w:rsid w:val="00903338"/>
    <w:rsid w:val="00903C3D"/>
    <w:rsid w:val="00903DE9"/>
    <w:rsid w:val="00904B33"/>
    <w:rsid w:val="00905355"/>
    <w:rsid w:val="00906499"/>
    <w:rsid w:val="00907241"/>
    <w:rsid w:val="00907BC9"/>
    <w:rsid w:val="00907C42"/>
    <w:rsid w:val="00907E3D"/>
    <w:rsid w:val="0091051F"/>
    <w:rsid w:val="00911092"/>
    <w:rsid w:val="009114DD"/>
    <w:rsid w:val="009115D6"/>
    <w:rsid w:val="009119B0"/>
    <w:rsid w:val="00911A73"/>
    <w:rsid w:val="00911E69"/>
    <w:rsid w:val="009127C5"/>
    <w:rsid w:val="009134C0"/>
    <w:rsid w:val="0091362B"/>
    <w:rsid w:val="00914C06"/>
    <w:rsid w:val="00914CB4"/>
    <w:rsid w:val="009150FA"/>
    <w:rsid w:val="00915130"/>
    <w:rsid w:val="009156EE"/>
    <w:rsid w:val="009159B3"/>
    <w:rsid w:val="00916753"/>
    <w:rsid w:val="009169E9"/>
    <w:rsid w:val="00916B6F"/>
    <w:rsid w:val="009172B6"/>
    <w:rsid w:val="0091743B"/>
    <w:rsid w:val="009179E0"/>
    <w:rsid w:val="00920192"/>
    <w:rsid w:val="00922333"/>
    <w:rsid w:val="009228A8"/>
    <w:rsid w:val="009232F7"/>
    <w:rsid w:val="00923337"/>
    <w:rsid w:val="00923C83"/>
    <w:rsid w:val="00923FDA"/>
    <w:rsid w:val="00924762"/>
    <w:rsid w:val="00924EC0"/>
    <w:rsid w:val="00925472"/>
    <w:rsid w:val="00925665"/>
    <w:rsid w:val="00925876"/>
    <w:rsid w:val="00925905"/>
    <w:rsid w:val="00925E4A"/>
    <w:rsid w:val="009260AF"/>
    <w:rsid w:val="009262E3"/>
    <w:rsid w:val="009263E5"/>
    <w:rsid w:val="00926675"/>
    <w:rsid w:val="00926B7A"/>
    <w:rsid w:val="00927339"/>
    <w:rsid w:val="009275E5"/>
    <w:rsid w:val="009275F8"/>
    <w:rsid w:val="00927B11"/>
    <w:rsid w:val="0093022C"/>
    <w:rsid w:val="00930A87"/>
    <w:rsid w:val="00930F91"/>
    <w:rsid w:val="009311F7"/>
    <w:rsid w:val="0093129E"/>
    <w:rsid w:val="0093175B"/>
    <w:rsid w:val="009327C3"/>
    <w:rsid w:val="00932A28"/>
    <w:rsid w:val="00933125"/>
    <w:rsid w:val="00933485"/>
    <w:rsid w:val="00933860"/>
    <w:rsid w:val="00933BFD"/>
    <w:rsid w:val="00934589"/>
    <w:rsid w:val="009354A6"/>
    <w:rsid w:val="00935D23"/>
    <w:rsid w:val="00936158"/>
    <w:rsid w:val="00936258"/>
    <w:rsid w:val="00936337"/>
    <w:rsid w:val="009376D2"/>
    <w:rsid w:val="009376E2"/>
    <w:rsid w:val="009378A7"/>
    <w:rsid w:val="00937ED1"/>
    <w:rsid w:val="00940339"/>
    <w:rsid w:val="00940784"/>
    <w:rsid w:val="00940A18"/>
    <w:rsid w:val="009415D8"/>
    <w:rsid w:val="00941DA2"/>
    <w:rsid w:val="00942500"/>
    <w:rsid w:val="009426EF"/>
    <w:rsid w:val="00942D71"/>
    <w:rsid w:val="0094339B"/>
    <w:rsid w:val="009436CE"/>
    <w:rsid w:val="00943868"/>
    <w:rsid w:val="00944BBE"/>
    <w:rsid w:val="009452A5"/>
    <w:rsid w:val="009458B4"/>
    <w:rsid w:val="009464F4"/>
    <w:rsid w:val="00946F1C"/>
    <w:rsid w:val="009472A0"/>
    <w:rsid w:val="009472EB"/>
    <w:rsid w:val="00947521"/>
    <w:rsid w:val="00947859"/>
    <w:rsid w:val="00947E5D"/>
    <w:rsid w:val="00947F55"/>
    <w:rsid w:val="009501BF"/>
    <w:rsid w:val="00950CE4"/>
    <w:rsid w:val="00951590"/>
    <w:rsid w:val="00951B27"/>
    <w:rsid w:val="009521CD"/>
    <w:rsid w:val="0095226A"/>
    <w:rsid w:val="00952D94"/>
    <w:rsid w:val="0095325D"/>
    <w:rsid w:val="009537BA"/>
    <w:rsid w:val="00954344"/>
    <w:rsid w:val="0095483C"/>
    <w:rsid w:val="00954B5F"/>
    <w:rsid w:val="00955306"/>
    <w:rsid w:val="00955C5B"/>
    <w:rsid w:val="00955E40"/>
    <w:rsid w:val="00956788"/>
    <w:rsid w:val="0095698F"/>
    <w:rsid w:val="00956A90"/>
    <w:rsid w:val="00956C3B"/>
    <w:rsid w:val="00960F36"/>
    <w:rsid w:val="009611D3"/>
    <w:rsid w:val="00961B15"/>
    <w:rsid w:val="00961EB7"/>
    <w:rsid w:val="00962015"/>
    <w:rsid w:val="00962B8E"/>
    <w:rsid w:val="00962BEB"/>
    <w:rsid w:val="00963129"/>
    <w:rsid w:val="00963302"/>
    <w:rsid w:val="00963BC0"/>
    <w:rsid w:val="00963CDE"/>
    <w:rsid w:val="00963FF3"/>
    <w:rsid w:val="00964577"/>
    <w:rsid w:val="00964C50"/>
    <w:rsid w:val="00964F72"/>
    <w:rsid w:val="00965934"/>
    <w:rsid w:val="009660EE"/>
    <w:rsid w:val="009667D7"/>
    <w:rsid w:val="00966C98"/>
    <w:rsid w:val="00967F09"/>
    <w:rsid w:val="009711C0"/>
    <w:rsid w:val="00971486"/>
    <w:rsid w:val="00971F4E"/>
    <w:rsid w:val="00972324"/>
    <w:rsid w:val="009723E8"/>
    <w:rsid w:val="009726E7"/>
    <w:rsid w:val="00972C0E"/>
    <w:rsid w:val="009731AA"/>
    <w:rsid w:val="0097377D"/>
    <w:rsid w:val="00973924"/>
    <w:rsid w:val="0097396C"/>
    <w:rsid w:val="00973B24"/>
    <w:rsid w:val="00974260"/>
    <w:rsid w:val="0097433A"/>
    <w:rsid w:val="00974EE4"/>
    <w:rsid w:val="009757B2"/>
    <w:rsid w:val="009759BF"/>
    <w:rsid w:val="0098054B"/>
    <w:rsid w:val="009806C6"/>
    <w:rsid w:val="009807F0"/>
    <w:rsid w:val="00980CB3"/>
    <w:rsid w:val="00981137"/>
    <w:rsid w:val="00981A6C"/>
    <w:rsid w:val="0098217E"/>
    <w:rsid w:val="00982CDF"/>
    <w:rsid w:val="009832F9"/>
    <w:rsid w:val="009834D5"/>
    <w:rsid w:val="009835F9"/>
    <w:rsid w:val="00983712"/>
    <w:rsid w:val="00984819"/>
    <w:rsid w:val="0098520F"/>
    <w:rsid w:val="00987091"/>
    <w:rsid w:val="009879F8"/>
    <w:rsid w:val="00987A4A"/>
    <w:rsid w:val="00987A9F"/>
    <w:rsid w:val="009900B0"/>
    <w:rsid w:val="0099034B"/>
    <w:rsid w:val="0099086E"/>
    <w:rsid w:val="00990BD9"/>
    <w:rsid w:val="00991939"/>
    <w:rsid w:val="00991A1D"/>
    <w:rsid w:val="00992355"/>
    <w:rsid w:val="009927D8"/>
    <w:rsid w:val="009932F7"/>
    <w:rsid w:val="0099379B"/>
    <w:rsid w:val="009938AC"/>
    <w:rsid w:val="00993BC7"/>
    <w:rsid w:val="00993E82"/>
    <w:rsid w:val="00993ED9"/>
    <w:rsid w:val="009944F8"/>
    <w:rsid w:val="009949A1"/>
    <w:rsid w:val="00994D5D"/>
    <w:rsid w:val="00994D94"/>
    <w:rsid w:val="009964DC"/>
    <w:rsid w:val="009974DE"/>
    <w:rsid w:val="009A053D"/>
    <w:rsid w:val="009A07C4"/>
    <w:rsid w:val="009A08EA"/>
    <w:rsid w:val="009A0A58"/>
    <w:rsid w:val="009A0DF5"/>
    <w:rsid w:val="009A0FC4"/>
    <w:rsid w:val="009A15B4"/>
    <w:rsid w:val="009A1E82"/>
    <w:rsid w:val="009A2178"/>
    <w:rsid w:val="009A3904"/>
    <w:rsid w:val="009A440D"/>
    <w:rsid w:val="009A4737"/>
    <w:rsid w:val="009A5168"/>
    <w:rsid w:val="009A5CDB"/>
    <w:rsid w:val="009A7794"/>
    <w:rsid w:val="009A7914"/>
    <w:rsid w:val="009A7949"/>
    <w:rsid w:val="009B0174"/>
    <w:rsid w:val="009B04E2"/>
    <w:rsid w:val="009B0F9A"/>
    <w:rsid w:val="009B19D7"/>
    <w:rsid w:val="009B2686"/>
    <w:rsid w:val="009B2802"/>
    <w:rsid w:val="009B2B8E"/>
    <w:rsid w:val="009B2D60"/>
    <w:rsid w:val="009B3DE0"/>
    <w:rsid w:val="009B3F8B"/>
    <w:rsid w:val="009B409A"/>
    <w:rsid w:val="009B43F6"/>
    <w:rsid w:val="009B5397"/>
    <w:rsid w:val="009B552D"/>
    <w:rsid w:val="009B5AA3"/>
    <w:rsid w:val="009B5D02"/>
    <w:rsid w:val="009B5EB0"/>
    <w:rsid w:val="009B6417"/>
    <w:rsid w:val="009B658C"/>
    <w:rsid w:val="009B6C81"/>
    <w:rsid w:val="009B6FA9"/>
    <w:rsid w:val="009C111F"/>
    <w:rsid w:val="009C1711"/>
    <w:rsid w:val="009C1A7E"/>
    <w:rsid w:val="009C1E0D"/>
    <w:rsid w:val="009C289A"/>
    <w:rsid w:val="009C2C75"/>
    <w:rsid w:val="009C2CDB"/>
    <w:rsid w:val="009C3011"/>
    <w:rsid w:val="009C40AC"/>
    <w:rsid w:val="009C40B7"/>
    <w:rsid w:val="009C44B2"/>
    <w:rsid w:val="009C45DB"/>
    <w:rsid w:val="009C497F"/>
    <w:rsid w:val="009C4D89"/>
    <w:rsid w:val="009C4F4C"/>
    <w:rsid w:val="009C62D4"/>
    <w:rsid w:val="009C657C"/>
    <w:rsid w:val="009C6BBA"/>
    <w:rsid w:val="009C6BCF"/>
    <w:rsid w:val="009C7086"/>
    <w:rsid w:val="009C75C4"/>
    <w:rsid w:val="009C7730"/>
    <w:rsid w:val="009C7DB5"/>
    <w:rsid w:val="009C7F4E"/>
    <w:rsid w:val="009D05FE"/>
    <w:rsid w:val="009D06D9"/>
    <w:rsid w:val="009D0716"/>
    <w:rsid w:val="009D0F84"/>
    <w:rsid w:val="009D11C6"/>
    <w:rsid w:val="009D12B4"/>
    <w:rsid w:val="009D1ED3"/>
    <w:rsid w:val="009D2E40"/>
    <w:rsid w:val="009D300C"/>
    <w:rsid w:val="009D322F"/>
    <w:rsid w:val="009D3929"/>
    <w:rsid w:val="009D397E"/>
    <w:rsid w:val="009D3BCB"/>
    <w:rsid w:val="009D3C7A"/>
    <w:rsid w:val="009D471E"/>
    <w:rsid w:val="009D4DD6"/>
    <w:rsid w:val="009D5044"/>
    <w:rsid w:val="009D57AC"/>
    <w:rsid w:val="009D5B70"/>
    <w:rsid w:val="009D7B02"/>
    <w:rsid w:val="009D7E5E"/>
    <w:rsid w:val="009D7F26"/>
    <w:rsid w:val="009E2092"/>
    <w:rsid w:val="009E2149"/>
    <w:rsid w:val="009E23B8"/>
    <w:rsid w:val="009E3B05"/>
    <w:rsid w:val="009E4746"/>
    <w:rsid w:val="009E48D8"/>
    <w:rsid w:val="009E5475"/>
    <w:rsid w:val="009E5B2C"/>
    <w:rsid w:val="009E5CE9"/>
    <w:rsid w:val="009E640D"/>
    <w:rsid w:val="009E661D"/>
    <w:rsid w:val="009E6955"/>
    <w:rsid w:val="009E7CE0"/>
    <w:rsid w:val="009F0AEB"/>
    <w:rsid w:val="009F0BF8"/>
    <w:rsid w:val="009F10FE"/>
    <w:rsid w:val="009F210A"/>
    <w:rsid w:val="009F215E"/>
    <w:rsid w:val="009F2ECD"/>
    <w:rsid w:val="009F3820"/>
    <w:rsid w:val="009F3ABB"/>
    <w:rsid w:val="009F3AED"/>
    <w:rsid w:val="009F3BDA"/>
    <w:rsid w:val="009F3C0F"/>
    <w:rsid w:val="009F4179"/>
    <w:rsid w:val="009F422A"/>
    <w:rsid w:val="009F4C26"/>
    <w:rsid w:val="009F6803"/>
    <w:rsid w:val="009F6BE8"/>
    <w:rsid w:val="009F6E4D"/>
    <w:rsid w:val="00A0003A"/>
    <w:rsid w:val="00A00237"/>
    <w:rsid w:val="00A003BC"/>
    <w:rsid w:val="00A01D1A"/>
    <w:rsid w:val="00A02D54"/>
    <w:rsid w:val="00A03C22"/>
    <w:rsid w:val="00A04262"/>
    <w:rsid w:val="00A052C7"/>
    <w:rsid w:val="00A056F1"/>
    <w:rsid w:val="00A05D3E"/>
    <w:rsid w:val="00A05D7D"/>
    <w:rsid w:val="00A05F9F"/>
    <w:rsid w:val="00A067D4"/>
    <w:rsid w:val="00A07C3A"/>
    <w:rsid w:val="00A07C8E"/>
    <w:rsid w:val="00A105DC"/>
    <w:rsid w:val="00A11183"/>
    <w:rsid w:val="00A128DC"/>
    <w:rsid w:val="00A12F2D"/>
    <w:rsid w:val="00A138B0"/>
    <w:rsid w:val="00A13BDC"/>
    <w:rsid w:val="00A13C13"/>
    <w:rsid w:val="00A1499B"/>
    <w:rsid w:val="00A14A55"/>
    <w:rsid w:val="00A15B75"/>
    <w:rsid w:val="00A15B86"/>
    <w:rsid w:val="00A15D05"/>
    <w:rsid w:val="00A163C5"/>
    <w:rsid w:val="00A16D77"/>
    <w:rsid w:val="00A17EBB"/>
    <w:rsid w:val="00A207B2"/>
    <w:rsid w:val="00A20FAC"/>
    <w:rsid w:val="00A213E8"/>
    <w:rsid w:val="00A21405"/>
    <w:rsid w:val="00A21B11"/>
    <w:rsid w:val="00A226EE"/>
    <w:rsid w:val="00A227EC"/>
    <w:rsid w:val="00A22D90"/>
    <w:rsid w:val="00A22E71"/>
    <w:rsid w:val="00A234BE"/>
    <w:rsid w:val="00A235AD"/>
    <w:rsid w:val="00A23B00"/>
    <w:rsid w:val="00A253E3"/>
    <w:rsid w:val="00A25459"/>
    <w:rsid w:val="00A258CC"/>
    <w:rsid w:val="00A25CB5"/>
    <w:rsid w:val="00A27073"/>
    <w:rsid w:val="00A27282"/>
    <w:rsid w:val="00A272F9"/>
    <w:rsid w:val="00A2744C"/>
    <w:rsid w:val="00A278FA"/>
    <w:rsid w:val="00A27D3D"/>
    <w:rsid w:val="00A27EB2"/>
    <w:rsid w:val="00A300EB"/>
    <w:rsid w:val="00A3011E"/>
    <w:rsid w:val="00A3096F"/>
    <w:rsid w:val="00A3188F"/>
    <w:rsid w:val="00A320BF"/>
    <w:rsid w:val="00A32F3F"/>
    <w:rsid w:val="00A330EF"/>
    <w:rsid w:val="00A34255"/>
    <w:rsid w:val="00A3499F"/>
    <w:rsid w:val="00A34C85"/>
    <w:rsid w:val="00A34E0A"/>
    <w:rsid w:val="00A34F0D"/>
    <w:rsid w:val="00A35A91"/>
    <w:rsid w:val="00A35EAD"/>
    <w:rsid w:val="00A35FA5"/>
    <w:rsid w:val="00A367B9"/>
    <w:rsid w:val="00A36B6F"/>
    <w:rsid w:val="00A36D87"/>
    <w:rsid w:val="00A36D95"/>
    <w:rsid w:val="00A36DD6"/>
    <w:rsid w:val="00A36E59"/>
    <w:rsid w:val="00A372C7"/>
    <w:rsid w:val="00A401A7"/>
    <w:rsid w:val="00A40B76"/>
    <w:rsid w:val="00A4102C"/>
    <w:rsid w:val="00A410BB"/>
    <w:rsid w:val="00A419A5"/>
    <w:rsid w:val="00A41CDF"/>
    <w:rsid w:val="00A41E9C"/>
    <w:rsid w:val="00A42103"/>
    <w:rsid w:val="00A433B5"/>
    <w:rsid w:val="00A43D97"/>
    <w:rsid w:val="00A43F72"/>
    <w:rsid w:val="00A4510E"/>
    <w:rsid w:val="00A456CA"/>
    <w:rsid w:val="00A45FF6"/>
    <w:rsid w:val="00A463F7"/>
    <w:rsid w:val="00A46984"/>
    <w:rsid w:val="00A50872"/>
    <w:rsid w:val="00A51517"/>
    <w:rsid w:val="00A51B13"/>
    <w:rsid w:val="00A51F4C"/>
    <w:rsid w:val="00A530FE"/>
    <w:rsid w:val="00A53174"/>
    <w:rsid w:val="00A531F5"/>
    <w:rsid w:val="00A53470"/>
    <w:rsid w:val="00A53F9B"/>
    <w:rsid w:val="00A5472F"/>
    <w:rsid w:val="00A56008"/>
    <w:rsid w:val="00A560E9"/>
    <w:rsid w:val="00A5655C"/>
    <w:rsid w:val="00A565FC"/>
    <w:rsid w:val="00A56DE8"/>
    <w:rsid w:val="00A5712E"/>
    <w:rsid w:val="00A60536"/>
    <w:rsid w:val="00A605C8"/>
    <w:rsid w:val="00A60640"/>
    <w:rsid w:val="00A60706"/>
    <w:rsid w:val="00A60874"/>
    <w:rsid w:val="00A617C4"/>
    <w:rsid w:val="00A61EE0"/>
    <w:rsid w:val="00A61EF6"/>
    <w:rsid w:val="00A61F7A"/>
    <w:rsid w:val="00A6201A"/>
    <w:rsid w:val="00A6211D"/>
    <w:rsid w:val="00A62332"/>
    <w:rsid w:val="00A62482"/>
    <w:rsid w:val="00A624D6"/>
    <w:rsid w:val="00A6289A"/>
    <w:rsid w:val="00A62C37"/>
    <w:rsid w:val="00A63507"/>
    <w:rsid w:val="00A636B4"/>
    <w:rsid w:val="00A6398A"/>
    <w:rsid w:val="00A63C64"/>
    <w:rsid w:val="00A64A09"/>
    <w:rsid w:val="00A64EEE"/>
    <w:rsid w:val="00A65760"/>
    <w:rsid w:val="00A664E2"/>
    <w:rsid w:val="00A667C9"/>
    <w:rsid w:val="00A678B3"/>
    <w:rsid w:val="00A705D0"/>
    <w:rsid w:val="00A706EA"/>
    <w:rsid w:val="00A70DC2"/>
    <w:rsid w:val="00A71092"/>
    <w:rsid w:val="00A71158"/>
    <w:rsid w:val="00A71455"/>
    <w:rsid w:val="00A71568"/>
    <w:rsid w:val="00A71DD3"/>
    <w:rsid w:val="00A72287"/>
    <w:rsid w:val="00A7281A"/>
    <w:rsid w:val="00A72A07"/>
    <w:rsid w:val="00A73109"/>
    <w:rsid w:val="00A733A7"/>
    <w:rsid w:val="00A73501"/>
    <w:rsid w:val="00A7370C"/>
    <w:rsid w:val="00A73A74"/>
    <w:rsid w:val="00A73E4E"/>
    <w:rsid w:val="00A74ABD"/>
    <w:rsid w:val="00A74BD1"/>
    <w:rsid w:val="00A74C74"/>
    <w:rsid w:val="00A754C4"/>
    <w:rsid w:val="00A77106"/>
    <w:rsid w:val="00A778AB"/>
    <w:rsid w:val="00A77D4B"/>
    <w:rsid w:val="00A809CA"/>
    <w:rsid w:val="00A80FD4"/>
    <w:rsid w:val="00A81CDC"/>
    <w:rsid w:val="00A81D10"/>
    <w:rsid w:val="00A825A8"/>
    <w:rsid w:val="00A82A8C"/>
    <w:rsid w:val="00A832F1"/>
    <w:rsid w:val="00A836CB"/>
    <w:rsid w:val="00A83D99"/>
    <w:rsid w:val="00A8470C"/>
    <w:rsid w:val="00A847B5"/>
    <w:rsid w:val="00A84941"/>
    <w:rsid w:val="00A84D22"/>
    <w:rsid w:val="00A857AC"/>
    <w:rsid w:val="00A85E17"/>
    <w:rsid w:val="00A85EBE"/>
    <w:rsid w:val="00A86237"/>
    <w:rsid w:val="00A862A0"/>
    <w:rsid w:val="00A86FA0"/>
    <w:rsid w:val="00A87677"/>
    <w:rsid w:val="00A918FC"/>
    <w:rsid w:val="00A926DD"/>
    <w:rsid w:val="00A92BF8"/>
    <w:rsid w:val="00A935C2"/>
    <w:rsid w:val="00A94466"/>
    <w:rsid w:val="00A94B78"/>
    <w:rsid w:val="00A94C9F"/>
    <w:rsid w:val="00A953BC"/>
    <w:rsid w:val="00A956F7"/>
    <w:rsid w:val="00A95794"/>
    <w:rsid w:val="00A9623E"/>
    <w:rsid w:val="00A9624B"/>
    <w:rsid w:val="00A962DC"/>
    <w:rsid w:val="00A96C94"/>
    <w:rsid w:val="00A96DB3"/>
    <w:rsid w:val="00A96F1A"/>
    <w:rsid w:val="00A971AC"/>
    <w:rsid w:val="00A9733A"/>
    <w:rsid w:val="00AA00FC"/>
    <w:rsid w:val="00AA01B6"/>
    <w:rsid w:val="00AA037F"/>
    <w:rsid w:val="00AA0D4D"/>
    <w:rsid w:val="00AA155C"/>
    <w:rsid w:val="00AA1D40"/>
    <w:rsid w:val="00AA2077"/>
    <w:rsid w:val="00AA25F8"/>
    <w:rsid w:val="00AA312D"/>
    <w:rsid w:val="00AA417A"/>
    <w:rsid w:val="00AA420C"/>
    <w:rsid w:val="00AA439C"/>
    <w:rsid w:val="00AA51A3"/>
    <w:rsid w:val="00AA5F1B"/>
    <w:rsid w:val="00AA5F29"/>
    <w:rsid w:val="00AA6939"/>
    <w:rsid w:val="00AA6C72"/>
    <w:rsid w:val="00AA7145"/>
    <w:rsid w:val="00AB08CF"/>
    <w:rsid w:val="00AB092C"/>
    <w:rsid w:val="00AB0FAA"/>
    <w:rsid w:val="00AB1D78"/>
    <w:rsid w:val="00AB2448"/>
    <w:rsid w:val="00AB2978"/>
    <w:rsid w:val="00AB3DFF"/>
    <w:rsid w:val="00AB462E"/>
    <w:rsid w:val="00AB4805"/>
    <w:rsid w:val="00AB4B90"/>
    <w:rsid w:val="00AB5171"/>
    <w:rsid w:val="00AB5B9C"/>
    <w:rsid w:val="00AB5D50"/>
    <w:rsid w:val="00AB65F9"/>
    <w:rsid w:val="00AB6D47"/>
    <w:rsid w:val="00AB778F"/>
    <w:rsid w:val="00AB7CC3"/>
    <w:rsid w:val="00AB7FC1"/>
    <w:rsid w:val="00AC023B"/>
    <w:rsid w:val="00AC0724"/>
    <w:rsid w:val="00AC0C17"/>
    <w:rsid w:val="00AC0E93"/>
    <w:rsid w:val="00AC106D"/>
    <w:rsid w:val="00AC10D7"/>
    <w:rsid w:val="00AC19F6"/>
    <w:rsid w:val="00AC1A97"/>
    <w:rsid w:val="00AC2ED7"/>
    <w:rsid w:val="00AC2FF9"/>
    <w:rsid w:val="00AC33AB"/>
    <w:rsid w:val="00AC376B"/>
    <w:rsid w:val="00AC381A"/>
    <w:rsid w:val="00AC38D8"/>
    <w:rsid w:val="00AC3964"/>
    <w:rsid w:val="00AC39C2"/>
    <w:rsid w:val="00AC3A53"/>
    <w:rsid w:val="00AC3C1E"/>
    <w:rsid w:val="00AC4E52"/>
    <w:rsid w:val="00AC5C38"/>
    <w:rsid w:val="00AC626D"/>
    <w:rsid w:val="00AC6DD0"/>
    <w:rsid w:val="00AC7052"/>
    <w:rsid w:val="00AC7387"/>
    <w:rsid w:val="00AD0BD5"/>
    <w:rsid w:val="00AD1F03"/>
    <w:rsid w:val="00AD20A0"/>
    <w:rsid w:val="00AD247F"/>
    <w:rsid w:val="00AD2806"/>
    <w:rsid w:val="00AD335C"/>
    <w:rsid w:val="00AD38BF"/>
    <w:rsid w:val="00AD3E83"/>
    <w:rsid w:val="00AD50AC"/>
    <w:rsid w:val="00AD527B"/>
    <w:rsid w:val="00AD5347"/>
    <w:rsid w:val="00AD5C7E"/>
    <w:rsid w:val="00AD5D8C"/>
    <w:rsid w:val="00AD6042"/>
    <w:rsid w:val="00AD625B"/>
    <w:rsid w:val="00AD6691"/>
    <w:rsid w:val="00AD6A26"/>
    <w:rsid w:val="00AD6EE5"/>
    <w:rsid w:val="00AD7892"/>
    <w:rsid w:val="00AD7AE9"/>
    <w:rsid w:val="00AD7E7D"/>
    <w:rsid w:val="00AE0147"/>
    <w:rsid w:val="00AE03AE"/>
    <w:rsid w:val="00AE04B1"/>
    <w:rsid w:val="00AE04B7"/>
    <w:rsid w:val="00AE06DC"/>
    <w:rsid w:val="00AE1B8C"/>
    <w:rsid w:val="00AE1F2A"/>
    <w:rsid w:val="00AE251C"/>
    <w:rsid w:val="00AE2B9D"/>
    <w:rsid w:val="00AE3810"/>
    <w:rsid w:val="00AE3FB5"/>
    <w:rsid w:val="00AE453D"/>
    <w:rsid w:val="00AE4A4B"/>
    <w:rsid w:val="00AE4A93"/>
    <w:rsid w:val="00AE4DE0"/>
    <w:rsid w:val="00AE4E64"/>
    <w:rsid w:val="00AE52A3"/>
    <w:rsid w:val="00AE5523"/>
    <w:rsid w:val="00AE66AC"/>
    <w:rsid w:val="00AE7109"/>
    <w:rsid w:val="00AF039C"/>
    <w:rsid w:val="00AF091C"/>
    <w:rsid w:val="00AF0DAF"/>
    <w:rsid w:val="00AF1694"/>
    <w:rsid w:val="00AF19D4"/>
    <w:rsid w:val="00AF2042"/>
    <w:rsid w:val="00AF2476"/>
    <w:rsid w:val="00AF2485"/>
    <w:rsid w:val="00AF32A1"/>
    <w:rsid w:val="00AF447D"/>
    <w:rsid w:val="00AF4E71"/>
    <w:rsid w:val="00AF56EB"/>
    <w:rsid w:val="00AF5F8A"/>
    <w:rsid w:val="00AF63E1"/>
    <w:rsid w:val="00AF7D3B"/>
    <w:rsid w:val="00B007B0"/>
    <w:rsid w:val="00B01023"/>
    <w:rsid w:val="00B02DDE"/>
    <w:rsid w:val="00B02E8B"/>
    <w:rsid w:val="00B032B4"/>
    <w:rsid w:val="00B03C3A"/>
    <w:rsid w:val="00B03D94"/>
    <w:rsid w:val="00B04CA8"/>
    <w:rsid w:val="00B057F2"/>
    <w:rsid w:val="00B067A8"/>
    <w:rsid w:val="00B06A5F"/>
    <w:rsid w:val="00B07E5F"/>
    <w:rsid w:val="00B10B90"/>
    <w:rsid w:val="00B11BC8"/>
    <w:rsid w:val="00B12687"/>
    <w:rsid w:val="00B12CA0"/>
    <w:rsid w:val="00B1325E"/>
    <w:rsid w:val="00B133D0"/>
    <w:rsid w:val="00B138B4"/>
    <w:rsid w:val="00B143C0"/>
    <w:rsid w:val="00B14E28"/>
    <w:rsid w:val="00B153D5"/>
    <w:rsid w:val="00B15A00"/>
    <w:rsid w:val="00B15D01"/>
    <w:rsid w:val="00B16257"/>
    <w:rsid w:val="00B16347"/>
    <w:rsid w:val="00B16372"/>
    <w:rsid w:val="00B16577"/>
    <w:rsid w:val="00B1694E"/>
    <w:rsid w:val="00B177A2"/>
    <w:rsid w:val="00B17802"/>
    <w:rsid w:val="00B17A0B"/>
    <w:rsid w:val="00B20625"/>
    <w:rsid w:val="00B20D9A"/>
    <w:rsid w:val="00B2209B"/>
    <w:rsid w:val="00B22C8B"/>
    <w:rsid w:val="00B2335B"/>
    <w:rsid w:val="00B235DC"/>
    <w:rsid w:val="00B249A4"/>
    <w:rsid w:val="00B24D45"/>
    <w:rsid w:val="00B24F00"/>
    <w:rsid w:val="00B2533B"/>
    <w:rsid w:val="00B25BCD"/>
    <w:rsid w:val="00B26245"/>
    <w:rsid w:val="00B26910"/>
    <w:rsid w:val="00B274B1"/>
    <w:rsid w:val="00B2774E"/>
    <w:rsid w:val="00B31552"/>
    <w:rsid w:val="00B3176C"/>
    <w:rsid w:val="00B31803"/>
    <w:rsid w:val="00B319C1"/>
    <w:rsid w:val="00B322B2"/>
    <w:rsid w:val="00B328EF"/>
    <w:rsid w:val="00B32EA2"/>
    <w:rsid w:val="00B33019"/>
    <w:rsid w:val="00B33B0E"/>
    <w:rsid w:val="00B33B78"/>
    <w:rsid w:val="00B342E6"/>
    <w:rsid w:val="00B35B2A"/>
    <w:rsid w:val="00B35C7E"/>
    <w:rsid w:val="00B35D6F"/>
    <w:rsid w:val="00B35F1B"/>
    <w:rsid w:val="00B3725D"/>
    <w:rsid w:val="00B378C4"/>
    <w:rsid w:val="00B40613"/>
    <w:rsid w:val="00B40712"/>
    <w:rsid w:val="00B40756"/>
    <w:rsid w:val="00B40B19"/>
    <w:rsid w:val="00B40F61"/>
    <w:rsid w:val="00B4185C"/>
    <w:rsid w:val="00B41DD3"/>
    <w:rsid w:val="00B423D1"/>
    <w:rsid w:val="00B42E53"/>
    <w:rsid w:val="00B42EBA"/>
    <w:rsid w:val="00B4355F"/>
    <w:rsid w:val="00B4395C"/>
    <w:rsid w:val="00B43A99"/>
    <w:rsid w:val="00B43C39"/>
    <w:rsid w:val="00B44DF8"/>
    <w:rsid w:val="00B44F29"/>
    <w:rsid w:val="00B45DF9"/>
    <w:rsid w:val="00B46183"/>
    <w:rsid w:val="00B467B0"/>
    <w:rsid w:val="00B46A68"/>
    <w:rsid w:val="00B46F67"/>
    <w:rsid w:val="00B470C3"/>
    <w:rsid w:val="00B47521"/>
    <w:rsid w:val="00B47BD3"/>
    <w:rsid w:val="00B5047E"/>
    <w:rsid w:val="00B50526"/>
    <w:rsid w:val="00B5079E"/>
    <w:rsid w:val="00B52185"/>
    <w:rsid w:val="00B52833"/>
    <w:rsid w:val="00B52C2E"/>
    <w:rsid w:val="00B538DD"/>
    <w:rsid w:val="00B5432F"/>
    <w:rsid w:val="00B5451F"/>
    <w:rsid w:val="00B55C0E"/>
    <w:rsid w:val="00B561A9"/>
    <w:rsid w:val="00B56A18"/>
    <w:rsid w:val="00B57679"/>
    <w:rsid w:val="00B579A4"/>
    <w:rsid w:val="00B61FD0"/>
    <w:rsid w:val="00B62266"/>
    <w:rsid w:val="00B6242D"/>
    <w:rsid w:val="00B62602"/>
    <w:rsid w:val="00B62D9B"/>
    <w:rsid w:val="00B6359C"/>
    <w:rsid w:val="00B63F43"/>
    <w:rsid w:val="00B6472F"/>
    <w:rsid w:val="00B64A21"/>
    <w:rsid w:val="00B65001"/>
    <w:rsid w:val="00B6538E"/>
    <w:rsid w:val="00B65C00"/>
    <w:rsid w:val="00B663B1"/>
    <w:rsid w:val="00B6790D"/>
    <w:rsid w:val="00B70027"/>
    <w:rsid w:val="00B70032"/>
    <w:rsid w:val="00B700C8"/>
    <w:rsid w:val="00B71253"/>
    <w:rsid w:val="00B71639"/>
    <w:rsid w:val="00B72554"/>
    <w:rsid w:val="00B72DD0"/>
    <w:rsid w:val="00B732C1"/>
    <w:rsid w:val="00B735A1"/>
    <w:rsid w:val="00B73A75"/>
    <w:rsid w:val="00B73C59"/>
    <w:rsid w:val="00B7405D"/>
    <w:rsid w:val="00B7407C"/>
    <w:rsid w:val="00B745D6"/>
    <w:rsid w:val="00B752C9"/>
    <w:rsid w:val="00B7579F"/>
    <w:rsid w:val="00B764FD"/>
    <w:rsid w:val="00B767BC"/>
    <w:rsid w:val="00B76CAF"/>
    <w:rsid w:val="00B803C0"/>
    <w:rsid w:val="00B807C0"/>
    <w:rsid w:val="00B81043"/>
    <w:rsid w:val="00B81402"/>
    <w:rsid w:val="00B81924"/>
    <w:rsid w:val="00B81E17"/>
    <w:rsid w:val="00B81FC0"/>
    <w:rsid w:val="00B82474"/>
    <w:rsid w:val="00B82916"/>
    <w:rsid w:val="00B833B2"/>
    <w:rsid w:val="00B83981"/>
    <w:rsid w:val="00B84046"/>
    <w:rsid w:val="00B844EB"/>
    <w:rsid w:val="00B858E3"/>
    <w:rsid w:val="00B86129"/>
    <w:rsid w:val="00B86745"/>
    <w:rsid w:val="00B86864"/>
    <w:rsid w:val="00B8693E"/>
    <w:rsid w:val="00B86CF3"/>
    <w:rsid w:val="00B87A28"/>
    <w:rsid w:val="00B87AE8"/>
    <w:rsid w:val="00B90022"/>
    <w:rsid w:val="00B9044B"/>
    <w:rsid w:val="00B905CF"/>
    <w:rsid w:val="00B90AB8"/>
    <w:rsid w:val="00B90DCD"/>
    <w:rsid w:val="00B910C9"/>
    <w:rsid w:val="00B917A8"/>
    <w:rsid w:val="00B91D7B"/>
    <w:rsid w:val="00B93855"/>
    <w:rsid w:val="00B93D08"/>
    <w:rsid w:val="00B94D10"/>
    <w:rsid w:val="00B9546E"/>
    <w:rsid w:val="00B95DBE"/>
    <w:rsid w:val="00B964C6"/>
    <w:rsid w:val="00B973CD"/>
    <w:rsid w:val="00B9771E"/>
    <w:rsid w:val="00B97886"/>
    <w:rsid w:val="00BA02FB"/>
    <w:rsid w:val="00BA05FD"/>
    <w:rsid w:val="00BA07D8"/>
    <w:rsid w:val="00BA0CB6"/>
    <w:rsid w:val="00BA0F21"/>
    <w:rsid w:val="00BA1106"/>
    <w:rsid w:val="00BA12B3"/>
    <w:rsid w:val="00BA1B8C"/>
    <w:rsid w:val="00BA1D01"/>
    <w:rsid w:val="00BA1E57"/>
    <w:rsid w:val="00BA2621"/>
    <w:rsid w:val="00BA2ED0"/>
    <w:rsid w:val="00BA2FFA"/>
    <w:rsid w:val="00BA319D"/>
    <w:rsid w:val="00BA369F"/>
    <w:rsid w:val="00BA412E"/>
    <w:rsid w:val="00BA570F"/>
    <w:rsid w:val="00BA5860"/>
    <w:rsid w:val="00BA6932"/>
    <w:rsid w:val="00BA6F04"/>
    <w:rsid w:val="00BA74C5"/>
    <w:rsid w:val="00BA75C6"/>
    <w:rsid w:val="00BB04E8"/>
    <w:rsid w:val="00BB05E9"/>
    <w:rsid w:val="00BB18CD"/>
    <w:rsid w:val="00BB259E"/>
    <w:rsid w:val="00BB2BB5"/>
    <w:rsid w:val="00BB365D"/>
    <w:rsid w:val="00BB41FE"/>
    <w:rsid w:val="00BB4B2A"/>
    <w:rsid w:val="00BB4E9F"/>
    <w:rsid w:val="00BB6948"/>
    <w:rsid w:val="00BB73B1"/>
    <w:rsid w:val="00BB7E68"/>
    <w:rsid w:val="00BC05F8"/>
    <w:rsid w:val="00BC0636"/>
    <w:rsid w:val="00BC0EBE"/>
    <w:rsid w:val="00BC1D60"/>
    <w:rsid w:val="00BC1E2C"/>
    <w:rsid w:val="00BC20DD"/>
    <w:rsid w:val="00BC228E"/>
    <w:rsid w:val="00BC243C"/>
    <w:rsid w:val="00BC24F5"/>
    <w:rsid w:val="00BC2CBF"/>
    <w:rsid w:val="00BC3449"/>
    <w:rsid w:val="00BC42CD"/>
    <w:rsid w:val="00BC45CA"/>
    <w:rsid w:val="00BC4753"/>
    <w:rsid w:val="00BC50EF"/>
    <w:rsid w:val="00BC5CFC"/>
    <w:rsid w:val="00BC5EEA"/>
    <w:rsid w:val="00BC61E1"/>
    <w:rsid w:val="00BC7B28"/>
    <w:rsid w:val="00BD331D"/>
    <w:rsid w:val="00BD3565"/>
    <w:rsid w:val="00BD358E"/>
    <w:rsid w:val="00BD37C8"/>
    <w:rsid w:val="00BD3BAA"/>
    <w:rsid w:val="00BD411A"/>
    <w:rsid w:val="00BD5887"/>
    <w:rsid w:val="00BD65D8"/>
    <w:rsid w:val="00BD7B93"/>
    <w:rsid w:val="00BD7EF8"/>
    <w:rsid w:val="00BE08F1"/>
    <w:rsid w:val="00BE0949"/>
    <w:rsid w:val="00BE11BB"/>
    <w:rsid w:val="00BE1ACE"/>
    <w:rsid w:val="00BE1CC6"/>
    <w:rsid w:val="00BE251B"/>
    <w:rsid w:val="00BE25F1"/>
    <w:rsid w:val="00BE28CC"/>
    <w:rsid w:val="00BE36A0"/>
    <w:rsid w:val="00BE3D59"/>
    <w:rsid w:val="00BE5916"/>
    <w:rsid w:val="00BE5A2B"/>
    <w:rsid w:val="00BE61BC"/>
    <w:rsid w:val="00BE6A8B"/>
    <w:rsid w:val="00BE6DF6"/>
    <w:rsid w:val="00BE70C0"/>
    <w:rsid w:val="00BE73CF"/>
    <w:rsid w:val="00BE7612"/>
    <w:rsid w:val="00BF05AA"/>
    <w:rsid w:val="00BF060D"/>
    <w:rsid w:val="00BF078B"/>
    <w:rsid w:val="00BF0C91"/>
    <w:rsid w:val="00BF0D8B"/>
    <w:rsid w:val="00BF146C"/>
    <w:rsid w:val="00BF3E84"/>
    <w:rsid w:val="00BF3F77"/>
    <w:rsid w:val="00BF469A"/>
    <w:rsid w:val="00BF4A25"/>
    <w:rsid w:val="00BF4A5A"/>
    <w:rsid w:val="00BF56C4"/>
    <w:rsid w:val="00BF59FF"/>
    <w:rsid w:val="00BF5B83"/>
    <w:rsid w:val="00BF5EE6"/>
    <w:rsid w:val="00BF5F7E"/>
    <w:rsid w:val="00BF62E6"/>
    <w:rsid w:val="00BF69BE"/>
    <w:rsid w:val="00BF6EA2"/>
    <w:rsid w:val="00C00477"/>
    <w:rsid w:val="00C00C85"/>
    <w:rsid w:val="00C01D43"/>
    <w:rsid w:val="00C01F39"/>
    <w:rsid w:val="00C02062"/>
    <w:rsid w:val="00C0275A"/>
    <w:rsid w:val="00C02E14"/>
    <w:rsid w:val="00C034AC"/>
    <w:rsid w:val="00C0425B"/>
    <w:rsid w:val="00C05739"/>
    <w:rsid w:val="00C05749"/>
    <w:rsid w:val="00C05957"/>
    <w:rsid w:val="00C05D08"/>
    <w:rsid w:val="00C06602"/>
    <w:rsid w:val="00C066FE"/>
    <w:rsid w:val="00C06EE1"/>
    <w:rsid w:val="00C06F49"/>
    <w:rsid w:val="00C074E6"/>
    <w:rsid w:val="00C101C6"/>
    <w:rsid w:val="00C113DA"/>
    <w:rsid w:val="00C11625"/>
    <w:rsid w:val="00C11790"/>
    <w:rsid w:val="00C1217A"/>
    <w:rsid w:val="00C1354F"/>
    <w:rsid w:val="00C14215"/>
    <w:rsid w:val="00C14235"/>
    <w:rsid w:val="00C142EA"/>
    <w:rsid w:val="00C14692"/>
    <w:rsid w:val="00C14963"/>
    <w:rsid w:val="00C14F84"/>
    <w:rsid w:val="00C152DD"/>
    <w:rsid w:val="00C16068"/>
    <w:rsid w:val="00C16071"/>
    <w:rsid w:val="00C162B0"/>
    <w:rsid w:val="00C16850"/>
    <w:rsid w:val="00C169C5"/>
    <w:rsid w:val="00C17CA9"/>
    <w:rsid w:val="00C17F93"/>
    <w:rsid w:val="00C17FAA"/>
    <w:rsid w:val="00C21F94"/>
    <w:rsid w:val="00C22449"/>
    <w:rsid w:val="00C22C6A"/>
    <w:rsid w:val="00C23425"/>
    <w:rsid w:val="00C23707"/>
    <w:rsid w:val="00C2429B"/>
    <w:rsid w:val="00C248EF"/>
    <w:rsid w:val="00C25B5C"/>
    <w:rsid w:val="00C26499"/>
    <w:rsid w:val="00C26712"/>
    <w:rsid w:val="00C26C93"/>
    <w:rsid w:val="00C26F10"/>
    <w:rsid w:val="00C27935"/>
    <w:rsid w:val="00C27940"/>
    <w:rsid w:val="00C307F8"/>
    <w:rsid w:val="00C31133"/>
    <w:rsid w:val="00C317D2"/>
    <w:rsid w:val="00C31B6B"/>
    <w:rsid w:val="00C31F3C"/>
    <w:rsid w:val="00C32266"/>
    <w:rsid w:val="00C32FD8"/>
    <w:rsid w:val="00C33347"/>
    <w:rsid w:val="00C33A88"/>
    <w:rsid w:val="00C3405C"/>
    <w:rsid w:val="00C34532"/>
    <w:rsid w:val="00C346A5"/>
    <w:rsid w:val="00C34D1B"/>
    <w:rsid w:val="00C34F88"/>
    <w:rsid w:val="00C354E8"/>
    <w:rsid w:val="00C36FC3"/>
    <w:rsid w:val="00C3750B"/>
    <w:rsid w:val="00C37617"/>
    <w:rsid w:val="00C37863"/>
    <w:rsid w:val="00C37BF1"/>
    <w:rsid w:val="00C40549"/>
    <w:rsid w:val="00C4061B"/>
    <w:rsid w:val="00C406B5"/>
    <w:rsid w:val="00C40779"/>
    <w:rsid w:val="00C418B6"/>
    <w:rsid w:val="00C428C1"/>
    <w:rsid w:val="00C436A1"/>
    <w:rsid w:val="00C44761"/>
    <w:rsid w:val="00C44BFD"/>
    <w:rsid w:val="00C4514D"/>
    <w:rsid w:val="00C46861"/>
    <w:rsid w:val="00C46D80"/>
    <w:rsid w:val="00C470D7"/>
    <w:rsid w:val="00C50BF7"/>
    <w:rsid w:val="00C5117E"/>
    <w:rsid w:val="00C511FD"/>
    <w:rsid w:val="00C512BD"/>
    <w:rsid w:val="00C5138E"/>
    <w:rsid w:val="00C51DE3"/>
    <w:rsid w:val="00C52526"/>
    <w:rsid w:val="00C52D37"/>
    <w:rsid w:val="00C52FB5"/>
    <w:rsid w:val="00C5360F"/>
    <w:rsid w:val="00C53D03"/>
    <w:rsid w:val="00C541A1"/>
    <w:rsid w:val="00C54330"/>
    <w:rsid w:val="00C54420"/>
    <w:rsid w:val="00C54512"/>
    <w:rsid w:val="00C54D44"/>
    <w:rsid w:val="00C5517B"/>
    <w:rsid w:val="00C5531A"/>
    <w:rsid w:val="00C55474"/>
    <w:rsid w:val="00C55CAE"/>
    <w:rsid w:val="00C5641A"/>
    <w:rsid w:val="00C5679D"/>
    <w:rsid w:val="00C575DD"/>
    <w:rsid w:val="00C575F9"/>
    <w:rsid w:val="00C6079F"/>
    <w:rsid w:val="00C60FC7"/>
    <w:rsid w:val="00C61040"/>
    <w:rsid w:val="00C61405"/>
    <w:rsid w:val="00C6146F"/>
    <w:rsid w:val="00C61AD9"/>
    <w:rsid w:val="00C62107"/>
    <w:rsid w:val="00C6248F"/>
    <w:rsid w:val="00C636CD"/>
    <w:rsid w:val="00C63BBC"/>
    <w:rsid w:val="00C63D96"/>
    <w:rsid w:val="00C64271"/>
    <w:rsid w:val="00C64686"/>
    <w:rsid w:val="00C64AC5"/>
    <w:rsid w:val="00C6507D"/>
    <w:rsid w:val="00C65197"/>
    <w:rsid w:val="00C6690E"/>
    <w:rsid w:val="00C6705C"/>
    <w:rsid w:val="00C67372"/>
    <w:rsid w:val="00C6740C"/>
    <w:rsid w:val="00C67665"/>
    <w:rsid w:val="00C678EB"/>
    <w:rsid w:val="00C67ABA"/>
    <w:rsid w:val="00C67B65"/>
    <w:rsid w:val="00C67D68"/>
    <w:rsid w:val="00C67F03"/>
    <w:rsid w:val="00C70154"/>
    <w:rsid w:val="00C70B9E"/>
    <w:rsid w:val="00C70C17"/>
    <w:rsid w:val="00C7105A"/>
    <w:rsid w:val="00C71135"/>
    <w:rsid w:val="00C72499"/>
    <w:rsid w:val="00C7278D"/>
    <w:rsid w:val="00C740B8"/>
    <w:rsid w:val="00C7555E"/>
    <w:rsid w:val="00C7558F"/>
    <w:rsid w:val="00C75A6A"/>
    <w:rsid w:val="00C75D69"/>
    <w:rsid w:val="00C75DD0"/>
    <w:rsid w:val="00C75E08"/>
    <w:rsid w:val="00C76297"/>
    <w:rsid w:val="00C763E7"/>
    <w:rsid w:val="00C76E15"/>
    <w:rsid w:val="00C773EB"/>
    <w:rsid w:val="00C8014B"/>
    <w:rsid w:val="00C81235"/>
    <w:rsid w:val="00C8188D"/>
    <w:rsid w:val="00C8205A"/>
    <w:rsid w:val="00C8268F"/>
    <w:rsid w:val="00C82BC6"/>
    <w:rsid w:val="00C82EAC"/>
    <w:rsid w:val="00C8389A"/>
    <w:rsid w:val="00C83CA1"/>
    <w:rsid w:val="00C846BD"/>
    <w:rsid w:val="00C84A63"/>
    <w:rsid w:val="00C84E62"/>
    <w:rsid w:val="00C8627E"/>
    <w:rsid w:val="00C86810"/>
    <w:rsid w:val="00C87CFA"/>
    <w:rsid w:val="00C87EFA"/>
    <w:rsid w:val="00C9099C"/>
    <w:rsid w:val="00C909EA"/>
    <w:rsid w:val="00C912FB"/>
    <w:rsid w:val="00C913C6"/>
    <w:rsid w:val="00C913E6"/>
    <w:rsid w:val="00C9184D"/>
    <w:rsid w:val="00C91885"/>
    <w:rsid w:val="00C91E12"/>
    <w:rsid w:val="00C921E7"/>
    <w:rsid w:val="00C93BDC"/>
    <w:rsid w:val="00C95594"/>
    <w:rsid w:val="00C95BF8"/>
    <w:rsid w:val="00C96D33"/>
    <w:rsid w:val="00C96E1B"/>
    <w:rsid w:val="00C97395"/>
    <w:rsid w:val="00C974EB"/>
    <w:rsid w:val="00C976EA"/>
    <w:rsid w:val="00C97D14"/>
    <w:rsid w:val="00CA0327"/>
    <w:rsid w:val="00CA1934"/>
    <w:rsid w:val="00CA1C77"/>
    <w:rsid w:val="00CA2B40"/>
    <w:rsid w:val="00CA3028"/>
    <w:rsid w:val="00CA3950"/>
    <w:rsid w:val="00CA3F7E"/>
    <w:rsid w:val="00CA48E2"/>
    <w:rsid w:val="00CA4B78"/>
    <w:rsid w:val="00CA6538"/>
    <w:rsid w:val="00CA7042"/>
    <w:rsid w:val="00CA742B"/>
    <w:rsid w:val="00CA756A"/>
    <w:rsid w:val="00CA7AC1"/>
    <w:rsid w:val="00CA7B95"/>
    <w:rsid w:val="00CB1F0E"/>
    <w:rsid w:val="00CB221D"/>
    <w:rsid w:val="00CB2366"/>
    <w:rsid w:val="00CB2702"/>
    <w:rsid w:val="00CB2FCD"/>
    <w:rsid w:val="00CB309D"/>
    <w:rsid w:val="00CB3435"/>
    <w:rsid w:val="00CB39FE"/>
    <w:rsid w:val="00CB3DC2"/>
    <w:rsid w:val="00CB4B2E"/>
    <w:rsid w:val="00CB61F3"/>
    <w:rsid w:val="00CB6606"/>
    <w:rsid w:val="00CB68BF"/>
    <w:rsid w:val="00CB6BDB"/>
    <w:rsid w:val="00CB7311"/>
    <w:rsid w:val="00CB7C54"/>
    <w:rsid w:val="00CB7C76"/>
    <w:rsid w:val="00CC0919"/>
    <w:rsid w:val="00CC1749"/>
    <w:rsid w:val="00CC1D10"/>
    <w:rsid w:val="00CC1D7D"/>
    <w:rsid w:val="00CC26D0"/>
    <w:rsid w:val="00CC2CE8"/>
    <w:rsid w:val="00CC34F2"/>
    <w:rsid w:val="00CC3D72"/>
    <w:rsid w:val="00CC4CC9"/>
    <w:rsid w:val="00CC4DFB"/>
    <w:rsid w:val="00CC65AF"/>
    <w:rsid w:val="00CC67AF"/>
    <w:rsid w:val="00CC6A44"/>
    <w:rsid w:val="00CC6D07"/>
    <w:rsid w:val="00CC71B2"/>
    <w:rsid w:val="00CC799F"/>
    <w:rsid w:val="00CC7A65"/>
    <w:rsid w:val="00CD092D"/>
    <w:rsid w:val="00CD0DFF"/>
    <w:rsid w:val="00CD1573"/>
    <w:rsid w:val="00CD27EE"/>
    <w:rsid w:val="00CD2FDC"/>
    <w:rsid w:val="00CD39D9"/>
    <w:rsid w:val="00CD3A40"/>
    <w:rsid w:val="00CD3F7B"/>
    <w:rsid w:val="00CD4222"/>
    <w:rsid w:val="00CD50B0"/>
    <w:rsid w:val="00CD5A68"/>
    <w:rsid w:val="00CD5BEF"/>
    <w:rsid w:val="00CD6972"/>
    <w:rsid w:val="00CD7241"/>
    <w:rsid w:val="00CD7946"/>
    <w:rsid w:val="00CD7954"/>
    <w:rsid w:val="00CD7A49"/>
    <w:rsid w:val="00CE05A1"/>
    <w:rsid w:val="00CE0FA9"/>
    <w:rsid w:val="00CE192B"/>
    <w:rsid w:val="00CE1FA0"/>
    <w:rsid w:val="00CE23B8"/>
    <w:rsid w:val="00CE2951"/>
    <w:rsid w:val="00CE3859"/>
    <w:rsid w:val="00CE39E3"/>
    <w:rsid w:val="00CE3FD3"/>
    <w:rsid w:val="00CE4950"/>
    <w:rsid w:val="00CE5399"/>
    <w:rsid w:val="00CE5847"/>
    <w:rsid w:val="00CF01BF"/>
    <w:rsid w:val="00CF249E"/>
    <w:rsid w:val="00CF297B"/>
    <w:rsid w:val="00CF2B8F"/>
    <w:rsid w:val="00CF2E7E"/>
    <w:rsid w:val="00CF4219"/>
    <w:rsid w:val="00CF4796"/>
    <w:rsid w:val="00CF5C58"/>
    <w:rsid w:val="00CF632F"/>
    <w:rsid w:val="00CF7D59"/>
    <w:rsid w:val="00CF7F24"/>
    <w:rsid w:val="00D00C0C"/>
    <w:rsid w:val="00D01BED"/>
    <w:rsid w:val="00D01CFF"/>
    <w:rsid w:val="00D03A83"/>
    <w:rsid w:val="00D04E33"/>
    <w:rsid w:val="00D04EF5"/>
    <w:rsid w:val="00D052C5"/>
    <w:rsid w:val="00D07E66"/>
    <w:rsid w:val="00D106D3"/>
    <w:rsid w:val="00D10761"/>
    <w:rsid w:val="00D10C36"/>
    <w:rsid w:val="00D10FD8"/>
    <w:rsid w:val="00D11EBB"/>
    <w:rsid w:val="00D12045"/>
    <w:rsid w:val="00D121DE"/>
    <w:rsid w:val="00D12A79"/>
    <w:rsid w:val="00D1316A"/>
    <w:rsid w:val="00D13498"/>
    <w:rsid w:val="00D13B8B"/>
    <w:rsid w:val="00D13C30"/>
    <w:rsid w:val="00D14304"/>
    <w:rsid w:val="00D14996"/>
    <w:rsid w:val="00D14C8C"/>
    <w:rsid w:val="00D15293"/>
    <w:rsid w:val="00D162E3"/>
    <w:rsid w:val="00D1631E"/>
    <w:rsid w:val="00D16675"/>
    <w:rsid w:val="00D168BC"/>
    <w:rsid w:val="00D16C85"/>
    <w:rsid w:val="00D178D8"/>
    <w:rsid w:val="00D203B5"/>
    <w:rsid w:val="00D207DB"/>
    <w:rsid w:val="00D209FC"/>
    <w:rsid w:val="00D21A35"/>
    <w:rsid w:val="00D227E2"/>
    <w:rsid w:val="00D229AC"/>
    <w:rsid w:val="00D22C68"/>
    <w:rsid w:val="00D23C5E"/>
    <w:rsid w:val="00D25153"/>
    <w:rsid w:val="00D2587A"/>
    <w:rsid w:val="00D26193"/>
    <w:rsid w:val="00D26226"/>
    <w:rsid w:val="00D26665"/>
    <w:rsid w:val="00D267C8"/>
    <w:rsid w:val="00D26D75"/>
    <w:rsid w:val="00D30A15"/>
    <w:rsid w:val="00D30DEF"/>
    <w:rsid w:val="00D30F2A"/>
    <w:rsid w:val="00D3114A"/>
    <w:rsid w:val="00D3155B"/>
    <w:rsid w:val="00D31DA6"/>
    <w:rsid w:val="00D32664"/>
    <w:rsid w:val="00D32C1D"/>
    <w:rsid w:val="00D33148"/>
    <w:rsid w:val="00D33152"/>
    <w:rsid w:val="00D33248"/>
    <w:rsid w:val="00D332E1"/>
    <w:rsid w:val="00D33BAC"/>
    <w:rsid w:val="00D34E1C"/>
    <w:rsid w:val="00D360B5"/>
    <w:rsid w:val="00D366CC"/>
    <w:rsid w:val="00D368E3"/>
    <w:rsid w:val="00D36FF8"/>
    <w:rsid w:val="00D37309"/>
    <w:rsid w:val="00D376B0"/>
    <w:rsid w:val="00D37712"/>
    <w:rsid w:val="00D3799A"/>
    <w:rsid w:val="00D400D2"/>
    <w:rsid w:val="00D4029E"/>
    <w:rsid w:val="00D4039D"/>
    <w:rsid w:val="00D40778"/>
    <w:rsid w:val="00D409C1"/>
    <w:rsid w:val="00D41115"/>
    <w:rsid w:val="00D41B10"/>
    <w:rsid w:val="00D41CD7"/>
    <w:rsid w:val="00D427B3"/>
    <w:rsid w:val="00D43568"/>
    <w:rsid w:val="00D43C3A"/>
    <w:rsid w:val="00D44010"/>
    <w:rsid w:val="00D44A26"/>
    <w:rsid w:val="00D44FA8"/>
    <w:rsid w:val="00D451FF"/>
    <w:rsid w:val="00D45858"/>
    <w:rsid w:val="00D45E4F"/>
    <w:rsid w:val="00D45EFE"/>
    <w:rsid w:val="00D46041"/>
    <w:rsid w:val="00D465FD"/>
    <w:rsid w:val="00D4771F"/>
    <w:rsid w:val="00D50B78"/>
    <w:rsid w:val="00D50E21"/>
    <w:rsid w:val="00D5173E"/>
    <w:rsid w:val="00D518DD"/>
    <w:rsid w:val="00D51A9E"/>
    <w:rsid w:val="00D5223B"/>
    <w:rsid w:val="00D526B6"/>
    <w:rsid w:val="00D52A92"/>
    <w:rsid w:val="00D52F2B"/>
    <w:rsid w:val="00D532A7"/>
    <w:rsid w:val="00D533F7"/>
    <w:rsid w:val="00D54A7B"/>
    <w:rsid w:val="00D5512D"/>
    <w:rsid w:val="00D565F4"/>
    <w:rsid w:val="00D56A18"/>
    <w:rsid w:val="00D56AEA"/>
    <w:rsid w:val="00D57239"/>
    <w:rsid w:val="00D573F3"/>
    <w:rsid w:val="00D576CA"/>
    <w:rsid w:val="00D5793A"/>
    <w:rsid w:val="00D57DE2"/>
    <w:rsid w:val="00D601F2"/>
    <w:rsid w:val="00D607FB"/>
    <w:rsid w:val="00D60F26"/>
    <w:rsid w:val="00D6170D"/>
    <w:rsid w:val="00D617BA"/>
    <w:rsid w:val="00D628E2"/>
    <w:rsid w:val="00D632D5"/>
    <w:rsid w:val="00D6371B"/>
    <w:rsid w:val="00D64112"/>
    <w:rsid w:val="00D645DF"/>
    <w:rsid w:val="00D64929"/>
    <w:rsid w:val="00D65FD4"/>
    <w:rsid w:val="00D66047"/>
    <w:rsid w:val="00D66241"/>
    <w:rsid w:val="00D6679A"/>
    <w:rsid w:val="00D66CAF"/>
    <w:rsid w:val="00D67264"/>
    <w:rsid w:val="00D672B1"/>
    <w:rsid w:val="00D67413"/>
    <w:rsid w:val="00D67A66"/>
    <w:rsid w:val="00D703D3"/>
    <w:rsid w:val="00D7085C"/>
    <w:rsid w:val="00D70B69"/>
    <w:rsid w:val="00D70DA7"/>
    <w:rsid w:val="00D70E89"/>
    <w:rsid w:val="00D71DA9"/>
    <w:rsid w:val="00D724A8"/>
    <w:rsid w:val="00D72754"/>
    <w:rsid w:val="00D7318A"/>
    <w:rsid w:val="00D733AD"/>
    <w:rsid w:val="00D73710"/>
    <w:rsid w:val="00D74878"/>
    <w:rsid w:val="00D75044"/>
    <w:rsid w:val="00D75159"/>
    <w:rsid w:val="00D75860"/>
    <w:rsid w:val="00D7602D"/>
    <w:rsid w:val="00D7625C"/>
    <w:rsid w:val="00D77038"/>
    <w:rsid w:val="00D77946"/>
    <w:rsid w:val="00D779A2"/>
    <w:rsid w:val="00D77BA7"/>
    <w:rsid w:val="00D77EB4"/>
    <w:rsid w:val="00D807D2"/>
    <w:rsid w:val="00D80DD4"/>
    <w:rsid w:val="00D813BF"/>
    <w:rsid w:val="00D81F69"/>
    <w:rsid w:val="00D821AE"/>
    <w:rsid w:val="00D822CF"/>
    <w:rsid w:val="00D82D0B"/>
    <w:rsid w:val="00D82E18"/>
    <w:rsid w:val="00D83162"/>
    <w:rsid w:val="00D8478C"/>
    <w:rsid w:val="00D8495B"/>
    <w:rsid w:val="00D84CD3"/>
    <w:rsid w:val="00D859B1"/>
    <w:rsid w:val="00D85DCA"/>
    <w:rsid w:val="00D875CA"/>
    <w:rsid w:val="00D876D8"/>
    <w:rsid w:val="00D90456"/>
    <w:rsid w:val="00D90554"/>
    <w:rsid w:val="00D91611"/>
    <w:rsid w:val="00D91F19"/>
    <w:rsid w:val="00D920D8"/>
    <w:rsid w:val="00D922F2"/>
    <w:rsid w:val="00D9236D"/>
    <w:rsid w:val="00D92416"/>
    <w:rsid w:val="00D9248F"/>
    <w:rsid w:val="00D9258D"/>
    <w:rsid w:val="00D93340"/>
    <w:rsid w:val="00D93489"/>
    <w:rsid w:val="00D936D2"/>
    <w:rsid w:val="00D9391D"/>
    <w:rsid w:val="00D939FD"/>
    <w:rsid w:val="00D93EB2"/>
    <w:rsid w:val="00D93EEE"/>
    <w:rsid w:val="00D946D4"/>
    <w:rsid w:val="00D9477B"/>
    <w:rsid w:val="00D961D6"/>
    <w:rsid w:val="00D9664D"/>
    <w:rsid w:val="00D96B4C"/>
    <w:rsid w:val="00D97717"/>
    <w:rsid w:val="00DA0C0D"/>
    <w:rsid w:val="00DA109A"/>
    <w:rsid w:val="00DA2585"/>
    <w:rsid w:val="00DA3846"/>
    <w:rsid w:val="00DA3D25"/>
    <w:rsid w:val="00DA4486"/>
    <w:rsid w:val="00DA45AC"/>
    <w:rsid w:val="00DA4827"/>
    <w:rsid w:val="00DA59EA"/>
    <w:rsid w:val="00DA692D"/>
    <w:rsid w:val="00DA6A30"/>
    <w:rsid w:val="00DA73FA"/>
    <w:rsid w:val="00DA740F"/>
    <w:rsid w:val="00DA746F"/>
    <w:rsid w:val="00DA796C"/>
    <w:rsid w:val="00DA7C7F"/>
    <w:rsid w:val="00DA7DC1"/>
    <w:rsid w:val="00DA7FC2"/>
    <w:rsid w:val="00DB00C6"/>
    <w:rsid w:val="00DB090C"/>
    <w:rsid w:val="00DB0A06"/>
    <w:rsid w:val="00DB0AEC"/>
    <w:rsid w:val="00DB1C82"/>
    <w:rsid w:val="00DB21A5"/>
    <w:rsid w:val="00DB2DFD"/>
    <w:rsid w:val="00DB3000"/>
    <w:rsid w:val="00DB4A26"/>
    <w:rsid w:val="00DB5142"/>
    <w:rsid w:val="00DB6538"/>
    <w:rsid w:val="00DB6B53"/>
    <w:rsid w:val="00DB6CA3"/>
    <w:rsid w:val="00DB71E2"/>
    <w:rsid w:val="00DB7230"/>
    <w:rsid w:val="00DB73AC"/>
    <w:rsid w:val="00DB78E8"/>
    <w:rsid w:val="00DC099B"/>
    <w:rsid w:val="00DC0D9B"/>
    <w:rsid w:val="00DC126F"/>
    <w:rsid w:val="00DC14F3"/>
    <w:rsid w:val="00DC16B6"/>
    <w:rsid w:val="00DC1B0C"/>
    <w:rsid w:val="00DC260C"/>
    <w:rsid w:val="00DC2827"/>
    <w:rsid w:val="00DC3341"/>
    <w:rsid w:val="00DC415B"/>
    <w:rsid w:val="00DC41DE"/>
    <w:rsid w:val="00DC4367"/>
    <w:rsid w:val="00DC4374"/>
    <w:rsid w:val="00DC4DAA"/>
    <w:rsid w:val="00DC4DF0"/>
    <w:rsid w:val="00DC4F4C"/>
    <w:rsid w:val="00DC4F95"/>
    <w:rsid w:val="00DC5158"/>
    <w:rsid w:val="00DC63B9"/>
    <w:rsid w:val="00DC673F"/>
    <w:rsid w:val="00DC72DD"/>
    <w:rsid w:val="00DC75F7"/>
    <w:rsid w:val="00DC7AB9"/>
    <w:rsid w:val="00DC7D10"/>
    <w:rsid w:val="00DD0BD7"/>
    <w:rsid w:val="00DD0D89"/>
    <w:rsid w:val="00DD1889"/>
    <w:rsid w:val="00DD1E6C"/>
    <w:rsid w:val="00DD2A75"/>
    <w:rsid w:val="00DD3119"/>
    <w:rsid w:val="00DD3E62"/>
    <w:rsid w:val="00DD4011"/>
    <w:rsid w:val="00DD4393"/>
    <w:rsid w:val="00DD4515"/>
    <w:rsid w:val="00DD48CC"/>
    <w:rsid w:val="00DD51E9"/>
    <w:rsid w:val="00DD5871"/>
    <w:rsid w:val="00DD59E2"/>
    <w:rsid w:val="00DD5D4F"/>
    <w:rsid w:val="00DD60BE"/>
    <w:rsid w:val="00DD65AC"/>
    <w:rsid w:val="00DD6BB4"/>
    <w:rsid w:val="00DD6CE8"/>
    <w:rsid w:val="00DD7009"/>
    <w:rsid w:val="00DD7AD8"/>
    <w:rsid w:val="00DD7BC8"/>
    <w:rsid w:val="00DD7C5F"/>
    <w:rsid w:val="00DE0302"/>
    <w:rsid w:val="00DE0496"/>
    <w:rsid w:val="00DE057A"/>
    <w:rsid w:val="00DE0778"/>
    <w:rsid w:val="00DE1463"/>
    <w:rsid w:val="00DE1E7D"/>
    <w:rsid w:val="00DE1FFA"/>
    <w:rsid w:val="00DE204F"/>
    <w:rsid w:val="00DE24BE"/>
    <w:rsid w:val="00DE31AA"/>
    <w:rsid w:val="00DE31B8"/>
    <w:rsid w:val="00DE3D5F"/>
    <w:rsid w:val="00DE4451"/>
    <w:rsid w:val="00DE4A59"/>
    <w:rsid w:val="00DE4B3B"/>
    <w:rsid w:val="00DE4E58"/>
    <w:rsid w:val="00DE52D9"/>
    <w:rsid w:val="00DE55D6"/>
    <w:rsid w:val="00DE5965"/>
    <w:rsid w:val="00DE62E9"/>
    <w:rsid w:val="00DE74A3"/>
    <w:rsid w:val="00DE79F6"/>
    <w:rsid w:val="00DE7D04"/>
    <w:rsid w:val="00DE7EEB"/>
    <w:rsid w:val="00DE7FA7"/>
    <w:rsid w:val="00DF03C7"/>
    <w:rsid w:val="00DF0CD8"/>
    <w:rsid w:val="00DF1CB3"/>
    <w:rsid w:val="00DF1D0B"/>
    <w:rsid w:val="00DF2044"/>
    <w:rsid w:val="00DF2BCB"/>
    <w:rsid w:val="00DF3E32"/>
    <w:rsid w:val="00DF3FE8"/>
    <w:rsid w:val="00DF496A"/>
    <w:rsid w:val="00DF508A"/>
    <w:rsid w:val="00DF55AD"/>
    <w:rsid w:val="00DF6AC1"/>
    <w:rsid w:val="00DF79FB"/>
    <w:rsid w:val="00DF7D45"/>
    <w:rsid w:val="00E0006C"/>
    <w:rsid w:val="00E0058D"/>
    <w:rsid w:val="00E00646"/>
    <w:rsid w:val="00E0076A"/>
    <w:rsid w:val="00E0125C"/>
    <w:rsid w:val="00E027A9"/>
    <w:rsid w:val="00E0288C"/>
    <w:rsid w:val="00E02909"/>
    <w:rsid w:val="00E02E0D"/>
    <w:rsid w:val="00E03386"/>
    <w:rsid w:val="00E047E7"/>
    <w:rsid w:val="00E04A86"/>
    <w:rsid w:val="00E04FDE"/>
    <w:rsid w:val="00E0513A"/>
    <w:rsid w:val="00E05AF9"/>
    <w:rsid w:val="00E06117"/>
    <w:rsid w:val="00E065EA"/>
    <w:rsid w:val="00E12075"/>
    <w:rsid w:val="00E1261D"/>
    <w:rsid w:val="00E12F8D"/>
    <w:rsid w:val="00E1304B"/>
    <w:rsid w:val="00E13A93"/>
    <w:rsid w:val="00E1514F"/>
    <w:rsid w:val="00E153AF"/>
    <w:rsid w:val="00E15C2C"/>
    <w:rsid w:val="00E161E7"/>
    <w:rsid w:val="00E16BE9"/>
    <w:rsid w:val="00E172A5"/>
    <w:rsid w:val="00E17ECE"/>
    <w:rsid w:val="00E21396"/>
    <w:rsid w:val="00E21647"/>
    <w:rsid w:val="00E21B46"/>
    <w:rsid w:val="00E22B38"/>
    <w:rsid w:val="00E22E33"/>
    <w:rsid w:val="00E2310E"/>
    <w:rsid w:val="00E2325A"/>
    <w:rsid w:val="00E23A4F"/>
    <w:rsid w:val="00E253E1"/>
    <w:rsid w:val="00E25AAD"/>
    <w:rsid w:val="00E25AEF"/>
    <w:rsid w:val="00E25C73"/>
    <w:rsid w:val="00E26137"/>
    <w:rsid w:val="00E2776B"/>
    <w:rsid w:val="00E27B9D"/>
    <w:rsid w:val="00E27F68"/>
    <w:rsid w:val="00E30453"/>
    <w:rsid w:val="00E30553"/>
    <w:rsid w:val="00E308F3"/>
    <w:rsid w:val="00E30DD9"/>
    <w:rsid w:val="00E31A8A"/>
    <w:rsid w:val="00E31C59"/>
    <w:rsid w:val="00E3222F"/>
    <w:rsid w:val="00E32274"/>
    <w:rsid w:val="00E328D9"/>
    <w:rsid w:val="00E32BD7"/>
    <w:rsid w:val="00E33A84"/>
    <w:rsid w:val="00E33B8D"/>
    <w:rsid w:val="00E33BBB"/>
    <w:rsid w:val="00E33D9C"/>
    <w:rsid w:val="00E33DD5"/>
    <w:rsid w:val="00E34E6A"/>
    <w:rsid w:val="00E35775"/>
    <w:rsid w:val="00E360C6"/>
    <w:rsid w:val="00E36C68"/>
    <w:rsid w:val="00E37185"/>
    <w:rsid w:val="00E37C51"/>
    <w:rsid w:val="00E4044A"/>
    <w:rsid w:val="00E40BB4"/>
    <w:rsid w:val="00E4276F"/>
    <w:rsid w:val="00E43759"/>
    <w:rsid w:val="00E43F8E"/>
    <w:rsid w:val="00E4407D"/>
    <w:rsid w:val="00E44D8D"/>
    <w:rsid w:val="00E45BE3"/>
    <w:rsid w:val="00E45DF8"/>
    <w:rsid w:val="00E4649C"/>
    <w:rsid w:val="00E46F61"/>
    <w:rsid w:val="00E47444"/>
    <w:rsid w:val="00E474B2"/>
    <w:rsid w:val="00E47664"/>
    <w:rsid w:val="00E47E35"/>
    <w:rsid w:val="00E47ED0"/>
    <w:rsid w:val="00E50388"/>
    <w:rsid w:val="00E510BE"/>
    <w:rsid w:val="00E513CD"/>
    <w:rsid w:val="00E52023"/>
    <w:rsid w:val="00E528D7"/>
    <w:rsid w:val="00E52990"/>
    <w:rsid w:val="00E52C19"/>
    <w:rsid w:val="00E52EAC"/>
    <w:rsid w:val="00E5311C"/>
    <w:rsid w:val="00E534FE"/>
    <w:rsid w:val="00E53611"/>
    <w:rsid w:val="00E53653"/>
    <w:rsid w:val="00E54EFA"/>
    <w:rsid w:val="00E55952"/>
    <w:rsid w:val="00E5630E"/>
    <w:rsid w:val="00E60CD4"/>
    <w:rsid w:val="00E60D4B"/>
    <w:rsid w:val="00E61059"/>
    <w:rsid w:val="00E6181E"/>
    <w:rsid w:val="00E625EA"/>
    <w:rsid w:val="00E63741"/>
    <w:rsid w:val="00E6377B"/>
    <w:rsid w:val="00E655DA"/>
    <w:rsid w:val="00E66286"/>
    <w:rsid w:val="00E67158"/>
    <w:rsid w:val="00E67A72"/>
    <w:rsid w:val="00E703C2"/>
    <w:rsid w:val="00E71479"/>
    <w:rsid w:val="00E719C9"/>
    <w:rsid w:val="00E72454"/>
    <w:rsid w:val="00E726A8"/>
    <w:rsid w:val="00E72D48"/>
    <w:rsid w:val="00E72F89"/>
    <w:rsid w:val="00E73096"/>
    <w:rsid w:val="00E7355B"/>
    <w:rsid w:val="00E73E3E"/>
    <w:rsid w:val="00E740A5"/>
    <w:rsid w:val="00E744E1"/>
    <w:rsid w:val="00E755EF"/>
    <w:rsid w:val="00E75F0B"/>
    <w:rsid w:val="00E761BF"/>
    <w:rsid w:val="00E76570"/>
    <w:rsid w:val="00E76EA0"/>
    <w:rsid w:val="00E76F21"/>
    <w:rsid w:val="00E76F51"/>
    <w:rsid w:val="00E77471"/>
    <w:rsid w:val="00E80899"/>
    <w:rsid w:val="00E812C9"/>
    <w:rsid w:val="00E81DFD"/>
    <w:rsid w:val="00E821B5"/>
    <w:rsid w:val="00E821B8"/>
    <w:rsid w:val="00E82A0A"/>
    <w:rsid w:val="00E82C68"/>
    <w:rsid w:val="00E82EBD"/>
    <w:rsid w:val="00E8331D"/>
    <w:rsid w:val="00E836BE"/>
    <w:rsid w:val="00E8447E"/>
    <w:rsid w:val="00E84DBE"/>
    <w:rsid w:val="00E8566F"/>
    <w:rsid w:val="00E86027"/>
    <w:rsid w:val="00E86108"/>
    <w:rsid w:val="00E864FE"/>
    <w:rsid w:val="00E873A3"/>
    <w:rsid w:val="00E87981"/>
    <w:rsid w:val="00E87A2A"/>
    <w:rsid w:val="00E90951"/>
    <w:rsid w:val="00E91127"/>
    <w:rsid w:val="00E91A6D"/>
    <w:rsid w:val="00E92490"/>
    <w:rsid w:val="00E928F7"/>
    <w:rsid w:val="00E9331A"/>
    <w:rsid w:val="00E93B88"/>
    <w:rsid w:val="00E94473"/>
    <w:rsid w:val="00E94E3F"/>
    <w:rsid w:val="00E94F86"/>
    <w:rsid w:val="00E9505D"/>
    <w:rsid w:val="00E95BDB"/>
    <w:rsid w:val="00E9603B"/>
    <w:rsid w:val="00E96072"/>
    <w:rsid w:val="00E963ED"/>
    <w:rsid w:val="00E965B7"/>
    <w:rsid w:val="00E97C33"/>
    <w:rsid w:val="00EA03CA"/>
    <w:rsid w:val="00EA0658"/>
    <w:rsid w:val="00EA086A"/>
    <w:rsid w:val="00EA1181"/>
    <w:rsid w:val="00EA12A2"/>
    <w:rsid w:val="00EA1312"/>
    <w:rsid w:val="00EA24CD"/>
    <w:rsid w:val="00EA400E"/>
    <w:rsid w:val="00EA4103"/>
    <w:rsid w:val="00EA4DEC"/>
    <w:rsid w:val="00EA5DEC"/>
    <w:rsid w:val="00EA664F"/>
    <w:rsid w:val="00EA7093"/>
    <w:rsid w:val="00EA7DE2"/>
    <w:rsid w:val="00EB0901"/>
    <w:rsid w:val="00EB12DA"/>
    <w:rsid w:val="00EB1854"/>
    <w:rsid w:val="00EB262D"/>
    <w:rsid w:val="00EB327A"/>
    <w:rsid w:val="00EB448E"/>
    <w:rsid w:val="00EB5526"/>
    <w:rsid w:val="00EB57E0"/>
    <w:rsid w:val="00EB7034"/>
    <w:rsid w:val="00EB7AE1"/>
    <w:rsid w:val="00EB7CC3"/>
    <w:rsid w:val="00EB7DDC"/>
    <w:rsid w:val="00EC0B1A"/>
    <w:rsid w:val="00EC0E11"/>
    <w:rsid w:val="00EC153F"/>
    <w:rsid w:val="00EC1765"/>
    <w:rsid w:val="00EC29C5"/>
    <w:rsid w:val="00EC4C92"/>
    <w:rsid w:val="00EC5194"/>
    <w:rsid w:val="00EC588D"/>
    <w:rsid w:val="00EC5BE8"/>
    <w:rsid w:val="00EC6877"/>
    <w:rsid w:val="00EC6982"/>
    <w:rsid w:val="00EC6B4E"/>
    <w:rsid w:val="00EC6D60"/>
    <w:rsid w:val="00EC709D"/>
    <w:rsid w:val="00EC7B2D"/>
    <w:rsid w:val="00ED02CB"/>
    <w:rsid w:val="00ED0DCB"/>
    <w:rsid w:val="00ED2CAF"/>
    <w:rsid w:val="00ED3395"/>
    <w:rsid w:val="00ED3C36"/>
    <w:rsid w:val="00ED3FDC"/>
    <w:rsid w:val="00ED540C"/>
    <w:rsid w:val="00ED554D"/>
    <w:rsid w:val="00ED6C68"/>
    <w:rsid w:val="00ED6F01"/>
    <w:rsid w:val="00ED71BC"/>
    <w:rsid w:val="00ED761B"/>
    <w:rsid w:val="00EE0680"/>
    <w:rsid w:val="00EE06E4"/>
    <w:rsid w:val="00EE0F09"/>
    <w:rsid w:val="00EE16A8"/>
    <w:rsid w:val="00EE1992"/>
    <w:rsid w:val="00EE2074"/>
    <w:rsid w:val="00EE223E"/>
    <w:rsid w:val="00EE2C5D"/>
    <w:rsid w:val="00EE2FAB"/>
    <w:rsid w:val="00EE3DA2"/>
    <w:rsid w:val="00EE3F4F"/>
    <w:rsid w:val="00EE420F"/>
    <w:rsid w:val="00EE433B"/>
    <w:rsid w:val="00EE51B1"/>
    <w:rsid w:val="00EE54E9"/>
    <w:rsid w:val="00EE59CA"/>
    <w:rsid w:val="00EE5FD9"/>
    <w:rsid w:val="00EE636E"/>
    <w:rsid w:val="00EE6A8F"/>
    <w:rsid w:val="00EE6CDE"/>
    <w:rsid w:val="00EE71F3"/>
    <w:rsid w:val="00EE71F7"/>
    <w:rsid w:val="00EE737D"/>
    <w:rsid w:val="00EE77A7"/>
    <w:rsid w:val="00EE79C1"/>
    <w:rsid w:val="00EF041C"/>
    <w:rsid w:val="00EF082C"/>
    <w:rsid w:val="00EF0979"/>
    <w:rsid w:val="00EF0FA0"/>
    <w:rsid w:val="00EF13D8"/>
    <w:rsid w:val="00EF2121"/>
    <w:rsid w:val="00EF2803"/>
    <w:rsid w:val="00EF3A64"/>
    <w:rsid w:val="00EF3A70"/>
    <w:rsid w:val="00EF3D1C"/>
    <w:rsid w:val="00EF41AE"/>
    <w:rsid w:val="00EF41B3"/>
    <w:rsid w:val="00EF484D"/>
    <w:rsid w:val="00EF4969"/>
    <w:rsid w:val="00EF4DA9"/>
    <w:rsid w:val="00EF52D8"/>
    <w:rsid w:val="00EF5BF0"/>
    <w:rsid w:val="00EF6E30"/>
    <w:rsid w:val="00EF7094"/>
    <w:rsid w:val="00EF7BCB"/>
    <w:rsid w:val="00EF7DD1"/>
    <w:rsid w:val="00F009F9"/>
    <w:rsid w:val="00F00DF2"/>
    <w:rsid w:val="00F00EED"/>
    <w:rsid w:val="00F00FEB"/>
    <w:rsid w:val="00F01B4D"/>
    <w:rsid w:val="00F01C56"/>
    <w:rsid w:val="00F027C7"/>
    <w:rsid w:val="00F02CED"/>
    <w:rsid w:val="00F030A8"/>
    <w:rsid w:val="00F037B9"/>
    <w:rsid w:val="00F0387F"/>
    <w:rsid w:val="00F03E70"/>
    <w:rsid w:val="00F05596"/>
    <w:rsid w:val="00F05A1C"/>
    <w:rsid w:val="00F07223"/>
    <w:rsid w:val="00F0789A"/>
    <w:rsid w:val="00F07A52"/>
    <w:rsid w:val="00F07D98"/>
    <w:rsid w:val="00F100A7"/>
    <w:rsid w:val="00F1019A"/>
    <w:rsid w:val="00F10420"/>
    <w:rsid w:val="00F106E9"/>
    <w:rsid w:val="00F108A3"/>
    <w:rsid w:val="00F11233"/>
    <w:rsid w:val="00F1138A"/>
    <w:rsid w:val="00F12123"/>
    <w:rsid w:val="00F12704"/>
    <w:rsid w:val="00F129CA"/>
    <w:rsid w:val="00F13D81"/>
    <w:rsid w:val="00F14C9E"/>
    <w:rsid w:val="00F15AE7"/>
    <w:rsid w:val="00F16000"/>
    <w:rsid w:val="00F1731E"/>
    <w:rsid w:val="00F20883"/>
    <w:rsid w:val="00F20D35"/>
    <w:rsid w:val="00F213ED"/>
    <w:rsid w:val="00F214BA"/>
    <w:rsid w:val="00F218F4"/>
    <w:rsid w:val="00F21DB6"/>
    <w:rsid w:val="00F22F41"/>
    <w:rsid w:val="00F233F6"/>
    <w:rsid w:val="00F234F9"/>
    <w:rsid w:val="00F23B78"/>
    <w:rsid w:val="00F23F62"/>
    <w:rsid w:val="00F24426"/>
    <w:rsid w:val="00F24AC5"/>
    <w:rsid w:val="00F24C33"/>
    <w:rsid w:val="00F25371"/>
    <w:rsid w:val="00F2593C"/>
    <w:rsid w:val="00F259DA"/>
    <w:rsid w:val="00F25D12"/>
    <w:rsid w:val="00F261C3"/>
    <w:rsid w:val="00F261C4"/>
    <w:rsid w:val="00F2795F"/>
    <w:rsid w:val="00F27B79"/>
    <w:rsid w:val="00F27C64"/>
    <w:rsid w:val="00F300D5"/>
    <w:rsid w:val="00F3012D"/>
    <w:rsid w:val="00F30A4C"/>
    <w:rsid w:val="00F30F9D"/>
    <w:rsid w:val="00F32001"/>
    <w:rsid w:val="00F3214F"/>
    <w:rsid w:val="00F327B9"/>
    <w:rsid w:val="00F32A54"/>
    <w:rsid w:val="00F34100"/>
    <w:rsid w:val="00F345DE"/>
    <w:rsid w:val="00F350FB"/>
    <w:rsid w:val="00F35553"/>
    <w:rsid w:val="00F359DC"/>
    <w:rsid w:val="00F35BB5"/>
    <w:rsid w:val="00F35FEC"/>
    <w:rsid w:val="00F367D1"/>
    <w:rsid w:val="00F368C9"/>
    <w:rsid w:val="00F3719B"/>
    <w:rsid w:val="00F37273"/>
    <w:rsid w:val="00F3732A"/>
    <w:rsid w:val="00F37857"/>
    <w:rsid w:val="00F379ED"/>
    <w:rsid w:val="00F40B96"/>
    <w:rsid w:val="00F41329"/>
    <w:rsid w:val="00F41368"/>
    <w:rsid w:val="00F416B1"/>
    <w:rsid w:val="00F42466"/>
    <w:rsid w:val="00F44433"/>
    <w:rsid w:val="00F444F7"/>
    <w:rsid w:val="00F44B7E"/>
    <w:rsid w:val="00F44C7D"/>
    <w:rsid w:val="00F44C8F"/>
    <w:rsid w:val="00F44DB9"/>
    <w:rsid w:val="00F44EC4"/>
    <w:rsid w:val="00F45291"/>
    <w:rsid w:val="00F456C5"/>
    <w:rsid w:val="00F45B07"/>
    <w:rsid w:val="00F45B1C"/>
    <w:rsid w:val="00F45C04"/>
    <w:rsid w:val="00F467D2"/>
    <w:rsid w:val="00F473D1"/>
    <w:rsid w:val="00F47582"/>
    <w:rsid w:val="00F47D89"/>
    <w:rsid w:val="00F47EA2"/>
    <w:rsid w:val="00F5041B"/>
    <w:rsid w:val="00F50597"/>
    <w:rsid w:val="00F505A9"/>
    <w:rsid w:val="00F51038"/>
    <w:rsid w:val="00F5108B"/>
    <w:rsid w:val="00F516E4"/>
    <w:rsid w:val="00F51C6B"/>
    <w:rsid w:val="00F52B70"/>
    <w:rsid w:val="00F53001"/>
    <w:rsid w:val="00F5305B"/>
    <w:rsid w:val="00F539CE"/>
    <w:rsid w:val="00F54BC9"/>
    <w:rsid w:val="00F54D4D"/>
    <w:rsid w:val="00F55387"/>
    <w:rsid w:val="00F558C7"/>
    <w:rsid w:val="00F561A3"/>
    <w:rsid w:val="00F5692D"/>
    <w:rsid w:val="00F56A91"/>
    <w:rsid w:val="00F56BC1"/>
    <w:rsid w:val="00F56DBE"/>
    <w:rsid w:val="00F571FF"/>
    <w:rsid w:val="00F57464"/>
    <w:rsid w:val="00F574FC"/>
    <w:rsid w:val="00F577C3"/>
    <w:rsid w:val="00F5798C"/>
    <w:rsid w:val="00F60254"/>
    <w:rsid w:val="00F60B4E"/>
    <w:rsid w:val="00F61E64"/>
    <w:rsid w:val="00F63BF2"/>
    <w:rsid w:val="00F63C50"/>
    <w:rsid w:val="00F641D5"/>
    <w:rsid w:val="00F64CCB"/>
    <w:rsid w:val="00F655D7"/>
    <w:rsid w:val="00F655EE"/>
    <w:rsid w:val="00F661E9"/>
    <w:rsid w:val="00F66440"/>
    <w:rsid w:val="00F66AA2"/>
    <w:rsid w:val="00F66D39"/>
    <w:rsid w:val="00F66D60"/>
    <w:rsid w:val="00F66D8D"/>
    <w:rsid w:val="00F67731"/>
    <w:rsid w:val="00F67D8C"/>
    <w:rsid w:val="00F70386"/>
    <w:rsid w:val="00F7080F"/>
    <w:rsid w:val="00F70C61"/>
    <w:rsid w:val="00F70F7E"/>
    <w:rsid w:val="00F7114D"/>
    <w:rsid w:val="00F71599"/>
    <w:rsid w:val="00F716CC"/>
    <w:rsid w:val="00F71BB2"/>
    <w:rsid w:val="00F72204"/>
    <w:rsid w:val="00F7246C"/>
    <w:rsid w:val="00F727CA"/>
    <w:rsid w:val="00F72BF4"/>
    <w:rsid w:val="00F73485"/>
    <w:rsid w:val="00F7467C"/>
    <w:rsid w:val="00F74B64"/>
    <w:rsid w:val="00F752D5"/>
    <w:rsid w:val="00F754BE"/>
    <w:rsid w:val="00F756B1"/>
    <w:rsid w:val="00F76201"/>
    <w:rsid w:val="00F762DA"/>
    <w:rsid w:val="00F76FCB"/>
    <w:rsid w:val="00F770F9"/>
    <w:rsid w:val="00F773A4"/>
    <w:rsid w:val="00F7742F"/>
    <w:rsid w:val="00F778E8"/>
    <w:rsid w:val="00F77FBE"/>
    <w:rsid w:val="00F809F8"/>
    <w:rsid w:val="00F80B0E"/>
    <w:rsid w:val="00F80E72"/>
    <w:rsid w:val="00F815CC"/>
    <w:rsid w:val="00F81B0B"/>
    <w:rsid w:val="00F820BE"/>
    <w:rsid w:val="00F82A8D"/>
    <w:rsid w:val="00F82F8A"/>
    <w:rsid w:val="00F83404"/>
    <w:rsid w:val="00F837F9"/>
    <w:rsid w:val="00F83F0F"/>
    <w:rsid w:val="00F84470"/>
    <w:rsid w:val="00F84E32"/>
    <w:rsid w:val="00F85314"/>
    <w:rsid w:val="00F8575B"/>
    <w:rsid w:val="00F85812"/>
    <w:rsid w:val="00F868B5"/>
    <w:rsid w:val="00F87332"/>
    <w:rsid w:val="00F90910"/>
    <w:rsid w:val="00F90F03"/>
    <w:rsid w:val="00F91CA2"/>
    <w:rsid w:val="00F91FA8"/>
    <w:rsid w:val="00F923DB"/>
    <w:rsid w:val="00F9310B"/>
    <w:rsid w:val="00F93FFB"/>
    <w:rsid w:val="00F94487"/>
    <w:rsid w:val="00F95659"/>
    <w:rsid w:val="00F9584D"/>
    <w:rsid w:val="00F95A7E"/>
    <w:rsid w:val="00F96322"/>
    <w:rsid w:val="00F96476"/>
    <w:rsid w:val="00F9669A"/>
    <w:rsid w:val="00F96A1D"/>
    <w:rsid w:val="00F96DEA"/>
    <w:rsid w:val="00F975DA"/>
    <w:rsid w:val="00F976B4"/>
    <w:rsid w:val="00F9792B"/>
    <w:rsid w:val="00F97D29"/>
    <w:rsid w:val="00FA0591"/>
    <w:rsid w:val="00FA097C"/>
    <w:rsid w:val="00FA0C4B"/>
    <w:rsid w:val="00FA14C5"/>
    <w:rsid w:val="00FA1B95"/>
    <w:rsid w:val="00FA1E4B"/>
    <w:rsid w:val="00FA2C3D"/>
    <w:rsid w:val="00FA2EBF"/>
    <w:rsid w:val="00FA3B49"/>
    <w:rsid w:val="00FA4606"/>
    <w:rsid w:val="00FA48CD"/>
    <w:rsid w:val="00FA60FA"/>
    <w:rsid w:val="00FA645A"/>
    <w:rsid w:val="00FA6641"/>
    <w:rsid w:val="00FA6DC6"/>
    <w:rsid w:val="00FA6F48"/>
    <w:rsid w:val="00FA7983"/>
    <w:rsid w:val="00FA7A00"/>
    <w:rsid w:val="00FA7D66"/>
    <w:rsid w:val="00FA7E29"/>
    <w:rsid w:val="00FA7F2B"/>
    <w:rsid w:val="00FB05A0"/>
    <w:rsid w:val="00FB07CC"/>
    <w:rsid w:val="00FB111C"/>
    <w:rsid w:val="00FB1583"/>
    <w:rsid w:val="00FB18E2"/>
    <w:rsid w:val="00FB1C45"/>
    <w:rsid w:val="00FB2BE1"/>
    <w:rsid w:val="00FB3477"/>
    <w:rsid w:val="00FB3B18"/>
    <w:rsid w:val="00FB3F87"/>
    <w:rsid w:val="00FB416A"/>
    <w:rsid w:val="00FB5592"/>
    <w:rsid w:val="00FB57D5"/>
    <w:rsid w:val="00FB5F73"/>
    <w:rsid w:val="00FB6497"/>
    <w:rsid w:val="00FB6D45"/>
    <w:rsid w:val="00FB7B5D"/>
    <w:rsid w:val="00FC162E"/>
    <w:rsid w:val="00FC25EB"/>
    <w:rsid w:val="00FC2E9B"/>
    <w:rsid w:val="00FC3259"/>
    <w:rsid w:val="00FC389A"/>
    <w:rsid w:val="00FC3B20"/>
    <w:rsid w:val="00FC3D16"/>
    <w:rsid w:val="00FC4CC4"/>
    <w:rsid w:val="00FC63D4"/>
    <w:rsid w:val="00FC65F8"/>
    <w:rsid w:val="00FC6923"/>
    <w:rsid w:val="00FC697C"/>
    <w:rsid w:val="00FC6A42"/>
    <w:rsid w:val="00FC6A9F"/>
    <w:rsid w:val="00FC6E74"/>
    <w:rsid w:val="00FC6EF3"/>
    <w:rsid w:val="00FC6F1A"/>
    <w:rsid w:val="00FC79CA"/>
    <w:rsid w:val="00FC7D1E"/>
    <w:rsid w:val="00FC7D66"/>
    <w:rsid w:val="00FD004D"/>
    <w:rsid w:val="00FD00E9"/>
    <w:rsid w:val="00FD0CC9"/>
    <w:rsid w:val="00FD0E9C"/>
    <w:rsid w:val="00FD322C"/>
    <w:rsid w:val="00FD419E"/>
    <w:rsid w:val="00FD459B"/>
    <w:rsid w:val="00FD4734"/>
    <w:rsid w:val="00FD4CB1"/>
    <w:rsid w:val="00FD4E80"/>
    <w:rsid w:val="00FD506F"/>
    <w:rsid w:val="00FD5158"/>
    <w:rsid w:val="00FD5938"/>
    <w:rsid w:val="00FD6479"/>
    <w:rsid w:val="00FD6494"/>
    <w:rsid w:val="00FD6C71"/>
    <w:rsid w:val="00FD747D"/>
    <w:rsid w:val="00FD781C"/>
    <w:rsid w:val="00FD78FD"/>
    <w:rsid w:val="00FE0466"/>
    <w:rsid w:val="00FE0549"/>
    <w:rsid w:val="00FE0921"/>
    <w:rsid w:val="00FE09BB"/>
    <w:rsid w:val="00FE0C53"/>
    <w:rsid w:val="00FE1031"/>
    <w:rsid w:val="00FE138F"/>
    <w:rsid w:val="00FE1CD1"/>
    <w:rsid w:val="00FE3436"/>
    <w:rsid w:val="00FE380A"/>
    <w:rsid w:val="00FE3E95"/>
    <w:rsid w:val="00FE4139"/>
    <w:rsid w:val="00FE4FED"/>
    <w:rsid w:val="00FE5384"/>
    <w:rsid w:val="00FE5AF0"/>
    <w:rsid w:val="00FE68F4"/>
    <w:rsid w:val="00FF0940"/>
    <w:rsid w:val="00FF0A12"/>
    <w:rsid w:val="00FF0A67"/>
    <w:rsid w:val="00FF0CC2"/>
    <w:rsid w:val="00FF1113"/>
    <w:rsid w:val="00FF1342"/>
    <w:rsid w:val="00FF21A7"/>
    <w:rsid w:val="00FF2855"/>
    <w:rsid w:val="00FF2947"/>
    <w:rsid w:val="00FF35E5"/>
    <w:rsid w:val="00FF5560"/>
    <w:rsid w:val="00FF589C"/>
    <w:rsid w:val="00FF6D6D"/>
    <w:rsid w:val="00FF70CD"/>
    <w:rsid w:val="00FF791F"/>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4D10"/>
  </w:style>
  <w:style w:type="paragraph" w:styleId="Heading1">
    <w:name w:val="heading 1"/>
    <w:basedOn w:val="ListParagraph"/>
    <w:next w:val="Normal"/>
    <w:link w:val="Heading1Char"/>
    <w:uiPriority w:val="9"/>
    <w:rsid w:val="00B94D10"/>
    <w:pPr>
      <w:spacing w:before="480" w:after="240" w:line="240" w:lineRule="auto"/>
      <w:ind w:left="0"/>
      <w:outlineLvl w:val="0"/>
    </w:pPr>
    <w:rPr>
      <w:b/>
      <w:sz w:val="28"/>
    </w:rPr>
  </w:style>
  <w:style w:type="paragraph" w:styleId="Heading2">
    <w:name w:val="heading 2"/>
    <w:basedOn w:val="Normal"/>
    <w:next w:val="Normal"/>
    <w:link w:val="Heading2Char"/>
    <w:uiPriority w:val="9"/>
    <w:unhideWhenUsed/>
    <w:rsid w:val="00B94D10"/>
    <w:pPr>
      <w:keepNext/>
      <w:keepLines/>
      <w:autoSpaceDE w:val="0"/>
      <w:autoSpaceDN w:val="0"/>
      <w:adjustRightInd w:val="0"/>
      <w:spacing w:before="360" w:after="240" w:line="240" w:lineRule="auto"/>
      <w:outlineLvl w:val="1"/>
    </w:pPr>
    <w:rPr>
      <w:rFonts w:cstheme="minorHAnsi"/>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CC6"/>
    <w:pPr>
      <w:ind w:left="720"/>
      <w:contextualSpacing/>
    </w:pPr>
  </w:style>
  <w:style w:type="table" w:styleId="TableGrid">
    <w:name w:val="Table Grid"/>
    <w:basedOn w:val="TableNormal"/>
    <w:uiPriority w:val="59"/>
    <w:rsid w:val="00077C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7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CC6"/>
    <w:rPr>
      <w:rFonts w:ascii="Tahoma" w:hAnsi="Tahoma" w:cs="Tahoma"/>
      <w:sz w:val="16"/>
      <w:szCs w:val="16"/>
    </w:rPr>
  </w:style>
  <w:style w:type="paragraph" w:customStyle="1" w:styleId="SE4ALLbodycopy">
    <w:name w:val="SE4ALL body copy"/>
    <w:basedOn w:val="Normal"/>
    <w:rsid w:val="00B94D10"/>
    <w:pPr>
      <w:spacing w:after="120"/>
    </w:pPr>
  </w:style>
  <w:style w:type="character" w:customStyle="1" w:styleId="Heading1Char">
    <w:name w:val="Heading 1 Char"/>
    <w:basedOn w:val="DefaultParagraphFont"/>
    <w:link w:val="Heading1"/>
    <w:uiPriority w:val="9"/>
    <w:rsid w:val="00B94D10"/>
    <w:rPr>
      <w:b/>
      <w:sz w:val="28"/>
    </w:rPr>
  </w:style>
  <w:style w:type="character" w:customStyle="1" w:styleId="Heading2Char">
    <w:name w:val="Heading 2 Char"/>
    <w:basedOn w:val="DefaultParagraphFont"/>
    <w:link w:val="Heading2"/>
    <w:uiPriority w:val="9"/>
    <w:rsid w:val="00B94D10"/>
    <w:rPr>
      <w:rFonts w:cstheme="minorHAnsi"/>
      <w:b/>
      <w:i/>
      <w:color w:val="000000"/>
      <w:sz w:val="24"/>
    </w:rPr>
  </w:style>
  <w:style w:type="paragraph" w:customStyle="1" w:styleId="SE4ALLboxtext">
    <w:name w:val="SE4ALL box text"/>
    <w:basedOn w:val="Normal"/>
    <w:rsid w:val="00B94D10"/>
    <w:pPr>
      <w:autoSpaceDE w:val="0"/>
      <w:autoSpaceDN w:val="0"/>
      <w:adjustRightInd w:val="0"/>
      <w:spacing w:after="120" w:line="240" w:lineRule="auto"/>
      <w:outlineLvl w:val="0"/>
    </w:pPr>
    <w:rPr>
      <w:sz w:val="20"/>
    </w:rPr>
  </w:style>
  <w:style w:type="paragraph" w:customStyle="1" w:styleId="SE4ALLblockquote">
    <w:name w:val="SE4ALL block quote"/>
    <w:basedOn w:val="SE4ALLboxtext"/>
    <w:rsid w:val="00B94D10"/>
    <w:pPr>
      <w:ind w:left="720" w:right="720"/>
    </w:pPr>
  </w:style>
  <w:style w:type="paragraph" w:customStyle="1" w:styleId="SE4ALLboxbullets">
    <w:name w:val="SE4ALL box bullets"/>
    <w:basedOn w:val="ListParagraph"/>
    <w:rsid w:val="00B94D10"/>
    <w:pPr>
      <w:numPr>
        <w:ilvl w:val="1"/>
        <w:numId w:val="2"/>
      </w:numPr>
      <w:spacing w:after="120" w:line="240" w:lineRule="auto"/>
    </w:pPr>
    <w:rPr>
      <w:rFonts w:cstheme="minorHAnsi"/>
      <w:sz w:val="20"/>
    </w:rPr>
  </w:style>
  <w:style w:type="paragraph" w:customStyle="1" w:styleId="SE4ALLboxcaption">
    <w:name w:val="SE4ALL box caption"/>
    <w:basedOn w:val="Normal"/>
    <w:rsid w:val="00B94D10"/>
    <w:pPr>
      <w:spacing w:before="120" w:after="120" w:line="240" w:lineRule="auto"/>
      <w:jc w:val="both"/>
    </w:pPr>
    <w:rPr>
      <w:b/>
    </w:rPr>
  </w:style>
  <w:style w:type="paragraph" w:customStyle="1" w:styleId="SE4ALLchapterhead">
    <w:name w:val="SE4ALL chapter head"/>
    <w:basedOn w:val="Normal"/>
    <w:rsid w:val="00B94D10"/>
    <w:pPr>
      <w:spacing w:after="120"/>
      <w:jc w:val="center"/>
    </w:pPr>
    <w:rPr>
      <w:sz w:val="48"/>
      <w:szCs w:val="26"/>
    </w:rPr>
  </w:style>
  <w:style w:type="paragraph" w:customStyle="1" w:styleId="SE4ALLfigurecaption">
    <w:name w:val="SE4ALL figure caption"/>
    <w:basedOn w:val="Normal"/>
    <w:rsid w:val="00B94D10"/>
    <w:pPr>
      <w:keepNext/>
      <w:keepLines/>
      <w:spacing w:before="120" w:after="120" w:line="240" w:lineRule="auto"/>
      <w:jc w:val="center"/>
    </w:pPr>
    <w:rPr>
      <w:b/>
    </w:rPr>
  </w:style>
  <w:style w:type="paragraph" w:customStyle="1" w:styleId="SE4ALLtablewhitecolumnheads">
    <w:name w:val="SE4ALL table white column heads"/>
    <w:basedOn w:val="Normal"/>
    <w:rsid w:val="00B94D10"/>
    <w:pPr>
      <w:spacing w:before="40" w:after="40" w:line="240" w:lineRule="auto"/>
      <w:jc w:val="center"/>
    </w:pPr>
    <w:rPr>
      <w:b/>
      <w:color w:val="F2F2F2" w:themeColor="background1" w:themeShade="F2"/>
      <w:sz w:val="20"/>
      <w:szCs w:val="20"/>
    </w:rPr>
  </w:style>
  <w:style w:type="paragraph" w:customStyle="1" w:styleId="SE4ALLfiguresubcaption">
    <w:name w:val="SE4ALL figure subcaption"/>
    <w:basedOn w:val="SE4ALLtablewhitecolumnheads"/>
    <w:rsid w:val="00B94D10"/>
    <w:pPr>
      <w:spacing w:after="120"/>
    </w:pPr>
    <w:rPr>
      <w:rFonts w:eastAsia="Arial Unicode MS" w:cstheme="minorHAnsi"/>
      <w:bCs/>
      <w:color w:val="0070C0"/>
      <w:u w:color="000000"/>
    </w:rPr>
  </w:style>
  <w:style w:type="paragraph" w:customStyle="1" w:styleId="SE4ALLfootnotetext">
    <w:name w:val="SE4ALL footnote text"/>
    <w:basedOn w:val="FootnoteText"/>
    <w:rsid w:val="00B94D10"/>
    <w:rPr>
      <w:sz w:val="18"/>
      <w:szCs w:val="18"/>
    </w:rPr>
  </w:style>
  <w:style w:type="paragraph" w:styleId="FootnoteText">
    <w:name w:val="footnote text"/>
    <w:basedOn w:val="Normal"/>
    <w:link w:val="FootnoteTextChar"/>
    <w:uiPriority w:val="99"/>
    <w:semiHidden/>
    <w:unhideWhenUsed/>
    <w:rsid w:val="00B94D10"/>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B94D10"/>
    <w:rPr>
      <w:sz w:val="24"/>
      <w:szCs w:val="24"/>
    </w:rPr>
  </w:style>
  <w:style w:type="paragraph" w:customStyle="1" w:styleId="SE4ALLreferences">
    <w:name w:val="SE4ALL references"/>
    <w:basedOn w:val="SE4ALLbodycopy"/>
    <w:rsid w:val="00B94D10"/>
    <w:pPr>
      <w:spacing w:line="240" w:lineRule="auto"/>
      <w:ind w:left="720" w:hanging="720"/>
    </w:pPr>
    <w:rPr>
      <w:szCs w:val="18"/>
    </w:rPr>
  </w:style>
  <w:style w:type="paragraph" w:customStyle="1" w:styleId="SE4ALLsource">
    <w:name w:val="SE4ALL source"/>
    <w:basedOn w:val="Normal"/>
    <w:rsid w:val="00B143C0"/>
    <w:pPr>
      <w:spacing w:after="120"/>
      <w:contextualSpacing/>
    </w:pPr>
    <w:rPr>
      <w:rFonts w:ascii="Arial Narrow" w:hAnsi="Arial Narrow" w:cstheme="minorHAnsi"/>
      <w:sz w:val="18"/>
      <w:szCs w:val="20"/>
    </w:rPr>
  </w:style>
  <w:style w:type="paragraph" w:customStyle="1" w:styleId="SE4ALLtablecaption">
    <w:name w:val="SE4ALL table caption"/>
    <w:basedOn w:val="SE4ALLfigurecaption"/>
    <w:rsid w:val="00B94D10"/>
    <w:pPr>
      <w:jc w:val="left"/>
    </w:pPr>
  </w:style>
  <w:style w:type="paragraph" w:customStyle="1" w:styleId="SE4ALLtablestubs">
    <w:name w:val="SE4ALL table stubs"/>
    <w:basedOn w:val="Normal"/>
    <w:rsid w:val="00B94D10"/>
    <w:pPr>
      <w:spacing w:before="40" w:after="40" w:line="240" w:lineRule="auto"/>
    </w:pPr>
    <w:rPr>
      <w:color w:val="F2F2F2" w:themeColor="background1" w:themeShade="F2"/>
      <w:sz w:val="20"/>
      <w:szCs w:val="18"/>
    </w:rPr>
  </w:style>
  <w:style w:type="paragraph" w:customStyle="1" w:styleId="SE4ALLtabletext">
    <w:name w:val="SE4ALL table text"/>
    <w:basedOn w:val="Normal"/>
    <w:rsid w:val="00961B15"/>
    <w:pPr>
      <w:spacing w:before="40" w:after="40" w:line="240" w:lineRule="auto"/>
    </w:pPr>
    <w:rPr>
      <w:rFonts w:ascii="Arial Narrow" w:hAnsi="Arial Narrow"/>
      <w:sz w:val="18"/>
    </w:rPr>
  </w:style>
  <w:style w:type="paragraph" w:styleId="Header">
    <w:name w:val="header"/>
    <w:basedOn w:val="Normal"/>
    <w:link w:val="HeaderChar"/>
    <w:uiPriority w:val="99"/>
    <w:unhideWhenUsed/>
    <w:rsid w:val="00095C62"/>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5C62"/>
  </w:style>
  <w:style w:type="paragraph" w:styleId="Footer">
    <w:name w:val="footer"/>
    <w:basedOn w:val="Normal"/>
    <w:link w:val="FooterChar"/>
    <w:uiPriority w:val="99"/>
    <w:unhideWhenUsed/>
    <w:rsid w:val="00095C6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5C62"/>
  </w:style>
  <w:style w:type="character" w:styleId="PageNumber">
    <w:name w:val="page number"/>
    <w:basedOn w:val="DefaultParagraphFont"/>
    <w:uiPriority w:val="99"/>
    <w:semiHidden/>
    <w:unhideWhenUsed/>
    <w:rsid w:val="00095C62"/>
  </w:style>
  <w:style w:type="character" w:styleId="FootnoteReference">
    <w:name w:val="footnote reference"/>
    <w:basedOn w:val="DefaultParagraphFont"/>
    <w:uiPriority w:val="99"/>
    <w:semiHidden/>
    <w:unhideWhenUsed/>
    <w:rsid w:val="00304C17"/>
    <w:rPr>
      <w:vertAlign w:val="superscript"/>
    </w:rPr>
  </w:style>
  <w:style w:type="character" w:styleId="CommentReference">
    <w:name w:val="annotation reference"/>
    <w:basedOn w:val="DefaultParagraphFont"/>
    <w:uiPriority w:val="99"/>
    <w:semiHidden/>
    <w:unhideWhenUsed/>
    <w:rsid w:val="001829BD"/>
    <w:rPr>
      <w:sz w:val="16"/>
      <w:szCs w:val="16"/>
    </w:rPr>
  </w:style>
  <w:style w:type="paragraph" w:styleId="CommentText">
    <w:name w:val="annotation text"/>
    <w:basedOn w:val="Normal"/>
    <w:link w:val="CommentTextChar"/>
    <w:uiPriority w:val="99"/>
    <w:semiHidden/>
    <w:unhideWhenUsed/>
    <w:rsid w:val="001829BD"/>
    <w:pPr>
      <w:spacing w:line="240" w:lineRule="auto"/>
    </w:pPr>
    <w:rPr>
      <w:sz w:val="20"/>
      <w:szCs w:val="20"/>
    </w:rPr>
  </w:style>
  <w:style w:type="character" w:customStyle="1" w:styleId="CommentTextChar">
    <w:name w:val="Comment Text Char"/>
    <w:basedOn w:val="DefaultParagraphFont"/>
    <w:link w:val="CommentText"/>
    <w:uiPriority w:val="99"/>
    <w:semiHidden/>
    <w:rsid w:val="001829BD"/>
    <w:rPr>
      <w:sz w:val="20"/>
      <w:szCs w:val="20"/>
    </w:rPr>
  </w:style>
  <w:style w:type="paragraph" w:styleId="CommentSubject">
    <w:name w:val="annotation subject"/>
    <w:basedOn w:val="CommentText"/>
    <w:next w:val="CommentText"/>
    <w:link w:val="CommentSubjectChar"/>
    <w:uiPriority w:val="99"/>
    <w:semiHidden/>
    <w:unhideWhenUsed/>
    <w:rsid w:val="001829BD"/>
    <w:rPr>
      <w:b/>
      <w:bCs/>
    </w:rPr>
  </w:style>
  <w:style w:type="character" w:customStyle="1" w:styleId="CommentSubjectChar">
    <w:name w:val="Comment Subject Char"/>
    <w:basedOn w:val="CommentTextChar"/>
    <w:link w:val="CommentSubject"/>
    <w:uiPriority w:val="99"/>
    <w:semiHidden/>
    <w:rsid w:val="001829B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4D10"/>
  </w:style>
  <w:style w:type="paragraph" w:styleId="Heading1">
    <w:name w:val="heading 1"/>
    <w:basedOn w:val="ListParagraph"/>
    <w:next w:val="Normal"/>
    <w:link w:val="Heading1Char"/>
    <w:uiPriority w:val="9"/>
    <w:rsid w:val="00B94D10"/>
    <w:pPr>
      <w:spacing w:before="480" w:after="240" w:line="240" w:lineRule="auto"/>
      <w:ind w:left="0"/>
      <w:outlineLvl w:val="0"/>
    </w:pPr>
    <w:rPr>
      <w:b/>
      <w:sz w:val="28"/>
    </w:rPr>
  </w:style>
  <w:style w:type="paragraph" w:styleId="Heading2">
    <w:name w:val="heading 2"/>
    <w:basedOn w:val="Normal"/>
    <w:next w:val="Normal"/>
    <w:link w:val="Heading2Char"/>
    <w:uiPriority w:val="9"/>
    <w:unhideWhenUsed/>
    <w:rsid w:val="00B94D10"/>
    <w:pPr>
      <w:keepNext/>
      <w:keepLines/>
      <w:autoSpaceDE w:val="0"/>
      <w:autoSpaceDN w:val="0"/>
      <w:adjustRightInd w:val="0"/>
      <w:spacing w:before="360" w:after="240" w:line="240" w:lineRule="auto"/>
      <w:outlineLvl w:val="1"/>
    </w:pPr>
    <w:rPr>
      <w:rFonts w:cstheme="minorHAnsi"/>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CC6"/>
    <w:pPr>
      <w:ind w:left="720"/>
      <w:contextualSpacing/>
    </w:pPr>
  </w:style>
  <w:style w:type="table" w:styleId="TableGrid">
    <w:name w:val="Table Grid"/>
    <w:basedOn w:val="TableNormal"/>
    <w:uiPriority w:val="59"/>
    <w:rsid w:val="00077C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7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CC6"/>
    <w:rPr>
      <w:rFonts w:ascii="Tahoma" w:hAnsi="Tahoma" w:cs="Tahoma"/>
      <w:sz w:val="16"/>
      <w:szCs w:val="16"/>
    </w:rPr>
  </w:style>
  <w:style w:type="paragraph" w:customStyle="1" w:styleId="SE4ALLbodycopy">
    <w:name w:val="SE4ALL body copy"/>
    <w:basedOn w:val="Normal"/>
    <w:rsid w:val="00B94D10"/>
    <w:pPr>
      <w:spacing w:after="120"/>
    </w:pPr>
  </w:style>
  <w:style w:type="character" w:customStyle="1" w:styleId="Heading1Char">
    <w:name w:val="Heading 1 Char"/>
    <w:basedOn w:val="DefaultParagraphFont"/>
    <w:link w:val="Heading1"/>
    <w:uiPriority w:val="9"/>
    <w:rsid w:val="00B94D10"/>
    <w:rPr>
      <w:b/>
      <w:sz w:val="28"/>
    </w:rPr>
  </w:style>
  <w:style w:type="character" w:customStyle="1" w:styleId="Heading2Char">
    <w:name w:val="Heading 2 Char"/>
    <w:basedOn w:val="DefaultParagraphFont"/>
    <w:link w:val="Heading2"/>
    <w:uiPriority w:val="9"/>
    <w:rsid w:val="00B94D10"/>
    <w:rPr>
      <w:rFonts w:cstheme="minorHAnsi"/>
      <w:b/>
      <w:i/>
      <w:color w:val="000000"/>
      <w:sz w:val="24"/>
    </w:rPr>
  </w:style>
  <w:style w:type="paragraph" w:customStyle="1" w:styleId="SE4ALLboxtext">
    <w:name w:val="SE4ALL box text"/>
    <w:basedOn w:val="Normal"/>
    <w:rsid w:val="00B94D10"/>
    <w:pPr>
      <w:autoSpaceDE w:val="0"/>
      <w:autoSpaceDN w:val="0"/>
      <w:adjustRightInd w:val="0"/>
      <w:spacing w:after="120" w:line="240" w:lineRule="auto"/>
      <w:outlineLvl w:val="0"/>
    </w:pPr>
    <w:rPr>
      <w:sz w:val="20"/>
    </w:rPr>
  </w:style>
  <w:style w:type="paragraph" w:customStyle="1" w:styleId="SE4ALLblockquote">
    <w:name w:val="SE4ALL block quote"/>
    <w:basedOn w:val="SE4ALLboxtext"/>
    <w:rsid w:val="00B94D10"/>
    <w:pPr>
      <w:ind w:left="720" w:right="720"/>
    </w:pPr>
  </w:style>
  <w:style w:type="paragraph" w:customStyle="1" w:styleId="SE4ALLboxbullets">
    <w:name w:val="SE4ALL box bullets"/>
    <w:basedOn w:val="ListParagraph"/>
    <w:rsid w:val="00B94D10"/>
    <w:pPr>
      <w:numPr>
        <w:ilvl w:val="1"/>
        <w:numId w:val="2"/>
      </w:numPr>
      <w:spacing w:after="120" w:line="240" w:lineRule="auto"/>
    </w:pPr>
    <w:rPr>
      <w:rFonts w:cstheme="minorHAnsi"/>
      <w:sz w:val="20"/>
    </w:rPr>
  </w:style>
  <w:style w:type="paragraph" w:customStyle="1" w:styleId="SE4ALLboxcaption">
    <w:name w:val="SE4ALL box caption"/>
    <w:basedOn w:val="Normal"/>
    <w:rsid w:val="00B94D10"/>
    <w:pPr>
      <w:spacing w:before="120" w:after="120" w:line="240" w:lineRule="auto"/>
      <w:jc w:val="both"/>
    </w:pPr>
    <w:rPr>
      <w:b/>
    </w:rPr>
  </w:style>
  <w:style w:type="paragraph" w:customStyle="1" w:styleId="SE4ALLchapterhead">
    <w:name w:val="SE4ALL chapter head"/>
    <w:basedOn w:val="Normal"/>
    <w:rsid w:val="00B94D10"/>
    <w:pPr>
      <w:spacing w:after="120"/>
      <w:jc w:val="center"/>
    </w:pPr>
    <w:rPr>
      <w:sz w:val="48"/>
      <w:szCs w:val="26"/>
    </w:rPr>
  </w:style>
  <w:style w:type="paragraph" w:customStyle="1" w:styleId="SE4ALLfigurecaption">
    <w:name w:val="SE4ALL figure caption"/>
    <w:basedOn w:val="Normal"/>
    <w:rsid w:val="00B94D10"/>
    <w:pPr>
      <w:keepNext/>
      <w:keepLines/>
      <w:spacing w:before="120" w:after="120" w:line="240" w:lineRule="auto"/>
      <w:jc w:val="center"/>
    </w:pPr>
    <w:rPr>
      <w:b/>
    </w:rPr>
  </w:style>
  <w:style w:type="paragraph" w:customStyle="1" w:styleId="SE4ALLtablewhitecolumnheads">
    <w:name w:val="SE4ALL table white column heads"/>
    <w:basedOn w:val="Normal"/>
    <w:rsid w:val="00B94D10"/>
    <w:pPr>
      <w:spacing w:before="40" w:after="40" w:line="240" w:lineRule="auto"/>
      <w:jc w:val="center"/>
    </w:pPr>
    <w:rPr>
      <w:b/>
      <w:color w:val="F2F2F2" w:themeColor="background1" w:themeShade="F2"/>
      <w:sz w:val="20"/>
      <w:szCs w:val="20"/>
    </w:rPr>
  </w:style>
  <w:style w:type="paragraph" w:customStyle="1" w:styleId="SE4ALLfiguresubcaption">
    <w:name w:val="SE4ALL figure subcaption"/>
    <w:basedOn w:val="SE4ALLtablewhitecolumnheads"/>
    <w:rsid w:val="00B94D10"/>
    <w:pPr>
      <w:spacing w:after="120"/>
    </w:pPr>
    <w:rPr>
      <w:rFonts w:eastAsia="Arial Unicode MS" w:cstheme="minorHAnsi"/>
      <w:bCs/>
      <w:color w:val="0070C0"/>
      <w:u w:color="000000"/>
    </w:rPr>
  </w:style>
  <w:style w:type="paragraph" w:customStyle="1" w:styleId="SE4ALLfootnotetext">
    <w:name w:val="SE4ALL footnote text"/>
    <w:basedOn w:val="FootnoteText"/>
    <w:rsid w:val="00B94D10"/>
    <w:rPr>
      <w:sz w:val="18"/>
      <w:szCs w:val="18"/>
    </w:rPr>
  </w:style>
  <w:style w:type="paragraph" w:styleId="FootnoteText">
    <w:name w:val="footnote text"/>
    <w:basedOn w:val="Normal"/>
    <w:link w:val="FootnoteTextChar"/>
    <w:uiPriority w:val="99"/>
    <w:semiHidden/>
    <w:unhideWhenUsed/>
    <w:rsid w:val="00B94D10"/>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B94D10"/>
    <w:rPr>
      <w:sz w:val="24"/>
      <w:szCs w:val="24"/>
    </w:rPr>
  </w:style>
  <w:style w:type="paragraph" w:customStyle="1" w:styleId="SE4ALLreferences">
    <w:name w:val="SE4ALL references"/>
    <w:basedOn w:val="SE4ALLbodycopy"/>
    <w:rsid w:val="00B94D10"/>
    <w:pPr>
      <w:spacing w:line="240" w:lineRule="auto"/>
      <w:ind w:left="720" w:hanging="720"/>
    </w:pPr>
    <w:rPr>
      <w:szCs w:val="18"/>
    </w:rPr>
  </w:style>
  <w:style w:type="paragraph" w:customStyle="1" w:styleId="SE4ALLsource">
    <w:name w:val="SE4ALL source"/>
    <w:basedOn w:val="Normal"/>
    <w:rsid w:val="00B143C0"/>
    <w:pPr>
      <w:spacing w:after="120"/>
      <w:contextualSpacing/>
    </w:pPr>
    <w:rPr>
      <w:rFonts w:ascii="Arial Narrow" w:hAnsi="Arial Narrow" w:cstheme="minorHAnsi"/>
      <w:sz w:val="18"/>
      <w:szCs w:val="20"/>
    </w:rPr>
  </w:style>
  <w:style w:type="paragraph" w:customStyle="1" w:styleId="SE4ALLtablecaption">
    <w:name w:val="SE4ALL table caption"/>
    <w:basedOn w:val="SE4ALLfigurecaption"/>
    <w:rsid w:val="00B94D10"/>
    <w:pPr>
      <w:jc w:val="left"/>
    </w:pPr>
  </w:style>
  <w:style w:type="paragraph" w:customStyle="1" w:styleId="SE4ALLtablestubs">
    <w:name w:val="SE4ALL table stubs"/>
    <w:basedOn w:val="Normal"/>
    <w:rsid w:val="00B94D10"/>
    <w:pPr>
      <w:spacing w:before="40" w:after="40" w:line="240" w:lineRule="auto"/>
    </w:pPr>
    <w:rPr>
      <w:color w:val="F2F2F2" w:themeColor="background1" w:themeShade="F2"/>
      <w:sz w:val="20"/>
      <w:szCs w:val="18"/>
    </w:rPr>
  </w:style>
  <w:style w:type="paragraph" w:customStyle="1" w:styleId="SE4ALLtabletext">
    <w:name w:val="SE4ALL table text"/>
    <w:basedOn w:val="Normal"/>
    <w:rsid w:val="00961B15"/>
    <w:pPr>
      <w:spacing w:before="40" w:after="40" w:line="240" w:lineRule="auto"/>
    </w:pPr>
    <w:rPr>
      <w:rFonts w:ascii="Arial Narrow" w:hAnsi="Arial Narrow"/>
      <w:sz w:val="18"/>
    </w:rPr>
  </w:style>
  <w:style w:type="paragraph" w:styleId="Header">
    <w:name w:val="header"/>
    <w:basedOn w:val="Normal"/>
    <w:link w:val="HeaderChar"/>
    <w:uiPriority w:val="99"/>
    <w:unhideWhenUsed/>
    <w:rsid w:val="00095C62"/>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5C62"/>
  </w:style>
  <w:style w:type="paragraph" w:styleId="Footer">
    <w:name w:val="footer"/>
    <w:basedOn w:val="Normal"/>
    <w:link w:val="FooterChar"/>
    <w:uiPriority w:val="99"/>
    <w:unhideWhenUsed/>
    <w:rsid w:val="00095C6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5C62"/>
  </w:style>
  <w:style w:type="character" w:styleId="PageNumber">
    <w:name w:val="page number"/>
    <w:basedOn w:val="DefaultParagraphFont"/>
    <w:uiPriority w:val="99"/>
    <w:semiHidden/>
    <w:unhideWhenUsed/>
    <w:rsid w:val="00095C62"/>
  </w:style>
  <w:style w:type="character" w:styleId="FootnoteReference">
    <w:name w:val="footnote reference"/>
    <w:basedOn w:val="DefaultParagraphFont"/>
    <w:uiPriority w:val="99"/>
    <w:semiHidden/>
    <w:unhideWhenUsed/>
    <w:rsid w:val="00304C17"/>
    <w:rPr>
      <w:vertAlign w:val="superscript"/>
    </w:rPr>
  </w:style>
  <w:style w:type="character" w:styleId="CommentReference">
    <w:name w:val="annotation reference"/>
    <w:basedOn w:val="DefaultParagraphFont"/>
    <w:uiPriority w:val="99"/>
    <w:semiHidden/>
    <w:unhideWhenUsed/>
    <w:rsid w:val="001829BD"/>
    <w:rPr>
      <w:sz w:val="16"/>
      <w:szCs w:val="16"/>
    </w:rPr>
  </w:style>
  <w:style w:type="paragraph" w:styleId="CommentText">
    <w:name w:val="annotation text"/>
    <w:basedOn w:val="Normal"/>
    <w:link w:val="CommentTextChar"/>
    <w:uiPriority w:val="99"/>
    <w:semiHidden/>
    <w:unhideWhenUsed/>
    <w:rsid w:val="001829BD"/>
    <w:pPr>
      <w:spacing w:line="240" w:lineRule="auto"/>
    </w:pPr>
    <w:rPr>
      <w:sz w:val="20"/>
      <w:szCs w:val="20"/>
    </w:rPr>
  </w:style>
  <w:style w:type="character" w:customStyle="1" w:styleId="CommentTextChar">
    <w:name w:val="Comment Text Char"/>
    <w:basedOn w:val="DefaultParagraphFont"/>
    <w:link w:val="CommentText"/>
    <w:uiPriority w:val="99"/>
    <w:semiHidden/>
    <w:rsid w:val="001829BD"/>
    <w:rPr>
      <w:sz w:val="20"/>
      <w:szCs w:val="20"/>
    </w:rPr>
  </w:style>
  <w:style w:type="paragraph" w:styleId="CommentSubject">
    <w:name w:val="annotation subject"/>
    <w:basedOn w:val="CommentText"/>
    <w:next w:val="CommentText"/>
    <w:link w:val="CommentSubjectChar"/>
    <w:uiPriority w:val="99"/>
    <w:semiHidden/>
    <w:unhideWhenUsed/>
    <w:rsid w:val="001829BD"/>
    <w:rPr>
      <w:b/>
      <w:bCs/>
    </w:rPr>
  </w:style>
  <w:style w:type="character" w:customStyle="1" w:styleId="CommentSubjectChar">
    <w:name w:val="Comment Subject Char"/>
    <w:basedOn w:val="CommentTextChar"/>
    <w:link w:val="CommentSubject"/>
    <w:uiPriority w:val="99"/>
    <w:semiHidden/>
    <w:rsid w:val="001829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LDrive52A\HQ-Private4\wb380984\Home\ENERGY\SE4ALL\ANALYSIS\REPORT\FIGURES%20Executive%20Summary%20and%20Overview.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LDrive52A\HQ-Private4\wb400704\Home\RE%20chapter\Section%202_4%20Charts_Updated_v2TJ_1990-2010%20Perio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LDrive52A\HQ-Private4\wb400704\Home\RE%20chapter\Section%202_4%20Charts_Updated_v2TJ_1990-2010%20Perio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1644921327839202"/>
          <c:y val="6.0804534849810681E-2"/>
          <c:w val="0.51732745842002914"/>
          <c:h val="0.87839093030038085"/>
        </c:manualLayout>
      </c:layout>
      <c:barChart>
        <c:barDir val="bar"/>
        <c:grouping val="clustered"/>
        <c:varyColors val="0"/>
        <c:ser>
          <c:idx val="0"/>
          <c:order val="0"/>
          <c:spPr>
            <a:solidFill>
              <a:schemeClr val="accent4">
                <a:lumMod val="40000"/>
                <a:lumOff val="60000"/>
              </a:schemeClr>
            </a:solidFill>
          </c:spPr>
          <c:invertIfNegative val="0"/>
          <c:dLbls>
            <c:numFmt formatCode="#,##0" sourceLinked="0"/>
            <c:txPr>
              <a:bodyPr/>
              <a:lstStyle/>
              <a:p>
                <a:pPr>
                  <a:defRPr sz="900"/>
                </a:pPr>
                <a:endParaRPr lang="en-US"/>
              </a:p>
            </c:txPr>
            <c:showLegendKey val="0"/>
            <c:showVal val="1"/>
            <c:showCatName val="0"/>
            <c:showSerName val="0"/>
            <c:showPercent val="0"/>
            <c:showBubbleSize val="0"/>
            <c:showLeaderLines val="0"/>
          </c:dLbls>
          <c:cat>
            <c:strRef>
              <c:f>'[FIGURES Executive Summary and Overview.xlsx]Executive Summary'!$B$5:$B$24</c:f>
              <c:strCache>
                <c:ptCount val="20"/>
                <c:pt idx="0">
                  <c:v>India</c:v>
                </c:pt>
                <c:pt idx="1">
                  <c:v>Nigeria</c:v>
                </c:pt>
                <c:pt idx="2">
                  <c:v>Bangladesh</c:v>
                </c:pt>
                <c:pt idx="3">
                  <c:v>Ethiopia</c:v>
                </c:pt>
                <c:pt idx="4">
                  <c:v>Congo, DR</c:v>
                </c:pt>
                <c:pt idx="5">
                  <c:v>Tanzania</c:v>
                </c:pt>
                <c:pt idx="6">
                  <c:v>Kenya</c:v>
                </c:pt>
                <c:pt idx="7">
                  <c:v>Sudan</c:v>
                </c:pt>
                <c:pt idx="8">
                  <c:v>Uganda</c:v>
                </c:pt>
                <c:pt idx="9">
                  <c:v>Myanmar</c:v>
                </c:pt>
                <c:pt idx="10">
                  <c:v>Mozambique</c:v>
                </c:pt>
                <c:pt idx="11">
                  <c:v>Afghanistan</c:v>
                </c:pt>
                <c:pt idx="12">
                  <c:v>Korea, DR</c:v>
                </c:pt>
                <c:pt idx="13">
                  <c:v>Madagascar</c:v>
                </c:pt>
                <c:pt idx="14">
                  <c:v>Philippines</c:v>
                </c:pt>
                <c:pt idx="15">
                  <c:v>Pakistan</c:v>
                </c:pt>
                <c:pt idx="16">
                  <c:v>Burkina Faso</c:v>
                </c:pt>
                <c:pt idx="17">
                  <c:v>Niger</c:v>
                </c:pt>
                <c:pt idx="18">
                  <c:v>Indonesia</c:v>
                </c:pt>
                <c:pt idx="19">
                  <c:v>Malawi</c:v>
                </c:pt>
              </c:strCache>
            </c:strRef>
          </c:cat>
          <c:val>
            <c:numRef>
              <c:f>'[FIGURES Executive Summary and Overview.xlsx]Executive Summary'!$C$5:$C$24</c:f>
              <c:numCache>
                <c:formatCode>0.0</c:formatCode>
                <c:ptCount val="20"/>
                <c:pt idx="0">
                  <c:v>306.15358174999994</c:v>
                </c:pt>
                <c:pt idx="1">
                  <c:v>82.380054639999983</c:v>
                </c:pt>
                <c:pt idx="2">
                  <c:v>66.614074688000144</c:v>
                </c:pt>
                <c:pt idx="3">
                  <c:v>63.871146569999944</c:v>
                </c:pt>
                <c:pt idx="4">
                  <c:v>55.93899416</c:v>
                </c:pt>
                <c:pt idx="5">
                  <c:v>38.204724551999995</c:v>
                </c:pt>
                <c:pt idx="6">
                  <c:v>31.19476514000004</c:v>
                </c:pt>
                <c:pt idx="7">
                  <c:v>30.921878110000044</c:v>
                </c:pt>
                <c:pt idx="8">
                  <c:v>28.544679281999958</c:v>
                </c:pt>
                <c:pt idx="9">
                  <c:v>24.557062144000032</c:v>
                </c:pt>
                <c:pt idx="10">
                  <c:v>19.882150249999967</c:v>
                </c:pt>
                <c:pt idx="11">
                  <c:v>18.53292837</c:v>
                </c:pt>
                <c:pt idx="12">
                  <c:v>18.016209459999999</c:v>
                </c:pt>
                <c:pt idx="13">
                  <c:v>17.751742882999935</c:v>
                </c:pt>
                <c:pt idx="14">
                  <c:v>15.574553266000002</c:v>
                </c:pt>
                <c:pt idx="15">
                  <c:v>14.981108952900001</c:v>
                </c:pt>
                <c:pt idx="16">
                  <c:v>14.311312465999999</c:v>
                </c:pt>
                <c:pt idx="17">
                  <c:v>14.069341371</c:v>
                </c:pt>
                <c:pt idx="18">
                  <c:v>14.032449814500014</c:v>
                </c:pt>
                <c:pt idx="19">
                  <c:v>13.604467833000006</c:v>
                </c:pt>
              </c:numCache>
            </c:numRef>
          </c:val>
        </c:ser>
        <c:dLbls>
          <c:showLegendKey val="0"/>
          <c:showVal val="0"/>
          <c:showCatName val="0"/>
          <c:showSerName val="0"/>
          <c:showPercent val="0"/>
          <c:showBubbleSize val="0"/>
        </c:dLbls>
        <c:gapWidth val="78"/>
        <c:axId val="164885632"/>
        <c:axId val="164887168"/>
      </c:barChart>
      <c:catAx>
        <c:axId val="164885632"/>
        <c:scaling>
          <c:orientation val="maxMin"/>
        </c:scaling>
        <c:delete val="0"/>
        <c:axPos val="l"/>
        <c:majorTickMark val="out"/>
        <c:minorTickMark val="none"/>
        <c:tickLblPos val="nextTo"/>
        <c:txPr>
          <a:bodyPr/>
          <a:lstStyle/>
          <a:p>
            <a:pPr>
              <a:defRPr sz="900"/>
            </a:pPr>
            <a:endParaRPr lang="en-US"/>
          </a:p>
        </c:txPr>
        <c:crossAx val="164887168"/>
        <c:crosses val="autoZero"/>
        <c:auto val="1"/>
        <c:lblAlgn val="ctr"/>
        <c:lblOffset val="100"/>
        <c:tickLblSkip val="1"/>
        <c:noMultiLvlLbl val="0"/>
      </c:catAx>
      <c:valAx>
        <c:axId val="164887168"/>
        <c:scaling>
          <c:orientation val="minMax"/>
        </c:scaling>
        <c:delete val="1"/>
        <c:axPos val="t"/>
        <c:numFmt formatCode="0.0" sourceLinked="1"/>
        <c:majorTickMark val="out"/>
        <c:minorTickMark val="none"/>
        <c:tickLblPos val="none"/>
        <c:crossAx val="164885632"/>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7171691621449074"/>
          <c:y val="6.0804534849811076E-2"/>
          <c:w val="0.50351053268600499"/>
          <c:h val="0.87839093030038573"/>
        </c:manualLayout>
      </c:layout>
      <c:barChart>
        <c:barDir val="bar"/>
        <c:grouping val="clustered"/>
        <c:varyColors val="0"/>
        <c:ser>
          <c:idx val="0"/>
          <c:order val="0"/>
          <c:spPr>
            <a:solidFill>
              <a:srgbClr val="96B1D2"/>
            </a:solidFill>
          </c:spPr>
          <c:invertIfNegative val="0"/>
          <c:dLbls>
            <c:txPr>
              <a:bodyPr/>
              <a:lstStyle/>
              <a:p>
                <a:pPr>
                  <a:defRPr sz="900"/>
                </a:pPr>
                <a:endParaRPr lang="en-US"/>
              </a:p>
            </c:txPr>
            <c:showLegendKey val="0"/>
            <c:showVal val="1"/>
            <c:showCatName val="0"/>
            <c:showSerName val="0"/>
            <c:showPercent val="0"/>
            <c:showBubbleSize val="0"/>
            <c:showLeaderLines val="0"/>
          </c:dLbls>
          <c:cat>
            <c:strRef>
              <c:f>Sheet5!$U$80:$U$99</c:f>
              <c:strCache>
                <c:ptCount val="20"/>
                <c:pt idx="0">
                  <c:v>India</c:v>
                </c:pt>
                <c:pt idx="1">
                  <c:v>China</c:v>
                </c:pt>
                <c:pt idx="2">
                  <c:v>Bangladesh</c:v>
                </c:pt>
                <c:pt idx="3">
                  <c:v>Indonesia</c:v>
                </c:pt>
                <c:pt idx="4">
                  <c:v>Nigeria</c:v>
                </c:pt>
                <c:pt idx="5">
                  <c:v>Pakistan</c:v>
                </c:pt>
                <c:pt idx="6">
                  <c:v>Ethiopia</c:v>
                </c:pt>
                <c:pt idx="7">
                  <c:v>Congo, DR</c:v>
                </c:pt>
                <c:pt idx="8">
                  <c:v>Vietnam</c:v>
                </c:pt>
                <c:pt idx="9">
                  <c:v>Philippines</c:v>
                </c:pt>
                <c:pt idx="10">
                  <c:v>Myanmar</c:v>
                </c:pt>
                <c:pt idx="11">
                  <c:v>Tanzania</c:v>
                </c:pt>
                <c:pt idx="12">
                  <c:v>Sudan</c:v>
                </c:pt>
                <c:pt idx="13">
                  <c:v>Kenya</c:v>
                </c:pt>
                <c:pt idx="14">
                  <c:v>Uganda</c:v>
                </c:pt>
                <c:pt idx="15">
                  <c:v>Afghanistan</c:v>
                </c:pt>
                <c:pt idx="16">
                  <c:v>Nepal</c:v>
                </c:pt>
                <c:pt idx="17">
                  <c:v>Mozambique</c:v>
                </c:pt>
                <c:pt idx="18">
                  <c:v>Korea, DR</c:v>
                </c:pt>
                <c:pt idx="19">
                  <c:v>Ghana</c:v>
                </c:pt>
              </c:strCache>
            </c:strRef>
          </c:cat>
          <c:val>
            <c:numRef>
              <c:f>Sheet5!$V$80:$V$99</c:f>
              <c:numCache>
                <c:formatCode>_(* #,##0_);_(* \(#,##0\);_(* "-"??_);_(@_)</c:formatCode>
                <c:ptCount val="20"/>
                <c:pt idx="0">
                  <c:v>705</c:v>
                </c:pt>
                <c:pt idx="1">
                  <c:v>612.79999999999995</c:v>
                </c:pt>
                <c:pt idx="2">
                  <c:v>134.9</c:v>
                </c:pt>
                <c:pt idx="3">
                  <c:v>131.19999999999999</c:v>
                </c:pt>
                <c:pt idx="4">
                  <c:v>117.8</c:v>
                </c:pt>
                <c:pt idx="5">
                  <c:v>110.8</c:v>
                </c:pt>
                <c:pt idx="6">
                  <c:v>81.099999999999994</c:v>
                </c:pt>
                <c:pt idx="7">
                  <c:v>61.3</c:v>
                </c:pt>
                <c:pt idx="8">
                  <c:v>49.4</c:v>
                </c:pt>
                <c:pt idx="9">
                  <c:v>46.2</c:v>
                </c:pt>
                <c:pt idx="10">
                  <c:v>44</c:v>
                </c:pt>
                <c:pt idx="11">
                  <c:v>42.3</c:v>
                </c:pt>
                <c:pt idx="12">
                  <c:v>34.6</c:v>
                </c:pt>
                <c:pt idx="13">
                  <c:v>32.6</c:v>
                </c:pt>
                <c:pt idx="14">
                  <c:v>32.200000000000003</c:v>
                </c:pt>
                <c:pt idx="15">
                  <c:v>26.7</c:v>
                </c:pt>
                <c:pt idx="16">
                  <c:v>24.6</c:v>
                </c:pt>
                <c:pt idx="17">
                  <c:v>22.2</c:v>
                </c:pt>
                <c:pt idx="18">
                  <c:v>22.2</c:v>
                </c:pt>
                <c:pt idx="19">
                  <c:v>20.399999999999999</c:v>
                </c:pt>
              </c:numCache>
            </c:numRef>
          </c:val>
        </c:ser>
        <c:dLbls>
          <c:showLegendKey val="0"/>
          <c:showVal val="0"/>
          <c:showCatName val="0"/>
          <c:showSerName val="0"/>
          <c:showPercent val="0"/>
          <c:showBubbleSize val="0"/>
        </c:dLbls>
        <c:gapWidth val="78"/>
        <c:axId val="164924032"/>
        <c:axId val="164929920"/>
      </c:barChart>
      <c:catAx>
        <c:axId val="164924032"/>
        <c:scaling>
          <c:orientation val="maxMin"/>
        </c:scaling>
        <c:delete val="0"/>
        <c:axPos val="l"/>
        <c:majorTickMark val="out"/>
        <c:minorTickMark val="none"/>
        <c:tickLblPos val="nextTo"/>
        <c:txPr>
          <a:bodyPr/>
          <a:lstStyle/>
          <a:p>
            <a:pPr>
              <a:defRPr sz="900"/>
            </a:pPr>
            <a:endParaRPr lang="en-US"/>
          </a:p>
        </c:txPr>
        <c:crossAx val="164929920"/>
        <c:crosses val="autoZero"/>
        <c:auto val="1"/>
        <c:lblAlgn val="ctr"/>
        <c:lblOffset val="100"/>
        <c:tickLblSkip val="1"/>
        <c:noMultiLvlLbl val="0"/>
      </c:catAx>
      <c:valAx>
        <c:axId val="164929920"/>
        <c:scaling>
          <c:orientation val="minMax"/>
        </c:scaling>
        <c:delete val="1"/>
        <c:axPos val="t"/>
        <c:numFmt formatCode="_(* #,##0_);_(* \(#,##0\);_(* &quot;-&quot;??_);_(@_)" sourceLinked="1"/>
        <c:majorTickMark val="out"/>
        <c:minorTickMark val="none"/>
        <c:tickLblPos val="none"/>
        <c:crossAx val="164924032"/>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7499848352360393"/>
          <c:y val="6.0804534849811076E-2"/>
          <c:w val="0.60022901282418584"/>
          <c:h val="0.87839093030038573"/>
        </c:manualLayout>
      </c:layout>
      <c:barChart>
        <c:barDir val="bar"/>
        <c:grouping val="clustered"/>
        <c:varyColors val="0"/>
        <c:ser>
          <c:idx val="0"/>
          <c:order val="0"/>
          <c:spPr>
            <a:solidFill>
              <a:schemeClr val="accent4">
                <a:lumMod val="40000"/>
                <a:lumOff val="60000"/>
              </a:schemeClr>
            </a:solidFill>
          </c:spPr>
          <c:invertIfNegative val="0"/>
          <c:dLbls>
            <c:txPr>
              <a:bodyPr/>
              <a:lstStyle/>
              <a:p>
                <a:pPr>
                  <a:defRPr sz="900"/>
                </a:pPr>
                <a:endParaRPr lang="en-US"/>
              </a:p>
            </c:txPr>
            <c:showLegendKey val="0"/>
            <c:showVal val="1"/>
            <c:showCatName val="0"/>
            <c:showSerName val="0"/>
            <c:showPercent val="0"/>
            <c:showBubbleSize val="0"/>
            <c:showLeaderLines val="0"/>
          </c:dLbls>
          <c:cat>
            <c:strRef>
              <c:f>Sheet5!$U$102:$U$121</c:f>
              <c:strCache>
                <c:ptCount val="20"/>
                <c:pt idx="0">
                  <c:v>China</c:v>
                </c:pt>
                <c:pt idx="1">
                  <c:v>USA</c:v>
                </c:pt>
                <c:pt idx="2">
                  <c:v>Russia</c:v>
                </c:pt>
                <c:pt idx="3">
                  <c:v>India</c:v>
                </c:pt>
                <c:pt idx="4">
                  <c:v>Japan</c:v>
                </c:pt>
                <c:pt idx="5">
                  <c:v>Germany</c:v>
                </c:pt>
                <c:pt idx="6">
                  <c:v>Brazil</c:v>
                </c:pt>
                <c:pt idx="7">
                  <c:v>France</c:v>
                </c:pt>
                <c:pt idx="8">
                  <c:v>Canada</c:v>
                </c:pt>
                <c:pt idx="9">
                  <c:v>S. Korea</c:v>
                </c:pt>
                <c:pt idx="10">
                  <c:v>Iran</c:v>
                </c:pt>
                <c:pt idx="11">
                  <c:v>Indonesia</c:v>
                </c:pt>
                <c:pt idx="12">
                  <c:v>UK</c:v>
                </c:pt>
                <c:pt idx="13">
                  <c:v>Mexico</c:v>
                </c:pt>
                <c:pt idx="14">
                  <c:v>Italy</c:v>
                </c:pt>
                <c:pt idx="15">
                  <c:v>S. Arabia</c:v>
                </c:pt>
                <c:pt idx="16">
                  <c:v>S. Africa</c:v>
                </c:pt>
                <c:pt idx="17">
                  <c:v>Ukraine</c:v>
                </c:pt>
                <c:pt idx="18">
                  <c:v>Spain</c:v>
                </c:pt>
                <c:pt idx="19">
                  <c:v>Australia</c:v>
                </c:pt>
              </c:strCache>
            </c:strRef>
          </c:cat>
          <c:val>
            <c:numRef>
              <c:f>Sheet5!$V$102:$V$121</c:f>
              <c:numCache>
                <c:formatCode>_(* #,##0_);_(* \(#,##0\);_(* "-"??_);_(@_)</c:formatCode>
                <c:ptCount val="20"/>
                <c:pt idx="0">
                  <c:v>107.4</c:v>
                </c:pt>
                <c:pt idx="1">
                  <c:v>92.8</c:v>
                </c:pt>
                <c:pt idx="2">
                  <c:v>29.4</c:v>
                </c:pt>
                <c:pt idx="3">
                  <c:v>29</c:v>
                </c:pt>
                <c:pt idx="4">
                  <c:v>20.8</c:v>
                </c:pt>
                <c:pt idx="5">
                  <c:v>13.7</c:v>
                </c:pt>
                <c:pt idx="6">
                  <c:v>11.1</c:v>
                </c:pt>
                <c:pt idx="7">
                  <c:v>11</c:v>
                </c:pt>
                <c:pt idx="8">
                  <c:v>10.5</c:v>
                </c:pt>
                <c:pt idx="9">
                  <c:v>10.5</c:v>
                </c:pt>
                <c:pt idx="10">
                  <c:v>8.7000000000000011</c:v>
                </c:pt>
                <c:pt idx="11">
                  <c:v>8.7000000000000011</c:v>
                </c:pt>
                <c:pt idx="12">
                  <c:v>8.5</c:v>
                </c:pt>
                <c:pt idx="13">
                  <c:v>7.5</c:v>
                </c:pt>
                <c:pt idx="14">
                  <c:v>7.1</c:v>
                </c:pt>
                <c:pt idx="15">
                  <c:v>7.1</c:v>
                </c:pt>
                <c:pt idx="16">
                  <c:v>5.7</c:v>
                </c:pt>
                <c:pt idx="17">
                  <c:v>5.5</c:v>
                </c:pt>
                <c:pt idx="18">
                  <c:v>5.3</c:v>
                </c:pt>
                <c:pt idx="19">
                  <c:v>5.2</c:v>
                </c:pt>
              </c:numCache>
            </c:numRef>
          </c:val>
        </c:ser>
        <c:dLbls>
          <c:showLegendKey val="0"/>
          <c:showVal val="0"/>
          <c:showCatName val="0"/>
          <c:showSerName val="0"/>
          <c:showPercent val="0"/>
          <c:showBubbleSize val="0"/>
        </c:dLbls>
        <c:gapWidth val="78"/>
        <c:axId val="164940032"/>
        <c:axId val="164950016"/>
      </c:barChart>
      <c:catAx>
        <c:axId val="164940032"/>
        <c:scaling>
          <c:orientation val="maxMin"/>
        </c:scaling>
        <c:delete val="0"/>
        <c:axPos val="l"/>
        <c:majorTickMark val="out"/>
        <c:minorTickMark val="none"/>
        <c:tickLblPos val="nextTo"/>
        <c:txPr>
          <a:bodyPr/>
          <a:lstStyle/>
          <a:p>
            <a:pPr>
              <a:defRPr sz="900"/>
            </a:pPr>
            <a:endParaRPr lang="en-US"/>
          </a:p>
        </c:txPr>
        <c:crossAx val="164950016"/>
        <c:crosses val="autoZero"/>
        <c:auto val="1"/>
        <c:lblAlgn val="ctr"/>
        <c:lblOffset val="100"/>
        <c:tickLblSkip val="1"/>
        <c:noMultiLvlLbl val="0"/>
      </c:catAx>
      <c:valAx>
        <c:axId val="164950016"/>
        <c:scaling>
          <c:orientation val="minMax"/>
        </c:scaling>
        <c:delete val="1"/>
        <c:axPos val="t"/>
        <c:numFmt formatCode="_(* #,##0_);_(* \(#,##0\);_(* &quot;-&quot;??_);_(@_)" sourceLinked="1"/>
        <c:majorTickMark val="out"/>
        <c:minorTickMark val="none"/>
        <c:tickLblPos val="none"/>
        <c:crossAx val="164940032"/>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8D06C-C3D0-4C03-8B73-44E931B37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2789</Words>
  <Characters>15899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wb159424</dc:creator>
  <cp:lastModifiedBy>Jurgita Campbell</cp:lastModifiedBy>
  <cp:revision>3</cp:revision>
  <cp:lastPrinted>2013-05-22T18:48:00Z</cp:lastPrinted>
  <dcterms:created xsi:type="dcterms:W3CDTF">2013-05-22T15:11:00Z</dcterms:created>
  <dcterms:modified xsi:type="dcterms:W3CDTF">2013-05-22T18:49:00Z</dcterms:modified>
</cp:coreProperties>
</file>