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19" w:rsidRPr="00B731FE" w:rsidRDefault="00406419">
      <w:pPr>
        <w:rPr>
          <w:rFonts w:ascii="Times New Roman" w:hAnsi="Times New Roman" w:cs="Times New Roman"/>
          <w:color w:val="auto"/>
          <w:lang w:val="fr-FR"/>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7"/>
        <w:gridCol w:w="94"/>
        <w:gridCol w:w="2247"/>
        <w:gridCol w:w="468"/>
        <w:gridCol w:w="1779"/>
        <w:gridCol w:w="843"/>
        <w:gridCol w:w="1217"/>
        <w:gridCol w:w="281"/>
        <w:gridCol w:w="936"/>
        <w:gridCol w:w="374"/>
        <w:gridCol w:w="936"/>
      </w:tblGrid>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2"/>
                <w:szCs w:val="2"/>
                <w:lang w:val="fr-FR"/>
              </w:rPr>
            </w:pPr>
            <w:r w:rsidRPr="00B731FE">
              <w:rPr>
                <w:rFonts w:ascii="Times" w:hAnsi="Times" w:cs="Times"/>
                <w:color w:val="FFFFFF"/>
                <w:sz w:val="2"/>
                <w:szCs w:val="2"/>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D55D72">
            <w:pPr>
              <w:jc w:val="center"/>
              <w:rPr>
                <w:rFonts w:ascii="Times New Roman" w:hAnsi="Times New Roman" w:cs="Times New Roman"/>
                <w:lang w:val="fr-FR"/>
              </w:rPr>
            </w:pPr>
            <w:r w:rsidRPr="00B731FE">
              <w:rPr>
                <w:rFonts w:ascii="Times New Roman" w:hAnsi="Times New Roman" w:cs="Times New Roman"/>
                <w:b/>
                <w:bCs/>
                <w:lang w:val="fr-FR"/>
              </w:rPr>
              <w:t xml:space="preserve">DOCUMENT D’INFORMATION PROJET </w:t>
            </w:r>
            <w:r w:rsidR="00406419" w:rsidRPr="00B731FE">
              <w:rPr>
                <w:rFonts w:ascii="Times New Roman" w:hAnsi="Times New Roman" w:cs="Times New Roman"/>
                <w:b/>
                <w:bCs/>
                <w:lang w:val="fr-FR"/>
              </w:rPr>
              <w:t>(PID)</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D55D72">
            <w:pPr>
              <w:jc w:val="center"/>
              <w:rPr>
                <w:rFonts w:ascii="Times New Roman" w:hAnsi="Times New Roman" w:cs="Times New Roman"/>
                <w:lang w:val="fr-FR"/>
              </w:rPr>
            </w:pPr>
            <w:r w:rsidRPr="00B731FE">
              <w:rPr>
                <w:rFonts w:ascii="Times New Roman" w:hAnsi="Times New Roman" w:cs="Times New Roman"/>
                <w:b/>
                <w:bCs/>
                <w:lang w:val="fr-FR"/>
              </w:rPr>
              <w:t>ÉTAPE DE CONCEPTION</w:t>
            </w:r>
          </w:p>
        </w:tc>
      </w:tr>
      <w:tr w:rsidR="00406419" w:rsidRPr="00B731FE">
        <w:tc>
          <w:tcPr>
            <w:tcW w:w="8370"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D55D72">
            <w:pPr>
              <w:jc w:val="right"/>
              <w:rPr>
                <w:rFonts w:ascii="Times New Roman" w:hAnsi="Times New Roman" w:cs="Times New Roman"/>
                <w:lang w:val="fr-FR"/>
              </w:rPr>
            </w:pPr>
            <w:r w:rsidRPr="00B731FE">
              <w:rPr>
                <w:rFonts w:ascii="Times New Roman" w:hAnsi="Times New Roman" w:cs="Times New Roman"/>
                <w:lang w:val="fr-FR"/>
              </w:rPr>
              <w:t>Rapport No</w:t>
            </w:r>
            <w:r w:rsidR="00526410" w:rsidRPr="00B731FE">
              <w:rPr>
                <w:rFonts w:ascii="Times New Roman" w:hAnsi="Times New Roman" w:cs="Times New Roman"/>
                <w:lang w:val="fr-FR"/>
              </w:rPr>
              <w:t> </w:t>
            </w:r>
            <w:r w:rsidR="00406419" w:rsidRPr="00B731FE">
              <w:rPr>
                <w:rFonts w:ascii="Times New Roman" w:hAnsi="Times New Roman" w:cs="Times New Roman"/>
                <w:lang w:val="fr-FR"/>
              </w:rPr>
              <w:t>: PIDC17009</w:t>
            </w:r>
          </w:p>
        </w:tc>
        <w:tc>
          <w:tcPr>
            <w:tcW w:w="930"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2"/>
                <w:szCs w:val="2"/>
                <w:lang w:val="fr-FR"/>
              </w:rPr>
            </w:pPr>
            <w:r w:rsidRPr="00B731FE">
              <w:rPr>
                <w:rFonts w:ascii="Times" w:hAnsi="Times" w:cs="Times"/>
                <w:color w:val="FFFFFF"/>
                <w:sz w:val="2"/>
                <w:szCs w:val="2"/>
                <w:lang w:val="fr-FR"/>
              </w:rPr>
              <w:t>.</w:t>
            </w:r>
          </w:p>
        </w:tc>
      </w:tr>
      <w:tr w:rsidR="00406419" w:rsidRPr="008F6877">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Dénomination du projet</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8D4FFF" w:rsidP="008D4FFF">
            <w:pPr>
              <w:rPr>
                <w:rFonts w:ascii="Times New Roman" w:hAnsi="Times New Roman" w:cs="Times New Roman"/>
                <w:lang w:val="fr-FR"/>
              </w:rPr>
            </w:pPr>
            <w:r>
              <w:rPr>
                <w:rFonts w:ascii="Times New Roman" w:hAnsi="Times New Roman" w:cs="Times New Roman"/>
                <w:sz w:val="22"/>
                <w:szCs w:val="22"/>
                <w:lang w:val="fr-FR"/>
              </w:rPr>
              <w:t>Pilotage de</w:t>
            </w:r>
            <w:r w:rsidR="003D0021" w:rsidRPr="00B731FE">
              <w:rPr>
                <w:rFonts w:ascii="Times New Roman" w:hAnsi="Times New Roman" w:cs="Times New Roman"/>
                <w:sz w:val="22"/>
                <w:szCs w:val="22"/>
                <w:lang w:val="fr-FR"/>
              </w:rPr>
              <w:t xml:space="preserve"> Financement </w:t>
            </w:r>
            <w:r>
              <w:rPr>
                <w:rFonts w:ascii="Times New Roman" w:hAnsi="Times New Roman" w:cs="Times New Roman"/>
                <w:sz w:val="22"/>
                <w:szCs w:val="22"/>
                <w:lang w:val="fr-FR"/>
              </w:rPr>
              <w:t>des</w:t>
            </w:r>
            <w:r w:rsidRPr="00B731FE">
              <w:rPr>
                <w:rFonts w:ascii="Times New Roman" w:hAnsi="Times New Roman" w:cs="Times New Roman"/>
                <w:sz w:val="22"/>
                <w:szCs w:val="22"/>
                <w:lang w:val="fr-FR"/>
              </w:rPr>
              <w:t xml:space="preserve"> </w:t>
            </w:r>
            <w:r w:rsidR="003D0021" w:rsidRPr="00B731FE">
              <w:rPr>
                <w:rFonts w:ascii="Times New Roman" w:hAnsi="Times New Roman" w:cs="Times New Roman"/>
                <w:sz w:val="22"/>
                <w:szCs w:val="22"/>
                <w:lang w:val="fr-FR"/>
              </w:rPr>
              <w:t xml:space="preserve">capitaux propres </w:t>
            </w:r>
            <w:r>
              <w:rPr>
                <w:rFonts w:ascii="Times New Roman" w:hAnsi="Times New Roman" w:cs="Times New Roman"/>
                <w:sz w:val="22"/>
                <w:szCs w:val="22"/>
                <w:lang w:val="fr-FR"/>
              </w:rPr>
              <w:t>pour les</w:t>
            </w:r>
            <w:r w:rsidRPr="00B731FE">
              <w:rPr>
                <w:rFonts w:ascii="Times New Roman" w:hAnsi="Times New Roman" w:cs="Times New Roman"/>
                <w:sz w:val="22"/>
                <w:szCs w:val="22"/>
                <w:lang w:val="fr-FR"/>
              </w:rPr>
              <w:t xml:space="preserve"> </w:t>
            </w:r>
            <w:r w:rsidR="003D0021" w:rsidRPr="00B731FE">
              <w:rPr>
                <w:rFonts w:ascii="Times New Roman" w:hAnsi="Times New Roman" w:cs="Times New Roman"/>
                <w:sz w:val="22"/>
                <w:szCs w:val="22"/>
                <w:lang w:val="fr-FR"/>
              </w:rPr>
              <w:t xml:space="preserve">PME au Maroc </w:t>
            </w:r>
            <w:r w:rsidR="00406419" w:rsidRPr="00B731FE">
              <w:rPr>
                <w:rFonts w:ascii="Times New Roman" w:hAnsi="Times New Roman" w:cs="Times New Roman"/>
                <w:sz w:val="22"/>
                <w:szCs w:val="22"/>
                <w:lang w:val="fr-FR"/>
              </w:rPr>
              <w:t>(P150928)</w:t>
            </w:r>
          </w:p>
        </w:tc>
      </w:tr>
      <w:tr w:rsidR="00406419" w:rsidRPr="008F6877">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Région</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3D0021">
            <w:pPr>
              <w:rPr>
                <w:rFonts w:ascii="Times New Roman" w:hAnsi="Times New Roman" w:cs="Times New Roman"/>
                <w:lang w:val="fr-FR"/>
              </w:rPr>
            </w:pPr>
            <w:r w:rsidRPr="00B731FE">
              <w:rPr>
                <w:rFonts w:ascii="Times New Roman" w:hAnsi="Times New Roman" w:cs="Times New Roman"/>
                <w:sz w:val="22"/>
                <w:szCs w:val="22"/>
                <w:lang w:val="fr-FR"/>
              </w:rPr>
              <w:t>Moyen-Orient et Afrique du Nord</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Pays</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3D0021">
            <w:pPr>
              <w:rPr>
                <w:rFonts w:ascii="Times New Roman" w:hAnsi="Times New Roman" w:cs="Times New Roman"/>
                <w:lang w:val="fr-FR"/>
              </w:rPr>
            </w:pPr>
            <w:r w:rsidRPr="00B731FE">
              <w:rPr>
                <w:rFonts w:ascii="Times New Roman" w:hAnsi="Times New Roman" w:cs="Times New Roman"/>
                <w:sz w:val="22"/>
                <w:szCs w:val="22"/>
                <w:lang w:val="fr-FR"/>
              </w:rPr>
              <w:t>Maroc</w:t>
            </w:r>
          </w:p>
        </w:tc>
      </w:tr>
      <w:tr w:rsidR="00406419" w:rsidRPr="008F6877">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 xml:space="preserve">Secteur </w:t>
            </w:r>
            <w:r w:rsidR="00406419" w:rsidRPr="00B731FE">
              <w:rPr>
                <w:rFonts w:ascii="Times New Roman" w:hAnsi="Times New Roman" w:cs="Times New Roman"/>
                <w:b/>
                <w:bCs/>
                <w:sz w:val="22"/>
                <w:szCs w:val="22"/>
                <w:lang w:val="fr-FR"/>
              </w:rPr>
              <w:t>(s)</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3D0021" w:rsidP="003D0021">
            <w:pPr>
              <w:rPr>
                <w:rFonts w:ascii="Times New Roman" w:hAnsi="Times New Roman" w:cs="Times New Roman"/>
                <w:lang w:val="fr-FR"/>
              </w:rPr>
            </w:pPr>
            <w:r w:rsidRPr="00B731FE">
              <w:rPr>
                <w:rFonts w:ascii="Times New Roman" w:hAnsi="Times New Roman" w:cs="Times New Roman"/>
                <w:sz w:val="22"/>
                <w:szCs w:val="22"/>
                <w:lang w:val="fr-FR"/>
              </w:rPr>
              <w:t xml:space="preserve">Financement des PME </w:t>
            </w:r>
            <w:r w:rsidR="00406419" w:rsidRPr="00B731FE">
              <w:rPr>
                <w:rFonts w:ascii="Times New Roman" w:hAnsi="Times New Roman" w:cs="Times New Roman"/>
                <w:sz w:val="22"/>
                <w:szCs w:val="22"/>
                <w:lang w:val="fr-FR"/>
              </w:rPr>
              <w:t>(50</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 xml:space="preserve"> autres intermédiaires financiers hors du système bancaire </w:t>
            </w:r>
            <w:r w:rsidR="00406419" w:rsidRPr="00B731FE">
              <w:rPr>
                <w:rFonts w:ascii="Times New Roman" w:hAnsi="Times New Roman" w:cs="Times New Roman"/>
                <w:sz w:val="22"/>
                <w:szCs w:val="22"/>
                <w:lang w:val="fr-FR"/>
              </w:rPr>
              <w:t>(50</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r>
      <w:tr w:rsidR="00406419" w:rsidRPr="008F6877">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 xml:space="preserve">Thème </w:t>
            </w:r>
            <w:r w:rsidR="00406419" w:rsidRPr="00B731FE">
              <w:rPr>
                <w:rFonts w:ascii="Times New Roman" w:hAnsi="Times New Roman" w:cs="Times New Roman"/>
                <w:b/>
                <w:bCs/>
                <w:sz w:val="22"/>
                <w:szCs w:val="22"/>
                <w:lang w:val="fr-FR"/>
              </w:rPr>
              <w:t>(s)</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3D0021" w:rsidP="00C03ECE">
            <w:pPr>
              <w:rPr>
                <w:rFonts w:ascii="Times New Roman" w:hAnsi="Times New Roman" w:cs="Times New Roman"/>
                <w:lang w:val="fr-FR"/>
              </w:rPr>
            </w:pPr>
            <w:r w:rsidRPr="00B731FE">
              <w:rPr>
                <w:rFonts w:ascii="Times New Roman" w:hAnsi="Times New Roman" w:cs="Times New Roman"/>
                <w:sz w:val="22"/>
                <w:szCs w:val="22"/>
                <w:lang w:val="fr-FR"/>
              </w:rPr>
              <w:t>Soutien au</w:t>
            </w:r>
            <w:r w:rsidR="00C03ECE" w:rsidRPr="00B731FE">
              <w:rPr>
                <w:rFonts w:ascii="Times New Roman" w:hAnsi="Times New Roman" w:cs="Times New Roman"/>
                <w:sz w:val="22"/>
                <w:szCs w:val="22"/>
                <w:lang w:val="fr-FR"/>
              </w:rPr>
              <w:t>x</w:t>
            </w:r>
            <w:r w:rsidRPr="00B731FE">
              <w:rPr>
                <w:rFonts w:ascii="Times New Roman" w:hAnsi="Times New Roman" w:cs="Times New Roman"/>
                <w:sz w:val="22"/>
                <w:szCs w:val="22"/>
                <w:lang w:val="fr-FR"/>
              </w:rPr>
              <w:t xml:space="preserve"> micro</w:t>
            </w:r>
            <w:r w:rsidR="00C03ECE" w:rsidRPr="00B731FE">
              <w:rPr>
                <w:rFonts w:ascii="Times New Roman" w:hAnsi="Times New Roman" w:cs="Times New Roman"/>
                <w:sz w:val="22"/>
                <w:szCs w:val="22"/>
                <w:lang w:val="fr-FR"/>
              </w:rPr>
              <w:t>s</w:t>
            </w:r>
            <w:r w:rsidRPr="00B731FE">
              <w:rPr>
                <w:rFonts w:ascii="Times New Roman" w:hAnsi="Times New Roman" w:cs="Times New Roman"/>
                <w:sz w:val="22"/>
                <w:szCs w:val="22"/>
                <w:lang w:val="fr-FR"/>
              </w:rPr>
              <w:t>, petites et moyennes entreprises</w:t>
            </w:r>
            <w:r w:rsidR="00C03ECE" w:rsidRPr="00B731FE">
              <w:rPr>
                <w:rFonts w:ascii="Times New Roman" w:hAnsi="Times New Roman" w:cs="Times New Roman"/>
                <w:sz w:val="22"/>
                <w:szCs w:val="22"/>
                <w:lang w:val="fr-FR"/>
              </w:rPr>
              <w:t xml:space="preserve"> (60</w:t>
            </w:r>
            <w:r w:rsidR="00526410" w:rsidRPr="00B731FE">
              <w:rPr>
                <w:rFonts w:ascii="Times New Roman" w:hAnsi="Times New Roman" w:cs="Times New Roman"/>
                <w:sz w:val="22"/>
                <w:szCs w:val="22"/>
                <w:lang w:val="fr-FR"/>
              </w:rPr>
              <w:t> %</w:t>
            </w:r>
            <w:r w:rsidR="00C03ECE" w:rsidRPr="00B731FE">
              <w:rPr>
                <w:rFonts w:ascii="Times New Roman" w:hAnsi="Times New Roman" w:cs="Times New Roman"/>
                <w:sz w:val="22"/>
                <w:szCs w:val="22"/>
                <w:lang w:val="fr-FR"/>
              </w:rPr>
              <w:t>)</w:t>
            </w:r>
            <w:r w:rsidR="00526410" w:rsidRPr="00B731FE">
              <w:rPr>
                <w:rFonts w:ascii="Times New Roman" w:hAnsi="Times New Roman" w:cs="Times New Roman"/>
                <w:sz w:val="22"/>
                <w:szCs w:val="22"/>
                <w:lang w:val="fr-FR"/>
              </w:rPr>
              <w:t> ;</w:t>
            </w:r>
            <w:r w:rsidR="00C03ECE" w:rsidRPr="00B731FE">
              <w:rPr>
                <w:rFonts w:ascii="Times New Roman" w:hAnsi="Times New Roman" w:cs="Times New Roman"/>
                <w:sz w:val="22"/>
                <w:szCs w:val="22"/>
                <w:lang w:val="fr-FR"/>
              </w:rPr>
              <w:t xml:space="preserve"> autre développement du secteur privé</w:t>
            </w:r>
            <w:r w:rsidR="00406419" w:rsidRPr="00B731FE">
              <w:rPr>
                <w:rFonts w:ascii="Times New Roman" w:hAnsi="Times New Roman" w:cs="Times New Roman"/>
                <w:sz w:val="22"/>
                <w:szCs w:val="22"/>
                <w:lang w:val="fr-FR"/>
              </w:rPr>
              <w:t xml:space="preserve"> (40</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Identification projet</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P150928</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 xml:space="preserve">Emprunteur </w:t>
            </w:r>
            <w:r w:rsidR="00406419" w:rsidRPr="00B731FE">
              <w:rPr>
                <w:rFonts w:ascii="Times New Roman" w:hAnsi="Times New Roman" w:cs="Times New Roman"/>
                <w:b/>
                <w:bCs/>
                <w:sz w:val="22"/>
                <w:szCs w:val="22"/>
                <w:lang w:val="fr-FR"/>
              </w:rPr>
              <w:t>(s)</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C03ECE">
            <w:pPr>
              <w:rPr>
                <w:rFonts w:ascii="Times New Roman" w:hAnsi="Times New Roman" w:cs="Times New Roman"/>
                <w:lang w:val="fr-FR"/>
              </w:rPr>
            </w:pPr>
            <w:r w:rsidRPr="00B731FE">
              <w:rPr>
                <w:rFonts w:ascii="Times New Roman" w:hAnsi="Times New Roman" w:cs="Times New Roman"/>
                <w:sz w:val="22"/>
                <w:szCs w:val="22"/>
                <w:lang w:val="fr-FR"/>
              </w:rPr>
              <w:t>Gouvernement du Maroc</w:t>
            </w:r>
          </w:p>
        </w:tc>
      </w:tr>
      <w:tr w:rsidR="00406419" w:rsidRPr="008F6877">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Agence d’exécution</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C8215F">
            <w:pPr>
              <w:rPr>
                <w:rFonts w:ascii="Times New Roman" w:hAnsi="Times New Roman" w:cs="Times New Roman"/>
                <w:lang w:val="fr-FR"/>
              </w:rPr>
            </w:pPr>
            <w:r w:rsidRPr="00B731FE">
              <w:rPr>
                <w:rFonts w:ascii="Times New Roman" w:hAnsi="Times New Roman" w:cs="Times New Roman"/>
                <w:sz w:val="22"/>
                <w:szCs w:val="22"/>
                <w:lang w:val="fr-FR"/>
              </w:rPr>
              <w:t>La Caisse Centrale de G</w:t>
            </w:r>
            <w:r w:rsidR="00406419" w:rsidRPr="00B731FE">
              <w:rPr>
                <w:rFonts w:ascii="Times New Roman" w:hAnsi="Times New Roman" w:cs="Times New Roman"/>
                <w:sz w:val="22"/>
                <w:szCs w:val="22"/>
                <w:lang w:val="fr-FR"/>
              </w:rPr>
              <w:t>arantie</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Catégorie environnementale</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rsidP="00C03ECE">
            <w:pPr>
              <w:rPr>
                <w:rFonts w:ascii="Times New Roman" w:hAnsi="Times New Roman" w:cs="Times New Roman"/>
                <w:lang w:val="fr-FR"/>
              </w:rPr>
            </w:pPr>
            <w:r w:rsidRPr="00B731FE">
              <w:rPr>
                <w:rFonts w:ascii="Times New Roman" w:hAnsi="Times New Roman" w:cs="Times New Roman"/>
                <w:sz w:val="22"/>
                <w:szCs w:val="22"/>
                <w:lang w:val="fr-FR"/>
              </w:rPr>
              <w:t>C</w:t>
            </w:r>
            <w:r w:rsidR="00526410" w:rsidRPr="00B731FE">
              <w:rPr>
                <w:rFonts w:ascii="Times New Roman" w:hAnsi="Times New Roman" w:cs="Times New Roman"/>
                <w:sz w:val="22"/>
                <w:szCs w:val="22"/>
                <w:lang w:val="fr-FR"/>
              </w:rPr>
              <w:t xml:space="preserve"> -</w:t>
            </w:r>
            <w:r w:rsidR="00C03ECE" w:rsidRPr="00B731FE">
              <w:rPr>
                <w:rFonts w:ascii="Times New Roman" w:hAnsi="Times New Roman" w:cs="Times New Roman"/>
                <w:sz w:val="22"/>
                <w:szCs w:val="22"/>
                <w:lang w:val="fr-FR"/>
              </w:rPr>
              <w:t>non requis</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rsidP="00D55D72">
            <w:pPr>
              <w:rPr>
                <w:rFonts w:ascii="Times New Roman" w:hAnsi="Times New Roman" w:cs="Times New Roman"/>
                <w:lang w:val="fr-FR"/>
              </w:rPr>
            </w:pPr>
            <w:r w:rsidRPr="00B731FE">
              <w:rPr>
                <w:rFonts w:ascii="Times New Roman" w:hAnsi="Times New Roman" w:cs="Times New Roman"/>
                <w:b/>
                <w:bCs/>
                <w:sz w:val="22"/>
                <w:szCs w:val="22"/>
                <w:lang w:val="fr-FR"/>
              </w:rPr>
              <w:t xml:space="preserve">Date de préparation/actualisation du </w:t>
            </w:r>
            <w:r w:rsidR="00406419" w:rsidRPr="00B731FE">
              <w:rPr>
                <w:rFonts w:ascii="Times New Roman" w:hAnsi="Times New Roman" w:cs="Times New Roman"/>
                <w:b/>
                <w:bCs/>
                <w:sz w:val="22"/>
                <w:szCs w:val="22"/>
                <w:lang w:val="fr-FR"/>
              </w:rPr>
              <w:t>PID</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C03ECE">
            <w:pPr>
              <w:rPr>
                <w:rFonts w:ascii="Times New Roman" w:hAnsi="Times New Roman" w:cs="Times New Roman"/>
                <w:lang w:val="fr-FR"/>
              </w:rPr>
            </w:pPr>
            <w:r w:rsidRPr="00B731FE">
              <w:rPr>
                <w:rFonts w:ascii="Times New Roman" w:hAnsi="Times New Roman" w:cs="Times New Roman"/>
                <w:sz w:val="22"/>
                <w:szCs w:val="22"/>
                <w:lang w:val="fr-FR"/>
              </w:rPr>
              <w:t>04</w:t>
            </w:r>
            <w:r w:rsidR="00526410"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m</w:t>
            </w:r>
            <w:r w:rsidR="00406419" w:rsidRPr="00B731FE">
              <w:rPr>
                <w:rFonts w:ascii="Times New Roman" w:hAnsi="Times New Roman" w:cs="Times New Roman"/>
                <w:sz w:val="22"/>
                <w:szCs w:val="22"/>
                <w:lang w:val="fr-FR"/>
              </w:rPr>
              <w:t>ar</w:t>
            </w:r>
            <w:r w:rsidRPr="00B731FE">
              <w:rPr>
                <w:rFonts w:ascii="Times New Roman" w:hAnsi="Times New Roman" w:cs="Times New Roman"/>
                <w:sz w:val="22"/>
                <w:szCs w:val="22"/>
                <w:lang w:val="fr-FR"/>
              </w:rPr>
              <w:t>s</w:t>
            </w:r>
            <w:r w:rsidR="00406419" w:rsidRPr="00B731FE">
              <w:rPr>
                <w:rFonts w:ascii="Times New Roman" w:hAnsi="Times New Roman" w:cs="Times New Roman"/>
                <w:sz w:val="22"/>
                <w:szCs w:val="22"/>
                <w:lang w:val="fr-FR"/>
              </w:rPr>
              <w:t>-2016</w:t>
            </w:r>
          </w:p>
        </w:tc>
      </w:tr>
      <w:tr w:rsidR="00406419" w:rsidRPr="00B731FE">
        <w:tc>
          <w:tcPr>
            <w:tcW w:w="297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D55D72">
            <w:pPr>
              <w:rPr>
                <w:rFonts w:ascii="Times New Roman" w:hAnsi="Times New Roman" w:cs="Times New Roman"/>
                <w:lang w:val="fr-FR"/>
              </w:rPr>
            </w:pPr>
            <w:r w:rsidRPr="00B731FE">
              <w:rPr>
                <w:rFonts w:ascii="Times New Roman" w:hAnsi="Times New Roman" w:cs="Times New Roman"/>
                <w:b/>
                <w:bCs/>
                <w:sz w:val="22"/>
                <w:szCs w:val="22"/>
                <w:lang w:val="fr-FR"/>
              </w:rPr>
              <w:t>Date prévue d’approbation par le Conseil d’administration</w:t>
            </w:r>
          </w:p>
        </w:tc>
        <w:tc>
          <w:tcPr>
            <w:tcW w:w="632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C03ECE" w:rsidP="004A49EE">
            <w:pPr>
              <w:rPr>
                <w:rFonts w:ascii="Times New Roman" w:hAnsi="Times New Roman" w:cs="Times New Roman"/>
                <w:lang w:val="fr-FR"/>
              </w:rPr>
            </w:pPr>
            <w:r w:rsidRPr="00B731FE">
              <w:rPr>
                <w:rFonts w:ascii="Times New Roman" w:hAnsi="Times New Roman" w:cs="Times New Roman"/>
                <w:sz w:val="22"/>
                <w:szCs w:val="22"/>
                <w:lang w:val="fr-FR"/>
              </w:rPr>
              <w:t>26</w:t>
            </w:r>
            <w:r w:rsidR="00526410" w:rsidRPr="00B731FE">
              <w:rPr>
                <w:rFonts w:ascii="Times New Roman" w:hAnsi="Times New Roman" w:cs="Times New Roman"/>
                <w:sz w:val="22"/>
                <w:szCs w:val="22"/>
                <w:lang w:val="fr-FR"/>
              </w:rPr>
              <w:t xml:space="preserve"> –</w:t>
            </w:r>
            <w:r w:rsidR="004A49EE" w:rsidRPr="00B731FE">
              <w:rPr>
                <w:rFonts w:ascii="Times New Roman" w:hAnsi="Times New Roman" w:cs="Times New Roman"/>
                <w:sz w:val="22"/>
                <w:szCs w:val="22"/>
                <w:lang w:val="fr-FR"/>
              </w:rPr>
              <w:t>septembre</w:t>
            </w:r>
            <w:r w:rsidR="00406419" w:rsidRPr="00B731FE">
              <w:rPr>
                <w:rFonts w:ascii="Times New Roman" w:hAnsi="Times New Roman" w:cs="Times New Roman"/>
                <w:sz w:val="22"/>
                <w:szCs w:val="22"/>
                <w:lang w:val="fr-FR"/>
              </w:rPr>
              <w:t>-2016</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rsidP="00C03ECE">
            <w:pPr>
              <w:rPr>
                <w:rFonts w:ascii="Times New Roman" w:hAnsi="Times New Roman" w:cs="Times New Roman"/>
                <w:lang w:val="fr-FR"/>
              </w:rPr>
            </w:pPr>
            <w:r w:rsidRPr="00B731FE">
              <w:rPr>
                <w:rFonts w:ascii="Times New Roman" w:hAnsi="Times New Roman" w:cs="Times New Roman"/>
                <w:b/>
                <w:bCs/>
                <w:lang w:val="fr-FR"/>
              </w:rPr>
              <w:t xml:space="preserve">I. </w:t>
            </w:r>
            <w:r w:rsidR="00C03ECE" w:rsidRPr="00B731FE">
              <w:rPr>
                <w:rFonts w:ascii="Times New Roman" w:hAnsi="Times New Roman" w:cs="Times New Roman"/>
                <w:b/>
                <w:bCs/>
                <w:lang w:val="fr-FR"/>
              </w:rPr>
              <w:t>Introduction et contexte</w:t>
            </w:r>
          </w:p>
        </w:tc>
      </w:tr>
      <w:tr w:rsidR="00406419" w:rsidRPr="00B731FE">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C03ECE">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Contexte national</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C03ECE" w:rsidRPr="00B731FE" w:rsidRDefault="009D6882">
            <w:pPr>
              <w:rPr>
                <w:rFonts w:ascii="Times New Roman" w:hAnsi="Times New Roman" w:cs="Times New Roman"/>
                <w:lang w:val="fr-FR"/>
              </w:rPr>
            </w:pPr>
            <w:r>
              <w:rPr>
                <w:rFonts w:ascii="Times New Roman" w:hAnsi="Times New Roman" w:cs="Times New Roman"/>
                <w:sz w:val="22"/>
                <w:szCs w:val="22"/>
                <w:lang w:val="fr-FR"/>
              </w:rPr>
              <w:t>La situation</w:t>
            </w:r>
            <w:r w:rsidR="00C03ECE" w:rsidRPr="00B731FE">
              <w:rPr>
                <w:rFonts w:ascii="Times New Roman" w:hAnsi="Times New Roman" w:cs="Times New Roman"/>
                <w:sz w:val="22"/>
                <w:szCs w:val="22"/>
                <w:lang w:val="fr-FR"/>
              </w:rPr>
              <w:t xml:space="preserve"> politique </w:t>
            </w:r>
            <w:r w:rsidRPr="00B731FE">
              <w:rPr>
                <w:rFonts w:ascii="Times New Roman" w:hAnsi="Times New Roman" w:cs="Times New Roman"/>
                <w:sz w:val="22"/>
                <w:szCs w:val="22"/>
                <w:lang w:val="fr-FR"/>
              </w:rPr>
              <w:t>marocaine</w:t>
            </w:r>
            <w:r w:rsidR="00C03ECE" w:rsidRPr="00B731FE">
              <w:rPr>
                <w:rFonts w:ascii="Times New Roman" w:hAnsi="Times New Roman" w:cs="Times New Roman"/>
                <w:sz w:val="22"/>
                <w:szCs w:val="22"/>
                <w:lang w:val="fr-FR"/>
              </w:rPr>
              <w:t xml:space="preserve"> </w:t>
            </w:r>
            <w:r>
              <w:rPr>
                <w:rFonts w:ascii="Times New Roman" w:hAnsi="Times New Roman" w:cs="Times New Roman"/>
                <w:sz w:val="22"/>
                <w:szCs w:val="22"/>
                <w:lang w:val="fr-FR"/>
              </w:rPr>
              <w:t>a était</w:t>
            </w:r>
            <w:r w:rsidR="00C03ECE" w:rsidRPr="00B731FE">
              <w:rPr>
                <w:rFonts w:ascii="Times New Roman" w:hAnsi="Times New Roman" w:cs="Times New Roman"/>
                <w:sz w:val="22"/>
                <w:szCs w:val="22"/>
                <w:lang w:val="fr-FR"/>
              </w:rPr>
              <w:t xml:space="preserve"> relativement stable au cours des dernières décennies. Le printemps arabe </w:t>
            </w:r>
            <w:r>
              <w:rPr>
                <w:rFonts w:ascii="Times New Roman" w:hAnsi="Times New Roman" w:cs="Times New Roman"/>
                <w:sz w:val="22"/>
                <w:szCs w:val="22"/>
                <w:lang w:val="fr-FR"/>
              </w:rPr>
              <w:t>(</w:t>
            </w:r>
            <w:r w:rsidR="00C03ECE" w:rsidRPr="00B731FE">
              <w:rPr>
                <w:rFonts w:ascii="Times New Roman" w:hAnsi="Times New Roman" w:cs="Times New Roman"/>
                <w:sz w:val="22"/>
                <w:szCs w:val="22"/>
                <w:lang w:val="fr-FR"/>
              </w:rPr>
              <w:t>début</w:t>
            </w:r>
            <w:r w:rsidR="00526410" w:rsidRPr="00B731FE">
              <w:rPr>
                <w:rFonts w:ascii="Times New Roman" w:hAnsi="Times New Roman" w:cs="Times New Roman"/>
                <w:sz w:val="22"/>
                <w:szCs w:val="22"/>
                <w:lang w:val="fr-FR"/>
              </w:rPr>
              <w:t> </w:t>
            </w:r>
            <w:r w:rsidR="00C03ECE" w:rsidRPr="00B731FE">
              <w:rPr>
                <w:rFonts w:ascii="Times New Roman" w:hAnsi="Times New Roman" w:cs="Times New Roman"/>
                <w:sz w:val="22"/>
                <w:szCs w:val="22"/>
                <w:lang w:val="fr-FR"/>
              </w:rPr>
              <w:t>2011</w:t>
            </w:r>
            <w:r>
              <w:rPr>
                <w:rFonts w:ascii="Times New Roman" w:hAnsi="Times New Roman" w:cs="Times New Roman"/>
                <w:sz w:val="22"/>
                <w:szCs w:val="22"/>
                <w:lang w:val="fr-FR"/>
              </w:rPr>
              <w:t>)</w:t>
            </w:r>
            <w:r w:rsidR="00C03ECE" w:rsidRPr="00B731FE">
              <w:rPr>
                <w:rFonts w:ascii="Times New Roman" w:hAnsi="Times New Roman" w:cs="Times New Roman"/>
                <w:sz w:val="22"/>
                <w:szCs w:val="22"/>
                <w:lang w:val="fr-FR"/>
              </w:rPr>
              <w:t xml:space="preserve"> </w:t>
            </w:r>
            <w:r w:rsidR="00526410" w:rsidRPr="00B731FE">
              <w:rPr>
                <w:rFonts w:ascii="Times New Roman" w:hAnsi="Times New Roman" w:cs="Times New Roman"/>
                <w:sz w:val="22"/>
                <w:szCs w:val="22"/>
                <w:lang w:val="fr-FR"/>
              </w:rPr>
              <w:t>a</w:t>
            </w:r>
            <w:r w:rsidR="00C03ECE" w:rsidRPr="00B731FE">
              <w:rPr>
                <w:rFonts w:ascii="Times New Roman" w:hAnsi="Times New Roman" w:cs="Times New Roman"/>
                <w:sz w:val="22"/>
                <w:szCs w:val="22"/>
                <w:lang w:val="fr-FR"/>
              </w:rPr>
              <w:t xml:space="preserve"> stimul</w:t>
            </w:r>
            <w:r w:rsidR="00526410" w:rsidRPr="00B731FE">
              <w:rPr>
                <w:rFonts w:ascii="Times New Roman" w:hAnsi="Times New Roman" w:cs="Times New Roman"/>
                <w:sz w:val="22"/>
                <w:szCs w:val="22"/>
                <w:lang w:val="fr-FR"/>
              </w:rPr>
              <w:t>é</w:t>
            </w:r>
            <w:r w:rsidR="00C03ECE" w:rsidRPr="00B731FE">
              <w:rPr>
                <w:rFonts w:ascii="Times New Roman" w:hAnsi="Times New Roman" w:cs="Times New Roman"/>
                <w:sz w:val="22"/>
                <w:szCs w:val="22"/>
                <w:lang w:val="fr-FR"/>
              </w:rPr>
              <w:t xml:space="preserve"> une transformation politique</w:t>
            </w:r>
            <w:r>
              <w:rPr>
                <w:rFonts w:ascii="Times New Roman" w:hAnsi="Times New Roman" w:cs="Times New Roman"/>
                <w:sz w:val="22"/>
                <w:szCs w:val="22"/>
                <w:lang w:val="fr-FR"/>
              </w:rPr>
              <w:t xml:space="preserve"> et</w:t>
            </w:r>
            <w:r w:rsidR="00C03ECE" w:rsidRPr="00B731FE">
              <w:rPr>
                <w:rFonts w:ascii="Times New Roman" w:hAnsi="Times New Roman" w:cs="Times New Roman"/>
                <w:sz w:val="22"/>
                <w:szCs w:val="22"/>
                <w:lang w:val="fr-FR"/>
              </w:rPr>
              <w:t xml:space="preserve"> pacifique dans le pays. </w:t>
            </w:r>
            <w:r w:rsidR="00C8215F" w:rsidRPr="00B731FE">
              <w:rPr>
                <w:rFonts w:ascii="Times New Roman" w:hAnsi="Times New Roman" w:cs="Times New Roman"/>
                <w:sz w:val="22"/>
                <w:szCs w:val="22"/>
                <w:lang w:val="fr-FR"/>
              </w:rPr>
              <w:t xml:space="preserve">La réponse du Roi s’est traduite par le </w:t>
            </w:r>
            <w:r w:rsidR="00C03ECE" w:rsidRPr="00B731FE">
              <w:rPr>
                <w:rFonts w:ascii="Times New Roman" w:hAnsi="Times New Roman" w:cs="Times New Roman"/>
                <w:sz w:val="22"/>
                <w:szCs w:val="22"/>
                <w:lang w:val="fr-FR"/>
              </w:rPr>
              <w:t>lancement d’un programme complet de réformes, notamment</w:t>
            </w:r>
            <w:r w:rsidR="00564D3B" w:rsidRPr="00B731FE">
              <w:rPr>
                <w:rFonts w:ascii="Times New Roman" w:hAnsi="Times New Roman" w:cs="Times New Roman"/>
                <w:sz w:val="22"/>
                <w:szCs w:val="22"/>
                <w:lang w:val="fr-FR"/>
              </w:rPr>
              <w:t xml:space="preserve"> la rédaction d’une nouvelle Constitution</w:t>
            </w:r>
            <w:r w:rsidR="00C8215F" w:rsidRPr="00B731FE">
              <w:rPr>
                <w:rFonts w:ascii="Times New Roman" w:hAnsi="Times New Roman" w:cs="Times New Roman"/>
                <w:sz w:val="22"/>
                <w:szCs w:val="22"/>
                <w:lang w:val="fr-FR"/>
              </w:rPr>
              <w:t>,</w:t>
            </w:r>
            <w:r w:rsidR="00564D3B" w:rsidRPr="00B731FE">
              <w:rPr>
                <w:rFonts w:ascii="Times New Roman" w:hAnsi="Times New Roman" w:cs="Times New Roman"/>
                <w:sz w:val="22"/>
                <w:szCs w:val="22"/>
                <w:lang w:val="fr-FR"/>
              </w:rPr>
              <w:t xml:space="preserve"> adoptée par voie de référendum en juillet 2011. En octobre 2013, </w:t>
            </w:r>
            <w:r>
              <w:rPr>
                <w:rFonts w:ascii="Times New Roman" w:hAnsi="Times New Roman" w:cs="Times New Roman"/>
                <w:sz w:val="22"/>
                <w:szCs w:val="22"/>
                <w:lang w:val="fr-FR"/>
              </w:rPr>
              <w:t>une</w:t>
            </w:r>
            <w:r w:rsidR="00564D3B" w:rsidRPr="00B731FE">
              <w:rPr>
                <w:rFonts w:ascii="Times New Roman" w:hAnsi="Times New Roman" w:cs="Times New Roman"/>
                <w:sz w:val="22"/>
                <w:szCs w:val="22"/>
                <w:lang w:val="fr-FR"/>
              </w:rPr>
              <w:t xml:space="preserve"> nouvelle coalition </w:t>
            </w:r>
            <w:r>
              <w:rPr>
                <w:rFonts w:ascii="Times New Roman" w:hAnsi="Times New Roman" w:cs="Times New Roman"/>
                <w:sz w:val="22"/>
                <w:szCs w:val="22"/>
                <w:lang w:val="fr-FR"/>
              </w:rPr>
              <w:t xml:space="preserve">est venu </w:t>
            </w:r>
            <w:r w:rsidR="00564D3B" w:rsidRPr="00B731FE">
              <w:rPr>
                <w:rFonts w:ascii="Times New Roman" w:hAnsi="Times New Roman" w:cs="Times New Roman"/>
                <w:sz w:val="22"/>
                <w:szCs w:val="22"/>
                <w:lang w:val="fr-FR"/>
              </w:rPr>
              <w:t>au pouvoir</w:t>
            </w:r>
            <w:r w:rsidR="00697DA7" w:rsidRPr="00B731FE">
              <w:rPr>
                <w:rFonts w:ascii="Times New Roman" w:hAnsi="Times New Roman" w:cs="Times New Roman"/>
                <w:sz w:val="22"/>
                <w:szCs w:val="22"/>
                <w:lang w:val="fr-FR"/>
              </w:rPr>
              <w:t>,</w:t>
            </w:r>
            <w:r w:rsidR="00564D3B" w:rsidRPr="00B731FE">
              <w:rPr>
                <w:rFonts w:ascii="Times New Roman" w:hAnsi="Times New Roman" w:cs="Times New Roman"/>
                <w:sz w:val="22"/>
                <w:szCs w:val="22"/>
                <w:lang w:val="fr-FR"/>
              </w:rPr>
              <w:t xml:space="preserve"> dirigée par le parti Justice et Dév</w:t>
            </w:r>
            <w:r w:rsidR="00697DA7" w:rsidRPr="00B731FE">
              <w:rPr>
                <w:rFonts w:ascii="Times New Roman" w:hAnsi="Times New Roman" w:cs="Times New Roman"/>
                <w:sz w:val="22"/>
                <w:szCs w:val="22"/>
                <w:lang w:val="fr-FR"/>
              </w:rPr>
              <w:t>eloppement (PJD). La croissance</w:t>
            </w:r>
            <w:r>
              <w:rPr>
                <w:rFonts w:ascii="Times New Roman" w:hAnsi="Times New Roman" w:cs="Times New Roman"/>
                <w:sz w:val="22"/>
                <w:szCs w:val="22"/>
                <w:lang w:val="fr-FR"/>
              </w:rPr>
              <w:t xml:space="preserve"> économique</w:t>
            </w:r>
            <w:r w:rsidR="00697DA7" w:rsidRPr="00B731FE">
              <w:rPr>
                <w:rFonts w:ascii="Times New Roman" w:hAnsi="Times New Roman" w:cs="Times New Roman"/>
                <w:sz w:val="22"/>
                <w:szCs w:val="22"/>
                <w:lang w:val="fr-FR"/>
              </w:rPr>
              <w:t xml:space="preserve"> </w:t>
            </w:r>
            <w:r w:rsidR="00697DA7" w:rsidRPr="00B731FE">
              <w:rPr>
                <w:rFonts w:ascii="Arial Narrow" w:hAnsi="Arial Narrow" w:cs="Times New Roman"/>
                <w:sz w:val="22"/>
                <w:szCs w:val="22"/>
                <w:lang w:val="fr-FR"/>
              </w:rPr>
              <w:t>—</w:t>
            </w:r>
            <w:r w:rsidR="00564D3B" w:rsidRPr="00B731FE">
              <w:rPr>
                <w:rFonts w:ascii="Times New Roman" w:hAnsi="Times New Roman" w:cs="Times New Roman"/>
                <w:sz w:val="22"/>
                <w:szCs w:val="22"/>
                <w:lang w:val="fr-FR"/>
              </w:rPr>
              <w:t xml:space="preserve"> qui devrai</w:t>
            </w:r>
            <w:r w:rsidR="00697DA7" w:rsidRPr="00B731FE">
              <w:rPr>
                <w:rFonts w:ascii="Times New Roman" w:hAnsi="Times New Roman" w:cs="Times New Roman"/>
                <w:sz w:val="22"/>
                <w:szCs w:val="22"/>
                <w:lang w:val="fr-FR"/>
              </w:rPr>
              <w:t xml:space="preserve">t atteindre </w:t>
            </w:r>
            <w:r w:rsidR="008F6877">
              <w:rPr>
                <w:rFonts w:ascii="Times New Roman" w:hAnsi="Times New Roman" w:cs="Times New Roman"/>
                <w:sz w:val="22"/>
                <w:szCs w:val="22"/>
                <w:lang w:val="fr-FR"/>
              </w:rPr>
              <w:t>1,7</w:t>
            </w:r>
            <w:r w:rsidR="008F6877" w:rsidRPr="00B731FE">
              <w:rPr>
                <w:rFonts w:ascii="Times New Roman" w:hAnsi="Times New Roman" w:cs="Times New Roman"/>
                <w:sz w:val="22"/>
                <w:szCs w:val="22"/>
                <w:lang w:val="fr-FR"/>
              </w:rPr>
              <w:t xml:space="preserve"> </w:t>
            </w:r>
            <w:r w:rsidR="00697DA7" w:rsidRPr="00B731FE">
              <w:rPr>
                <w:rFonts w:ascii="Times New Roman" w:hAnsi="Times New Roman" w:cs="Times New Roman"/>
                <w:sz w:val="22"/>
                <w:szCs w:val="22"/>
                <w:lang w:val="fr-FR"/>
              </w:rPr>
              <w:t>pour cent en 2016</w:t>
            </w:r>
            <w:r w:rsidR="00AB4FAE">
              <w:rPr>
                <w:rFonts w:ascii="Times New Roman" w:hAnsi="Times New Roman" w:cs="Times New Roman"/>
                <w:sz w:val="22"/>
                <w:szCs w:val="22"/>
                <w:lang w:val="fr-FR"/>
              </w:rPr>
              <w:t xml:space="preserve"> (de 4,4 pourcent en 2015)</w:t>
            </w:r>
            <w:r w:rsidR="00697DA7" w:rsidRPr="00B731FE">
              <w:rPr>
                <w:rFonts w:ascii="Times New Roman" w:hAnsi="Times New Roman" w:cs="Times New Roman"/>
                <w:sz w:val="22"/>
                <w:szCs w:val="22"/>
                <w:lang w:val="fr-FR"/>
              </w:rPr>
              <w:t xml:space="preserve"> </w:t>
            </w:r>
            <w:r w:rsidR="00697DA7" w:rsidRPr="00B731FE">
              <w:rPr>
                <w:rFonts w:ascii="Arial Narrow" w:hAnsi="Arial Narrow" w:cs="Times New Roman"/>
                <w:sz w:val="22"/>
                <w:szCs w:val="22"/>
                <w:lang w:val="fr-FR"/>
              </w:rPr>
              <w:t>—</w:t>
            </w:r>
            <w:r w:rsidR="00564D3B" w:rsidRPr="00B731FE">
              <w:rPr>
                <w:rFonts w:ascii="Times New Roman" w:hAnsi="Times New Roman" w:cs="Times New Roman"/>
                <w:sz w:val="22"/>
                <w:szCs w:val="22"/>
                <w:lang w:val="fr-FR"/>
              </w:rPr>
              <w:t xml:space="preserve"> </w:t>
            </w:r>
            <w:r w:rsidR="00697DA7" w:rsidRPr="00B731FE">
              <w:rPr>
                <w:rFonts w:ascii="Times New Roman" w:hAnsi="Times New Roman" w:cs="Times New Roman"/>
                <w:sz w:val="22"/>
                <w:szCs w:val="22"/>
                <w:lang w:val="fr-FR"/>
              </w:rPr>
              <w:t>n</w:t>
            </w:r>
            <w:r w:rsidR="008F6877">
              <w:rPr>
                <w:rFonts w:ascii="Times New Roman" w:hAnsi="Times New Roman" w:cs="Times New Roman"/>
                <w:sz w:val="22"/>
                <w:szCs w:val="22"/>
                <w:lang w:val="fr-FR"/>
              </w:rPr>
              <w:t>’est</w:t>
            </w:r>
            <w:r w:rsidR="00697DA7" w:rsidRPr="00B731FE">
              <w:rPr>
                <w:rFonts w:ascii="Times New Roman" w:hAnsi="Times New Roman" w:cs="Times New Roman"/>
                <w:sz w:val="22"/>
                <w:szCs w:val="22"/>
                <w:lang w:val="fr-FR"/>
              </w:rPr>
              <w:t xml:space="preserve"> pas suffisante</w:t>
            </w:r>
            <w:r w:rsidR="00564D3B" w:rsidRPr="00B731FE">
              <w:rPr>
                <w:rFonts w:ascii="Times New Roman" w:hAnsi="Times New Roman" w:cs="Times New Roman"/>
                <w:sz w:val="22"/>
                <w:szCs w:val="22"/>
                <w:lang w:val="fr-FR"/>
              </w:rPr>
              <w:t xml:space="preserve"> </w:t>
            </w:r>
            <w:r w:rsidR="008F6877">
              <w:rPr>
                <w:rFonts w:ascii="Times New Roman" w:hAnsi="Times New Roman" w:cs="Times New Roman"/>
                <w:sz w:val="22"/>
                <w:szCs w:val="22"/>
                <w:lang w:val="fr-FR"/>
              </w:rPr>
              <w:t>pour réduire le</w:t>
            </w:r>
            <w:r w:rsidR="00564D3B" w:rsidRPr="00B731FE">
              <w:rPr>
                <w:rFonts w:ascii="Times New Roman" w:hAnsi="Times New Roman" w:cs="Times New Roman"/>
                <w:sz w:val="22"/>
                <w:szCs w:val="22"/>
                <w:lang w:val="fr-FR"/>
              </w:rPr>
              <w:t xml:space="preserve"> chômage</w:t>
            </w:r>
            <w:r w:rsidR="00697DA7" w:rsidRPr="00B731FE">
              <w:rPr>
                <w:rFonts w:ascii="Times New Roman" w:hAnsi="Times New Roman" w:cs="Times New Roman"/>
                <w:sz w:val="22"/>
                <w:szCs w:val="22"/>
                <w:lang w:val="fr-FR"/>
              </w:rPr>
              <w:t>,</w:t>
            </w:r>
            <w:r w:rsidR="00564D3B" w:rsidRPr="00B731FE">
              <w:rPr>
                <w:rFonts w:ascii="Times New Roman" w:hAnsi="Times New Roman" w:cs="Times New Roman"/>
                <w:sz w:val="22"/>
                <w:szCs w:val="22"/>
                <w:lang w:val="fr-FR"/>
              </w:rPr>
              <w:t xml:space="preserve"> qui s’est </w:t>
            </w:r>
            <w:r w:rsidR="00697DA7" w:rsidRPr="00B731FE">
              <w:rPr>
                <w:rFonts w:ascii="Times New Roman" w:hAnsi="Times New Roman" w:cs="Times New Roman"/>
                <w:sz w:val="22"/>
                <w:szCs w:val="22"/>
                <w:lang w:val="fr-FR"/>
              </w:rPr>
              <w:t xml:space="preserve">constamment </w:t>
            </w:r>
            <w:r w:rsidR="00564D3B" w:rsidRPr="00B731FE">
              <w:rPr>
                <w:rFonts w:ascii="Times New Roman" w:hAnsi="Times New Roman" w:cs="Times New Roman"/>
                <w:sz w:val="22"/>
                <w:szCs w:val="22"/>
                <w:lang w:val="fr-FR"/>
              </w:rPr>
              <w:t xml:space="preserve">maintenu </w:t>
            </w:r>
            <w:r w:rsidR="00697DA7" w:rsidRPr="00B731FE">
              <w:rPr>
                <w:rFonts w:ascii="Times New Roman" w:hAnsi="Times New Roman" w:cs="Times New Roman"/>
                <w:sz w:val="22"/>
                <w:szCs w:val="22"/>
                <w:lang w:val="fr-FR"/>
              </w:rPr>
              <w:t>autour</w:t>
            </w:r>
            <w:r w:rsidR="00564D3B" w:rsidRPr="00B731FE">
              <w:rPr>
                <w:rFonts w:ascii="Times New Roman" w:hAnsi="Times New Roman" w:cs="Times New Roman"/>
                <w:sz w:val="22"/>
                <w:szCs w:val="22"/>
                <w:lang w:val="fr-FR"/>
              </w:rPr>
              <w:t xml:space="preserve"> de 9 – 10 pour cent depuis 2006. </w:t>
            </w:r>
            <w:r>
              <w:rPr>
                <w:rFonts w:ascii="Times New Roman" w:hAnsi="Times New Roman" w:cs="Times New Roman"/>
                <w:sz w:val="22"/>
                <w:szCs w:val="22"/>
                <w:lang w:val="fr-FR"/>
              </w:rPr>
              <w:t>Les estimations indiquent que l</w:t>
            </w:r>
            <w:r w:rsidR="00564D3B" w:rsidRPr="00B731FE">
              <w:rPr>
                <w:rFonts w:ascii="Times New Roman" w:hAnsi="Times New Roman" w:cs="Times New Roman"/>
                <w:sz w:val="22"/>
                <w:szCs w:val="22"/>
                <w:lang w:val="fr-FR"/>
              </w:rPr>
              <w:t xml:space="preserve">e Maroc devra atteindre </w:t>
            </w:r>
            <w:r w:rsidR="008F6877">
              <w:rPr>
                <w:rFonts w:ascii="Times New Roman" w:hAnsi="Times New Roman" w:cs="Times New Roman"/>
                <w:sz w:val="22"/>
                <w:szCs w:val="22"/>
                <w:lang w:val="fr-FR"/>
              </w:rPr>
              <w:t>un</w:t>
            </w:r>
            <w:r w:rsidR="008F6877" w:rsidRPr="00B731FE">
              <w:rPr>
                <w:rFonts w:ascii="Times New Roman" w:hAnsi="Times New Roman" w:cs="Times New Roman"/>
                <w:sz w:val="22"/>
                <w:szCs w:val="22"/>
                <w:lang w:val="fr-FR"/>
              </w:rPr>
              <w:t xml:space="preserve"> </w:t>
            </w:r>
            <w:r w:rsidR="00564D3B" w:rsidRPr="00B731FE">
              <w:rPr>
                <w:rFonts w:ascii="Times New Roman" w:hAnsi="Times New Roman" w:cs="Times New Roman"/>
                <w:sz w:val="22"/>
                <w:szCs w:val="22"/>
                <w:lang w:val="fr-FR"/>
              </w:rPr>
              <w:t xml:space="preserve">taux de croissance annuelle de </w:t>
            </w:r>
            <w:r w:rsidR="008F6877">
              <w:rPr>
                <w:rFonts w:ascii="Times New Roman" w:hAnsi="Times New Roman" w:cs="Times New Roman"/>
                <w:sz w:val="22"/>
                <w:szCs w:val="22"/>
                <w:lang w:val="fr-FR"/>
              </w:rPr>
              <w:t>5</w:t>
            </w:r>
            <w:r w:rsidR="008F6877" w:rsidRPr="00B731FE">
              <w:rPr>
                <w:rFonts w:ascii="Times New Roman" w:hAnsi="Times New Roman" w:cs="Times New Roman"/>
                <w:sz w:val="22"/>
                <w:szCs w:val="22"/>
                <w:lang w:val="fr-FR"/>
              </w:rPr>
              <w:t xml:space="preserve"> </w:t>
            </w:r>
            <w:r w:rsidR="00564D3B" w:rsidRPr="00B731FE">
              <w:rPr>
                <w:rFonts w:ascii="Times New Roman" w:hAnsi="Times New Roman" w:cs="Times New Roman"/>
                <w:sz w:val="22"/>
                <w:szCs w:val="22"/>
                <w:lang w:val="fr-FR"/>
              </w:rPr>
              <w:t xml:space="preserve">à 7 pour cent </w:t>
            </w:r>
            <w:r>
              <w:rPr>
                <w:rFonts w:ascii="Times New Roman" w:hAnsi="Times New Roman" w:cs="Times New Roman"/>
                <w:sz w:val="22"/>
                <w:szCs w:val="22"/>
                <w:lang w:val="fr-FR"/>
              </w:rPr>
              <w:t>pour pouvoir</w:t>
            </w:r>
            <w:r w:rsidR="00564D3B" w:rsidRPr="00B731FE">
              <w:rPr>
                <w:rFonts w:ascii="Times New Roman" w:hAnsi="Times New Roman" w:cs="Times New Roman"/>
                <w:sz w:val="22"/>
                <w:szCs w:val="22"/>
                <w:lang w:val="fr-FR"/>
              </w:rPr>
              <w:t xml:space="preserve"> absorber les nouveaux arrivants sur le marché du travail et générer une croissance accrue pour tous.</w:t>
            </w:r>
          </w:p>
          <w:p w:rsidR="00C03ECE" w:rsidRPr="00B731FE" w:rsidRDefault="00C03ECE">
            <w:pPr>
              <w:rPr>
                <w:rFonts w:ascii="Times New Roman" w:hAnsi="Times New Roman" w:cs="Times New Roman"/>
                <w:lang w:val="fr-FR"/>
              </w:rPr>
            </w:pPr>
          </w:p>
          <w:p w:rsidR="00406419" w:rsidRPr="00B731FE" w:rsidRDefault="00CE494D">
            <w:pPr>
              <w:rPr>
                <w:rFonts w:ascii="Times New Roman" w:hAnsi="Times New Roman" w:cs="Times New Roman"/>
                <w:lang w:val="fr-FR"/>
              </w:rPr>
            </w:pPr>
            <w:r w:rsidRPr="00B731FE">
              <w:rPr>
                <w:rFonts w:ascii="Times New Roman" w:hAnsi="Times New Roman" w:cs="Times New Roman"/>
                <w:sz w:val="22"/>
                <w:szCs w:val="22"/>
                <w:lang w:val="fr-FR"/>
              </w:rPr>
              <w:t>Une enquête de la Banque mondiale situe le Maroc parmi les meneurs régionaux en matière d’accès au crédit par les PME (fin 2011, les PME représent</w:t>
            </w:r>
            <w:r w:rsidR="00697DA7" w:rsidRPr="00B731FE">
              <w:rPr>
                <w:rFonts w:ascii="Times New Roman" w:hAnsi="Times New Roman" w:cs="Times New Roman"/>
                <w:sz w:val="22"/>
                <w:szCs w:val="22"/>
                <w:lang w:val="fr-FR"/>
              </w:rPr>
              <w:t>aient</w:t>
            </w:r>
            <w:r w:rsidRPr="00B731FE">
              <w:rPr>
                <w:rFonts w:ascii="Times New Roman" w:hAnsi="Times New Roman" w:cs="Times New Roman"/>
                <w:sz w:val="22"/>
                <w:szCs w:val="22"/>
                <w:lang w:val="fr-FR"/>
              </w:rPr>
              <w:t xml:space="preserve"> 16,8 pour cent du PIB, 20 pour cent des prêts bancaires à des entreprises et 27 pour cent du financement entrepreneurial provenant de prêts et de crédit-bail bancaires). Cependant, les entreprises en</w:t>
            </w:r>
            <w:r w:rsidR="009D6882">
              <w:rPr>
                <w:rFonts w:ascii="Times New Roman" w:hAnsi="Times New Roman" w:cs="Times New Roman"/>
                <w:sz w:val="22"/>
                <w:szCs w:val="22"/>
                <w:lang w:val="fr-FR"/>
              </w:rPr>
              <w:t xml:space="preserve"> stade</w:t>
            </w:r>
            <w:r w:rsidRPr="00B731FE">
              <w:rPr>
                <w:rFonts w:ascii="Times New Roman" w:hAnsi="Times New Roman" w:cs="Times New Roman"/>
                <w:sz w:val="22"/>
                <w:szCs w:val="22"/>
                <w:lang w:val="fr-FR"/>
              </w:rPr>
              <w:t xml:space="preserve"> </w:t>
            </w:r>
            <w:r w:rsidR="009D6882">
              <w:rPr>
                <w:rFonts w:ascii="Times New Roman" w:hAnsi="Times New Roman" w:cs="Times New Roman"/>
                <w:sz w:val="22"/>
                <w:szCs w:val="22"/>
                <w:lang w:val="fr-FR"/>
              </w:rPr>
              <w:t>d’</w:t>
            </w:r>
            <w:r w:rsidRPr="00B731FE">
              <w:rPr>
                <w:rFonts w:ascii="Times New Roman" w:hAnsi="Times New Roman" w:cs="Times New Roman"/>
                <w:sz w:val="22"/>
                <w:szCs w:val="22"/>
                <w:lang w:val="fr-FR"/>
              </w:rPr>
              <w:t>amorçage et les PME</w:t>
            </w:r>
            <w:r w:rsidR="00A07970" w:rsidRPr="00B731FE">
              <w:rPr>
                <w:rFonts w:ascii="Times New Roman" w:hAnsi="Times New Roman" w:cs="Times New Roman"/>
                <w:sz w:val="22"/>
                <w:szCs w:val="22"/>
                <w:lang w:val="fr-FR"/>
              </w:rPr>
              <w:t xml:space="preserve"> en développement initial </w:t>
            </w:r>
            <w:r w:rsidRPr="00B731FE">
              <w:rPr>
                <w:rFonts w:ascii="Times New Roman" w:hAnsi="Times New Roman" w:cs="Times New Roman"/>
                <w:sz w:val="22"/>
                <w:szCs w:val="22"/>
                <w:lang w:val="fr-FR"/>
              </w:rPr>
              <w:t>font encore face à des difficultés d’accès au crédit, notamment en raison du fait qu’elles ne</w:t>
            </w:r>
            <w:r w:rsidR="0050180F" w:rsidRPr="00B731FE">
              <w:rPr>
                <w:rFonts w:ascii="Times New Roman" w:hAnsi="Times New Roman" w:cs="Times New Roman"/>
                <w:sz w:val="22"/>
                <w:szCs w:val="22"/>
                <w:lang w:val="fr-FR"/>
              </w:rPr>
              <w:t xml:space="preserve"> disposent d’</w:t>
            </w:r>
            <w:r w:rsidRPr="00B731FE">
              <w:rPr>
                <w:rFonts w:ascii="Times New Roman" w:hAnsi="Times New Roman" w:cs="Times New Roman"/>
                <w:sz w:val="22"/>
                <w:szCs w:val="22"/>
                <w:lang w:val="fr-FR"/>
              </w:rPr>
              <w:t>aucun bilan</w:t>
            </w:r>
            <w:r w:rsidR="0050180F" w:rsidRPr="00B731FE">
              <w:rPr>
                <w:rFonts w:ascii="Times New Roman" w:hAnsi="Times New Roman" w:cs="Times New Roman"/>
                <w:sz w:val="22"/>
                <w:szCs w:val="22"/>
                <w:lang w:val="fr-FR"/>
              </w:rPr>
              <w:t xml:space="preserve"> à partir duquel les </w:t>
            </w:r>
            <w:r w:rsidRPr="00B731FE">
              <w:rPr>
                <w:rFonts w:ascii="Times New Roman" w:hAnsi="Times New Roman" w:cs="Times New Roman"/>
                <w:sz w:val="22"/>
                <w:szCs w:val="22"/>
                <w:lang w:val="fr-FR"/>
              </w:rPr>
              <w:t xml:space="preserve">institutions bancaires </w:t>
            </w:r>
            <w:r w:rsidR="0050180F" w:rsidRPr="00B731FE">
              <w:rPr>
                <w:rFonts w:ascii="Times New Roman" w:hAnsi="Times New Roman" w:cs="Times New Roman"/>
                <w:sz w:val="22"/>
                <w:szCs w:val="22"/>
                <w:lang w:val="fr-FR"/>
              </w:rPr>
              <w:t xml:space="preserve">seraient en mesure </w:t>
            </w:r>
            <w:r w:rsidRPr="00B731FE">
              <w:rPr>
                <w:rFonts w:ascii="Times New Roman" w:hAnsi="Times New Roman" w:cs="Times New Roman"/>
                <w:sz w:val="22"/>
                <w:szCs w:val="22"/>
                <w:lang w:val="fr-FR"/>
              </w:rPr>
              <w:t xml:space="preserve">d’évaluer les </w:t>
            </w:r>
            <w:r w:rsidRPr="00B731FE">
              <w:rPr>
                <w:rFonts w:ascii="Times New Roman" w:hAnsi="Times New Roman" w:cs="Times New Roman"/>
                <w:sz w:val="22"/>
                <w:szCs w:val="22"/>
                <w:lang w:val="fr-FR"/>
              </w:rPr>
              <w:lastRenderedPageBreak/>
              <w:t>risques ou</w:t>
            </w:r>
            <w:r w:rsidR="0050180F" w:rsidRPr="00B731FE">
              <w:rPr>
                <w:rFonts w:ascii="Times New Roman" w:hAnsi="Times New Roman" w:cs="Times New Roman"/>
                <w:sz w:val="22"/>
                <w:szCs w:val="22"/>
                <w:lang w:val="fr-FR"/>
              </w:rPr>
              <w:t xml:space="preserve"> de demander des garanties. À travers ce projet, le Gouvernement du Maroc entend </w:t>
            </w:r>
            <w:r w:rsidR="00A07970" w:rsidRPr="00B731FE">
              <w:rPr>
                <w:rFonts w:ascii="Times New Roman" w:hAnsi="Times New Roman" w:cs="Times New Roman"/>
                <w:sz w:val="22"/>
                <w:szCs w:val="22"/>
                <w:lang w:val="fr-FR"/>
              </w:rPr>
              <w:t xml:space="preserve">à la fois </w:t>
            </w:r>
            <w:r w:rsidR="0050180F" w:rsidRPr="00B731FE">
              <w:rPr>
                <w:rFonts w:ascii="Times New Roman" w:hAnsi="Times New Roman" w:cs="Times New Roman"/>
                <w:sz w:val="22"/>
                <w:szCs w:val="22"/>
                <w:lang w:val="fr-FR"/>
              </w:rPr>
              <w:t xml:space="preserve">combler </w:t>
            </w:r>
            <w:r w:rsidR="00A07970" w:rsidRPr="00B731FE">
              <w:rPr>
                <w:rFonts w:ascii="Times New Roman" w:hAnsi="Times New Roman" w:cs="Times New Roman"/>
                <w:sz w:val="22"/>
                <w:szCs w:val="22"/>
                <w:lang w:val="fr-FR"/>
              </w:rPr>
              <w:t xml:space="preserve">les lacunes en matière de disponibilité de financements pour les entreprises en amorçage et PME en développement initial et favoriser la croissance </w:t>
            </w:r>
            <w:r w:rsidR="00AF4315" w:rsidRPr="00B731FE">
              <w:rPr>
                <w:rFonts w:ascii="Times New Roman" w:hAnsi="Times New Roman" w:cs="Times New Roman"/>
                <w:sz w:val="22"/>
                <w:szCs w:val="22"/>
                <w:lang w:val="fr-FR"/>
              </w:rPr>
              <w:t>d’un</w:t>
            </w:r>
            <w:r w:rsidR="00A07970" w:rsidRPr="00B731FE">
              <w:rPr>
                <w:rFonts w:ascii="Times New Roman" w:hAnsi="Times New Roman" w:cs="Times New Roman"/>
                <w:sz w:val="22"/>
                <w:szCs w:val="22"/>
                <w:lang w:val="fr-FR"/>
              </w:rPr>
              <w:t xml:space="preserve"> secteur privé</w:t>
            </w:r>
            <w:r w:rsidR="001B2C0F" w:rsidRPr="00B731FE">
              <w:rPr>
                <w:rFonts w:ascii="Times New Roman" w:hAnsi="Times New Roman" w:cs="Times New Roman"/>
                <w:sz w:val="22"/>
                <w:szCs w:val="22"/>
                <w:lang w:val="fr-FR"/>
              </w:rPr>
              <w:t xml:space="preserve"> </w:t>
            </w:r>
            <w:r w:rsidR="009D6882">
              <w:rPr>
                <w:rFonts w:ascii="Times New Roman" w:hAnsi="Times New Roman" w:cs="Times New Roman"/>
                <w:sz w:val="22"/>
                <w:szCs w:val="22"/>
                <w:lang w:val="fr-FR"/>
              </w:rPr>
              <w:t>novateur</w:t>
            </w:r>
            <w:r w:rsidR="00AF4315" w:rsidRPr="00B731FE">
              <w:rPr>
                <w:rFonts w:ascii="Times New Roman" w:hAnsi="Times New Roman" w:cs="Times New Roman"/>
                <w:sz w:val="22"/>
                <w:szCs w:val="22"/>
                <w:lang w:val="fr-FR"/>
              </w:rPr>
              <w:t xml:space="preserve"> et</w:t>
            </w:r>
            <w:r w:rsidR="001B2C0F" w:rsidRPr="00B731FE">
              <w:rPr>
                <w:rFonts w:ascii="Times New Roman" w:hAnsi="Times New Roman" w:cs="Times New Roman"/>
                <w:sz w:val="22"/>
                <w:szCs w:val="22"/>
                <w:lang w:val="fr-FR"/>
              </w:rPr>
              <w:t xml:space="preserve"> </w:t>
            </w:r>
            <w:r w:rsidR="00A07970" w:rsidRPr="00B731FE">
              <w:rPr>
                <w:rFonts w:ascii="Times New Roman" w:hAnsi="Times New Roman" w:cs="Times New Roman"/>
                <w:sz w:val="22"/>
                <w:szCs w:val="22"/>
                <w:lang w:val="fr-FR"/>
              </w:rPr>
              <w:t>plus dynamique. Le projet mettra en place un Fonds spécifique</w:t>
            </w:r>
            <w:r w:rsidR="001B2C0F" w:rsidRPr="00B731FE">
              <w:rPr>
                <w:rFonts w:ascii="Times New Roman" w:hAnsi="Times New Roman" w:cs="Times New Roman"/>
                <w:sz w:val="22"/>
                <w:szCs w:val="22"/>
                <w:lang w:val="fr-FR"/>
              </w:rPr>
              <w:t xml:space="preserve"> </w:t>
            </w:r>
            <w:r w:rsidR="00526410" w:rsidRPr="00B731FE">
              <w:rPr>
                <w:rFonts w:ascii="Times New Roman" w:hAnsi="Times New Roman" w:cs="Times New Roman"/>
                <w:sz w:val="22"/>
                <w:szCs w:val="22"/>
                <w:lang w:val="fr-FR"/>
              </w:rPr>
              <w:t>—</w:t>
            </w:r>
            <w:r w:rsidR="00A07970" w:rsidRPr="00B731FE">
              <w:rPr>
                <w:rFonts w:ascii="Times New Roman" w:hAnsi="Times New Roman" w:cs="Times New Roman"/>
                <w:sz w:val="22"/>
                <w:szCs w:val="22"/>
                <w:lang w:val="fr-FR"/>
              </w:rPr>
              <w:t xml:space="preserve"> qui </w:t>
            </w:r>
            <w:r w:rsidR="00AF4315" w:rsidRPr="00B731FE">
              <w:rPr>
                <w:rFonts w:ascii="Times New Roman" w:hAnsi="Times New Roman" w:cs="Times New Roman"/>
                <w:sz w:val="22"/>
                <w:szCs w:val="22"/>
                <w:lang w:val="fr-FR"/>
              </w:rPr>
              <w:t xml:space="preserve">procédera à </w:t>
            </w:r>
            <w:r w:rsidR="00A07970" w:rsidRPr="00B731FE">
              <w:rPr>
                <w:rFonts w:ascii="Times New Roman" w:hAnsi="Times New Roman" w:cs="Times New Roman"/>
                <w:sz w:val="22"/>
                <w:szCs w:val="22"/>
                <w:lang w:val="fr-FR"/>
              </w:rPr>
              <w:t xml:space="preserve">des financements </w:t>
            </w:r>
            <w:r w:rsidR="009D6882">
              <w:rPr>
                <w:rFonts w:ascii="Times New Roman" w:hAnsi="Times New Roman" w:cs="Times New Roman"/>
                <w:sz w:val="22"/>
                <w:szCs w:val="22"/>
                <w:lang w:val="fr-FR"/>
              </w:rPr>
              <w:t>des</w:t>
            </w:r>
            <w:r w:rsidR="009D6882" w:rsidRPr="00B731FE">
              <w:rPr>
                <w:rFonts w:ascii="Times New Roman" w:hAnsi="Times New Roman" w:cs="Times New Roman"/>
                <w:sz w:val="22"/>
                <w:szCs w:val="22"/>
                <w:lang w:val="fr-FR"/>
              </w:rPr>
              <w:t xml:space="preserve"> </w:t>
            </w:r>
            <w:r w:rsidR="00A07970" w:rsidRPr="00B731FE">
              <w:rPr>
                <w:rFonts w:ascii="Times New Roman" w:hAnsi="Times New Roman" w:cs="Times New Roman"/>
                <w:sz w:val="22"/>
                <w:szCs w:val="22"/>
                <w:lang w:val="fr-FR"/>
              </w:rPr>
              <w:t xml:space="preserve">capitaux propres </w:t>
            </w:r>
            <w:r w:rsidR="009D6882">
              <w:rPr>
                <w:rFonts w:ascii="Times New Roman" w:hAnsi="Times New Roman" w:cs="Times New Roman"/>
                <w:sz w:val="22"/>
                <w:szCs w:val="22"/>
                <w:lang w:val="fr-FR"/>
              </w:rPr>
              <w:t>pour les</w:t>
            </w:r>
            <w:r w:rsidR="009D6882" w:rsidRPr="00B731FE">
              <w:rPr>
                <w:rFonts w:ascii="Times New Roman" w:hAnsi="Times New Roman" w:cs="Times New Roman"/>
                <w:sz w:val="22"/>
                <w:szCs w:val="22"/>
                <w:lang w:val="fr-FR"/>
              </w:rPr>
              <w:t xml:space="preserve"> </w:t>
            </w:r>
            <w:r w:rsidR="00A07970" w:rsidRPr="00B731FE">
              <w:rPr>
                <w:rFonts w:ascii="Times New Roman" w:hAnsi="Times New Roman" w:cs="Times New Roman"/>
                <w:sz w:val="22"/>
                <w:szCs w:val="22"/>
                <w:lang w:val="fr-FR"/>
              </w:rPr>
              <w:t>étapes d</w:t>
            </w:r>
            <w:r w:rsidR="00526410" w:rsidRPr="00B731FE">
              <w:rPr>
                <w:rFonts w:ascii="Times New Roman" w:hAnsi="Times New Roman" w:cs="Times New Roman"/>
                <w:sz w:val="22"/>
                <w:szCs w:val="22"/>
                <w:lang w:val="fr-FR"/>
              </w:rPr>
              <w:t>’</w:t>
            </w:r>
            <w:r w:rsidR="00A07970" w:rsidRPr="00B731FE">
              <w:rPr>
                <w:rFonts w:ascii="Times New Roman" w:hAnsi="Times New Roman" w:cs="Times New Roman"/>
                <w:sz w:val="22"/>
                <w:szCs w:val="22"/>
                <w:lang w:val="fr-FR"/>
              </w:rPr>
              <w:t>amorçage, de développement initial et de capital-risque</w:t>
            </w:r>
            <w:r w:rsidR="001B2C0F" w:rsidRPr="00B731FE">
              <w:rPr>
                <w:rFonts w:ascii="Times New Roman" w:hAnsi="Times New Roman" w:cs="Times New Roman"/>
                <w:sz w:val="22"/>
                <w:szCs w:val="22"/>
                <w:lang w:val="fr-FR"/>
              </w:rPr>
              <w:t xml:space="preserve"> à des entreprises jeunes, en croissance et innovantes </w:t>
            </w:r>
            <w:r w:rsidR="00526410" w:rsidRPr="00B731FE">
              <w:rPr>
                <w:rFonts w:ascii="Times New Roman" w:hAnsi="Times New Roman" w:cs="Times New Roman"/>
                <w:sz w:val="22"/>
                <w:szCs w:val="22"/>
                <w:lang w:val="fr-FR"/>
              </w:rPr>
              <w:t>—</w:t>
            </w:r>
            <w:r w:rsidR="001B2C0F" w:rsidRPr="00B731FE">
              <w:rPr>
                <w:rFonts w:ascii="Times New Roman" w:hAnsi="Times New Roman" w:cs="Times New Roman"/>
                <w:sz w:val="22"/>
                <w:szCs w:val="22"/>
                <w:lang w:val="fr-FR"/>
              </w:rPr>
              <w:t xml:space="preserve"> et accordera le</w:t>
            </w:r>
            <w:r w:rsidR="00AF4315" w:rsidRPr="00B731FE">
              <w:rPr>
                <w:rFonts w:ascii="Times New Roman" w:hAnsi="Times New Roman" w:cs="Times New Roman"/>
                <w:sz w:val="22"/>
                <w:szCs w:val="22"/>
                <w:lang w:val="fr-FR"/>
              </w:rPr>
              <w:t>s</w:t>
            </w:r>
            <w:r w:rsidR="001B2C0F" w:rsidRPr="00B731FE">
              <w:rPr>
                <w:rFonts w:ascii="Times New Roman" w:hAnsi="Times New Roman" w:cs="Times New Roman"/>
                <w:sz w:val="22"/>
                <w:szCs w:val="22"/>
                <w:lang w:val="fr-FR"/>
              </w:rPr>
              <w:t xml:space="preserve"> soutien</w:t>
            </w:r>
            <w:r w:rsidR="00AF4315" w:rsidRPr="00B731FE">
              <w:rPr>
                <w:rFonts w:ascii="Times New Roman" w:hAnsi="Times New Roman" w:cs="Times New Roman"/>
                <w:sz w:val="22"/>
                <w:szCs w:val="22"/>
                <w:lang w:val="fr-FR"/>
              </w:rPr>
              <w:t>s</w:t>
            </w:r>
            <w:r w:rsidR="001B2C0F" w:rsidRPr="00B731FE">
              <w:rPr>
                <w:rFonts w:ascii="Times New Roman" w:hAnsi="Times New Roman" w:cs="Times New Roman"/>
                <w:sz w:val="22"/>
                <w:szCs w:val="22"/>
                <w:lang w:val="fr-FR"/>
              </w:rPr>
              <w:t xml:space="preserve"> nécessaire</w:t>
            </w:r>
            <w:r w:rsidR="00AF4315" w:rsidRPr="00B731FE">
              <w:rPr>
                <w:rFonts w:ascii="Times New Roman" w:hAnsi="Times New Roman" w:cs="Times New Roman"/>
                <w:sz w:val="22"/>
                <w:szCs w:val="22"/>
                <w:lang w:val="fr-FR"/>
              </w:rPr>
              <w:t>s, notamment</w:t>
            </w:r>
            <w:r w:rsidR="001B2C0F" w:rsidRPr="00B731FE">
              <w:rPr>
                <w:rFonts w:ascii="Times New Roman" w:hAnsi="Times New Roman" w:cs="Times New Roman"/>
                <w:sz w:val="22"/>
                <w:szCs w:val="22"/>
                <w:lang w:val="fr-FR"/>
              </w:rPr>
              <w:t xml:space="preserve"> à travers la prestation de mentorat et autres appuis non financiers</w:t>
            </w:r>
            <w:r w:rsidR="00AF4315" w:rsidRPr="00B731FE">
              <w:rPr>
                <w:rFonts w:ascii="Times New Roman" w:hAnsi="Times New Roman" w:cs="Times New Roman"/>
                <w:sz w:val="22"/>
                <w:szCs w:val="22"/>
                <w:lang w:val="fr-FR"/>
              </w:rPr>
              <w:t>,</w:t>
            </w:r>
            <w:r w:rsidR="001B2C0F" w:rsidRPr="00B731FE">
              <w:rPr>
                <w:rFonts w:ascii="Times New Roman" w:hAnsi="Times New Roman" w:cs="Times New Roman"/>
                <w:sz w:val="22"/>
                <w:szCs w:val="22"/>
                <w:lang w:val="fr-FR"/>
              </w:rPr>
              <w:t xml:space="preserve"> afin de s’assurer de la croissance des entreprises en amorçage et de la création d’emplois.</w:t>
            </w:r>
          </w:p>
          <w:p w:rsidR="00406419" w:rsidRPr="00B731FE" w:rsidRDefault="00406419">
            <w:pPr>
              <w:rPr>
                <w:rFonts w:ascii="Times New Roman" w:hAnsi="Times New Roman" w:cs="Times New Roman"/>
                <w:lang w:val="fr-FR"/>
              </w:rPr>
            </w:pPr>
          </w:p>
        </w:tc>
      </w:tr>
      <w:tr w:rsidR="00406419" w:rsidRPr="00B731FE">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1B2C0F">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Contexte sectoriel et institutionnel</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1B2C0F" w:rsidRPr="00B731FE" w:rsidRDefault="001B2C0F">
            <w:pPr>
              <w:rPr>
                <w:rFonts w:ascii="Times New Roman" w:hAnsi="Times New Roman" w:cs="Times New Roman"/>
                <w:lang w:val="fr-FR"/>
              </w:rPr>
            </w:pPr>
            <w:r w:rsidRPr="00B731FE">
              <w:rPr>
                <w:rFonts w:ascii="Times New Roman" w:hAnsi="Times New Roman" w:cs="Times New Roman"/>
                <w:sz w:val="22"/>
                <w:szCs w:val="22"/>
                <w:lang w:val="fr-FR"/>
              </w:rPr>
              <w:t>Le marché marocain du capital-risque et de l’investissement dans des entreprises en amorçage est en émergence, en termes de capital disponible et déploy</w:t>
            </w:r>
            <w:r w:rsidR="001A1A38" w:rsidRPr="00B731FE">
              <w:rPr>
                <w:rFonts w:ascii="Times New Roman" w:hAnsi="Times New Roman" w:cs="Times New Roman"/>
                <w:sz w:val="22"/>
                <w:szCs w:val="22"/>
                <w:lang w:val="fr-FR"/>
              </w:rPr>
              <w:t>é</w:t>
            </w:r>
            <w:r w:rsidRPr="00B731FE">
              <w:rPr>
                <w:rFonts w:ascii="Times New Roman" w:hAnsi="Times New Roman" w:cs="Times New Roman"/>
                <w:sz w:val="22"/>
                <w:szCs w:val="22"/>
                <w:lang w:val="fr-FR"/>
              </w:rPr>
              <w:t>, de nombre de transactions,</w:t>
            </w:r>
            <w:r w:rsidR="001A1A38" w:rsidRPr="00B731FE">
              <w:rPr>
                <w:rFonts w:ascii="Times New Roman" w:hAnsi="Times New Roman" w:cs="Times New Roman"/>
                <w:sz w:val="22"/>
                <w:szCs w:val="22"/>
                <w:lang w:val="fr-FR"/>
              </w:rPr>
              <w:t xml:space="preserve"> de flux d’investissements (nombre d’entreprises en amorçage viables en attente dans la filière), et d’activités </w:t>
            </w:r>
            <w:r w:rsidR="00AF4315" w:rsidRPr="00B731FE">
              <w:rPr>
                <w:rFonts w:ascii="Times New Roman" w:hAnsi="Times New Roman" w:cs="Times New Roman"/>
                <w:sz w:val="22"/>
                <w:szCs w:val="22"/>
                <w:lang w:val="fr-FR"/>
              </w:rPr>
              <w:t>au sein de</w:t>
            </w:r>
            <w:r w:rsidR="001A1A38" w:rsidRPr="00B731FE">
              <w:rPr>
                <w:rFonts w:ascii="Times New Roman" w:hAnsi="Times New Roman" w:cs="Times New Roman"/>
                <w:sz w:val="22"/>
                <w:szCs w:val="22"/>
                <w:lang w:val="fr-FR"/>
              </w:rPr>
              <w:t xml:space="preserve"> l’écosystème entrepreneurial</w:t>
            </w:r>
            <w:r w:rsidR="00AF4315" w:rsidRPr="00B731FE">
              <w:rPr>
                <w:rFonts w:ascii="Times New Roman" w:hAnsi="Times New Roman" w:cs="Times New Roman"/>
                <w:sz w:val="22"/>
                <w:szCs w:val="22"/>
                <w:lang w:val="fr-FR"/>
              </w:rPr>
              <w:t xml:space="preserve"> en général</w:t>
            </w:r>
            <w:r w:rsidR="001A1A38" w:rsidRPr="00B731FE">
              <w:rPr>
                <w:rFonts w:ascii="Times New Roman" w:hAnsi="Times New Roman" w:cs="Times New Roman"/>
                <w:sz w:val="22"/>
                <w:szCs w:val="22"/>
                <w:lang w:val="fr-FR"/>
              </w:rPr>
              <w:t>. Le ratio de pénétration du capital-risque enregistré dans le pays</w:t>
            </w:r>
            <w:r w:rsidR="00182CA0" w:rsidRPr="00B731FE">
              <w:rPr>
                <w:rFonts w:ascii="Times New Roman" w:hAnsi="Times New Roman" w:cs="Times New Roman"/>
                <w:sz w:val="22"/>
                <w:szCs w:val="22"/>
                <w:lang w:val="fr-FR"/>
              </w:rPr>
              <w:t xml:space="preserve"> se situe après de 0,08 pour cent (PIB</w:t>
            </w:r>
            <w:r w:rsidR="00526410" w:rsidRPr="00B731FE">
              <w:rPr>
                <w:rFonts w:ascii="Times New Roman" w:hAnsi="Times New Roman" w:cs="Times New Roman"/>
                <w:sz w:val="22"/>
                <w:szCs w:val="22"/>
                <w:lang w:val="fr-FR"/>
              </w:rPr>
              <w:t> </w:t>
            </w:r>
            <w:r w:rsidR="00182CA0" w:rsidRPr="00B731FE">
              <w:rPr>
                <w:rFonts w:ascii="Times New Roman" w:hAnsi="Times New Roman" w:cs="Times New Roman"/>
                <w:sz w:val="22"/>
                <w:szCs w:val="22"/>
                <w:lang w:val="fr-FR"/>
              </w:rPr>
              <w:t>2014), un résultat qui place le Maroc devant l’Égypte à 0,0 77 pour cent</w:t>
            </w:r>
            <w:r w:rsidR="00526410" w:rsidRPr="00B731FE">
              <w:rPr>
                <w:rFonts w:ascii="Times New Roman" w:hAnsi="Times New Roman" w:cs="Times New Roman"/>
                <w:sz w:val="22"/>
                <w:szCs w:val="22"/>
                <w:lang w:val="fr-FR"/>
              </w:rPr>
              <w:t xml:space="preserve">, </w:t>
            </w:r>
            <w:r w:rsidR="00182CA0" w:rsidRPr="00B731FE">
              <w:rPr>
                <w:rFonts w:ascii="Times New Roman" w:hAnsi="Times New Roman" w:cs="Times New Roman"/>
                <w:sz w:val="22"/>
                <w:szCs w:val="22"/>
                <w:lang w:val="fr-FR"/>
              </w:rPr>
              <w:t xml:space="preserve">mais loin derrière la Jordanie et le Liban. De façon spécifique, les lacunes du marché du financement </w:t>
            </w:r>
            <w:r w:rsidR="000625E6" w:rsidRPr="00B731FE">
              <w:rPr>
                <w:rFonts w:ascii="Times New Roman" w:hAnsi="Times New Roman" w:cs="Times New Roman"/>
                <w:sz w:val="22"/>
                <w:szCs w:val="22"/>
                <w:lang w:val="fr-FR"/>
              </w:rPr>
              <w:t xml:space="preserve">marocain </w:t>
            </w:r>
            <w:r w:rsidR="00182CA0" w:rsidRPr="00B731FE">
              <w:rPr>
                <w:rFonts w:ascii="Times New Roman" w:hAnsi="Times New Roman" w:cs="Times New Roman"/>
                <w:sz w:val="22"/>
                <w:szCs w:val="22"/>
                <w:lang w:val="fr-FR"/>
              </w:rPr>
              <w:t xml:space="preserve">concernent essentiellement les premières étapes d’établissement, </w:t>
            </w:r>
            <w:r w:rsidR="000625E6" w:rsidRPr="00B731FE">
              <w:rPr>
                <w:rFonts w:ascii="Times New Roman" w:hAnsi="Times New Roman" w:cs="Times New Roman"/>
                <w:sz w:val="22"/>
                <w:szCs w:val="22"/>
                <w:lang w:val="fr-FR"/>
              </w:rPr>
              <w:t>de</w:t>
            </w:r>
            <w:r w:rsidR="00182CA0" w:rsidRPr="00B731FE">
              <w:rPr>
                <w:rFonts w:ascii="Times New Roman" w:hAnsi="Times New Roman" w:cs="Times New Roman"/>
                <w:sz w:val="22"/>
                <w:szCs w:val="22"/>
                <w:lang w:val="fr-FR"/>
              </w:rPr>
              <w:t xml:space="preserve"> stabilisation et </w:t>
            </w:r>
            <w:r w:rsidR="000625E6" w:rsidRPr="00B731FE">
              <w:rPr>
                <w:rFonts w:ascii="Times New Roman" w:hAnsi="Times New Roman" w:cs="Times New Roman"/>
                <w:sz w:val="22"/>
                <w:szCs w:val="22"/>
                <w:lang w:val="fr-FR"/>
              </w:rPr>
              <w:t>de</w:t>
            </w:r>
            <w:r w:rsidR="00182CA0" w:rsidRPr="00B731FE">
              <w:rPr>
                <w:rFonts w:ascii="Times New Roman" w:hAnsi="Times New Roman" w:cs="Times New Roman"/>
                <w:sz w:val="22"/>
                <w:szCs w:val="22"/>
                <w:lang w:val="fr-FR"/>
              </w:rPr>
              <w:t xml:space="preserve"> croissance</w:t>
            </w:r>
            <w:r w:rsidR="000625E6" w:rsidRPr="00B731FE">
              <w:rPr>
                <w:rFonts w:ascii="Times New Roman" w:hAnsi="Times New Roman" w:cs="Times New Roman"/>
                <w:sz w:val="22"/>
                <w:szCs w:val="22"/>
                <w:lang w:val="fr-FR"/>
              </w:rPr>
              <w:t xml:space="preserve"> d’une entreprise. E</w:t>
            </w:r>
            <w:r w:rsidR="00182CA0" w:rsidRPr="00B731FE">
              <w:rPr>
                <w:rFonts w:ascii="Times New Roman" w:hAnsi="Times New Roman" w:cs="Times New Roman"/>
                <w:sz w:val="22"/>
                <w:szCs w:val="22"/>
                <w:lang w:val="fr-FR"/>
              </w:rPr>
              <w:t xml:space="preserve">n termes de financement </w:t>
            </w:r>
            <w:r w:rsidR="009D6882">
              <w:rPr>
                <w:rFonts w:ascii="Times New Roman" w:hAnsi="Times New Roman" w:cs="Times New Roman"/>
                <w:sz w:val="22"/>
                <w:szCs w:val="22"/>
                <w:lang w:val="fr-FR"/>
              </w:rPr>
              <w:t>des</w:t>
            </w:r>
            <w:r w:rsidR="009D6882" w:rsidRPr="00B731FE">
              <w:rPr>
                <w:rFonts w:ascii="Times New Roman" w:hAnsi="Times New Roman" w:cs="Times New Roman"/>
                <w:sz w:val="22"/>
                <w:szCs w:val="22"/>
                <w:lang w:val="fr-FR"/>
              </w:rPr>
              <w:t xml:space="preserve"> </w:t>
            </w:r>
            <w:r w:rsidR="00182CA0" w:rsidRPr="00B731FE">
              <w:rPr>
                <w:rFonts w:ascii="Times New Roman" w:hAnsi="Times New Roman" w:cs="Times New Roman"/>
                <w:sz w:val="22"/>
                <w:szCs w:val="22"/>
                <w:lang w:val="fr-FR"/>
              </w:rPr>
              <w:t>capitaux propres, ceci correspond aux catégories d’amorçage</w:t>
            </w:r>
            <w:r w:rsidR="00A23D78" w:rsidRPr="00B731FE">
              <w:rPr>
                <w:rFonts w:ascii="Times New Roman" w:hAnsi="Times New Roman" w:cs="Times New Roman"/>
                <w:sz w:val="22"/>
                <w:szCs w:val="22"/>
                <w:lang w:val="fr-FR"/>
              </w:rPr>
              <w:t xml:space="preserve"> (transactions </w:t>
            </w:r>
            <w:r w:rsidR="00A07B16" w:rsidRPr="00B731FE">
              <w:rPr>
                <w:rFonts w:ascii="Times New Roman" w:hAnsi="Times New Roman" w:cs="Times New Roman"/>
                <w:sz w:val="22"/>
                <w:szCs w:val="22"/>
                <w:lang w:val="fr-FR"/>
              </w:rPr>
              <w:t>d’US $30 000 à US $100</w:t>
            </w:r>
            <w:r w:rsidR="00526410" w:rsidRPr="00B731FE">
              <w:rPr>
                <w:rFonts w:ascii="Times New Roman" w:hAnsi="Times New Roman" w:cs="Times New Roman"/>
                <w:sz w:val="22"/>
                <w:szCs w:val="22"/>
                <w:lang w:val="fr-FR"/>
              </w:rPr>
              <w:t> 000 </w:t>
            </w:r>
            <w:r w:rsidR="000625E6" w:rsidRPr="00B731FE">
              <w:rPr>
                <w:rFonts w:ascii="Times New Roman" w:hAnsi="Times New Roman" w:cs="Times New Roman"/>
                <w:sz w:val="22"/>
                <w:szCs w:val="22"/>
                <w:lang w:val="fr-FR"/>
              </w:rPr>
              <w:t>dollars</w:t>
            </w:r>
            <w:r w:rsidR="00A23D78" w:rsidRPr="00B731FE">
              <w:rPr>
                <w:rFonts w:ascii="Times New Roman" w:hAnsi="Times New Roman" w:cs="Times New Roman"/>
                <w:sz w:val="22"/>
                <w:szCs w:val="22"/>
                <w:lang w:val="fr-FR"/>
              </w:rPr>
              <w:t xml:space="preserve">), de développement initial (transactions de </w:t>
            </w:r>
            <w:r w:rsidR="00A07B16">
              <w:rPr>
                <w:rFonts w:ascii="Times New Roman" w:hAnsi="Times New Roman" w:cs="Times New Roman"/>
                <w:sz w:val="22"/>
                <w:szCs w:val="22"/>
                <w:lang w:val="fr-FR"/>
              </w:rPr>
              <w:t>US$</w:t>
            </w:r>
            <w:r w:rsidR="00A23D78" w:rsidRPr="00B731FE">
              <w:rPr>
                <w:rFonts w:ascii="Times New Roman" w:hAnsi="Times New Roman" w:cs="Times New Roman"/>
                <w:sz w:val="22"/>
                <w:szCs w:val="22"/>
                <w:lang w:val="fr-FR"/>
              </w:rPr>
              <w:t>100</w:t>
            </w:r>
            <w:r w:rsidR="00526410" w:rsidRPr="00B731FE">
              <w:rPr>
                <w:rFonts w:ascii="Times New Roman" w:hAnsi="Times New Roman" w:cs="Times New Roman"/>
                <w:sz w:val="22"/>
                <w:szCs w:val="22"/>
                <w:lang w:val="fr-FR"/>
              </w:rPr>
              <w:t> </w:t>
            </w:r>
            <w:r w:rsidR="00A23D78" w:rsidRPr="00B731FE">
              <w:rPr>
                <w:rFonts w:ascii="Times New Roman" w:hAnsi="Times New Roman" w:cs="Times New Roman"/>
                <w:sz w:val="22"/>
                <w:szCs w:val="22"/>
                <w:lang w:val="fr-FR"/>
              </w:rPr>
              <w:t>000 à 500</w:t>
            </w:r>
            <w:r w:rsidR="00526410" w:rsidRPr="00B731FE">
              <w:rPr>
                <w:rFonts w:ascii="Times New Roman" w:hAnsi="Times New Roman" w:cs="Times New Roman"/>
                <w:sz w:val="22"/>
                <w:szCs w:val="22"/>
                <w:lang w:val="fr-FR"/>
              </w:rPr>
              <w:t> 000 </w:t>
            </w:r>
            <w:r w:rsidR="000625E6" w:rsidRPr="00B731FE">
              <w:rPr>
                <w:rFonts w:ascii="Times New Roman" w:hAnsi="Times New Roman" w:cs="Times New Roman"/>
                <w:sz w:val="22"/>
                <w:szCs w:val="22"/>
                <w:lang w:val="fr-FR"/>
              </w:rPr>
              <w:t>dollars</w:t>
            </w:r>
            <w:r w:rsidR="00A23D78" w:rsidRPr="00B731FE">
              <w:rPr>
                <w:rFonts w:ascii="Times New Roman" w:hAnsi="Times New Roman" w:cs="Times New Roman"/>
                <w:sz w:val="22"/>
                <w:szCs w:val="22"/>
                <w:lang w:val="fr-FR"/>
              </w:rPr>
              <w:t>), et capital-risque (</w:t>
            </w:r>
            <w:r w:rsidR="00A07B16">
              <w:rPr>
                <w:rFonts w:ascii="Times New Roman" w:hAnsi="Times New Roman" w:cs="Times New Roman"/>
                <w:sz w:val="22"/>
                <w:szCs w:val="22"/>
                <w:lang w:val="fr-FR"/>
              </w:rPr>
              <w:t>US$</w:t>
            </w:r>
            <w:r w:rsidR="00A23D78" w:rsidRPr="00B731FE">
              <w:rPr>
                <w:rFonts w:ascii="Times New Roman" w:hAnsi="Times New Roman" w:cs="Times New Roman"/>
                <w:sz w:val="22"/>
                <w:szCs w:val="22"/>
                <w:lang w:val="fr-FR"/>
              </w:rPr>
              <w:t>500</w:t>
            </w:r>
            <w:r w:rsidR="00526410" w:rsidRPr="00B731FE">
              <w:rPr>
                <w:rFonts w:ascii="Times New Roman" w:hAnsi="Times New Roman" w:cs="Times New Roman"/>
                <w:sz w:val="22"/>
                <w:szCs w:val="22"/>
                <w:lang w:val="fr-FR"/>
              </w:rPr>
              <w:t> </w:t>
            </w:r>
            <w:r w:rsidR="00A23D78" w:rsidRPr="00B731FE">
              <w:rPr>
                <w:rFonts w:ascii="Times New Roman" w:hAnsi="Times New Roman" w:cs="Times New Roman"/>
                <w:sz w:val="22"/>
                <w:szCs w:val="22"/>
                <w:lang w:val="fr-FR"/>
              </w:rPr>
              <w:t xml:space="preserve">000 – 2 millions). Au niveau micro, certains investisseurs providentiels commencent à mener des activités, mais ils en sont </w:t>
            </w:r>
            <w:r w:rsidR="00526410" w:rsidRPr="00B731FE">
              <w:rPr>
                <w:rFonts w:ascii="Times New Roman" w:hAnsi="Times New Roman" w:cs="Times New Roman"/>
                <w:sz w:val="22"/>
                <w:szCs w:val="22"/>
                <w:lang w:val="fr-FR"/>
              </w:rPr>
              <w:t>aux</w:t>
            </w:r>
            <w:r w:rsidR="00A23D78" w:rsidRPr="00B731FE">
              <w:rPr>
                <w:rFonts w:ascii="Times New Roman" w:hAnsi="Times New Roman" w:cs="Times New Roman"/>
                <w:sz w:val="22"/>
                <w:szCs w:val="22"/>
                <w:lang w:val="fr-FR"/>
              </w:rPr>
              <w:t xml:space="preserve"> premiers balbutiements de la création d’un réseau</w:t>
            </w:r>
            <w:r w:rsidR="000625E6" w:rsidRPr="00B731FE">
              <w:rPr>
                <w:rFonts w:ascii="Times New Roman" w:hAnsi="Times New Roman" w:cs="Times New Roman"/>
                <w:sz w:val="22"/>
                <w:szCs w:val="22"/>
                <w:lang w:val="fr-FR"/>
              </w:rPr>
              <w:t>, d’ailleurs</w:t>
            </w:r>
            <w:r w:rsidR="00A23D78" w:rsidRPr="00B731FE">
              <w:rPr>
                <w:rFonts w:ascii="Times New Roman" w:hAnsi="Times New Roman" w:cs="Times New Roman"/>
                <w:sz w:val="22"/>
                <w:szCs w:val="22"/>
                <w:lang w:val="fr-FR"/>
              </w:rPr>
              <w:t xml:space="preserve"> surtout axé sur Casablanca. À l’autre extrémité du spectre, plusieurs fonds de capital investissement privé opèrent sur le marché, mais leur niveau d’intervention </w:t>
            </w:r>
            <w:r w:rsidR="000625E6" w:rsidRPr="00B731FE">
              <w:rPr>
                <w:rFonts w:ascii="Times New Roman" w:hAnsi="Times New Roman" w:cs="Times New Roman"/>
                <w:sz w:val="22"/>
                <w:szCs w:val="22"/>
                <w:lang w:val="fr-FR"/>
              </w:rPr>
              <w:t xml:space="preserve">concerne </w:t>
            </w:r>
            <w:r w:rsidR="0001135D" w:rsidRPr="00B731FE">
              <w:rPr>
                <w:rFonts w:ascii="Times New Roman" w:hAnsi="Times New Roman" w:cs="Times New Roman"/>
                <w:sz w:val="22"/>
                <w:szCs w:val="22"/>
                <w:lang w:val="fr-FR"/>
              </w:rPr>
              <w:t xml:space="preserve">essentiellement </w:t>
            </w:r>
            <w:r w:rsidR="000625E6" w:rsidRPr="00B731FE">
              <w:rPr>
                <w:rFonts w:ascii="Times New Roman" w:hAnsi="Times New Roman" w:cs="Times New Roman"/>
                <w:sz w:val="22"/>
                <w:szCs w:val="22"/>
                <w:lang w:val="fr-FR"/>
              </w:rPr>
              <w:t xml:space="preserve">des </w:t>
            </w:r>
            <w:r w:rsidR="0001135D" w:rsidRPr="00B731FE">
              <w:rPr>
                <w:rFonts w:ascii="Times New Roman" w:hAnsi="Times New Roman" w:cs="Times New Roman"/>
                <w:sz w:val="22"/>
                <w:szCs w:val="22"/>
                <w:lang w:val="fr-FR"/>
              </w:rPr>
              <w:t>sommes</w:t>
            </w:r>
            <w:r w:rsidR="000625E6" w:rsidRPr="00B731FE">
              <w:rPr>
                <w:rFonts w:ascii="Times New Roman" w:hAnsi="Times New Roman" w:cs="Times New Roman"/>
                <w:sz w:val="22"/>
                <w:szCs w:val="22"/>
                <w:lang w:val="fr-FR"/>
              </w:rPr>
              <w:t xml:space="preserve"> de </w:t>
            </w:r>
            <w:r w:rsidR="00A07B16">
              <w:rPr>
                <w:rFonts w:ascii="Times New Roman" w:hAnsi="Times New Roman" w:cs="Times New Roman"/>
                <w:sz w:val="22"/>
                <w:szCs w:val="22"/>
                <w:lang w:val="fr-FR"/>
              </w:rPr>
              <w:t>US$</w:t>
            </w:r>
            <w:r w:rsidR="00A23D78" w:rsidRPr="00B731FE">
              <w:rPr>
                <w:rFonts w:ascii="Times New Roman" w:hAnsi="Times New Roman" w:cs="Times New Roman"/>
                <w:sz w:val="22"/>
                <w:szCs w:val="22"/>
                <w:lang w:val="fr-FR"/>
              </w:rPr>
              <w:t>2 millions</w:t>
            </w:r>
            <w:r w:rsidR="00526410" w:rsidRPr="00B731FE">
              <w:rPr>
                <w:rFonts w:ascii="Times New Roman" w:hAnsi="Times New Roman" w:cs="Times New Roman"/>
                <w:sz w:val="22"/>
                <w:szCs w:val="22"/>
                <w:lang w:val="fr-FR"/>
              </w:rPr>
              <w:t> </w:t>
            </w:r>
            <w:r w:rsidR="000625E6" w:rsidRPr="00B731FE">
              <w:rPr>
                <w:rFonts w:ascii="Times New Roman" w:hAnsi="Times New Roman" w:cs="Times New Roman"/>
                <w:sz w:val="22"/>
                <w:szCs w:val="22"/>
                <w:lang w:val="fr-FR"/>
              </w:rPr>
              <w:t xml:space="preserve"> et plus, ceci pour </w:t>
            </w:r>
            <w:r w:rsidR="009907B2" w:rsidRPr="00B731FE">
              <w:rPr>
                <w:rFonts w:ascii="Times New Roman" w:hAnsi="Times New Roman" w:cs="Times New Roman"/>
                <w:sz w:val="22"/>
                <w:szCs w:val="22"/>
                <w:lang w:val="fr-FR"/>
              </w:rPr>
              <w:t xml:space="preserve">des entreprises qui génèrent déjà des revenus, ce qui </w:t>
            </w:r>
            <w:r w:rsidR="0001135D" w:rsidRPr="00B731FE">
              <w:rPr>
                <w:rFonts w:ascii="Times New Roman" w:hAnsi="Times New Roman" w:cs="Times New Roman"/>
                <w:sz w:val="22"/>
                <w:szCs w:val="22"/>
                <w:lang w:val="fr-FR"/>
              </w:rPr>
              <w:t xml:space="preserve">leur </w:t>
            </w:r>
            <w:r w:rsidR="009907B2" w:rsidRPr="00B731FE">
              <w:rPr>
                <w:rFonts w:ascii="Times New Roman" w:hAnsi="Times New Roman" w:cs="Times New Roman"/>
                <w:sz w:val="22"/>
                <w:szCs w:val="22"/>
                <w:lang w:val="fr-FR"/>
              </w:rPr>
              <w:t xml:space="preserve">permet </w:t>
            </w:r>
            <w:r w:rsidR="0001135D" w:rsidRPr="00B731FE">
              <w:rPr>
                <w:rFonts w:ascii="Times New Roman" w:hAnsi="Times New Roman" w:cs="Times New Roman"/>
                <w:sz w:val="22"/>
                <w:szCs w:val="22"/>
                <w:lang w:val="fr-FR"/>
              </w:rPr>
              <w:t>de réduire les coûts de transaction et l</w:t>
            </w:r>
            <w:r w:rsidR="009907B2" w:rsidRPr="00B731FE">
              <w:rPr>
                <w:rFonts w:ascii="Times New Roman" w:hAnsi="Times New Roman" w:cs="Times New Roman"/>
                <w:sz w:val="22"/>
                <w:szCs w:val="22"/>
                <w:lang w:val="fr-FR"/>
              </w:rPr>
              <w:t xml:space="preserve">es risques généralement associés aux </w:t>
            </w:r>
            <w:r w:rsidR="0001135D" w:rsidRPr="00B731FE">
              <w:rPr>
                <w:rFonts w:ascii="Times New Roman" w:hAnsi="Times New Roman" w:cs="Times New Roman"/>
                <w:sz w:val="22"/>
                <w:szCs w:val="22"/>
                <w:lang w:val="fr-FR"/>
              </w:rPr>
              <w:t>opérations</w:t>
            </w:r>
            <w:r w:rsidR="009907B2" w:rsidRPr="00B731FE">
              <w:rPr>
                <w:rFonts w:ascii="Times New Roman" w:hAnsi="Times New Roman" w:cs="Times New Roman"/>
                <w:sz w:val="22"/>
                <w:szCs w:val="22"/>
                <w:lang w:val="fr-FR"/>
              </w:rPr>
              <w:t xml:space="preserve"> avec des entreprises plus récentes. Les Fonds qui s’intéressent au développement initial ont été stimu</w:t>
            </w:r>
            <w:r w:rsidR="003D29F0" w:rsidRPr="00B731FE">
              <w:rPr>
                <w:rFonts w:ascii="Times New Roman" w:hAnsi="Times New Roman" w:cs="Times New Roman"/>
                <w:sz w:val="22"/>
                <w:szCs w:val="22"/>
                <w:lang w:val="fr-FR"/>
              </w:rPr>
              <w:t xml:space="preserve">lés par les partenariats </w:t>
            </w:r>
            <w:r w:rsidR="0001135D" w:rsidRPr="00B731FE">
              <w:rPr>
                <w:rFonts w:ascii="Times New Roman" w:hAnsi="Times New Roman" w:cs="Times New Roman"/>
                <w:sz w:val="22"/>
                <w:szCs w:val="22"/>
                <w:lang w:val="fr-FR"/>
              </w:rPr>
              <w:t xml:space="preserve">de type </w:t>
            </w:r>
            <w:r w:rsidR="003D29F0" w:rsidRPr="00B731FE">
              <w:rPr>
                <w:rFonts w:ascii="Times New Roman" w:hAnsi="Times New Roman" w:cs="Times New Roman"/>
                <w:sz w:val="22"/>
                <w:szCs w:val="22"/>
                <w:lang w:val="fr-FR"/>
              </w:rPr>
              <w:t>public</w:t>
            </w:r>
            <w:r w:rsidR="00526410" w:rsidRPr="00B731FE">
              <w:rPr>
                <w:rFonts w:ascii="Times New Roman" w:hAnsi="Times New Roman" w:cs="Times New Roman"/>
                <w:sz w:val="22"/>
                <w:szCs w:val="22"/>
                <w:lang w:val="fr-FR"/>
              </w:rPr>
              <w:t xml:space="preserve"> </w:t>
            </w:r>
            <w:r w:rsidR="009907B2" w:rsidRPr="00B731FE">
              <w:rPr>
                <w:rFonts w:ascii="Times New Roman" w:hAnsi="Times New Roman" w:cs="Times New Roman"/>
                <w:sz w:val="22"/>
                <w:szCs w:val="22"/>
                <w:lang w:val="fr-FR"/>
              </w:rPr>
              <w:t>– privé</w:t>
            </w:r>
            <w:r w:rsidR="00526410" w:rsidRPr="00B731FE">
              <w:rPr>
                <w:rFonts w:ascii="Times New Roman" w:hAnsi="Times New Roman" w:cs="Times New Roman"/>
                <w:sz w:val="22"/>
                <w:szCs w:val="22"/>
                <w:lang w:val="fr-FR"/>
              </w:rPr>
              <w:t xml:space="preserve"> </w:t>
            </w:r>
            <w:r w:rsidR="003D29F0" w:rsidRPr="00B731FE">
              <w:rPr>
                <w:rFonts w:ascii="Times New Roman" w:hAnsi="Times New Roman" w:cs="Times New Roman"/>
                <w:sz w:val="22"/>
                <w:szCs w:val="22"/>
                <w:lang w:val="fr-FR"/>
              </w:rPr>
              <w:t>et travaillent à une plus petite échelle avec des équipes q</w:t>
            </w:r>
            <w:r w:rsidR="0001135D" w:rsidRPr="00B731FE">
              <w:rPr>
                <w:rFonts w:ascii="Times New Roman" w:hAnsi="Times New Roman" w:cs="Times New Roman"/>
                <w:sz w:val="22"/>
                <w:szCs w:val="22"/>
                <w:lang w:val="fr-FR"/>
              </w:rPr>
              <w:t>ui commencent à maîtriser les ap</w:t>
            </w:r>
            <w:r w:rsidR="003D29F0" w:rsidRPr="00B731FE">
              <w:rPr>
                <w:rFonts w:ascii="Times New Roman" w:hAnsi="Times New Roman" w:cs="Times New Roman"/>
                <w:sz w:val="22"/>
                <w:szCs w:val="22"/>
                <w:lang w:val="fr-FR"/>
              </w:rPr>
              <w:t>titudes et les compétences nécessaires à cette étape de financement.</w:t>
            </w:r>
          </w:p>
          <w:p w:rsidR="001B2C0F" w:rsidRPr="00B731FE" w:rsidRDefault="001B2C0F">
            <w:pPr>
              <w:rPr>
                <w:rFonts w:ascii="Times New Roman" w:hAnsi="Times New Roman" w:cs="Times New Roman"/>
                <w:lang w:val="fr-FR"/>
              </w:rPr>
            </w:pPr>
          </w:p>
          <w:p w:rsidR="00406419" w:rsidRPr="00B731FE" w:rsidRDefault="003D29F0">
            <w:pPr>
              <w:rPr>
                <w:rFonts w:ascii="Times New Roman" w:hAnsi="Times New Roman" w:cs="Times New Roman"/>
                <w:lang w:val="fr-FR"/>
              </w:rPr>
            </w:pPr>
            <w:r w:rsidRPr="00B731FE">
              <w:rPr>
                <w:rFonts w:ascii="Times New Roman" w:hAnsi="Times New Roman" w:cs="Times New Roman"/>
                <w:sz w:val="22"/>
                <w:szCs w:val="22"/>
                <w:lang w:val="fr-FR"/>
              </w:rPr>
              <w:t>L’écosystème marocain d’entrepreneuriat et d’innovation est en voie de développement (avec quelques incubateurs prometteurs dirigés par le secteur privé)</w:t>
            </w:r>
            <w:r w:rsidR="00526410"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 xml:space="preserve">mais il faudra davantage de soutien pour qu’il soit en mesure de générer </w:t>
            </w:r>
            <w:r w:rsidR="00AB6EDD" w:rsidRPr="00B731FE">
              <w:rPr>
                <w:rFonts w:ascii="Times New Roman" w:hAnsi="Times New Roman" w:cs="Times New Roman"/>
                <w:sz w:val="22"/>
                <w:szCs w:val="22"/>
                <w:lang w:val="fr-FR"/>
              </w:rPr>
              <w:t>la</w:t>
            </w:r>
            <w:r w:rsidRPr="00B731FE">
              <w:rPr>
                <w:rFonts w:ascii="Times New Roman" w:hAnsi="Times New Roman" w:cs="Times New Roman"/>
                <w:sz w:val="22"/>
                <w:szCs w:val="22"/>
                <w:lang w:val="fr-FR"/>
              </w:rPr>
              <w:t xml:space="preserve"> quantité et </w:t>
            </w:r>
            <w:r w:rsidR="00AB6EDD" w:rsidRPr="00B731FE">
              <w:rPr>
                <w:rFonts w:ascii="Times New Roman" w:hAnsi="Times New Roman" w:cs="Times New Roman"/>
                <w:sz w:val="22"/>
                <w:szCs w:val="22"/>
                <w:lang w:val="fr-FR"/>
              </w:rPr>
              <w:t>la</w:t>
            </w:r>
            <w:r w:rsidR="0001135D"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qualité de transaction</w:t>
            </w:r>
            <w:r w:rsidR="0001135D" w:rsidRPr="00B731FE">
              <w:rPr>
                <w:rFonts w:ascii="Times New Roman" w:hAnsi="Times New Roman" w:cs="Times New Roman"/>
                <w:sz w:val="22"/>
                <w:szCs w:val="22"/>
                <w:lang w:val="fr-FR"/>
              </w:rPr>
              <w:t>s</w:t>
            </w:r>
            <w:r w:rsidR="00AB6EDD" w:rsidRPr="00B731FE">
              <w:rPr>
                <w:rFonts w:ascii="Times New Roman" w:hAnsi="Times New Roman" w:cs="Times New Roman"/>
                <w:sz w:val="22"/>
                <w:szCs w:val="22"/>
                <w:lang w:val="fr-FR"/>
              </w:rPr>
              <w:t xml:space="preserve"> nécessaire à</w:t>
            </w:r>
            <w:r w:rsidRPr="00B731FE">
              <w:rPr>
                <w:rFonts w:ascii="Times New Roman" w:hAnsi="Times New Roman" w:cs="Times New Roman"/>
                <w:sz w:val="22"/>
                <w:szCs w:val="22"/>
                <w:lang w:val="fr-FR"/>
              </w:rPr>
              <w:t xml:space="preserve"> la communauté d’investissement</w:t>
            </w:r>
            <w:r w:rsidR="00AB6EDD" w:rsidRPr="00B731FE">
              <w:rPr>
                <w:rFonts w:ascii="Times New Roman" w:hAnsi="Times New Roman" w:cs="Times New Roman"/>
                <w:sz w:val="22"/>
                <w:szCs w:val="22"/>
                <w:lang w:val="fr-FR"/>
              </w:rPr>
              <w:t xml:space="preserve"> émergente</w:t>
            </w:r>
            <w:r w:rsidRPr="00B731FE">
              <w:rPr>
                <w:rFonts w:ascii="Times New Roman" w:hAnsi="Times New Roman" w:cs="Times New Roman"/>
                <w:sz w:val="22"/>
                <w:szCs w:val="22"/>
                <w:lang w:val="fr-FR"/>
              </w:rPr>
              <w:t xml:space="preserve">. </w:t>
            </w:r>
            <w:r w:rsidR="002256B5" w:rsidRPr="00B731FE">
              <w:rPr>
                <w:rFonts w:ascii="Times New Roman" w:hAnsi="Times New Roman" w:cs="Times New Roman"/>
                <w:sz w:val="22"/>
                <w:szCs w:val="22"/>
                <w:lang w:val="fr-FR"/>
              </w:rPr>
              <w:t xml:space="preserve">Ainsi, </w:t>
            </w:r>
            <w:r w:rsidR="00EE08D4" w:rsidRPr="00B731FE">
              <w:rPr>
                <w:rFonts w:ascii="Times New Roman" w:hAnsi="Times New Roman" w:cs="Times New Roman"/>
                <w:sz w:val="22"/>
                <w:szCs w:val="22"/>
                <w:lang w:val="fr-FR"/>
              </w:rPr>
              <w:t xml:space="preserve">même s’il </w:t>
            </w:r>
            <w:r w:rsidR="002256B5" w:rsidRPr="00B731FE">
              <w:rPr>
                <w:rFonts w:ascii="Times New Roman" w:hAnsi="Times New Roman" w:cs="Times New Roman"/>
                <w:sz w:val="22"/>
                <w:szCs w:val="22"/>
                <w:lang w:val="fr-FR"/>
              </w:rPr>
              <w:t>y aura</w:t>
            </w:r>
            <w:r w:rsidR="00EE08D4" w:rsidRPr="00B731FE">
              <w:rPr>
                <w:rFonts w:ascii="Times New Roman" w:hAnsi="Times New Roman" w:cs="Times New Roman"/>
                <w:sz w:val="22"/>
                <w:szCs w:val="22"/>
                <w:lang w:val="fr-FR"/>
              </w:rPr>
              <w:t>, en raison de l’effet de la demande</w:t>
            </w:r>
            <w:r w:rsidR="002256B5" w:rsidRPr="00B731FE">
              <w:rPr>
                <w:rFonts w:ascii="Times New Roman" w:hAnsi="Times New Roman" w:cs="Times New Roman"/>
                <w:sz w:val="22"/>
                <w:szCs w:val="22"/>
                <w:lang w:val="fr-FR"/>
              </w:rPr>
              <w:t xml:space="preserve">, </w:t>
            </w:r>
            <w:r w:rsidR="00EE08D4" w:rsidRPr="00B731FE">
              <w:rPr>
                <w:rFonts w:ascii="Times New Roman" w:hAnsi="Times New Roman" w:cs="Times New Roman"/>
                <w:sz w:val="22"/>
                <w:szCs w:val="22"/>
                <w:lang w:val="fr-FR"/>
              </w:rPr>
              <w:t xml:space="preserve">apparition d’acteurs de l’écosystème plus solides </w:t>
            </w:r>
            <w:r w:rsidR="002256B5" w:rsidRPr="00B731FE">
              <w:rPr>
                <w:rFonts w:ascii="Times New Roman" w:hAnsi="Times New Roman" w:cs="Times New Roman"/>
                <w:sz w:val="22"/>
                <w:szCs w:val="22"/>
                <w:lang w:val="fr-FR"/>
              </w:rPr>
              <w:t>avec la disponibilité accrue de fonds de développement initial,</w:t>
            </w:r>
            <w:r w:rsidR="00EE08D4" w:rsidRPr="00B731FE">
              <w:rPr>
                <w:rFonts w:ascii="Times New Roman" w:hAnsi="Times New Roman" w:cs="Times New Roman"/>
                <w:sz w:val="22"/>
                <w:szCs w:val="22"/>
                <w:lang w:val="fr-FR"/>
              </w:rPr>
              <w:t xml:space="preserve"> beaucoup reste à faire en matière de renforcement d’un système de soutien vraiment dynamique, particulièrement sur les questions d’ampleur et de qualité de l’offre. L’un des objectifs clés consisterait donc à assurer </w:t>
            </w:r>
            <w:r w:rsidR="0067600F" w:rsidRPr="00B731FE">
              <w:rPr>
                <w:rFonts w:ascii="Times New Roman" w:hAnsi="Times New Roman" w:cs="Times New Roman"/>
                <w:sz w:val="22"/>
                <w:szCs w:val="22"/>
                <w:lang w:val="fr-FR"/>
              </w:rPr>
              <w:t xml:space="preserve">un flux accru de transactions de qualité </w:t>
            </w:r>
            <w:r w:rsidR="00AB6EDD" w:rsidRPr="00B731FE">
              <w:rPr>
                <w:rFonts w:ascii="Times New Roman" w:hAnsi="Times New Roman" w:cs="Times New Roman"/>
                <w:sz w:val="22"/>
                <w:szCs w:val="22"/>
                <w:lang w:val="fr-FR"/>
              </w:rPr>
              <w:t>répondant</w:t>
            </w:r>
            <w:r w:rsidR="0067600F" w:rsidRPr="00B731FE">
              <w:rPr>
                <w:rFonts w:ascii="Times New Roman" w:hAnsi="Times New Roman" w:cs="Times New Roman"/>
                <w:sz w:val="22"/>
                <w:szCs w:val="22"/>
                <w:lang w:val="fr-FR"/>
              </w:rPr>
              <w:t xml:space="preserve"> à des idées d’affaires innovantes et prêtes pour investissement. Une fois la masse critique atteinte, il y aura </w:t>
            </w:r>
            <w:r w:rsidR="00A07B16">
              <w:rPr>
                <w:rFonts w:ascii="Times New Roman" w:hAnsi="Times New Roman" w:cs="Times New Roman"/>
                <w:sz w:val="22"/>
                <w:szCs w:val="22"/>
                <w:lang w:val="fr-FR"/>
              </w:rPr>
              <w:t xml:space="preserve">la </w:t>
            </w:r>
            <w:r w:rsidR="0067600F" w:rsidRPr="00B731FE">
              <w:rPr>
                <w:rFonts w:ascii="Times New Roman" w:hAnsi="Times New Roman" w:cs="Times New Roman"/>
                <w:sz w:val="22"/>
                <w:szCs w:val="22"/>
                <w:lang w:val="fr-FR"/>
              </w:rPr>
              <w:t xml:space="preserve">création de meilleures conditions d’assistance à la croissance et à la prospérité d’entreprises innovantes, ce qui stimulera un flux de sorties réussies, une question essentielle à considérer </w:t>
            </w:r>
            <w:r w:rsidR="00AB6EDD" w:rsidRPr="00B731FE">
              <w:rPr>
                <w:rFonts w:ascii="Times New Roman" w:hAnsi="Times New Roman" w:cs="Times New Roman"/>
                <w:sz w:val="22"/>
                <w:szCs w:val="22"/>
                <w:lang w:val="fr-FR"/>
              </w:rPr>
              <w:t>lors de</w:t>
            </w:r>
            <w:r w:rsidR="0067600F" w:rsidRPr="00B731FE">
              <w:rPr>
                <w:rFonts w:ascii="Times New Roman" w:hAnsi="Times New Roman" w:cs="Times New Roman"/>
                <w:sz w:val="22"/>
                <w:szCs w:val="22"/>
                <w:lang w:val="fr-FR"/>
              </w:rPr>
              <w:t xml:space="preserve"> la mise en place d’un écosystème solide.</w:t>
            </w:r>
          </w:p>
          <w:p w:rsidR="00406419" w:rsidRPr="00B731FE" w:rsidRDefault="00406419">
            <w:pPr>
              <w:rPr>
                <w:rFonts w:ascii="Times New Roman" w:hAnsi="Times New Roman" w:cs="Times New Roman"/>
                <w:lang w:val="fr-FR"/>
              </w:rPr>
            </w:pP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67600F">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Relation avec la stratégie d’aide pays</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CD0A23" w:rsidRPr="00B731FE" w:rsidRDefault="003632C0">
            <w:pPr>
              <w:rPr>
                <w:rFonts w:ascii="Times New Roman" w:hAnsi="Times New Roman" w:cs="Times New Roman"/>
                <w:lang w:val="fr-FR"/>
              </w:rPr>
            </w:pPr>
            <w:r w:rsidRPr="00B731FE">
              <w:rPr>
                <w:rFonts w:ascii="Times New Roman" w:hAnsi="Times New Roman" w:cs="Times New Roman"/>
                <w:sz w:val="22"/>
                <w:szCs w:val="22"/>
                <w:lang w:val="fr-FR"/>
              </w:rPr>
              <w:t xml:space="preserve">Le projet proposé est pleinement aligné sur le double objectif du Groupe de la Banque mondiale, </w:t>
            </w:r>
            <w:r w:rsidR="00A07B16">
              <w:rPr>
                <w:rFonts w:ascii="Times New Roman" w:hAnsi="Times New Roman" w:cs="Times New Roman"/>
                <w:sz w:val="22"/>
                <w:szCs w:val="22"/>
                <w:lang w:val="fr-FR"/>
              </w:rPr>
              <w:t>qui sont</w:t>
            </w:r>
            <w:r w:rsidR="00A07B16"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 xml:space="preserve">de mettre fin à la pauvreté extrême et de </w:t>
            </w:r>
            <w:r w:rsidR="006D3352" w:rsidRPr="00B731FE">
              <w:rPr>
                <w:rFonts w:ascii="Times New Roman" w:hAnsi="Times New Roman" w:cs="Times New Roman"/>
                <w:sz w:val="22"/>
                <w:szCs w:val="22"/>
                <w:lang w:val="fr-FR"/>
              </w:rPr>
              <w:t>stimuler la croissance partagée. Il</w:t>
            </w:r>
            <w:r w:rsidRPr="00B731FE">
              <w:rPr>
                <w:rFonts w:ascii="Times New Roman" w:hAnsi="Times New Roman" w:cs="Times New Roman"/>
                <w:sz w:val="22"/>
                <w:szCs w:val="22"/>
                <w:lang w:val="fr-FR"/>
              </w:rPr>
              <w:t xml:space="preserve"> respecte</w:t>
            </w:r>
            <w:r w:rsidR="006D3352"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la</w:t>
            </w:r>
            <w:r w:rsidR="002918C3" w:rsidRPr="00B731FE">
              <w:rPr>
                <w:rFonts w:ascii="Times New Roman" w:hAnsi="Times New Roman" w:cs="Times New Roman"/>
                <w:sz w:val="22"/>
                <w:szCs w:val="22"/>
                <w:lang w:val="fr-FR"/>
              </w:rPr>
              <w:t xml:space="preserve"> Stratégie d’</w:t>
            </w:r>
            <w:r w:rsidR="00A07B16">
              <w:rPr>
                <w:rFonts w:ascii="Times New Roman" w:hAnsi="Times New Roman" w:cs="Times New Roman"/>
                <w:sz w:val="22"/>
                <w:szCs w:val="22"/>
                <w:lang w:val="fr-FR"/>
              </w:rPr>
              <w:t>I</w:t>
            </w:r>
            <w:r w:rsidR="002918C3" w:rsidRPr="00B731FE">
              <w:rPr>
                <w:rFonts w:ascii="Times New Roman" w:hAnsi="Times New Roman" w:cs="Times New Roman"/>
                <w:sz w:val="22"/>
                <w:szCs w:val="22"/>
                <w:lang w:val="fr-FR"/>
              </w:rPr>
              <w:t xml:space="preserve">nclusion </w:t>
            </w:r>
            <w:r w:rsidR="00A07B16">
              <w:rPr>
                <w:rFonts w:ascii="Times New Roman" w:hAnsi="Times New Roman" w:cs="Times New Roman"/>
                <w:sz w:val="22"/>
                <w:szCs w:val="22"/>
                <w:lang w:val="fr-FR"/>
              </w:rPr>
              <w:t>F</w:t>
            </w:r>
            <w:r w:rsidR="002918C3" w:rsidRPr="00B731FE">
              <w:rPr>
                <w:rFonts w:ascii="Times New Roman" w:hAnsi="Times New Roman" w:cs="Times New Roman"/>
                <w:sz w:val="22"/>
                <w:szCs w:val="22"/>
                <w:lang w:val="fr-FR"/>
              </w:rPr>
              <w:t>inancière de</w:t>
            </w:r>
            <w:r w:rsidR="00AB4FAE">
              <w:rPr>
                <w:rFonts w:ascii="Times New Roman" w:hAnsi="Times New Roman" w:cs="Times New Roman"/>
                <w:sz w:val="22"/>
                <w:szCs w:val="22"/>
                <w:lang w:val="fr-FR"/>
              </w:rPr>
              <w:t xml:space="preserve"> la Banque Mondiale</w:t>
            </w:r>
            <w:r w:rsidR="00010C0A">
              <w:rPr>
                <w:rFonts w:ascii="Times New Roman" w:hAnsi="Times New Roman" w:cs="Times New Roman"/>
                <w:sz w:val="22"/>
                <w:szCs w:val="22"/>
                <w:lang w:val="fr-FR"/>
              </w:rPr>
              <w:t>.</w:t>
            </w:r>
            <w:r w:rsidR="002918C3" w:rsidRPr="00B731FE">
              <w:rPr>
                <w:rFonts w:ascii="Times New Roman" w:hAnsi="Times New Roman" w:cs="Times New Roman"/>
                <w:sz w:val="22"/>
                <w:szCs w:val="22"/>
                <w:lang w:val="fr-FR"/>
              </w:rPr>
              <w:t xml:space="preserve"> </w:t>
            </w:r>
            <w:r w:rsidR="00A07B16">
              <w:rPr>
                <w:rFonts w:ascii="Times New Roman" w:hAnsi="Times New Roman" w:cs="Times New Roman"/>
                <w:sz w:val="22"/>
                <w:szCs w:val="22"/>
                <w:lang w:val="fr-FR"/>
              </w:rPr>
              <w:t>.</w:t>
            </w:r>
            <w:r w:rsidR="002918C3" w:rsidRPr="00B731FE">
              <w:rPr>
                <w:rFonts w:ascii="Times New Roman" w:hAnsi="Times New Roman" w:cs="Times New Roman"/>
                <w:sz w:val="22"/>
                <w:szCs w:val="22"/>
                <w:lang w:val="fr-FR"/>
              </w:rPr>
              <w:t xml:space="preserve"> En favorisant l’accès au crédit par des entrepreneurs et entreprises actuellement desservis par les systèmes traditionnels de prêt, le projet proposé élargira </w:t>
            </w:r>
            <w:r w:rsidR="006A5AC3" w:rsidRPr="00B731FE">
              <w:rPr>
                <w:rFonts w:ascii="Times New Roman" w:hAnsi="Times New Roman" w:cs="Times New Roman"/>
                <w:sz w:val="22"/>
                <w:szCs w:val="22"/>
                <w:lang w:val="fr-FR"/>
              </w:rPr>
              <w:t xml:space="preserve">la </w:t>
            </w:r>
            <w:r w:rsidR="006A5AC3" w:rsidRPr="00B731FE">
              <w:rPr>
                <w:rFonts w:ascii="Times New Roman" w:hAnsi="Times New Roman" w:cs="Times New Roman"/>
                <w:sz w:val="22"/>
                <w:szCs w:val="22"/>
                <w:lang w:val="fr-FR"/>
              </w:rPr>
              <w:lastRenderedPageBreak/>
              <w:t>gamme des opportunités qui leur sont offertes</w:t>
            </w:r>
            <w:r w:rsidR="006D3352" w:rsidRPr="00B731FE">
              <w:rPr>
                <w:rFonts w:ascii="Times New Roman" w:hAnsi="Times New Roman" w:cs="Times New Roman"/>
                <w:sz w:val="22"/>
                <w:szCs w:val="22"/>
                <w:lang w:val="fr-FR"/>
              </w:rPr>
              <w:t>,</w:t>
            </w:r>
            <w:r w:rsidR="006A5AC3" w:rsidRPr="00B731FE">
              <w:rPr>
                <w:rFonts w:ascii="Times New Roman" w:hAnsi="Times New Roman" w:cs="Times New Roman"/>
                <w:sz w:val="22"/>
                <w:szCs w:val="22"/>
                <w:lang w:val="fr-FR"/>
              </w:rPr>
              <w:t xml:space="preserve"> </w:t>
            </w:r>
            <w:r w:rsidR="006D3352" w:rsidRPr="00B731FE">
              <w:rPr>
                <w:rFonts w:ascii="Times New Roman" w:hAnsi="Times New Roman" w:cs="Times New Roman"/>
                <w:sz w:val="22"/>
                <w:szCs w:val="22"/>
                <w:lang w:val="fr-FR"/>
              </w:rPr>
              <w:t>ce qui favorisera les</w:t>
            </w:r>
            <w:r w:rsidR="006A5AC3" w:rsidRPr="00B731FE">
              <w:rPr>
                <w:rFonts w:ascii="Times New Roman" w:hAnsi="Times New Roman" w:cs="Times New Roman"/>
                <w:sz w:val="22"/>
                <w:szCs w:val="22"/>
                <w:lang w:val="fr-FR"/>
              </w:rPr>
              <w:t xml:space="preserve"> gains économiques, </w:t>
            </w:r>
            <w:r w:rsidR="006D3352" w:rsidRPr="00B731FE">
              <w:rPr>
                <w:rFonts w:ascii="Times New Roman" w:hAnsi="Times New Roman" w:cs="Times New Roman"/>
                <w:sz w:val="22"/>
                <w:szCs w:val="22"/>
                <w:lang w:val="fr-FR"/>
              </w:rPr>
              <w:t>la</w:t>
            </w:r>
            <w:r w:rsidR="006A5AC3" w:rsidRPr="00B731FE">
              <w:rPr>
                <w:rFonts w:ascii="Times New Roman" w:hAnsi="Times New Roman" w:cs="Times New Roman"/>
                <w:sz w:val="22"/>
                <w:szCs w:val="22"/>
                <w:lang w:val="fr-FR"/>
              </w:rPr>
              <w:t xml:space="preserve"> lutte contre la pauvreté et/ou le risque de pauvreté et </w:t>
            </w:r>
            <w:r w:rsidR="006D3352" w:rsidRPr="00B731FE">
              <w:rPr>
                <w:rFonts w:ascii="Times New Roman" w:hAnsi="Times New Roman" w:cs="Times New Roman"/>
                <w:sz w:val="22"/>
                <w:szCs w:val="22"/>
                <w:lang w:val="fr-FR"/>
              </w:rPr>
              <w:t>l’accroissement de la prospérité. Le projet</w:t>
            </w:r>
            <w:r w:rsidR="006A5AC3" w:rsidRPr="00B731FE">
              <w:rPr>
                <w:rFonts w:ascii="Times New Roman" w:hAnsi="Times New Roman" w:cs="Times New Roman"/>
                <w:sz w:val="22"/>
                <w:szCs w:val="22"/>
                <w:lang w:val="fr-FR"/>
              </w:rPr>
              <w:t xml:space="preserve"> </w:t>
            </w:r>
            <w:r w:rsidR="00A07B16">
              <w:rPr>
                <w:rFonts w:ascii="Times New Roman" w:hAnsi="Times New Roman" w:cs="Times New Roman"/>
                <w:sz w:val="22"/>
                <w:szCs w:val="22"/>
                <w:lang w:val="fr-FR"/>
              </w:rPr>
              <w:t>correspond aussi avec</w:t>
            </w:r>
            <w:r w:rsidR="006A5AC3" w:rsidRPr="00B731FE">
              <w:rPr>
                <w:rFonts w:ascii="Times New Roman" w:hAnsi="Times New Roman" w:cs="Times New Roman"/>
                <w:sz w:val="22"/>
                <w:szCs w:val="22"/>
                <w:lang w:val="fr-FR"/>
              </w:rPr>
              <w:t xml:space="preserve"> la Stratégie </w:t>
            </w:r>
            <w:r w:rsidR="00A07B16">
              <w:rPr>
                <w:rFonts w:ascii="Times New Roman" w:hAnsi="Times New Roman" w:cs="Times New Roman"/>
                <w:sz w:val="22"/>
                <w:szCs w:val="22"/>
                <w:lang w:val="fr-FR"/>
              </w:rPr>
              <w:t xml:space="preserve">de la </w:t>
            </w:r>
            <w:r w:rsidR="006A5AC3" w:rsidRPr="00B731FE">
              <w:rPr>
                <w:rFonts w:ascii="Times New Roman" w:hAnsi="Times New Roman" w:cs="Times New Roman"/>
                <w:sz w:val="22"/>
                <w:szCs w:val="22"/>
                <w:lang w:val="fr-FR"/>
              </w:rPr>
              <w:t>Groupe de la Banque mondiale</w:t>
            </w:r>
            <w:r w:rsidR="00A07B16">
              <w:rPr>
                <w:rFonts w:ascii="Times New Roman" w:hAnsi="Times New Roman" w:cs="Times New Roman"/>
                <w:sz w:val="22"/>
                <w:szCs w:val="22"/>
                <w:lang w:val="fr-FR"/>
              </w:rPr>
              <w:t xml:space="preserve"> </w:t>
            </w:r>
            <w:r w:rsidR="00A07B16" w:rsidRPr="00B731FE">
              <w:rPr>
                <w:rFonts w:ascii="Times New Roman" w:hAnsi="Times New Roman" w:cs="Times New Roman"/>
                <w:sz w:val="22"/>
                <w:szCs w:val="22"/>
                <w:lang w:val="fr-FR"/>
              </w:rPr>
              <w:t>pour la région MENA</w:t>
            </w:r>
            <w:r w:rsidR="006A5AC3" w:rsidRPr="00B731FE">
              <w:rPr>
                <w:rFonts w:ascii="Times New Roman" w:hAnsi="Times New Roman" w:cs="Times New Roman"/>
                <w:sz w:val="22"/>
                <w:szCs w:val="22"/>
                <w:lang w:val="fr-FR"/>
              </w:rPr>
              <w:t>, notamment son objectif élargi de promotion du développement d’un secteur privé dynamique pour la création d’emplois.</w:t>
            </w:r>
          </w:p>
          <w:p w:rsidR="00CD0A23" w:rsidRPr="00B731FE" w:rsidRDefault="00CD0A23">
            <w:pPr>
              <w:rPr>
                <w:rFonts w:ascii="Times New Roman" w:hAnsi="Times New Roman" w:cs="Times New Roman"/>
                <w:lang w:val="fr-FR"/>
              </w:rPr>
            </w:pPr>
          </w:p>
          <w:p w:rsidR="00406419" w:rsidRPr="00B731FE" w:rsidRDefault="006A5AC3" w:rsidP="007A0D2B">
            <w:pPr>
              <w:rPr>
                <w:rFonts w:ascii="Times New Roman" w:hAnsi="Times New Roman" w:cs="Times New Roman"/>
                <w:lang w:val="fr-FR"/>
              </w:rPr>
            </w:pPr>
            <w:r w:rsidRPr="00B731FE">
              <w:rPr>
                <w:rFonts w:ascii="Times New Roman" w:hAnsi="Times New Roman" w:cs="Times New Roman"/>
                <w:sz w:val="22"/>
                <w:szCs w:val="22"/>
                <w:lang w:val="fr-FR"/>
              </w:rPr>
              <w:t xml:space="preserve">Selon la </w:t>
            </w:r>
            <w:r w:rsidR="00A07B16">
              <w:rPr>
                <w:rFonts w:ascii="Times New Roman" w:hAnsi="Times New Roman" w:cs="Times New Roman"/>
                <w:sz w:val="22"/>
                <w:szCs w:val="22"/>
                <w:lang w:val="fr-FR"/>
              </w:rPr>
              <w:t xml:space="preserve">Cadre de </w:t>
            </w:r>
            <w:r w:rsidR="007A0D2B">
              <w:rPr>
                <w:rFonts w:ascii="Times New Roman" w:hAnsi="Times New Roman" w:cs="Times New Roman"/>
                <w:sz w:val="22"/>
                <w:szCs w:val="22"/>
                <w:lang w:val="fr-FR"/>
              </w:rPr>
              <w:t>Partenariat</w:t>
            </w:r>
            <w:r w:rsidR="00A07B16">
              <w:rPr>
                <w:rFonts w:ascii="Times New Roman" w:hAnsi="Times New Roman" w:cs="Times New Roman"/>
                <w:sz w:val="22"/>
                <w:szCs w:val="22"/>
                <w:lang w:val="fr-FR"/>
              </w:rPr>
              <w:t xml:space="preserve"> </w:t>
            </w:r>
            <w:r w:rsidR="007A0D2B">
              <w:rPr>
                <w:rFonts w:ascii="Times New Roman" w:hAnsi="Times New Roman" w:cs="Times New Roman"/>
                <w:sz w:val="22"/>
                <w:szCs w:val="22"/>
                <w:lang w:val="fr-FR"/>
              </w:rPr>
              <w:t>Stratégique</w:t>
            </w:r>
            <w:r w:rsidRPr="00B731FE">
              <w:rPr>
                <w:rFonts w:ascii="Times New Roman" w:hAnsi="Times New Roman" w:cs="Times New Roman"/>
                <w:sz w:val="22"/>
                <w:szCs w:val="22"/>
                <w:lang w:val="fr-FR"/>
              </w:rPr>
              <w:t xml:space="preserve"> pour le Maroc pour </w:t>
            </w:r>
            <w:r w:rsidR="007A0D2B">
              <w:rPr>
                <w:rFonts w:ascii="Times New Roman" w:hAnsi="Times New Roman" w:cs="Times New Roman"/>
                <w:sz w:val="22"/>
                <w:szCs w:val="22"/>
                <w:lang w:val="fr-FR"/>
              </w:rPr>
              <w:t>FY</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2014 – 2017, le pays devra, pour atteindre de plus fort taux de croissance, procéder à une transformation structurelle de son économie</w:t>
            </w:r>
            <w:r w:rsidR="006D3352" w:rsidRPr="00B731FE">
              <w:rPr>
                <w:rFonts w:ascii="Times New Roman" w:hAnsi="Times New Roman" w:cs="Times New Roman"/>
                <w:sz w:val="22"/>
                <w:szCs w:val="22"/>
                <w:lang w:val="fr-FR"/>
              </w:rPr>
              <w:t>, notamment en mettant l’</w:t>
            </w:r>
            <w:r w:rsidRPr="00B731FE">
              <w:rPr>
                <w:rFonts w:ascii="Times New Roman" w:hAnsi="Times New Roman" w:cs="Times New Roman"/>
                <w:sz w:val="22"/>
                <w:szCs w:val="22"/>
                <w:lang w:val="fr-FR"/>
              </w:rPr>
              <w:t>accent sur l’élargissement des opportunités économiques.</w:t>
            </w:r>
            <w:r w:rsidR="00F200F4" w:rsidRPr="00B731FE">
              <w:rPr>
                <w:rFonts w:ascii="Times New Roman" w:hAnsi="Times New Roman" w:cs="Times New Roman"/>
                <w:sz w:val="22"/>
                <w:szCs w:val="22"/>
                <w:lang w:val="fr-FR"/>
              </w:rPr>
              <w:t xml:space="preserve"> Il faudra pour cela un meilleur environnement d’affaires, y compris un secteur financier qui dessert de façon plus appropriée les entreprises récentes et de plus petite taille. De façon plus spécifique, le projet proposé satisfai</w:t>
            </w:r>
            <w:r w:rsidR="00704BD5" w:rsidRPr="00B731FE">
              <w:rPr>
                <w:rFonts w:ascii="Times New Roman" w:hAnsi="Times New Roman" w:cs="Times New Roman"/>
                <w:sz w:val="22"/>
                <w:szCs w:val="22"/>
                <w:lang w:val="fr-FR"/>
              </w:rPr>
              <w:t>t</w:t>
            </w:r>
            <w:r w:rsidR="00F200F4" w:rsidRPr="00B731FE">
              <w:rPr>
                <w:rFonts w:ascii="Times New Roman" w:hAnsi="Times New Roman" w:cs="Times New Roman"/>
                <w:sz w:val="22"/>
                <w:szCs w:val="22"/>
                <w:lang w:val="fr-FR"/>
              </w:rPr>
              <w:t xml:space="preserve"> à plusieurs des résultats stratégiques proposés </w:t>
            </w:r>
            <w:r w:rsidR="00704BD5" w:rsidRPr="00B731FE">
              <w:rPr>
                <w:rFonts w:ascii="Times New Roman" w:hAnsi="Times New Roman" w:cs="Times New Roman"/>
                <w:sz w:val="22"/>
                <w:szCs w:val="22"/>
                <w:lang w:val="fr-FR"/>
              </w:rPr>
              <w:t xml:space="preserve">par </w:t>
            </w:r>
            <w:r w:rsidR="007A0D2B">
              <w:rPr>
                <w:rFonts w:ascii="Times New Roman" w:hAnsi="Times New Roman" w:cs="Times New Roman"/>
                <w:sz w:val="22"/>
                <w:szCs w:val="22"/>
                <w:lang w:val="fr-FR"/>
              </w:rPr>
              <w:t>la Cadre de Partenariat Stratégique</w:t>
            </w:r>
            <w:r w:rsidR="007A0D2B" w:rsidRPr="00B731FE">
              <w:rPr>
                <w:rFonts w:ascii="Times New Roman" w:hAnsi="Times New Roman" w:cs="Times New Roman"/>
                <w:sz w:val="22"/>
                <w:szCs w:val="22"/>
                <w:lang w:val="fr-FR"/>
              </w:rPr>
              <w:t xml:space="preserve"> </w:t>
            </w:r>
            <w:r w:rsidR="00F200F4" w:rsidRPr="00B731FE">
              <w:rPr>
                <w:rFonts w:ascii="Times New Roman" w:hAnsi="Times New Roman" w:cs="Times New Roman"/>
                <w:sz w:val="22"/>
                <w:szCs w:val="22"/>
                <w:lang w:val="fr-FR"/>
              </w:rPr>
              <w:t>, notamment</w:t>
            </w:r>
            <w:r w:rsidR="00526410" w:rsidRPr="00B731FE">
              <w:rPr>
                <w:rFonts w:ascii="Times New Roman" w:hAnsi="Times New Roman" w:cs="Times New Roman"/>
                <w:sz w:val="22"/>
                <w:szCs w:val="22"/>
                <w:lang w:val="fr-FR"/>
              </w:rPr>
              <w:t> </w:t>
            </w:r>
            <w:r w:rsidR="00F200F4" w:rsidRPr="00B731FE">
              <w:rPr>
                <w:rFonts w:ascii="Times New Roman" w:hAnsi="Times New Roman" w:cs="Times New Roman"/>
                <w:sz w:val="22"/>
                <w:szCs w:val="22"/>
                <w:lang w:val="fr-FR"/>
              </w:rPr>
              <w:t>: l’amélioration de l’environnement d’affaires, y compris l’instauration d’un cadre institutionnel plus favorable à l’entrée de nouvelles entreprises, la facilitation du commerce et le développement des PME (1</w:t>
            </w:r>
            <w:r w:rsidR="00526410" w:rsidRPr="00B731FE">
              <w:rPr>
                <w:rFonts w:ascii="Times New Roman" w:hAnsi="Times New Roman" w:cs="Times New Roman"/>
                <w:sz w:val="22"/>
                <w:szCs w:val="22"/>
                <w:lang w:val="fr-FR"/>
              </w:rPr>
              <w:t>,</w:t>
            </w:r>
            <w:r w:rsidR="00F200F4" w:rsidRPr="00B731FE">
              <w:rPr>
                <w:rFonts w:ascii="Times New Roman" w:hAnsi="Times New Roman" w:cs="Times New Roman"/>
                <w:sz w:val="22"/>
                <w:szCs w:val="22"/>
                <w:lang w:val="fr-FR"/>
              </w:rPr>
              <w:t>1)</w:t>
            </w:r>
            <w:r w:rsidR="00526410" w:rsidRPr="00B731FE">
              <w:rPr>
                <w:rFonts w:ascii="Times New Roman" w:hAnsi="Times New Roman" w:cs="Times New Roman"/>
                <w:sz w:val="22"/>
                <w:szCs w:val="22"/>
                <w:lang w:val="fr-FR"/>
              </w:rPr>
              <w:t> </w:t>
            </w:r>
            <w:r w:rsidR="00F200F4" w:rsidRPr="00B731FE">
              <w:rPr>
                <w:rFonts w:ascii="Times New Roman" w:hAnsi="Times New Roman" w:cs="Times New Roman"/>
                <w:sz w:val="22"/>
                <w:szCs w:val="22"/>
                <w:lang w:val="fr-FR"/>
              </w:rPr>
              <w:t>;</w:t>
            </w:r>
            <w:r w:rsidR="00704BD5" w:rsidRPr="00B731FE">
              <w:rPr>
                <w:rFonts w:ascii="Times New Roman" w:hAnsi="Times New Roman" w:cs="Times New Roman"/>
                <w:sz w:val="22"/>
                <w:szCs w:val="22"/>
                <w:lang w:val="fr-FR"/>
              </w:rPr>
              <w:t xml:space="preserve"> et,</w:t>
            </w:r>
            <w:r w:rsidR="00F200F4" w:rsidRPr="00B731FE">
              <w:rPr>
                <w:rFonts w:ascii="Times New Roman" w:hAnsi="Times New Roman" w:cs="Times New Roman"/>
                <w:sz w:val="22"/>
                <w:szCs w:val="22"/>
                <w:lang w:val="fr-FR"/>
              </w:rPr>
              <w:t xml:space="preserve"> </w:t>
            </w:r>
            <w:r w:rsidR="00704BD5" w:rsidRPr="00B731FE">
              <w:rPr>
                <w:rFonts w:ascii="Times New Roman" w:hAnsi="Times New Roman" w:cs="Times New Roman"/>
                <w:sz w:val="22"/>
                <w:szCs w:val="22"/>
                <w:lang w:val="fr-FR"/>
              </w:rPr>
              <w:t xml:space="preserve">un meilleur </w:t>
            </w:r>
            <w:r w:rsidR="00F200F4" w:rsidRPr="00B731FE">
              <w:rPr>
                <w:rFonts w:ascii="Times New Roman" w:hAnsi="Times New Roman" w:cs="Times New Roman"/>
                <w:sz w:val="22"/>
                <w:szCs w:val="22"/>
                <w:lang w:val="fr-FR"/>
              </w:rPr>
              <w:t xml:space="preserve">accès </w:t>
            </w:r>
            <w:r w:rsidR="001D4D67" w:rsidRPr="00B731FE">
              <w:rPr>
                <w:rFonts w:ascii="Times New Roman" w:hAnsi="Times New Roman" w:cs="Times New Roman"/>
                <w:sz w:val="22"/>
                <w:szCs w:val="22"/>
                <w:lang w:val="fr-FR"/>
              </w:rPr>
              <w:t xml:space="preserve">au crédit </w:t>
            </w:r>
            <w:r w:rsidR="00704BD5" w:rsidRPr="00B731FE">
              <w:rPr>
                <w:rFonts w:ascii="Times New Roman" w:hAnsi="Times New Roman" w:cs="Times New Roman"/>
                <w:sz w:val="22"/>
                <w:szCs w:val="22"/>
                <w:lang w:val="fr-FR"/>
              </w:rPr>
              <w:t>par les</w:t>
            </w:r>
            <w:r w:rsidR="001D4D67" w:rsidRPr="00B731FE">
              <w:rPr>
                <w:rFonts w:ascii="Times New Roman" w:hAnsi="Times New Roman" w:cs="Times New Roman"/>
                <w:sz w:val="22"/>
                <w:szCs w:val="22"/>
                <w:lang w:val="fr-FR"/>
              </w:rPr>
              <w:t xml:space="preserve"> micros, petites et jeunes entreprises, </w:t>
            </w:r>
            <w:r w:rsidR="00704BD5" w:rsidRPr="00B731FE">
              <w:rPr>
                <w:rFonts w:ascii="Times New Roman" w:hAnsi="Times New Roman" w:cs="Times New Roman"/>
                <w:sz w:val="22"/>
                <w:szCs w:val="22"/>
                <w:lang w:val="fr-FR"/>
              </w:rPr>
              <w:t>qui sont</w:t>
            </w:r>
            <w:r w:rsidR="001D4D67" w:rsidRPr="00B731FE">
              <w:rPr>
                <w:rFonts w:ascii="Times New Roman" w:hAnsi="Times New Roman" w:cs="Times New Roman"/>
                <w:sz w:val="22"/>
                <w:szCs w:val="22"/>
                <w:lang w:val="fr-FR"/>
              </w:rPr>
              <w:t xml:space="preserve"> essentiellement composé</w:t>
            </w:r>
            <w:r w:rsidR="00704BD5" w:rsidRPr="00B731FE">
              <w:rPr>
                <w:rFonts w:ascii="Times New Roman" w:hAnsi="Times New Roman" w:cs="Times New Roman"/>
                <w:sz w:val="22"/>
                <w:szCs w:val="22"/>
                <w:lang w:val="fr-FR"/>
              </w:rPr>
              <w:t>es</w:t>
            </w:r>
            <w:r w:rsidR="001D4D67" w:rsidRPr="00B731FE">
              <w:rPr>
                <w:rFonts w:ascii="Times New Roman" w:hAnsi="Times New Roman" w:cs="Times New Roman"/>
                <w:sz w:val="22"/>
                <w:szCs w:val="22"/>
                <w:lang w:val="fr-FR"/>
              </w:rPr>
              <w:t xml:space="preserve"> de jeunes et de femmes sous desservis en termes d’opportunités d’emploi, de soutien non financier et d’accès au crédit commercial (1</w:t>
            </w:r>
            <w:r w:rsidR="00526410" w:rsidRPr="00B731FE">
              <w:rPr>
                <w:rFonts w:ascii="Times New Roman" w:hAnsi="Times New Roman" w:cs="Times New Roman"/>
                <w:sz w:val="22"/>
                <w:szCs w:val="22"/>
                <w:lang w:val="fr-FR"/>
              </w:rPr>
              <w:t>,</w:t>
            </w:r>
            <w:r w:rsidR="001D4D67" w:rsidRPr="00B731FE">
              <w:rPr>
                <w:rFonts w:ascii="Times New Roman" w:hAnsi="Times New Roman" w:cs="Times New Roman"/>
                <w:sz w:val="22"/>
                <w:szCs w:val="22"/>
                <w:lang w:val="fr-FR"/>
              </w:rPr>
              <w:t>2). Le projet s’insère également dans le programme</w:t>
            </w:r>
            <w:r w:rsidR="00526410" w:rsidRPr="00B731FE">
              <w:rPr>
                <w:rFonts w:ascii="Times New Roman" w:hAnsi="Times New Roman" w:cs="Times New Roman"/>
                <w:sz w:val="22"/>
                <w:szCs w:val="22"/>
                <w:lang w:val="fr-FR"/>
              </w:rPr>
              <w:t> </w:t>
            </w:r>
            <w:r w:rsidR="00704BD5" w:rsidRPr="00B731FE">
              <w:rPr>
                <w:rFonts w:ascii="Times New Roman" w:hAnsi="Times New Roman" w:cs="Times New Roman"/>
                <w:sz w:val="22"/>
                <w:szCs w:val="22"/>
                <w:lang w:val="fr-FR"/>
              </w:rPr>
              <w:t>2012 – 2016 du G</w:t>
            </w:r>
            <w:r w:rsidR="001D4D67" w:rsidRPr="00B731FE">
              <w:rPr>
                <w:rFonts w:ascii="Times New Roman" w:hAnsi="Times New Roman" w:cs="Times New Roman"/>
                <w:sz w:val="22"/>
                <w:szCs w:val="22"/>
                <w:lang w:val="fr-FR"/>
              </w:rPr>
              <w:t>ouvernement du Maroc, qui établit spécifiquement comme cible «</w:t>
            </w:r>
            <w:r w:rsidR="00526410" w:rsidRPr="00B731FE">
              <w:rPr>
                <w:rFonts w:ascii="Times New Roman" w:hAnsi="Times New Roman" w:cs="Times New Roman"/>
                <w:sz w:val="22"/>
                <w:szCs w:val="22"/>
                <w:lang w:val="fr-FR"/>
              </w:rPr>
              <w:t> </w:t>
            </w:r>
            <w:r w:rsidR="001D4D67" w:rsidRPr="00B731FE">
              <w:rPr>
                <w:rFonts w:ascii="Times New Roman" w:hAnsi="Times New Roman" w:cs="Times New Roman"/>
                <w:sz w:val="22"/>
                <w:szCs w:val="22"/>
                <w:lang w:val="fr-FR"/>
              </w:rPr>
              <w:t>un soutien plus important aux PME</w:t>
            </w:r>
            <w:r w:rsidR="00526410" w:rsidRPr="00B731FE">
              <w:rPr>
                <w:rFonts w:ascii="Times New Roman" w:hAnsi="Times New Roman" w:cs="Times New Roman"/>
                <w:sz w:val="22"/>
                <w:szCs w:val="22"/>
                <w:lang w:val="fr-FR"/>
              </w:rPr>
              <w:t> </w:t>
            </w:r>
            <w:r w:rsidR="001D4D67" w:rsidRPr="00B731FE">
              <w:rPr>
                <w:rFonts w:ascii="Times New Roman" w:hAnsi="Times New Roman" w:cs="Times New Roman"/>
                <w:sz w:val="22"/>
                <w:szCs w:val="22"/>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lastRenderedPageBreak/>
              <w:t>.</w:t>
            </w:r>
          </w:p>
        </w:tc>
      </w:tr>
      <w:tr w:rsidR="00406419" w:rsidRPr="008F6877">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rsidP="001D4D67">
            <w:pPr>
              <w:rPr>
                <w:rFonts w:ascii="Times New Roman" w:hAnsi="Times New Roman" w:cs="Times New Roman"/>
                <w:lang w:val="fr-FR"/>
              </w:rPr>
            </w:pPr>
            <w:r w:rsidRPr="00B731FE">
              <w:rPr>
                <w:rFonts w:ascii="Times New Roman" w:hAnsi="Times New Roman" w:cs="Times New Roman"/>
                <w:b/>
                <w:bCs/>
                <w:lang w:val="fr-FR"/>
              </w:rPr>
              <w:t>II.</w:t>
            </w:r>
            <w:r w:rsidR="001D4D67" w:rsidRPr="00B731FE">
              <w:rPr>
                <w:rFonts w:ascii="Times New Roman" w:hAnsi="Times New Roman" w:cs="Times New Roman"/>
                <w:b/>
                <w:bCs/>
                <w:lang w:val="fr-FR"/>
              </w:rPr>
              <w:t xml:space="preserve"> Objectifs de développement proposé </w:t>
            </w:r>
            <w:r w:rsidRPr="00B731FE">
              <w:rPr>
                <w:rFonts w:ascii="Times New Roman" w:hAnsi="Times New Roman" w:cs="Times New Roman"/>
                <w:b/>
                <w:bCs/>
                <w:lang w:val="fr-FR"/>
              </w:rPr>
              <w:t>(s)</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A6D37" w:rsidP="004A6D37">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 xml:space="preserve">Objectif de développement du projet </w:t>
            </w:r>
            <w:r w:rsidR="00406419" w:rsidRPr="00B731FE">
              <w:rPr>
                <w:rFonts w:ascii="Times New Roman" w:hAnsi="Times New Roman" w:cs="Times New Roman"/>
                <w:color w:val="314F4F"/>
                <w:sz w:val="22"/>
                <w:szCs w:val="22"/>
                <w:lang w:val="fr-FR"/>
              </w:rPr>
              <w:t>(</w:t>
            </w:r>
            <w:r w:rsidRPr="00B731FE">
              <w:rPr>
                <w:rFonts w:ascii="Times New Roman" w:hAnsi="Times New Roman" w:cs="Times New Roman"/>
                <w:color w:val="314F4F"/>
                <w:sz w:val="22"/>
                <w:szCs w:val="22"/>
                <w:lang w:val="fr-FR"/>
              </w:rPr>
              <w:t>depuis le</w:t>
            </w:r>
            <w:r w:rsidR="00406419" w:rsidRPr="00B731FE">
              <w:rPr>
                <w:rFonts w:ascii="Times New Roman" w:hAnsi="Times New Roman" w:cs="Times New Roman"/>
                <w:color w:val="314F4F"/>
                <w:sz w:val="22"/>
                <w:szCs w:val="22"/>
                <w:lang w:val="fr-FR"/>
              </w:rPr>
              <w:t xml:space="preserve"> PCN)</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510558" w:rsidP="007A0D2B">
            <w:pPr>
              <w:rPr>
                <w:rFonts w:ascii="Times New Roman" w:hAnsi="Times New Roman" w:cs="Times New Roman"/>
                <w:lang w:val="fr-FR"/>
              </w:rPr>
            </w:pPr>
            <w:r w:rsidRPr="00B731FE">
              <w:rPr>
                <w:rFonts w:ascii="Times New Roman" w:hAnsi="Times New Roman" w:cs="Times New Roman"/>
                <w:sz w:val="22"/>
                <w:szCs w:val="22"/>
                <w:lang w:val="fr-FR"/>
              </w:rPr>
              <w:t>L’objectif de</w:t>
            </w:r>
            <w:r w:rsidR="00704BD5" w:rsidRPr="00B731FE">
              <w:rPr>
                <w:rFonts w:ascii="Times New Roman" w:hAnsi="Times New Roman" w:cs="Times New Roman"/>
                <w:sz w:val="22"/>
                <w:szCs w:val="22"/>
                <w:lang w:val="fr-FR"/>
              </w:rPr>
              <w:t xml:space="preserve"> développement du Projet est d’</w:t>
            </w:r>
            <w:r w:rsidR="007A0D2B">
              <w:rPr>
                <w:rFonts w:ascii="Times New Roman" w:hAnsi="Times New Roman" w:cs="Times New Roman"/>
                <w:sz w:val="22"/>
                <w:szCs w:val="22"/>
                <w:lang w:val="fr-FR"/>
              </w:rPr>
              <w:t>a</w:t>
            </w:r>
            <w:r w:rsidRPr="00B731FE">
              <w:rPr>
                <w:rFonts w:ascii="Times New Roman" w:hAnsi="Times New Roman" w:cs="Times New Roman"/>
                <w:sz w:val="22"/>
                <w:szCs w:val="22"/>
                <w:lang w:val="fr-FR"/>
              </w:rPr>
              <w:t>méliorer l’accès au financement de</w:t>
            </w:r>
            <w:r w:rsidR="007A0D2B">
              <w:rPr>
                <w:rFonts w:ascii="Times New Roman" w:hAnsi="Times New Roman" w:cs="Times New Roman"/>
                <w:sz w:val="22"/>
                <w:szCs w:val="22"/>
                <w:lang w:val="fr-FR"/>
              </w:rPr>
              <w:t>s</w:t>
            </w:r>
            <w:r w:rsidRPr="00B731FE">
              <w:rPr>
                <w:rFonts w:ascii="Times New Roman" w:hAnsi="Times New Roman" w:cs="Times New Roman"/>
                <w:sz w:val="22"/>
                <w:szCs w:val="22"/>
                <w:lang w:val="fr-FR"/>
              </w:rPr>
              <w:t xml:space="preserve"> capitaux propres pour la création et le développement de petites et moyennes entreprises à fort potentiel de croissance et </w:t>
            </w:r>
            <w:r w:rsidR="007A0D2B">
              <w:rPr>
                <w:rFonts w:ascii="Times New Roman" w:hAnsi="Times New Roman" w:cs="Times New Roman"/>
                <w:sz w:val="22"/>
                <w:szCs w:val="22"/>
                <w:lang w:val="fr-FR"/>
              </w:rPr>
              <w:t xml:space="preserve">de </w:t>
            </w:r>
            <w:r w:rsidRPr="00B731FE">
              <w:rPr>
                <w:rFonts w:ascii="Times New Roman" w:hAnsi="Times New Roman" w:cs="Times New Roman"/>
                <w:sz w:val="22"/>
                <w:szCs w:val="22"/>
                <w:lang w:val="fr-FR"/>
              </w:rPr>
              <w:t xml:space="preserve">faciliter l’effet de levier du capital investissement du secteur privé. </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A6D37" w:rsidP="004A6D37">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Résultats clés</w:t>
            </w:r>
            <w:r w:rsidR="00406419" w:rsidRPr="00B731FE">
              <w:rPr>
                <w:rFonts w:ascii="Times New Roman" w:hAnsi="Times New Roman" w:cs="Times New Roman"/>
                <w:color w:val="314F4F"/>
                <w:sz w:val="22"/>
                <w:szCs w:val="22"/>
                <w:lang w:val="fr-FR"/>
              </w:rPr>
              <w:t xml:space="preserve"> (</w:t>
            </w:r>
            <w:r w:rsidRPr="00B731FE">
              <w:rPr>
                <w:rFonts w:ascii="Times New Roman" w:hAnsi="Times New Roman" w:cs="Times New Roman"/>
                <w:color w:val="314F4F"/>
                <w:sz w:val="22"/>
                <w:szCs w:val="22"/>
                <w:lang w:val="fr-FR"/>
              </w:rPr>
              <w:t>depuis le</w:t>
            </w:r>
            <w:r w:rsidR="00406419" w:rsidRPr="00B731FE">
              <w:rPr>
                <w:rFonts w:ascii="Times New Roman" w:hAnsi="Times New Roman" w:cs="Times New Roman"/>
                <w:color w:val="314F4F"/>
                <w:sz w:val="22"/>
                <w:szCs w:val="22"/>
                <w:lang w:val="fr-FR"/>
              </w:rPr>
              <w:t xml:space="preserve"> PCN)</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rsidP="009C03A1">
            <w:pPr>
              <w:spacing w:after="40"/>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9C03A1" w:rsidRPr="00B731FE" w:rsidRDefault="009C03A1" w:rsidP="009C03A1">
            <w:pPr>
              <w:spacing w:after="40"/>
              <w:jc w:val="both"/>
              <w:rPr>
                <w:rFonts w:asciiTheme="majorBidi" w:hAnsiTheme="majorBidi" w:cstheme="majorBidi"/>
                <w:lang w:val="fr-FR"/>
              </w:rPr>
            </w:pPr>
            <w:r w:rsidRPr="00B731FE">
              <w:rPr>
                <w:rFonts w:ascii="Times New Roman" w:hAnsi="Times New Roman" w:cs="Times New Roman"/>
                <w:sz w:val="22"/>
                <w:szCs w:val="22"/>
                <w:lang w:val="fr-FR"/>
              </w:rPr>
              <w:t>L’atteinte de l’ODP sera mesurée à travers les indicateurs essentiels suivants</w:t>
            </w:r>
            <w:r w:rsidRPr="00B731FE">
              <w:rPr>
                <w:rFonts w:asciiTheme="majorBidi" w:hAnsiTheme="majorBidi" w:cstheme="majorBidi"/>
                <w:lang w:val="fr-FR"/>
              </w:rPr>
              <w:t> :</w:t>
            </w:r>
          </w:p>
          <w:p w:rsidR="009C03A1" w:rsidRPr="00B731FE" w:rsidRDefault="009C03A1" w:rsidP="009C03A1">
            <w:pPr>
              <w:pStyle w:val="listeanumros"/>
              <w:spacing w:after="40"/>
              <w:rPr>
                <w:lang w:val="fr-FR"/>
              </w:rPr>
            </w:pPr>
            <w:r w:rsidRPr="00B731FE">
              <w:rPr>
                <w:sz w:val="22"/>
                <w:szCs w:val="22"/>
                <w:lang w:val="fr-FR"/>
              </w:rPr>
              <w:t>Nombre d’entreprises ayant bénéficié de capital-risque à travers le Fonds du projet, incluant le co-investissement du secteur privé.</w:t>
            </w:r>
          </w:p>
          <w:p w:rsidR="009C03A1" w:rsidRPr="00B731FE" w:rsidRDefault="009C03A1" w:rsidP="009C03A1">
            <w:pPr>
              <w:pStyle w:val="listeanumros"/>
              <w:spacing w:after="40"/>
              <w:rPr>
                <w:lang w:val="fr-FR"/>
              </w:rPr>
            </w:pPr>
            <w:r w:rsidRPr="00B731FE">
              <w:rPr>
                <w:sz w:val="22"/>
                <w:szCs w:val="22"/>
                <w:lang w:val="fr-FR"/>
              </w:rPr>
              <w:t>Financements [montants] du secteur privé mobilisés sous forme de co — investissement.</w:t>
            </w:r>
          </w:p>
          <w:p w:rsidR="00406419" w:rsidRPr="00B731FE" w:rsidRDefault="009C03A1" w:rsidP="009C03A1">
            <w:pPr>
              <w:pStyle w:val="listeanumros"/>
              <w:spacing w:after="40"/>
              <w:ind w:left="924" w:hanging="357"/>
              <w:rPr>
                <w:lang w:val="fr-FR"/>
              </w:rPr>
            </w:pPr>
            <w:r w:rsidRPr="00B731FE">
              <w:rPr>
                <w:sz w:val="22"/>
                <w:szCs w:val="22"/>
                <w:lang w:val="fr-FR"/>
              </w:rPr>
              <w:t>Pourcentage d’entreprises appuyées ayant augmenté leurs ventes un an après avoir reçu un financement.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9C03A1" w:rsidP="009C03A1">
            <w:pPr>
              <w:rPr>
                <w:rFonts w:ascii="Times New Roman" w:hAnsi="Times New Roman" w:cs="Times New Roman"/>
                <w:lang w:val="fr-FR"/>
              </w:rPr>
            </w:pPr>
            <w:r w:rsidRPr="00B731FE">
              <w:rPr>
                <w:rFonts w:ascii="Times New Roman" w:hAnsi="Times New Roman" w:cs="Times New Roman"/>
                <w:b/>
                <w:bCs/>
                <w:lang w:val="fr-FR"/>
              </w:rPr>
              <w:t xml:space="preserve">III. </w:t>
            </w:r>
            <w:r w:rsidR="00406419" w:rsidRPr="00B731FE">
              <w:rPr>
                <w:rFonts w:ascii="Times New Roman" w:hAnsi="Times New Roman" w:cs="Times New Roman"/>
                <w:b/>
                <w:bCs/>
                <w:lang w:val="fr-FR"/>
              </w:rPr>
              <w:t>Description</w:t>
            </w:r>
            <w:r w:rsidRPr="00B731FE">
              <w:rPr>
                <w:rFonts w:ascii="Times New Roman" w:hAnsi="Times New Roman" w:cs="Times New Roman"/>
                <w:b/>
                <w:bCs/>
                <w:lang w:val="fr-FR"/>
              </w:rPr>
              <w:t xml:space="preserve"> préliminaire</w:t>
            </w:r>
          </w:p>
        </w:tc>
      </w:tr>
      <w:tr w:rsidR="00406419" w:rsidRPr="00B731FE">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9C03A1">
            <w:pPr>
              <w:rPr>
                <w:rFonts w:ascii="Times New Roman" w:hAnsi="Times New Roman" w:cs="Times New Roman"/>
                <w:color w:val="314F4F"/>
                <w:lang w:val="fr-FR"/>
              </w:rPr>
            </w:pPr>
            <w:r w:rsidRPr="00B731FE">
              <w:rPr>
                <w:rFonts w:ascii="Times New Roman" w:hAnsi="Times New Roman" w:cs="Times New Roman"/>
                <w:color w:val="314F4F"/>
                <w:sz w:val="22"/>
                <w:szCs w:val="22"/>
                <w:lang w:val="fr-FR"/>
              </w:rPr>
              <w:t>Description du concept</w:t>
            </w:r>
          </w:p>
        </w:tc>
      </w:tr>
      <w:tr w:rsidR="00406419" w:rsidRPr="008F6877">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9C03A1" w:rsidRPr="00B731FE" w:rsidRDefault="009C03A1">
            <w:pPr>
              <w:rPr>
                <w:rFonts w:ascii="Times New Roman" w:hAnsi="Times New Roman" w:cs="Times New Roman"/>
                <w:lang w:val="fr-FR"/>
              </w:rPr>
            </w:pPr>
            <w:r w:rsidRPr="00B731FE">
              <w:rPr>
                <w:rFonts w:ascii="Times New Roman" w:hAnsi="Times New Roman" w:cs="Times New Roman"/>
                <w:sz w:val="22"/>
                <w:szCs w:val="22"/>
                <w:lang w:val="fr-FR"/>
              </w:rPr>
              <w:t xml:space="preserve">Dans le cadre du projet proposé, le gouvernement du Maroc établira et financera un programme de développement du financement de capital-risque destiné aux entreprises en </w:t>
            </w:r>
            <w:r w:rsidR="007A0D2B">
              <w:rPr>
                <w:rFonts w:ascii="Times New Roman" w:hAnsi="Times New Roman" w:cs="Times New Roman"/>
                <w:sz w:val="22"/>
                <w:szCs w:val="22"/>
                <w:lang w:val="fr-FR"/>
              </w:rPr>
              <w:t>stade d’</w:t>
            </w:r>
            <w:r w:rsidRPr="00B731FE">
              <w:rPr>
                <w:rFonts w:ascii="Times New Roman" w:hAnsi="Times New Roman" w:cs="Times New Roman"/>
                <w:sz w:val="22"/>
                <w:szCs w:val="22"/>
                <w:lang w:val="fr-FR"/>
              </w:rPr>
              <w:t xml:space="preserve">amorçage et </w:t>
            </w:r>
            <w:r w:rsidR="007A0D2B">
              <w:rPr>
                <w:rFonts w:ascii="Times New Roman" w:hAnsi="Times New Roman" w:cs="Times New Roman"/>
                <w:sz w:val="22"/>
                <w:szCs w:val="22"/>
                <w:lang w:val="fr-FR"/>
              </w:rPr>
              <w:t xml:space="preserve">les </w:t>
            </w:r>
            <w:r w:rsidRPr="00B731FE">
              <w:rPr>
                <w:rFonts w:ascii="Times New Roman" w:hAnsi="Times New Roman" w:cs="Times New Roman"/>
                <w:sz w:val="22"/>
                <w:szCs w:val="22"/>
                <w:lang w:val="fr-FR"/>
              </w:rPr>
              <w:t>PME (moins de 5</w:t>
            </w:r>
            <w:r w:rsidR="002575BE" w:rsidRPr="00B731FE">
              <w:rPr>
                <w:rFonts w:ascii="Times New Roman" w:hAnsi="Times New Roman" w:cs="Times New Roman"/>
                <w:sz w:val="22"/>
                <w:szCs w:val="22"/>
                <w:lang w:val="fr-FR"/>
              </w:rPr>
              <w:t xml:space="preserve"> ans) innovantes. Le projet comprendra à la fois des interventions basées sur l’offre et initiées à la demande. Du côté de l’offre, il proposera des financements aux étapes d’amorçage, de développement initial et de capital-risque. Une telle implication du secteur public dans le soutien à une offre financière de capital-risque a déjà été mise à l’épreuve et utilisée par plusieurs gouvernements afin de combler les lacunes du marché en matière de financement de jeunes entrepreneurs innovants. Du côté de la demande, le projet proposé contribuera au développement d’un réseau marocain d’investisseurs providentiels et appuiera des programmes stratégiques axés sur la création d’entreprises innovantes et la préparation à soumission de propositions aux investisseurs, notamment à travers des subventions pour le développement de concept, la tenue de périodes d’entraînement, la conduite de formations, le mentorat et autres activités pertinentes.</w:t>
            </w:r>
          </w:p>
          <w:p w:rsidR="002575BE" w:rsidRPr="00B731FE" w:rsidRDefault="002575BE">
            <w:pPr>
              <w:rPr>
                <w:rFonts w:ascii="Times New Roman" w:hAnsi="Times New Roman" w:cs="Times New Roman"/>
                <w:lang w:val="fr-FR"/>
              </w:rPr>
            </w:pPr>
          </w:p>
          <w:p w:rsidR="00406419" w:rsidRPr="00B731FE" w:rsidRDefault="002575BE">
            <w:pPr>
              <w:rPr>
                <w:rFonts w:ascii="Times New Roman" w:hAnsi="Times New Roman" w:cs="Times New Roman"/>
                <w:lang w:val="fr-FR"/>
              </w:rPr>
            </w:pPr>
            <w:r w:rsidRPr="00B731FE">
              <w:rPr>
                <w:rFonts w:ascii="Times New Roman" w:hAnsi="Times New Roman" w:cs="Times New Roman"/>
                <w:sz w:val="22"/>
                <w:szCs w:val="22"/>
                <w:lang w:val="fr-FR"/>
              </w:rPr>
              <w:t>Le projet aura une durée de 6 ans et ses financements seront répartis entre 3 composantes</w:t>
            </w:r>
            <w:r w:rsidRPr="00B731FE">
              <w:rPr>
                <w:rFonts w:ascii="Times New Roman" w:eastAsia="Times New Roman" w:hAnsi="Times New Roman" w:cs="Times New Roman"/>
                <w:iCs/>
                <w:lang w:val="fr-FR"/>
              </w:rPr>
              <w:t> </w:t>
            </w:r>
            <w:r w:rsidR="00406419" w:rsidRPr="00B731FE">
              <w:rPr>
                <w:rFonts w:ascii="Times New Roman" w:hAnsi="Times New Roman" w:cs="Times New Roman"/>
                <w:sz w:val="22"/>
                <w:szCs w:val="22"/>
                <w:lang w:val="fr-FR"/>
              </w:rPr>
              <w:t xml:space="preserve">: </w:t>
            </w:r>
          </w:p>
          <w:p w:rsidR="00406419" w:rsidRPr="00B731FE" w:rsidRDefault="002575BE">
            <w:pPr>
              <w:rPr>
                <w:rFonts w:ascii="Times New Roman" w:hAnsi="Times New Roman" w:cs="Times New Roman"/>
                <w:lang w:val="fr-FR"/>
              </w:rPr>
            </w:pPr>
            <w:r w:rsidRPr="00B731FE">
              <w:rPr>
                <w:rFonts w:ascii="Times New Roman" w:hAnsi="Times New Roman" w:cs="Times New Roman"/>
                <w:sz w:val="22"/>
                <w:szCs w:val="22"/>
                <w:lang w:val="fr-FR"/>
              </w:rPr>
              <w:t xml:space="preserve">Composante 1 : Programme de financement —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 xml:space="preserve">42 millions </w:t>
            </w:r>
          </w:p>
          <w:p w:rsidR="00406419" w:rsidRPr="00B731FE" w:rsidRDefault="00406419">
            <w:pPr>
              <w:rPr>
                <w:rFonts w:ascii="Times New Roman" w:hAnsi="Times New Roman" w:cs="Times New Roman"/>
                <w:lang w:val="fr-FR"/>
              </w:rPr>
            </w:pPr>
          </w:p>
          <w:p w:rsidR="00BA66F8" w:rsidRPr="00B731FE" w:rsidRDefault="00BA66F8" w:rsidP="00BA66F8">
            <w:pPr>
              <w:rPr>
                <w:rFonts w:ascii="Times New Roman" w:hAnsi="Times New Roman" w:cs="Times New Roman"/>
                <w:lang w:val="fr-FR"/>
              </w:rPr>
            </w:pPr>
            <w:r w:rsidRPr="00B731FE">
              <w:rPr>
                <w:rFonts w:ascii="Times New Roman" w:hAnsi="Times New Roman" w:cs="Times New Roman"/>
                <w:sz w:val="22"/>
                <w:szCs w:val="22"/>
                <w:lang w:val="fr-FR"/>
              </w:rPr>
              <w:t>Cette composante mettra en place une facilité de financement, sous forme de Fonds d’investissement providentiel/développement initial et de capital-risque, dont les ressources seront versées suite à la mobilisation de co-investissements du secteur privé. Cette Composante a pour objectif de combler les lacunes du marché commercial et de permettre aux nouvelles entreprises d’avoir accès à un capital</w:t>
            </w:r>
            <w:r w:rsidR="00A45D11"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risque suffisant au moment de leur établissement et de leur développement. Dans le cadre de cette Composante, le Fonds offrira deux guichets de financement</w:t>
            </w:r>
            <w:r w:rsidR="001B26C3" w:rsidRPr="00B731FE">
              <w:rPr>
                <w:rFonts w:ascii="Times New Roman" w:hAnsi="Times New Roman" w:cs="Times New Roman"/>
                <w:sz w:val="22"/>
                <w:szCs w:val="22"/>
                <w:lang w:val="fr-FR"/>
              </w:rPr>
              <w:t xml:space="preserve"> (sous composantes)</w:t>
            </w:r>
            <w:r w:rsidRPr="00B731FE">
              <w:rPr>
                <w:rFonts w:ascii="Times New Roman" w:hAnsi="Times New Roman" w:cs="Times New Roman"/>
                <w:sz w:val="22"/>
                <w:szCs w:val="22"/>
                <w:lang w:val="fr-FR"/>
              </w:rPr>
              <w:t> :</w:t>
            </w:r>
          </w:p>
          <w:p w:rsidR="00BA66F8" w:rsidRPr="00B731FE" w:rsidRDefault="00BA66F8" w:rsidP="00BA66F8">
            <w:pPr>
              <w:rPr>
                <w:rFonts w:ascii="Times New Roman" w:hAnsi="Times New Roman" w:cs="Times New Roman"/>
                <w:lang w:val="fr-FR"/>
              </w:rPr>
            </w:pPr>
          </w:p>
          <w:p w:rsidR="00BA66F8" w:rsidRPr="00B731FE" w:rsidRDefault="001B26C3" w:rsidP="00BA66F8">
            <w:pPr>
              <w:rPr>
                <w:rFonts w:ascii="Times New Roman" w:hAnsi="Times New Roman" w:cs="Times New Roman"/>
                <w:lang w:val="fr-FR"/>
              </w:rPr>
            </w:pPr>
            <w:bookmarkStart w:id="1" w:name="OLE_LINK17"/>
            <w:bookmarkStart w:id="2" w:name="OLE_LINK48"/>
            <w:bookmarkStart w:id="3" w:name="OLE_LINK49"/>
            <w:r w:rsidRPr="00B731FE">
              <w:rPr>
                <w:rFonts w:ascii="Times New Roman" w:hAnsi="Times New Roman" w:cs="Times New Roman"/>
                <w:sz w:val="22"/>
                <w:szCs w:val="22"/>
                <w:lang w:val="fr-FR"/>
              </w:rPr>
              <w:t>Sous C</w:t>
            </w:r>
            <w:r w:rsidR="00BA66F8" w:rsidRPr="00B731FE">
              <w:rPr>
                <w:rFonts w:ascii="Times New Roman" w:hAnsi="Times New Roman" w:cs="Times New Roman"/>
                <w:sz w:val="22"/>
                <w:szCs w:val="22"/>
                <w:lang w:val="fr-FR"/>
              </w:rPr>
              <w:t>omposante 1</w:t>
            </w:r>
            <w:r w:rsidR="00526410" w:rsidRPr="00B731FE">
              <w:rPr>
                <w:rFonts w:ascii="Times New Roman" w:hAnsi="Times New Roman" w:cs="Times New Roman"/>
                <w:sz w:val="22"/>
                <w:szCs w:val="22"/>
                <w:lang w:val="fr-FR"/>
              </w:rPr>
              <w:t xml:space="preserve"> a —</w:t>
            </w:r>
            <w:r w:rsidR="00BA66F8" w:rsidRPr="00B731FE">
              <w:rPr>
                <w:rFonts w:ascii="Times New Roman" w:hAnsi="Times New Roman" w:cs="Times New Roman"/>
                <w:sz w:val="22"/>
                <w:szCs w:val="22"/>
                <w:lang w:val="fr-FR"/>
              </w:rPr>
              <w:t xml:space="preserve"> </w:t>
            </w:r>
            <w:bookmarkEnd w:id="1"/>
            <w:r w:rsidR="00BA66F8" w:rsidRPr="00B731FE">
              <w:rPr>
                <w:rFonts w:ascii="Times New Roman" w:hAnsi="Times New Roman" w:cs="Times New Roman"/>
                <w:sz w:val="22"/>
                <w:szCs w:val="22"/>
                <w:lang w:val="fr-FR"/>
              </w:rPr>
              <w:t xml:space="preserve">Financement </w:t>
            </w:r>
            <w:bookmarkEnd w:id="2"/>
            <w:bookmarkEnd w:id="3"/>
            <w:r w:rsidR="00BA66F8" w:rsidRPr="00B731FE">
              <w:rPr>
                <w:rFonts w:ascii="Times New Roman" w:hAnsi="Times New Roman" w:cs="Times New Roman"/>
                <w:sz w:val="22"/>
                <w:szCs w:val="22"/>
                <w:lang w:val="fr-FR"/>
              </w:rPr>
              <w:t xml:space="preserve">providentiel/amorçage </w:t>
            </w:r>
            <w:r w:rsidRPr="00B731FE">
              <w:rPr>
                <w:rFonts w:ascii="Times New Roman" w:hAnsi="Times New Roman" w:cs="Times New Roman"/>
                <w:sz w:val="22"/>
                <w:szCs w:val="22"/>
                <w:lang w:val="fr-FR"/>
              </w:rPr>
              <w:t>(</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12 millions)</w:t>
            </w:r>
            <w:r w:rsidR="00BA66F8" w:rsidRPr="00B731FE">
              <w:rPr>
                <w:rFonts w:ascii="Times New Roman" w:hAnsi="Times New Roman" w:cs="Times New Roman"/>
                <w:sz w:val="22"/>
                <w:szCs w:val="22"/>
                <w:lang w:val="fr-FR"/>
              </w:rPr>
              <w:t xml:space="preserve"> : Renforcer le secteur actuellement très faible du financement providentiel à travers des transactions de cofinancement de l’ordre de </w:t>
            </w:r>
            <w:r w:rsidR="007A0D2B">
              <w:rPr>
                <w:rFonts w:ascii="Times New Roman" w:hAnsi="Times New Roman" w:cs="Times New Roman"/>
                <w:sz w:val="22"/>
                <w:szCs w:val="22"/>
                <w:lang w:val="fr-FR"/>
              </w:rPr>
              <w:t>US$</w:t>
            </w:r>
            <w:r w:rsidR="00BA66F8" w:rsidRPr="00B731FE">
              <w:rPr>
                <w:rFonts w:ascii="Times New Roman" w:hAnsi="Times New Roman" w:cs="Times New Roman"/>
                <w:sz w:val="22"/>
                <w:szCs w:val="22"/>
                <w:lang w:val="fr-FR"/>
              </w:rPr>
              <w:t>100 000 à 500 000 </w:t>
            </w:r>
            <w:r w:rsidR="007A0D2B" w:rsidRPr="00B731FE" w:rsidDel="007A0D2B">
              <w:rPr>
                <w:rFonts w:ascii="Times New Roman" w:hAnsi="Times New Roman" w:cs="Times New Roman"/>
                <w:sz w:val="22"/>
                <w:szCs w:val="22"/>
                <w:lang w:val="fr-FR"/>
              </w:rPr>
              <w:t xml:space="preserve"> </w:t>
            </w:r>
            <w:r w:rsidR="00BA66F8" w:rsidRPr="00B731FE">
              <w:rPr>
                <w:rFonts w:ascii="Times New Roman" w:hAnsi="Times New Roman" w:cs="Times New Roman"/>
                <w:sz w:val="22"/>
                <w:szCs w:val="22"/>
                <w:lang w:val="fr-FR"/>
              </w:rPr>
              <w:t> ; et</w:t>
            </w:r>
          </w:p>
          <w:p w:rsidR="00BA66F8" w:rsidRPr="00B731FE" w:rsidRDefault="001B26C3" w:rsidP="00BA66F8">
            <w:pPr>
              <w:rPr>
                <w:rFonts w:ascii="Times New Roman" w:hAnsi="Times New Roman" w:cs="Times New Roman"/>
                <w:lang w:val="fr-FR"/>
              </w:rPr>
            </w:pPr>
            <w:r w:rsidRPr="00B731FE">
              <w:rPr>
                <w:rFonts w:ascii="Times New Roman" w:hAnsi="Times New Roman" w:cs="Times New Roman"/>
                <w:sz w:val="22"/>
                <w:szCs w:val="22"/>
                <w:lang w:val="fr-FR"/>
              </w:rPr>
              <w:t>Sous-Composante</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1b</w:t>
            </w:r>
            <w:r w:rsidR="00526410"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 xml:space="preserve"> </w:t>
            </w:r>
            <w:r w:rsidR="00BA66F8" w:rsidRPr="00B731FE">
              <w:rPr>
                <w:rFonts w:ascii="Times New Roman" w:hAnsi="Times New Roman" w:cs="Times New Roman"/>
                <w:sz w:val="22"/>
                <w:szCs w:val="22"/>
                <w:lang w:val="fr-FR"/>
              </w:rPr>
              <w:t>Financement de capital-risque</w:t>
            </w:r>
            <w:r w:rsidRPr="00B731FE">
              <w:rPr>
                <w:rFonts w:ascii="Times New Roman" w:hAnsi="Times New Roman" w:cs="Times New Roman"/>
                <w:sz w:val="22"/>
                <w:szCs w:val="22"/>
                <w:lang w:val="fr-FR"/>
              </w:rPr>
              <w:t xml:space="preserve">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30 millions)</w:t>
            </w:r>
            <w:r w:rsidR="00BA66F8" w:rsidRPr="00B731FE">
              <w:rPr>
                <w:rFonts w:ascii="Times New Roman" w:hAnsi="Times New Roman" w:cs="Times New Roman"/>
                <w:sz w:val="22"/>
                <w:szCs w:val="22"/>
                <w:lang w:val="fr-FR"/>
              </w:rPr>
              <w:t xml:space="preserve"> : co-investissement avec le secteur privé dans des fonds qui financeront des transactions de </w:t>
            </w:r>
            <w:r w:rsidR="007A0D2B">
              <w:rPr>
                <w:rFonts w:ascii="Times New Roman" w:hAnsi="Times New Roman" w:cs="Times New Roman"/>
                <w:sz w:val="22"/>
                <w:szCs w:val="22"/>
                <w:lang w:val="fr-FR"/>
              </w:rPr>
              <w:t>US$</w:t>
            </w:r>
            <w:r w:rsidR="00BA66F8" w:rsidRPr="00B731FE">
              <w:rPr>
                <w:rFonts w:ascii="Times New Roman" w:hAnsi="Times New Roman" w:cs="Times New Roman"/>
                <w:sz w:val="22"/>
                <w:szCs w:val="22"/>
                <w:lang w:val="fr-FR"/>
              </w:rPr>
              <w:t>500 000 à 1,5 million</w:t>
            </w:r>
            <w:r w:rsidR="007A0D2B">
              <w:rPr>
                <w:rFonts w:ascii="Times New Roman" w:hAnsi="Times New Roman" w:cs="Times New Roman"/>
                <w:sz w:val="22"/>
                <w:szCs w:val="22"/>
                <w:lang w:val="fr-FR"/>
              </w:rPr>
              <w:t>s</w:t>
            </w:r>
            <w:r w:rsidR="00BA66F8" w:rsidRPr="00B731FE">
              <w:rPr>
                <w:rFonts w:ascii="Times New Roman" w:hAnsi="Times New Roman" w:cs="Times New Roman"/>
                <w:sz w:val="22"/>
                <w:szCs w:val="22"/>
                <w:lang w:val="fr-FR"/>
              </w:rPr>
              <w:t>, ceci au profit d’entreprises déjà établies qui entrevoient une expansion de leurs affaires à un niveau supérieur.</w:t>
            </w:r>
          </w:p>
          <w:p w:rsidR="00BA66F8" w:rsidRPr="00B731FE" w:rsidRDefault="00BA66F8">
            <w:pPr>
              <w:rPr>
                <w:rFonts w:ascii="Times New Roman" w:hAnsi="Times New Roman" w:cs="Times New Roman"/>
                <w:lang w:val="fr-FR"/>
              </w:rPr>
            </w:pPr>
          </w:p>
          <w:p w:rsidR="00406419" w:rsidRPr="00B731FE" w:rsidRDefault="00503963">
            <w:pPr>
              <w:rPr>
                <w:rFonts w:ascii="Times New Roman" w:hAnsi="Times New Roman" w:cs="Times New Roman"/>
                <w:lang w:val="fr-FR"/>
              </w:rPr>
            </w:pPr>
            <w:r w:rsidRPr="00B731FE">
              <w:rPr>
                <w:rFonts w:ascii="Times New Roman" w:hAnsi="Times New Roman" w:cs="Times New Roman"/>
                <w:sz w:val="22"/>
                <w:szCs w:val="22"/>
                <w:lang w:val="fr-FR"/>
              </w:rPr>
              <w:t>Des directives claires — spécifiées au Manuel d’exécution — préciseront les dispositifs de gouvernance et de transparence appropriés lors de la gestion et de la sélection des investissements. Ces directives relèveront des meilleurs standards de pratique commerciale et confirmeront le rôle du secteur public à un niveau supérieur de supervision, notamment en matière d’atteinte des indicateurs de développement et d’assurance d’une saine gestion lors de la direction et de la prise de décisions sur les investissements par le secteur privé</w:t>
            </w:r>
            <w:r w:rsidRPr="00B731FE">
              <w:rPr>
                <w:rFonts w:ascii="Times New Roman" w:eastAsia="Times New Roman" w:hAnsi="Times New Roman" w:cs="Times New Roman"/>
                <w:lang w:val="fr-FR"/>
              </w:rPr>
              <w:t>.</w:t>
            </w:r>
          </w:p>
          <w:p w:rsidR="001B26C3" w:rsidRPr="00B731FE" w:rsidRDefault="001B26C3">
            <w:pPr>
              <w:rPr>
                <w:rFonts w:ascii="Times New Roman" w:hAnsi="Times New Roman" w:cs="Times New Roman"/>
                <w:lang w:val="fr-FR"/>
              </w:rPr>
            </w:pPr>
          </w:p>
          <w:p w:rsidR="00406419" w:rsidRPr="00B731FE" w:rsidRDefault="0036234F">
            <w:pPr>
              <w:rPr>
                <w:rFonts w:ascii="Times New Roman" w:hAnsi="Times New Roman" w:cs="Times New Roman"/>
                <w:lang w:val="fr-FR"/>
              </w:rPr>
            </w:pPr>
            <w:r w:rsidRPr="00B731FE">
              <w:rPr>
                <w:rFonts w:ascii="Times New Roman" w:hAnsi="Times New Roman" w:cs="Times New Roman"/>
                <w:sz w:val="22"/>
                <w:szCs w:val="22"/>
                <w:lang w:val="fr-FR"/>
              </w:rPr>
              <w:t xml:space="preserve">Composante 2 : Soutien à l’écosystème et création d’un flux de transaction –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6 millions</w:t>
            </w:r>
          </w:p>
          <w:p w:rsidR="0036234F" w:rsidRPr="00B731FE" w:rsidRDefault="0036234F">
            <w:pPr>
              <w:rPr>
                <w:rFonts w:ascii="Times New Roman" w:hAnsi="Times New Roman" w:cs="Times New Roman"/>
                <w:lang w:val="fr-FR"/>
              </w:rPr>
            </w:pPr>
          </w:p>
          <w:p w:rsidR="0036234F" w:rsidRPr="00B731FE" w:rsidRDefault="0036234F">
            <w:pPr>
              <w:rPr>
                <w:rFonts w:ascii="Times New Roman" w:hAnsi="Times New Roman" w:cs="Times New Roman"/>
                <w:lang w:val="fr-FR"/>
              </w:rPr>
            </w:pPr>
            <w:r w:rsidRPr="00B731FE">
              <w:rPr>
                <w:rFonts w:ascii="Times New Roman" w:hAnsi="Times New Roman" w:cs="Times New Roman"/>
                <w:sz w:val="22"/>
                <w:szCs w:val="22"/>
                <w:lang w:val="fr-FR"/>
              </w:rPr>
              <w:t>Cette Composante comprendra 2 Sous-Composantes qui accorderont aux organisations de l’écosystème entrepreneurial des subventions qui permettront de renforcer leur capacité et la prestation de services plus adéquats et, par conséquent, d’améliorer la qualité et la quantité des projets d’investissements dans leur ensemble. Il s’agira notamment de l’introduction d’interventions spécifiques de renforcement de l’écosystème d’investissement providentiel. Les financements accordés dans le cadre de cette Composante seront répartis entre les 2 Sous</w:t>
            </w:r>
            <w:r w:rsidR="00526410"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Composantes suivantes</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w:t>
            </w:r>
          </w:p>
          <w:p w:rsidR="00813147" w:rsidRPr="00B731FE" w:rsidRDefault="00813147">
            <w:pPr>
              <w:rPr>
                <w:rFonts w:ascii="Times New Roman" w:hAnsi="Times New Roman" w:cs="Times New Roman"/>
                <w:lang w:val="fr-FR"/>
              </w:rPr>
            </w:pPr>
          </w:p>
          <w:p w:rsidR="00813147" w:rsidRPr="00B731FE" w:rsidRDefault="00813147">
            <w:pPr>
              <w:rPr>
                <w:rFonts w:ascii="Times New Roman" w:hAnsi="Times New Roman" w:cs="Times New Roman"/>
                <w:lang w:val="fr-FR"/>
              </w:rPr>
            </w:pPr>
            <w:r w:rsidRPr="00B731FE">
              <w:rPr>
                <w:rFonts w:ascii="Times New Roman" w:hAnsi="Times New Roman" w:cs="Times New Roman"/>
                <w:sz w:val="22"/>
                <w:szCs w:val="22"/>
                <w:lang w:val="fr-FR"/>
              </w:rPr>
              <w:t>Sous Composante</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 xml:space="preserve">2a </w:t>
            </w:r>
            <w:r w:rsidR="00526410"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 xml:space="preserve"> Subventions de pré-amorçage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3 millions)</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 destiné</w:t>
            </w:r>
            <w:r w:rsidR="00A45D11" w:rsidRPr="00B731FE">
              <w:rPr>
                <w:rFonts w:ascii="Times New Roman" w:hAnsi="Times New Roman" w:cs="Times New Roman"/>
                <w:sz w:val="22"/>
                <w:szCs w:val="22"/>
                <w:lang w:val="fr-FR"/>
              </w:rPr>
              <w:t>es</w:t>
            </w:r>
            <w:r w:rsidRPr="00B731FE">
              <w:rPr>
                <w:rFonts w:ascii="Times New Roman" w:hAnsi="Times New Roman" w:cs="Times New Roman"/>
                <w:sz w:val="22"/>
                <w:szCs w:val="22"/>
                <w:lang w:val="fr-FR"/>
              </w:rPr>
              <w:t xml:space="preserve"> au financement d’activités susceptibles de mettre à l’épreuve la viabilité d’un concept d’affaires avant qu’une entreprise n’ait été constituée</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 et</w:t>
            </w:r>
          </w:p>
          <w:p w:rsidR="00813147" w:rsidRPr="00B731FE" w:rsidRDefault="00813147">
            <w:pPr>
              <w:rPr>
                <w:rFonts w:ascii="Times New Roman" w:hAnsi="Times New Roman" w:cs="Times New Roman"/>
                <w:lang w:val="fr-FR"/>
              </w:rPr>
            </w:pPr>
          </w:p>
          <w:p w:rsidR="00813147" w:rsidRPr="00B731FE" w:rsidRDefault="00813147">
            <w:pPr>
              <w:rPr>
                <w:rFonts w:ascii="Times New Roman" w:hAnsi="Times New Roman" w:cs="Times New Roman"/>
                <w:lang w:val="fr-FR"/>
              </w:rPr>
            </w:pPr>
            <w:r w:rsidRPr="00B731FE">
              <w:rPr>
                <w:rFonts w:ascii="Times New Roman" w:hAnsi="Times New Roman" w:cs="Times New Roman"/>
                <w:sz w:val="22"/>
                <w:szCs w:val="22"/>
                <w:lang w:val="fr-FR"/>
              </w:rPr>
              <w:t>Sous Composante 2</w:t>
            </w:r>
            <w:r w:rsidR="00526410" w:rsidRPr="00B731FE">
              <w:rPr>
                <w:rFonts w:ascii="Times New Roman" w:hAnsi="Times New Roman" w:cs="Times New Roman"/>
                <w:sz w:val="22"/>
                <w:szCs w:val="22"/>
                <w:lang w:val="fr-FR"/>
              </w:rPr>
              <w:t> b</w:t>
            </w:r>
            <w:r w:rsidRPr="00B731FE">
              <w:rPr>
                <w:rFonts w:ascii="Times New Roman" w:hAnsi="Times New Roman" w:cs="Times New Roman"/>
                <w:sz w:val="22"/>
                <w:szCs w:val="22"/>
                <w:lang w:val="fr-FR"/>
              </w:rPr>
              <w:t xml:space="preserve"> </w:t>
            </w:r>
            <w:r w:rsidR="00526410"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 xml:space="preserve"> Soutien à l’écosystème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3 millions)</w:t>
            </w:r>
            <w:r w:rsidRPr="00B731FE">
              <w:rPr>
                <w:b/>
                <w:lang w:val="fr-FR"/>
              </w:rPr>
              <w:t> </w:t>
            </w:r>
            <w:r w:rsidRPr="00B731FE">
              <w:rPr>
                <w:lang w:val="fr-FR"/>
              </w:rPr>
              <w:t xml:space="preserve">: </w:t>
            </w:r>
            <w:r w:rsidRPr="00B731FE">
              <w:rPr>
                <w:rFonts w:ascii="Times New Roman" w:hAnsi="Times New Roman" w:cs="Times New Roman"/>
                <w:sz w:val="22"/>
                <w:szCs w:val="22"/>
                <w:lang w:val="fr-FR"/>
              </w:rPr>
              <w:t>sous forme d’appui au développement continu de l’écosystème marocain naissant, dans une perspective de maintien de l’amélioration de la qualité et de la quantité des projets entrepreneuria</w:t>
            </w:r>
            <w:r w:rsidR="00526410" w:rsidRPr="00B731FE">
              <w:rPr>
                <w:rFonts w:ascii="Times New Roman" w:hAnsi="Times New Roman" w:cs="Times New Roman"/>
                <w:sz w:val="22"/>
                <w:szCs w:val="22"/>
                <w:lang w:val="fr-FR"/>
              </w:rPr>
              <w:t>ux</w:t>
            </w:r>
            <w:r w:rsidRPr="00B731FE">
              <w:rPr>
                <w:rFonts w:ascii="Times New Roman" w:hAnsi="Times New Roman" w:cs="Times New Roman"/>
                <w:sz w:val="22"/>
                <w:szCs w:val="22"/>
                <w:lang w:val="fr-FR"/>
              </w:rPr>
              <w:t xml:space="preserve"> susceptibles d’être appuyé</w:t>
            </w:r>
            <w:r w:rsidR="00A133EA" w:rsidRPr="00B731FE">
              <w:rPr>
                <w:rFonts w:ascii="Times New Roman" w:hAnsi="Times New Roman" w:cs="Times New Roman"/>
                <w:sz w:val="22"/>
                <w:szCs w:val="22"/>
                <w:lang w:val="fr-FR"/>
              </w:rPr>
              <w:t>s</w:t>
            </w:r>
            <w:r w:rsidRPr="00B731FE">
              <w:rPr>
                <w:rFonts w:ascii="Times New Roman" w:hAnsi="Times New Roman" w:cs="Times New Roman"/>
                <w:sz w:val="22"/>
                <w:szCs w:val="22"/>
                <w:lang w:val="fr-FR"/>
              </w:rPr>
              <w:t xml:space="preserve"> par les instruments financiers.</w:t>
            </w:r>
          </w:p>
          <w:p w:rsidR="00813147" w:rsidRPr="00B731FE" w:rsidRDefault="00813147">
            <w:pPr>
              <w:rPr>
                <w:rFonts w:ascii="Times New Roman" w:hAnsi="Times New Roman" w:cs="Times New Roman"/>
                <w:lang w:val="fr-FR"/>
              </w:rPr>
            </w:pPr>
          </w:p>
          <w:p w:rsidR="00406419" w:rsidRPr="00B731FE" w:rsidRDefault="00A133EA">
            <w:pPr>
              <w:rPr>
                <w:rFonts w:ascii="Times New Roman" w:hAnsi="Times New Roman" w:cs="Times New Roman"/>
                <w:lang w:val="fr-FR"/>
              </w:rPr>
            </w:pPr>
            <w:r w:rsidRPr="00B731FE">
              <w:rPr>
                <w:rFonts w:ascii="Times New Roman" w:hAnsi="Times New Roman" w:cs="Times New Roman"/>
                <w:sz w:val="22"/>
                <w:szCs w:val="22"/>
                <w:lang w:val="fr-FR"/>
              </w:rPr>
              <w:t xml:space="preserve">Composante 3 : Gestion, coordination et suivi et évaluation du projet – </w:t>
            </w:r>
            <w:r w:rsidR="007A0D2B">
              <w:rPr>
                <w:rFonts w:ascii="Times New Roman" w:hAnsi="Times New Roman" w:cs="Times New Roman"/>
                <w:sz w:val="22"/>
                <w:szCs w:val="22"/>
                <w:lang w:val="fr-FR"/>
              </w:rPr>
              <w:t>US$</w:t>
            </w:r>
            <w:r w:rsidRPr="00B731FE">
              <w:rPr>
                <w:rFonts w:ascii="Times New Roman" w:hAnsi="Times New Roman" w:cs="Times New Roman"/>
                <w:sz w:val="22"/>
                <w:szCs w:val="22"/>
                <w:lang w:val="fr-FR"/>
              </w:rPr>
              <w:t>2 millions</w:t>
            </w:r>
          </w:p>
          <w:p w:rsidR="00A133EA" w:rsidRPr="00B731FE" w:rsidRDefault="00A133EA">
            <w:pPr>
              <w:rPr>
                <w:rFonts w:ascii="Times New Roman" w:hAnsi="Times New Roman" w:cs="Times New Roman"/>
                <w:lang w:val="fr-FR"/>
              </w:rPr>
            </w:pPr>
          </w:p>
          <w:p w:rsidR="00A133EA" w:rsidRPr="00B731FE" w:rsidRDefault="00A133EA">
            <w:pPr>
              <w:rPr>
                <w:rFonts w:ascii="Times New Roman" w:hAnsi="Times New Roman" w:cs="Times New Roman"/>
                <w:lang w:val="fr-FR"/>
              </w:rPr>
            </w:pPr>
            <w:r w:rsidRPr="00B731FE">
              <w:rPr>
                <w:rFonts w:ascii="Times New Roman" w:hAnsi="Times New Roman" w:cs="Times New Roman"/>
                <w:sz w:val="22"/>
                <w:szCs w:val="22"/>
                <w:lang w:val="fr-FR"/>
              </w:rPr>
              <w:t>Cette composante financera l’Unité de gestion du projet (UGP) et l’ensemble de ses opérations ainsi que les charges administratives liées à la gestion et à la supervision du projet pendant la durée du prêt (6 ans).</w:t>
            </w:r>
            <w:r w:rsidRPr="00B731FE">
              <w:rPr>
                <w:rFonts w:ascii="Times New Roman" w:eastAsia="Times New Roman" w:hAnsi="Times New Roman" w:cs="Times New Roman"/>
                <w:lang w:val="fr-FR"/>
              </w:rPr>
              <w:t xml:space="preserve"> </w:t>
            </w:r>
            <w:r w:rsidRPr="00B731FE">
              <w:rPr>
                <w:rFonts w:ascii="Times New Roman" w:hAnsi="Times New Roman" w:cs="Times New Roman"/>
                <w:sz w:val="22"/>
                <w:szCs w:val="22"/>
                <w:lang w:val="fr-FR"/>
              </w:rPr>
              <w:t xml:space="preserve">Elle financera également les dépenses reliées aux appels d’offres, à l’évaluation et à la sélection de fonds partenaires et des prestataires de services de l’écosystème qui mettront en œuvre les </w:t>
            </w:r>
            <w:r w:rsidRPr="00B731FE">
              <w:rPr>
                <w:rFonts w:ascii="Times New Roman" w:hAnsi="Times New Roman" w:cs="Times New Roman"/>
                <w:sz w:val="22"/>
                <w:szCs w:val="22"/>
                <w:lang w:val="fr-FR"/>
              </w:rPr>
              <w:lastRenderedPageBreak/>
              <w:t>activités ; le renforcement des capacités des personnels de l’UGP et de la CCG ; la commercialisation et la sensibilisation reliée au projet, particulièrement dans les régions (site Internet, conférences) ; les coûts juridiques et administratifs, notamment fiduciaires ; ainsi que le suivi et l’évaluation.</w:t>
            </w:r>
          </w:p>
          <w:p w:rsidR="00A133EA" w:rsidRPr="00B731FE" w:rsidRDefault="00A133EA">
            <w:pPr>
              <w:rPr>
                <w:rFonts w:ascii="Times New Roman" w:hAnsi="Times New Roman" w:cs="Times New Roman"/>
                <w:lang w:val="fr-FR"/>
              </w:rPr>
            </w:pPr>
            <w:r w:rsidRPr="00B731FE">
              <w:rPr>
                <w:rFonts w:ascii="Times New Roman" w:hAnsi="Times New Roman" w:cs="Times New Roman"/>
                <w:lang w:val="fr-FR"/>
              </w:rPr>
              <w:t xml:space="preserve"> </w:t>
            </w:r>
          </w:p>
          <w:p w:rsidR="00406419" w:rsidRPr="00B731FE" w:rsidRDefault="00A133EA">
            <w:pPr>
              <w:rPr>
                <w:rFonts w:ascii="Times New Roman" w:hAnsi="Times New Roman" w:cs="Times New Roman"/>
                <w:lang w:val="fr-FR"/>
              </w:rPr>
            </w:pPr>
            <w:r w:rsidRPr="00B731FE">
              <w:rPr>
                <w:rFonts w:ascii="Times New Roman" w:hAnsi="Times New Roman" w:cs="Times New Roman"/>
                <w:sz w:val="22"/>
                <w:szCs w:val="22"/>
                <w:lang w:val="fr-FR"/>
              </w:rPr>
              <w:t xml:space="preserve">Mise en œuvre </w:t>
            </w:r>
          </w:p>
          <w:p w:rsidR="00A133EA" w:rsidRPr="00B731FE" w:rsidRDefault="00A133EA">
            <w:pPr>
              <w:rPr>
                <w:rFonts w:ascii="Times New Roman" w:hAnsi="Times New Roman" w:cs="Times New Roman"/>
                <w:lang w:val="fr-FR"/>
              </w:rPr>
            </w:pPr>
          </w:p>
          <w:p w:rsidR="00406419" w:rsidRPr="00B731FE" w:rsidRDefault="00242A02" w:rsidP="00837541">
            <w:pPr>
              <w:rPr>
                <w:rFonts w:ascii="Times New Roman" w:hAnsi="Times New Roman" w:cs="Times New Roman"/>
                <w:lang w:val="fr-FR"/>
              </w:rPr>
            </w:pPr>
            <w:r w:rsidRPr="00B731FE">
              <w:rPr>
                <w:rFonts w:ascii="Times New Roman" w:hAnsi="Times New Roman" w:cs="Times New Roman"/>
                <w:sz w:val="22"/>
                <w:szCs w:val="22"/>
                <w:lang w:val="fr-FR"/>
              </w:rPr>
              <w:t xml:space="preserve">La Caisse Centrale de Garantie (CCG) assurera la gestion du projet au nom du Gouvernement du Royaume du Maroc et abritera l’Unité de gestion du projet (UGP). La sélection des gestionnaires de fonds privés et partenaires de l’écosystème responsables de la conduite des activités sera effectuée suite à un processus </w:t>
            </w:r>
            <w:r w:rsidR="00837541">
              <w:rPr>
                <w:rFonts w:ascii="Times New Roman" w:hAnsi="Times New Roman" w:cs="Times New Roman"/>
                <w:sz w:val="22"/>
                <w:szCs w:val="22"/>
                <w:lang w:val="fr-FR"/>
              </w:rPr>
              <w:t>concurrentiel</w:t>
            </w:r>
            <w:r w:rsidRPr="00B731FE">
              <w:rPr>
                <w:rFonts w:ascii="Times New Roman" w:hAnsi="Times New Roman" w:cs="Times New Roman"/>
                <w:sz w:val="22"/>
                <w:szCs w:val="22"/>
                <w:lang w:val="fr-FR"/>
              </w:rPr>
              <w:t xml:space="preserve">. </w:t>
            </w:r>
            <w:r w:rsidR="00B50394" w:rsidRPr="00B731FE">
              <w:rPr>
                <w:rFonts w:ascii="Times New Roman" w:hAnsi="Times New Roman" w:cs="Times New Roman"/>
                <w:sz w:val="22"/>
                <w:szCs w:val="22"/>
                <w:lang w:val="fr-FR"/>
              </w:rPr>
              <w:t xml:space="preserve">La CCG est un établissement public de crédit spécialisé, essentiellement dédié à la promotion du développement des micros, petites et moyennes entreprises à travers une offre de prêts et de garanties de prêts bancaires à ce segment du marché. Elle a pour mandats d’établir des entreprises et des </w:t>
            </w:r>
            <w:bookmarkStart w:id="4" w:name="OLE_LINK10"/>
            <w:bookmarkStart w:id="5" w:name="OLE_LINK9"/>
            <w:r w:rsidR="00B50394" w:rsidRPr="00B731FE">
              <w:rPr>
                <w:rFonts w:ascii="Times New Roman" w:hAnsi="Times New Roman" w:cs="Times New Roman"/>
                <w:sz w:val="22"/>
                <w:szCs w:val="22"/>
                <w:lang w:val="fr-FR"/>
              </w:rPr>
              <w:t>véhicules de titrisation</w:t>
            </w:r>
            <w:bookmarkEnd w:id="4"/>
            <w:bookmarkEnd w:id="5"/>
            <w:r w:rsidR="00B50394" w:rsidRPr="00B731FE">
              <w:rPr>
                <w:rFonts w:ascii="Times New Roman" w:hAnsi="Times New Roman" w:cs="Times New Roman"/>
                <w:sz w:val="22"/>
                <w:szCs w:val="22"/>
                <w:lang w:val="fr-FR"/>
              </w:rPr>
              <w:t xml:space="preserve"> susceptibles de détenir des titres de participation dans différents fonds et sociétés en portefeuille. La CCG fait rapport au Ministère de l’É</w:t>
            </w:r>
            <w:r w:rsidR="00064F96" w:rsidRPr="00B731FE">
              <w:rPr>
                <w:rFonts w:ascii="Times New Roman" w:hAnsi="Times New Roman" w:cs="Times New Roman"/>
                <w:sz w:val="22"/>
                <w:szCs w:val="22"/>
                <w:lang w:val="fr-FR"/>
              </w:rPr>
              <w:t>conomie et des Finances et à la B</w:t>
            </w:r>
            <w:r w:rsidR="00B50394" w:rsidRPr="00B731FE">
              <w:rPr>
                <w:rFonts w:ascii="Times New Roman" w:hAnsi="Times New Roman" w:cs="Times New Roman"/>
                <w:sz w:val="22"/>
                <w:szCs w:val="22"/>
                <w:lang w:val="fr-FR"/>
              </w:rPr>
              <w:t>anque centrale du Maroc</w:t>
            </w:r>
            <w:r w:rsidR="00406419" w:rsidRPr="00B731FE">
              <w:rPr>
                <w:rFonts w:ascii="Times New Roman" w:hAnsi="Times New Roman" w:cs="Times New Roman"/>
                <w:sz w:val="22"/>
                <w:szCs w:val="22"/>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lastRenderedPageBreak/>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8F6877">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rsidP="00064F96">
            <w:pPr>
              <w:rPr>
                <w:rFonts w:ascii="Times New Roman" w:hAnsi="Times New Roman" w:cs="Times New Roman"/>
                <w:lang w:val="fr-FR"/>
              </w:rPr>
            </w:pPr>
            <w:r w:rsidRPr="00B731FE">
              <w:rPr>
                <w:rFonts w:ascii="Times New Roman" w:hAnsi="Times New Roman" w:cs="Times New Roman"/>
                <w:b/>
                <w:bCs/>
                <w:lang w:val="fr-FR"/>
              </w:rPr>
              <w:t xml:space="preserve">IV. </w:t>
            </w:r>
            <w:r w:rsidR="00064F96" w:rsidRPr="00B731FE">
              <w:rPr>
                <w:rFonts w:ascii="Times New Roman" w:hAnsi="Times New Roman" w:cs="Times New Roman"/>
                <w:b/>
                <w:bCs/>
                <w:lang w:val="fr-FR"/>
              </w:rPr>
              <w:t>Politiques de sauvegarde potentiellement applicables</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b/>
                <w:bCs/>
                <w:sz w:val="22"/>
                <w:szCs w:val="22"/>
                <w:lang w:val="fr-FR"/>
              </w:rPr>
              <w:t>Politiques de sauvegarde déclenchées par le projet</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center"/>
              <w:rPr>
                <w:rFonts w:ascii="Times New Roman" w:hAnsi="Times New Roman" w:cs="Times New Roman"/>
                <w:lang w:val="fr-FR"/>
              </w:rPr>
            </w:pPr>
            <w:r w:rsidRPr="00B731FE">
              <w:rPr>
                <w:rFonts w:ascii="Times New Roman" w:hAnsi="Times New Roman" w:cs="Times New Roman"/>
                <w:b/>
                <w:bCs/>
                <w:sz w:val="22"/>
                <w:szCs w:val="22"/>
                <w:lang w:val="fr-FR"/>
              </w:rPr>
              <w:t>Oui</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No</w:t>
            </w:r>
            <w:r w:rsidR="00064F96" w:rsidRPr="00B731FE">
              <w:rPr>
                <w:rFonts w:ascii="Times New Roman" w:hAnsi="Times New Roman" w:cs="Times New Roman"/>
                <w:b/>
                <w:bCs/>
                <w:sz w:val="22"/>
                <w:szCs w:val="22"/>
                <w:lang w:val="fr-FR"/>
              </w:rPr>
              <w:t>n</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center"/>
              <w:rPr>
                <w:rFonts w:ascii="Times New Roman" w:hAnsi="Times New Roman" w:cs="Times New Roman"/>
                <w:lang w:val="fr-FR"/>
              </w:rPr>
            </w:pPr>
            <w:r w:rsidRPr="00B731FE">
              <w:rPr>
                <w:rFonts w:ascii="Times New Roman" w:hAnsi="Times New Roman" w:cs="Times New Roman"/>
                <w:b/>
                <w:bCs/>
                <w:sz w:val="22"/>
                <w:szCs w:val="22"/>
                <w:lang w:val="fr-FR"/>
              </w:rPr>
              <w:t>A dét.</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Évaluation environnementale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4.01</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Habitats naturels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4.04</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Forêts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4.36</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Lutte antiparasitaire </w:t>
            </w:r>
            <w:r w:rsidR="00406419" w:rsidRPr="00B731FE">
              <w:rPr>
                <w:rFonts w:ascii="Times New Roman" w:hAnsi="Times New Roman" w:cs="Times New Roman"/>
                <w:sz w:val="22"/>
                <w:szCs w:val="22"/>
                <w:lang w:val="fr-FR"/>
              </w:rPr>
              <w:t>OP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4.09</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Ressources culturelles physiques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4.11</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Peuples autochtones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4.10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Réinstallation involontaire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4.12</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Sécurité des barrages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4.37</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Projet sur les voies d’eau internationales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7.50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Projet en zones contestées </w:t>
            </w:r>
            <w:r w:rsidR="00406419" w:rsidRPr="00B731FE">
              <w:rPr>
                <w:rFonts w:ascii="Times New Roman" w:hAnsi="Times New Roman" w:cs="Times New Roman"/>
                <w:sz w:val="22"/>
                <w:szCs w:val="22"/>
                <w:lang w:val="fr-FR"/>
              </w:rPr>
              <w:t>OP/BP</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7.60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lang w:val="fr-FR"/>
              </w:rPr>
            </w:pPr>
            <w:r w:rsidRPr="00B731FE">
              <w:rPr>
                <w:rFonts w:ascii="Times New Roman" w:hAnsi="Times New Roman" w:cs="Times New Roman"/>
                <w:b/>
                <w:bCs/>
                <w:sz w:val="22"/>
                <w:szCs w:val="22"/>
                <w:lang w:val="fr-FR"/>
              </w:rPr>
              <w:t>X</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jc w:val="center"/>
              <w:rPr>
                <w:rFonts w:ascii="Times New Roman" w:hAnsi="Times New Roman" w:cs="Times New Roman"/>
                <w:color w:val="auto"/>
                <w:lang w:val="fr-FR"/>
              </w:rPr>
            </w:pP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rsidP="00064F96">
            <w:pPr>
              <w:rPr>
                <w:rFonts w:ascii="Times New Roman" w:hAnsi="Times New Roman" w:cs="Times New Roman"/>
                <w:lang w:val="fr-FR"/>
              </w:rPr>
            </w:pPr>
            <w:r w:rsidRPr="00B731FE">
              <w:rPr>
                <w:rFonts w:ascii="Times New Roman" w:hAnsi="Times New Roman" w:cs="Times New Roman"/>
                <w:b/>
                <w:bCs/>
                <w:lang w:val="fr-FR"/>
              </w:rPr>
              <w:t>V.</w:t>
            </w:r>
            <w:r w:rsidR="00064F96" w:rsidRPr="00B731FE">
              <w:rPr>
                <w:rFonts w:ascii="Times New Roman" w:hAnsi="Times New Roman" w:cs="Times New Roman"/>
                <w:b/>
                <w:bCs/>
                <w:lang w:val="fr-FR"/>
              </w:rPr>
              <w:t xml:space="preserve"> Financement </w:t>
            </w:r>
            <w:r w:rsidRPr="00B731FE">
              <w:rPr>
                <w:rFonts w:ascii="Times New Roman" w:hAnsi="Times New Roman" w:cs="Times New Roman"/>
                <w:b/>
                <w:bCs/>
                <w:lang w:val="fr-FR"/>
              </w:rPr>
              <w:t>(</w:t>
            </w:r>
            <w:r w:rsidR="00064F96" w:rsidRPr="00B731FE">
              <w:rPr>
                <w:rFonts w:ascii="Times New Roman" w:hAnsi="Times New Roman" w:cs="Times New Roman"/>
                <w:b/>
                <w:bCs/>
                <w:lang w:val="fr-FR"/>
              </w:rPr>
              <w:t>en millions $</w:t>
            </w:r>
            <w:r w:rsidRPr="00B731FE">
              <w:rPr>
                <w:rFonts w:ascii="Times New Roman" w:hAnsi="Times New Roman" w:cs="Times New Roman"/>
                <w:b/>
                <w:bCs/>
                <w:lang w:val="fr-FR"/>
              </w:rPr>
              <w:t>)</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Coût total du projet</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rsidP="00064F96">
            <w:pPr>
              <w:rPr>
                <w:rFonts w:ascii="Times New Roman" w:hAnsi="Times New Roman" w:cs="Times New Roman"/>
                <w:lang w:val="fr-FR"/>
              </w:rPr>
            </w:pPr>
            <w:r w:rsidRPr="00B731FE">
              <w:rPr>
                <w:rFonts w:ascii="Times New Roman" w:hAnsi="Times New Roman" w:cs="Times New Roman"/>
                <w:sz w:val="22"/>
                <w:szCs w:val="22"/>
                <w:lang w:val="fr-FR"/>
              </w:rPr>
              <w:t>50</w:t>
            </w:r>
            <w:r w:rsidR="00064F96" w:rsidRPr="00B731FE">
              <w:rPr>
                <w:rFonts w:ascii="Times New Roman" w:hAnsi="Times New Roman" w:cs="Times New Roman"/>
                <w:sz w:val="22"/>
                <w:szCs w:val="22"/>
                <w:lang w:val="fr-FR"/>
              </w:rPr>
              <w:t>,</w:t>
            </w:r>
            <w:r w:rsidRPr="00B731FE">
              <w:rPr>
                <w:rFonts w:ascii="Times New Roman" w:hAnsi="Times New Roman" w:cs="Times New Roman"/>
                <w:sz w:val="22"/>
                <w:szCs w:val="22"/>
                <w:lang w:val="fr-FR"/>
              </w:rPr>
              <w:t>00</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Financement Banque total</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223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50,</w:t>
            </w:r>
            <w:r w:rsidR="00406419" w:rsidRPr="00B731FE">
              <w:rPr>
                <w:rFonts w:ascii="Times New Roman" w:hAnsi="Times New Roman" w:cs="Times New Roman"/>
                <w:sz w:val="22"/>
                <w:szCs w:val="22"/>
                <w:lang w:val="fr-FR"/>
              </w:rPr>
              <w:t>00</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Écart de financement</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223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0,</w:t>
            </w:r>
            <w:r w:rsidR="00406419" w:rsidRPr="00B731FE">
              <w:rPr>
                <w:rFonts w:ascii="Times New Roman" w:hAnsi="Times New Roman" w:cs="Times New Roman"/>
                <w:sz w:val="22"/>
                <w:szCs w:val="22"/>
                <w:lang w:val="fr-FR"/>
              </w:rPr>
              <w:t>00</w:t>
            </w:r>
          </w:p>
        </w:tc>
        <w:tc>
          <w:tcPr>
            <w:tcW w:w="4557" w:type="dxa"/>
            <w:gridSpan w:val="6"/>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b/>
                <w:bCs/>
                <w:sz w:val="22"/>
                <w:szCs w:val="22"/>
                <w:lang w:val="fr-FR"/>
              </w:rPr>
              <w:t>Sources de financement</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right"/>
              <w:rPr>
                <w:rFonts w:ascii="Times New Roman" w:hAnsi="Times New Roman" w:cs="Times New Roman"/>
                <w:lang w:val="fr-FR"/>
              </w:rPr>
            </w:pPr>
            <w:r w:rsidRPr="00B731FE">
              <w:rPr>
                <w:rFonts w:ascii="Times New Roman" w:hAnsi="Times New Roman" w:cs="Times New Roman"/>
                <w:b/>
                <w:bCs/>
                <w:sz w:val="22"/>
                <w:szCs w:val="22"/>
                <w:lang w:val="fr-FR"/>
              </w:rPr>
              <w:t>Montant</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Emprunteur</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right"/>
              <w:rPr>
                <w:rFonts w:ascii="Times New Roman" w:hAnsi="Times New Roman" w:cs="Times New Roman"/>
                <w:lang w:val="fr-FR"/>
              </w:rPr>
            </w:pPr>
            <w:r w:rsidRPr="00B731FE">
              <w:rPr>
                <w:rFonts w:ascii="Times New Roman" w:hAnsi="Times New Roman" w:cs="Times New Roman"/>
                <w:sz w:val="22"/>
                <w:szCs w:val="22"/>
                <w:lang w:val="fr-FR"/>
              </w:rPr>
              <w:t>0,</w:t>
            </w:r>
            <w:r w:rsidR="00406419" w:rsidRPr="00B731FE">
              <w:rPr>
                <w:rFonts w:ascii="Times New Roman" w:hAnsi="Times New Roman" w:cs="Times New Roman"/>
                <w:sz w:val="22"/>
                <w:szCs w:val="22"/>
                <w:lang w:val="fr-FR"/>
              </w:rPr>
              <w:t>00</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 xml:space="preserve">Banque internationale pour la reconstruction et le développement </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right"/>
              <w:rPr>
                <w:rFonts w:ascii="Times New Roman" w:hAnsi="Times New Roman" w:cs="Times New Roman"/>
                <w:lang w:val="fr-FR"/>
              </w:rPr>
            </w:pPr>
            <w:r w:rsidRPr="00B731FE">
              <w:rPr>
                <w:rFonts w:ascii="Times New Roman" w:hAnsi="Times New Roman" w:cs="Times New Roman"/>
                <w:sz w:val="22"/>
                <w:szCs w:val="22"/>
                <w:lang w:val="fr-FR"/>
              </w:rPr>
              <w:t>50,</w:t>
            </w:r>
            <w:r w:rsidR="00406419" w:rsidRPr="00B731FE">
              <w:rPr>
                <w:rFonts w:ascii="Times New Roman" w:hAnsi="Times New Roman" w:cs="Times New Roman"/>
                <w:sz w:val="22"/>
                <w:szCs w:val="22"/>
                <w:lang w:val="fr-FR"/>
              </w:rPr>
              <w:t>00</w:t>
            </w:r>
          </w:p>
        </w:tc>
      </w:tr>
      <w:tr w:rsidR="00406419" w:rsidRPr="00B731FE">
        <w:tc>
          <w:tcPr>
            <w:tcW w:w="279" w:type="dxa"/>
            <w:gridSpan w:val="2"/>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New Roman" w:hAnsi="Times New Roman" w:cs="Times New Roman"/>
                <w:color w:val="auto"/>
                <w:lang w:val="fr-FR"/>
              </w:rPr>
            </w:pPr>
          </w:p>
        </w:tc>
        <w:tc>
          <w:tcPr>
            <w:tcW w:w="651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Total</w:t>
            </w:r>
          </w:p>
        </w:tc>
        <w:tc>
          <w:tcPr>
            <w:tcW w:w="251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06419" w:rsidRPr="00B731FE" w:rsidRDefault="00064F96">
            <w:pPr>
              <w:jc w:val="right"/>
              <w:rPr>
                <w:rFonts w:ascii="Times New Roman" w:hAnsi="Times New Roman" w:cs="Times New Roman"/>
                <w:lang w:val="fr-FR"/>
              </w:rPr>
            </w:pPr>
            <w:r w:rsidRPr="00B731FE">
              <w:rPr>
                <w:rFonts w:ascii="Times New Roman" w:hAnsi="Times New Roman" w:cs="Times New Roman"/>
                <w:sz w:val="22"/>
                <w:szCs w:val="22"/>
                <w:lang w:val="fr-FR"/>
              </w:rPr>
              <w:t>50,</w:t>
            </w:r>
            <w:r w:rsidR="00406419" w:rsidRPr="00B731FE">
              <w:rPr>
                <w:rFonts w:ascii="Times New Roman" w:hAnsi="Times New Roman" w:cs="Times New Roman"/>
                <w:sz w:val="22"/>
                <w:szCs w:val="22"/>
                <w:lang w:val="fr-FR"/>
              </w:rPr>
              <w:t>00</w:t>
            </w:r>
          </w:p>
        </w:tc>
      </w:tr>
      <w:tr w:rsidR="00406419" w:rsidRPr="00B731FE">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bl>
    <w:p w:rsidR="00406419" w:rsidRPr="00B731FE" w:rsidRDefault="00406419">
      <w:pPr>
        <w:rPr>
          <w:rFonts w:ascii="Times" w:hAnsi="Times" w:cs="Times"/>
          <w:color w:val="FFFFFF"/>
          <w:sz w:val="8"/>
          <w:szCs w:val="8"/>
          <w:lang w:val="fr-FR"/>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94"/>
        <w:gridCol w:w="936"/>
        <w:gridCol w:w="8145"/>
      </w:tblGrid>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rsidP="00064F96">
            <w:pPr>
              <w:rPr>
                <w:rFonts w:ascii="Times New Roman" w:hAnsi="Times New Roman" w:cs="Times New Roman"/>
                <w:lang w:val="fr-FR"/>
              </w:rPr>
            </w:pPr>
            <w:r w:rsidRPr="00B731FE">
              <w:rPr>
                <w:rFonts w:ascii="Times New Roman" w:hAnsi="Times New Roman" w:cs="Times New Roman"/>
                <w:b/>
                <w:bCs/>
                <w:lang w:val="fr-FR"/>
              </w:rPr>
              <w:t>VI.</w:t>
            </w:r>
            <w:r w:rsidR="00064F96" w:rsidRPr="00B731FE">
              <w:rPr>
                <w:rFonts w:ascii="Times New Roman" w:hAnsi="Times New Roman" w:cs="Times New Roman"/>
                <w:b/>
                <w:bCs/>
                <w:lang w:val="fr-FR"/>
              </w:rPr>
              <w:t>. Contacts</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10"/>
                <w:szCs w:val="10"/>
                <w:lang w:val="fr-FR"/>
              </w:rPr>
            </w:pPr>
            <w:r w:rsidRPr="00B731FE">
              <w:rPr>
                <w:rFonts w:ascii="Times" w:hAnsi="Times" w:cs="Times"/>
                <w:color w:val="FFFFFF"/>
                <w:sz w:val="10"/>
                <w:szCs w:val="10"/>
                <w:lang w:val="fr-FR"/>
              </w:rPr>
              <w:lastRenderedPageBreak/>
              <w:t>.</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114" w:type="dxa"/>
            <w:gridSpan w:val="3"/>
            <w:tcBorders>
              <w:top w:val="nil"/>
              <w:left w:val="nil"/>
              <w:bottom w:val="nil"/>
              <w:right w:val="nil"/>
            </w:tcBorders>
            <w:shd w:val="clear" w:color="auto" w:fill="FFFFFF"/>
            <w:vAlign w:val="center"/>
          </w:tcPr>
          <w:p w:rsidR="00406419" w:rsidRPr="00B731FE" w:rsidRDefault="00064F96">
            <w:pPr>
              <w:rPr>
                <w:rFonts w:ascii="Times New Roman" w:hAnsi="Times New Roman" w:cs="Times New Roman"/>
                <w:lang w:val="fr-FR"/>
              </w:rPr>
            </w:pPr>
            <w:r w:rsidRPr="00B731FE">
              <w:rPr>
                <w:rFonts w:ascii="Times New Roman" w:hAnsi="Times New Roman" w:cs="Times New Roman"/>
                <w:b/>
                <w:bCs/>
                <w:lang w:val="fr-FR"/>
              </w:rPr>
              <w:t>Banque mondiale</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6"/>
                <w:szCs w:val="6"/>
                <w:lang w:val="fr-FR"/>
              </w:rPr>
            </w:pPr>
            <w:r w:rsidRPr="00B731FE">
              <w:rPr>
                <w:rFonts w:ascii="Times" w:hAnsi="Times" w:cs="Times"/>
                <w:color w:val="FFFFFF"/>
                <w:sz w:val="6"/>
                <w:szCs w:val="6"/>
                <w:lang w:val="fr-FR"/>
              </w:rPr>
              <w:t>.</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Contact:</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Randa Akeel</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64F96">
            <w:pPr>
              <w:rPr>
                <w:rFonts w:ascii="Times New Roman" w:hAnsi="Times New Roman" w:cs="Times New Roman"/>
                <w:lang w:val="fr-FR"/>
              </w:rPr>
            </w:pPr>
            <w:r w:rsidRPr="00B731FE">
              <w:rPr>
                <w:rFonts w:ascii="Times New Roman" w:hAnsi="Times New Roman" w:cs="Times New Roman"/>
                <w:sz w:val="22"/>
                <w:szCs w:val="22"/>
                <w:lang w:val="fr-FR"/>
              </w:rPr>
              <w:t>Titre</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Économiste principale</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Té</w:t>
            </w:r>
            <w:r w:rsidR="00406419" w:rsidRPr="00B731FE">
              <w:rPr>
                <w:rFonts w:ascii="Times New Roman" w:hAnsi="Times New Roman" w:cs="Times New Roman"/>
                <w:sz w:val="22"/>
                <w:szCs w:val="22"/>
                <w:lang w:val="fr-FR"/>
              </w:rPr>
              <w:t>l</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473-4152</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Courriel</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rakeel@worldbank.org</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Contact</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Mohamed Hisham El-Shiaty</w:t>
            </w:r>
          </w:p>
        </w:tc>
      </w:tr>
      <w:tr w:rsidR="00406419" w:rsidRPr="008F6877">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Titre</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0402C5" w:rsidP="000402C5">
            <w:pPr>
              <w:rPr>
                <w:rFonts w:ascii="Times New Roman" w:hAnsi="Times New Roman" w:cs="Times New Roman"/>
                <w:lang w:val="fr-FR"/>
              </w:rPr>
            </w:pPr>
            <w:r w:rsidRPr="00B731FE">
              <w:rPr>
                <w:rFonts w:ascii="Times New Roman" w:hAnsi="Times New Roman" w:cs="Times New Roman"/>
                <w:sz w:val="22"/>
                <w:szCs w:val="22"/>
                <w:lang w:val="fr-FR"/>
              </w:rPr>
              <w:t xml:space="preserve">Spécialiste principal du développement du secteur privé </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Té</w:t>
            </w:r>
            <w:r w:rsidR="00406419" w:rsidRPr="00B731FE">
              <w:rPr>
                <w:rFonts w:ascii="Times New Roman" w:hAnsi="Times New Roman" w:cs="Times New Roman"/>
                <w:sz w:val="22"/>
                <w:szCs w:val="22"/>
                <w:lang w:val="fr-FR"/>
              </w:rPr>
              <w:t>l</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5372</w:t>
            </w:r>
            <w:r w:rsidR="00526410" w:rsidRPr="00B731FE">
              <w:rPr>
                <w:rFonts w:ascii="Times New Roman" w:hAnsi="Times New Roman" w:cs="Times New Roman"/>
                <w:sz w:val="22"/>
                <w:szCs w:val="22"/>
                <w:lang w:val="fr-FR"/>
              </w:rPr>
              <w:t xml:space="preserve"> +</w:t>
            </w:r>
            <w:r w:rsidRPr="00B731FE">
              <w:rPr>
                <w:rFonts w:ascii="Times New Roman" w:hAnsi="Times New Roman" w:cs="Times New Roman"/>
                <w:sz w:val="22"/>
                <w:szCs w:val="22"/>
                <w:lang w:val="fr-FR"/>
              </w:rPr>
              <w:t>4233/</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Courriel</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melshiaty@ifc.org</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114" w:type="dxa"/>
            <w:gridSpan w:val="3"/>
            <w:tcBorders>
              <w:top w:val="nil"/>
              <w:left w:val="nil"/>
              <w:bottom w:val="nil"/>
              <w:right w:val="nil"/>
            </w:tcBorders>
            <w:shd w:val="clear" w:color="auto" w:fill="FFFFFF"/>
            <w:vAlign w:val="center"/>
          </w:tcPr>
          <w:p w:rsidR="00406419" w:rsidRPr="00B731FE" w:rsidRDefault="000402C5" w:rsidP="000402C5">
            <w:pPr>
              <w:rPr>
                <w:rFonts w:ascii="Times New Roman" w:hAnsi="Times New Roman" w:cs="Times New Roman"/>
                <w:lang w:val="fr-FR"/>
              </w:rPr>
            </w:pPr>
            <w:r w:rsidRPr="00B731FE">
              <w:rPr>
                <w:rFonts w:ascii="Times New Roman" w:hAnsi="Times New Roman" w:cs="Times New Roman"/>
                <w:b/>
                <w:bCs/>
                <w:lang w:val="fr-FR"/>
              </w:rPr>
              <w:t>Emprunteur</w:t>
            </w:r>
            <w:r w:rsidR="00406419" w:rsidRPr="00B731FE">
              <w:rPr>
                <w:rFonts w:ascii="Times New Roman" w:hAnsi="Times New Roman" w:cs="Times New Roman"/>
                <w:b/>
                <w:bCs/>
                <w:lang w:val="fr-FR"/>
              </w:rPr>
              <w:t>/Client/</w:t>
            </w:r>
            <w:r w:rsidRPr="00B731FE">
              <w:rPr>
                <w:rFonts w:ascii="Times New Roman" w:hAnsi="Times New Roman" w:cs="Times New Roman"/>
                <w:b/>
                <w:bCs/>
                <w:lang w:val="fr-FR"/>
              </w:rPr>
              <w:t>Récipiendaire</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6"/>
                <w:szCs w:val="6"/>
                <w:lang w:val="fr-FR"/>
              </w:rPr>
            </w:pPr>
            <w:r w:rsidRPr="00B731FE">
              <w:rPr>
                <w:rFonts w:ascii="Times" w:hAnsi="Times" w:cs="Times"/>
                <w:color w:val="FFFFFF"/>
                <w:sz w:val="6"/>
                <w:szCs w:val="6"/>
                <w:lang w:val="fr-FR"/>
              </w:rPr>
              <w:t>.</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Nom</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Gouvernement du Maroc</w:t>
            </w:r>
          </w:p>
        </w:tc>
      </w:tr>
      <w:tr w:rsidR="00406419" w:rsidRPr="008F6877">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Contact</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Ministère de l’Économie et des Finances</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406419" w:rsidP="000402C5">
            <w:pPr>
              <w:rPr>
                <w:rFonts w:ascii="Times New Roman" w:hAnsi="Times New Roman" w:cs="Times New Roman"/>
                <w:lang w:val="fr-FR"/>
              </w:rPr>
            </w:pPr>
            <w:r w:rsidRPr="00B731FE">
              <w:rPr>
                <w:rFonts w:ascii="Times New Roman" w:hAnsi="Times New Roman" w:cs="Times New Roman"/>
                <w:sz w:val="22"/>
                <w:szCs w:val="22"/>
                <w:lang w:val="fr-FR"/>
              </w:rPr>
              <w:t>Tit</w:t>
            </w:r>
            <w:r w:rsidR="000402C5" w:rsidRPr="00B731FE">
              <w:rPr>
                <w:rFonts w:ascii="Times New Roman" w:hAnsi="Times New Roman" w:cs="Times New Roman"/>
                <w:sz w:val="22"/>
                <w:szCs w:val="22"/>
                <w:lang w:val="fr-FR"/>
              </w:rPr>
              <w:t>r</w:t>
            </w:r>
            <w:r w:rsidRPr="00B731FE">
              <w:rPr>
                <w:rFonts w:ascii="Times New Roman" w:hAnsi="Times New Roman" w:cs="Times New Roman"/>
                <w:sz w:val="22"/>
                <w:szCs w:val="22"/>
                <w:lang w:val="fr-FR"/>
              </w:rPr>
              <w:t>e</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Té</w:t>
            </w:r>
            <w:r w:rsidR="00406419" w:rsidRPr="00B731FE">
              <w:rPr>
                <w:rFonts w:ascii="Times New Roman" w:hAnsi="Times New Roman" w:cs="Times New Roman"/>
                <w:sz w:val="22"/>
                <w:szCs w:val="22"/>
                <w:lang w:val="fr-FR"/>
              </w:rPr>
              <w:t>l</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r>
      <w:tr w:rsidR="00406419" w:rsidRPr="008F6877">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Courriel</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n.alaissami@tresor.finances.gov.ma</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4"/>
                <w:szCs w:val="4"/>
                <w:lang w:val="fr-FR"/>
              </w:rPr>
            </w:pPr>
            <w:r w:rsidRPr="00B731FE">
              <w:rPr>
                <w:rFonts w:ascii="Times" w:hAnsi="Times" w:cs="Times"/>
                <w:color w:val="FFFFFF"/>
                <w:sz w:val="4"/>
                <w:szCs w:val="4"/>
                <w:lang w:val="fr-FR"/>
              </w:rPr>
              <w:t>.</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114" w:type="dxa"/>
            <w:gridSpan w:val="3"/>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b/>
                <w:bCs/>
                <w:lang w:val="fr-FR"/>
              </w:rPr>
              <w:t>Agence d’exécution</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6"/>
                <w:szCs w:val="6"/>
                <w:lang w:val="fr-FR"/>
              </w:rPr>
            </w:pPr>
            <w:r w:rsidRPr="00B731FE">
              <w:rPr>
                <w:rFonts w:ascii="Times" w:hAnsi="Times" w:cs="Times"/>
                <w:color w:val="FFFFFF"/>
                <w:sz w:val="6"/>
                <w:szCs w:val="6"/>
                <w:lang w:val="fr-FR"/>
              </w:rPr>
              <w:t>.</w:t>
            </w:r>
          </w:p>
        </w:tc>
      </w:tr>
      <w:tr w:rsidR="00406419" w:rsidRPr="008F6877">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Nom</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La Caisse Centrale de garantie</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Contact</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Taoufic Lahrach</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Titr</w:t>
            </w:r>
            <w:r w:rsidR="00406419" w:rsidRPr="00B731FE">
              <w:rPr>
                <w:rFonts w:ascii="Times New Roman" w:hAnsi="Times New Roman" w:cs="Times New Roman"/>
                <w:sz w:val="22"/>
                <w:szCs w:val="22"/>
                <w:lang w:val="fr-FR"/>
              </w:rPr>
              <w:t>e</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Directeurs finances et législation</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Té</w:t>
            </w:r>
            <w:r w:rsidR="00406419" w:rsidRPr="00B731FE">
              <w:rPr>
                <w:rFonts w:ascii="Times New Roman" w:hAnsi="Times New Roman" w:cs="Times New Roman"/>
                <w:sz w:val="22"/>
                <w:szCs w:val="22"/>
                <w:lang w:val="fr-FR"/>
              </w:rPr>
              <w:t>l</w:t>
            </w:r>
            <w:r w:rsidR="00526410" w:rsidRPr="00B731FE">
              <w:rPr>
                <w:rFonts w:ascii="Times New Roman" w:hAnsi="Times New Roman" w:cs="Times New Roman"/>
                <w:sz w:val="22"/>
                <w:szCs w:val="22"/>
                <w:lang w:val="fr-FR"/>
              </w:rPr>
              <w:t>. :</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0537716866</w:t>
            </w:r>
          </w:p>
        </w:tc>
      </w:tr>
      <w:tr w:rsidR="00406419" w:rsidRPr="00B731FE">
        <w:tc>
          <w:tcPr>
            <w:tcW w:w="186"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1023"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Courriel</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w:t>
            </w:r>
          </w:p>
        </w:tc>
        <w:tc>
          <w:tcPr>
            <w:tcW w:w="8091" w:type="dxa"/>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t.lahrach@ccg.ma</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4"/>
                <w:szCs w:val="4"/>
                <w:lang w:val="fr-FR"/>
              </w:rPr>
            </w:pPr>
            <w:r w:rsidRPr="00B731FE">
              <w:rPr>
                <w:rFonts w:ascii="Times" w:hAnsi="Times" w:cs="Times"/>
                <w:color w:val="FFFFFF"/>
                <w:sz w:val="4"/>
                <w:szCs w:val="4"/>
                <w:lang w:val="fr-FR"/>
              </w:rPr>
              <w:t>.</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8"/>
                <w:szCs w:val="8"/>
                <w:lang w:val="fr-FR"/>
              </w:rPr>
            </w:pPr>
            <w:r w:rsidRPr="00B731FE">
              <w:rPr>
                <w:rFonts w:ascii="Times" w:hAnsi="Times" w:cs="Times"/>
                <w:color w:val="FFFFFF"/>
                <w:sz w:val="8"/>
                <w:szCs w:val="8"/>
                <w:lang w:val="fr-FR"/>
              </w:rPr>
              <w:t>.</w:t>
            </w:r>
          </w:p>
        </w:tc>
      </w:tr>
      <w:tr w:rsidR="00406419" w:rsidRPr="008F6877">
        <w:tc>
          <w:tcPr>
            <w:tcW w:w="9300" w:type="dxa"/>
            <w:gridSpan w:val="4"/>
            <w:tcBorders>
              <w:top w:val="nil"/>
              <w:left w:val="nil"/>
              <w:bottom w:val="nil"/>
              <w:right w:val="nil"/>
            </w:tcBorders>
            <w:shd w:val="clear" w:color="auto" w:fill="FFFFFF"/>
            <w:vAlign w:val="center"/>
          </w:tcPr>
          <w:p w:rsidR="00406419" w:rsidRPr="00B731FE" w:rsidRDefault="00406419" w:rsidP="000402C5">
            <w:pPr>
              <w:rPr>
                <w:rFonts w:ascii="Times New Roman" w:hAnsi="Times New Roman" w:cs="Times New Roman"/>
                <w:lang w:val="fr-FR"/>
              </w:rPr>
            </w:pPr>
            <w:r w:rsidRPr="00B731FE">
              <w:rPr>
                <w:rFonts w:ascii="Times New Roman" w:hAnsi="Times New Roman" w:cs="Times New Roman"/>
                <w:b/>
                <w:bCs/>
                <w:lang w:val="fr-FR"/>
              </w:rPr>
              <w:t>VII.</w:t>
            </w:r>
            <w:r w:rsidR="000402C5" w:rsidRPr="00B731FE">
              <w:rPr>
                <w:rFonts w:ascii="Times New Roman" w:hAnsi="Times New Roman" w:cs="Times New Roman"/>
                <w:b/>
                <w:bCs/>
                <w:lang w:val="fr-FR"/>
              </w:rPr>
              <w:t xml:space="preserve"> Pour plus d’informations</w:t>
            </w:r>
            <w:r w:rsidR="00526410" w:rsidRPr="00B731FE">
              <w:rPr>
                <w:rFonts w:ascii="Times New Roman" w:hAnsi="Times New Roman" w:cs="Times New Roman"/>
                <w:b/>
                <w:bCs/>
                <w:lang w:val="fr-FR"/>
              </w:rPr>
              <w:t xml:space="preserve">, </w:t>
            </w:r>
            <w:r w:rsidR="000402C5" w:rsidRPr="00B731FE">
              <w:rPr>
                <w:rFonts w:ascii="Times New Roman" w:hAnsi="Times New Roman" w:cs="Times New Roman"/>
                <w:b/>
                <w:bCs/>
                <w:lang w:val="fr-FR"/>
              </w:rPr>
              <w:t>veuillez contacter</w:t>
            </w:r>
            <w:r w:rsidR="00526410" w:rsidRPr="00B731FE">
              <w:rPr>
                <w:rFonts w:ascii="Times New Roman" w:hAnsi="Times New Roman" w:cs="Times New Roman"/>
                <w:b/>
                <w:bCs/>
                <w:lang w:val="fr-FR"/>
              </w:rPr>
              <w:t> </w:t>
            </w:r>
            <w:r w:rsidRPr="00B731FE">
              <w:rPr>
                <w:rFonts w:ascii="Times New Roman" w:hAnsi="Times New Roman" w:cs="Times New Roman"/>
                <w:b/>
                <w:bCs/>
                <w:lang w:val="fr-FR"/>
              </w:rPr>
              <w:t>:</w:t>
            </w:r>
          </w:p>
        </w:tc>
      </w:tr>
      <w:tr w:rsidR="00406419" w:rsidRPr="00B731FE">
        <w:tc>
          <w:tcPr>
            <w:tcW w:w="9300" w:type="dxa"/>
            <w:gridSpan w:val="4"/>
            <w:tcBorders>
              <w:top w:val="nil"/>
              <w:left w:val="nil"/>
              <w:bottom w:val="nil"/>
              <w:right w:val="nil"/>
            </w:tcBorders>
            <w:shd w:val="clear" w:color="auto" w:fill="FFFFFF"/>
            <w:vAlign w:val="center"/>
          </w:tcPr>
          <w:p w:rsidR="00406419" w:rsidRPr="00B731FE" w:rsidRDefault="00406419">
            <w:pPr>
              <w:rPr>
                <w:rFonts w:ascii="Times" w:hAnsi="Times" w:cs="Times"/>
                <w:color w:val="FFFFFF"/>
                <w:sz w:val="10"/>
                <w:szCs w:val="10"/>
                <w:lang w:val="fr-FR"/>
              </w:rPr>
            </w:pPr>
            <w:r w:rsidRPr="00B731FE">
              <w:rPr>
                <w:rFonts w:ascii="Times" w:hAnsi="Times" w:cs="Times"/>
                <w:color w:val="FFFFFF"/>
                <w:sz w:val="10"/>
                <w:szCs w:val="10"/>
                <w:lang w:val="fr-FR"/>
              </w:rPr>
              <w:t>.</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0402C5" w:rsidP="000402C5">
            <w:pPr>
              <w:rPr>
                <w:rFonts w:ascii="Times New Roman" w:hAnsi="Times New Roman" w:cs="Times New Roman"/>
                <w:lang w:val="fr-FR"/>
              </w:rPr>
            </w:pPr>
            <w:r w:rsidRPr="00B731FE">
              <w:rPr>
                <w:rFonts w:ascii="Times New Roman" w:hAnsi="Times New Roman" w:cs="Times New Roman"/>
                <w:sz w:val="22"/>
                <w:szCs w:val="22"/>
                <w:lang w:val="fr-FR"/>
              </w:rPr>
              <w:t>L’</w:t>
            </w:r>
            <w:r w:rsidR="00406419" w:rsidRPr="00B731FE">
              <w:rPr>
                <w:rFonts w:ascii="Times New Roman" w:hAnsi="Times New Roman" w:cs="Times New Roman"/>
                <w:sz w:val="22"/>
                <w:szCs w:val="22"/>
                <w:lang w:val="fr-FR"/>
              </w:rPr>
              <w:t>InfoShop</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Banque mondiale</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1818 H Street, NW</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Washington, D.C.</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20433</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0402C5">
            <w:pPr>
              <w:rPr>
                <w:rFonts w:ascii="Times New Roman" w:hAnsi="Times New Roman" w:cs="Times New Roman"/>
                <w:lang w:val="fr-FR"/>
              </w:rPr>
            </w:pPr>
            <w:r w:rsidRPr="00B731FE">
              <w:rPr>
                <w:rFonts w:ascii="Times New Roman" w:hAnsi="Times New Roman" w:cs="Times New Roman"/>
                <w:sz w:val="22"/>
                <w:szCs w:val="22"/>
                <w:lang w:val="fr-FR"/>
              </w:rPr>
              <w:t>Télé</w:t>
            </w:r>
            <w:r w:rsidR="00406419" w:rsidRPr="00B731FE">
              <w:rPr>
                <w:rFonts w:ascii="Times New Roman" w:hAnsi="Times New Roman" w:cs="Times New Roman"/>
                <w:sz w:val="22"/>
                <w:szCs w:val="22"/>
                <w:lang w:val="fr-FR"/>
              </w:rPr>
              <w:t>phone</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 xml:space="preserve"> (202)</w:t>
            </w:r>
            <w:r w:rsidR="00526410" w:rsidRPr="00B731FE">
              <w:rPr>
                <w:rFonts w:ascii="Times New Roman" w:hAnsi="Times New Roman" w:cs="Times New Roman"/>
                <w:sz w:val="22"/>
                <w:szCs w:val="22"/>
                <w:lang w:val="fr-FR"/>
              </w:rPr>
              <w:t> </w:t>
            </w:r>
            <w:r w:rsidR="00406419" w:rsidRPr="00B731FE">
              <w:rPr>
                <w:rFonts w:ascii="Times New Roman" w:hAnsi="Times New Roman" w:cs="Times New Roman"/>
                <w:sz w:val="22"/>
                <w:szCs w:val="22"/>
                <w:lang w:val="fr-FR"/>
              </w:rPr>
              <w:t>458-4500</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lang w:val="fr-FR"/>
              </w:rPr>
            </w:pPr>
            <w:r w:rsidRPr="00B731FE">
              <w:rPr>
                <w:rFonts w:ascii="Times New Roman" w:hAnsi="Times New Roman" w:cs="Times New Roman"/>
                <w:sz w:val="22"/>
                <w:szCs w:val="22"/>
                <w:lang w:val="fr-FR"/>
              </w:rPr>
              <w:t>Fax</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 xml:space="preserve"> (202)</w:t>
            </w:r>
            <w:r w:rsidR="00526410" w:rsidRPr="00B731FE">
              <w:rPr>
                <w:rFonts w:ascii="Times New Roman" w:hAnsi="Times New Roman" w:cs="Times New Roman"/>
                <w:sz w:val="22"/>
                <w:szCs w:val="22"/>
                <w:lang w:val="fr-FR"/>
              </w:rPr>
              <w:t> </w:t>
            </w:r>
            <w:r w:rsidRPr="00B731FE">
              <w:rPr>
                <w:rFonts w:ascii="Times New Roman" w:hAnsi="Times New Roman" w:cs="Times New Roman"/>
                <w:sz w:val="22"/>
                <w:szCs w:val="22"/>
                <w:lang w:val="fr-FR"/>
              </w:rPr>
              <w:t>522-1500</w:t>
            </w:r>
          </w:p>
        </w:tc>
      </w:tr>
      <w:tr w:rsidR="00406419" w:rsidRPr="00B731FE">
        <w:tc>
          <w:tcPr>
            <w:tcW w:w="279" w:type="dxa"/>
            <w:gridSpan w:val="2"/>
            <w:tcBorders>
              <w:top w:val="nil"/>
              <w:left w:val="nil"/>
              <w:bottom w:val="nil"/>
              <w:right w:val="nil"/>
            </w:tcBorders>
            <w:shd w:val="clear" w:color="auto" w:fill="FFFFFF"/>
            <w:vAlign w:val="center"/>
          </w:tcPr>
          <w:p w:rsidR="00406419" w:rsidRPr="00B731FE" w:rsidRDefault="00406419">
            <w:pPr>
              <w:rPr>
                <w:rFonts w:ascii="Times New Roman" w:hAnsi="Times New Roman" w:cs="Times New Roman"/>
                <w:color w:val="auto"/>
                <w:lang w:val="fr-FR"/>
              </w:rPr>
            </w:pPr>
          </w:p>
        </w:tc>
        <w:tc>
          <w:tcPr>
            <w:tcW w:w="9021" w:type="dxa"/>
            <w:gridSpan w:val="2"/>
            <w:tcBorders>
              <w:top w:val="nil"/>
              <w:left w:val="nil"/>
              <w:bottom w:val="nil"/>
              <w:right w:val="nil"/>
            </w:tcBorders>
            <w:shd w:val="clear" w:color="auto" w:fill="FFFFFF"/>
            <w:vAlign w:val="center"/>
          </w:tcPr>
          <w:p w:rsidR="00406419" w:rsidRPr="00AD50BF" w:rsidRDefault="00406419">
            <w:pPr>
              <w:rPr>
                <w:rFonts w:ascii="Times New Roman" w:hAnsi="Times New Roman" w:cs="Times New Roman"/>
              </w:rPr>
            </w:pPr>
            <w:r w:rsidRPr="00AD50BF">
              <w:rPr>
                <w:rFonts w:ascii="Times New Roman" w:hAnsi="Times New Roman" w:cs="Times New Roman"/>
                <w:sz w:val="22"/>
                <w:szCs w:val="22"/>
              </w:rPr>
              <w:t>Web</w:t>
            </w:r>
            <w:r w:rsidR="00526410" w:rsidRPr="00AD50BF">
              <w:rPr>
                <w:rFonts w:ascii="Times New Roman" w:hAnsi="Times New Roman" w:cs="Times New Roman"/>
                <w:sz w:val="22"/>
                <w:szCs w:val="22"/>
              </w:rPr>
              <w:t> :</w:t>
            </w:r>
            <w:r w:rsidRPr="00AD50BF">
              <w:rPr>
                <w:rFonts w:ascii="Times New Roman" w:hAnsi="Times New Roman" w:cs="Times New Roman"/>
                <w:sz w:val="22"/>
                <w:szCs w:val="22"/>
              </w:rPr>
              <w:t xml:space="preserve"> http://www.worldbank.org/infoshop</w:t>
            </w:r>
          </w:p>
        </w:tc>
      </w:tr>
    </w:tbl>
    <w:p w:rsidR="00406419" w:rsidRPr="00AD50BF" w:rsidRDefault="00406419"/>
    <w:sectPr w:rsidR="00406419" w:rsidRPr="00AD50BF" w:rsidSect="008553A8">
      <w:headerReference w:type="even" r:id="rId8"/>
      <w:headerReference w:type="default" r:id="rId9"/>
      <w:footerReference w:type="even" r:id="rId10"/>
      <w:footerReference w:type="default" r:id="rId11"/>
      <w:headerReference w:type="first" r:id="rId12"/>
      <w:footerReference w:type="first" r:id="rId13"/>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CD" w:rsidRDefault="005523CD" w:rsidP="00BA66F8">
      <w:r>
        <w:separator/>
      </w:r>
    </w:p>
  </w:endnote>
  <w:endnote w:type="continuationSeparator" w:id="0">
    <w:p w:rsidR="005523CD" w:rsidRDefault="005523CD" w:rsidP="00BA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10" w:rsidRDefault="0052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48129"/>
      <w:docPartObj>
        <w:docPartGallery w:val="Page Numbers (Bottom of Page)"/>
        <w:docPartUnique/>
      </w:docPartObj>
    </w:sdtPr>
    <w:sdtEndPr>
      <w:rPr>
        <w:sz w:val="18"/>
        <w:szCs w:val="18"/>
      </w:rPr>
    </w:sdtEndPr>
    <w:sdtContent>
      <w:p w:rsidR="00526410" w:rsidRDefault="00E7243A">
        <w:pPr>
          <w:pStyle w:val="Footer"/>
          <w:jc w:val="right"/>
        </w:pPr>
        <w:r w:rsidRPr="00BA66F8">
          <w:rPr>
            <w:sz w:val="18"/>
            <w:szCs w:val="18"/>
          </w:rPr>
          <w:fldChar w:fldCharType="begin"/>
        </w:r>
        <w:r w:rsidR="00526410" w:rsidRPr="00BA66F8">
          <w:rPr>
            <w:sz w:val="18"/>
            <w:szCs w:val="18"/>
          </w:rPr>
          <w:instrText xml:space="preserve"> PAGE   \* MERGEFORMAT </w:instrText>
        </w:r>
        <w:r w:rsidRPr="00BA66F8">
          <w:rPr>
            <w:sz w:val="18"/>
            <w:szCs w:val="18"/>
          </w:rPr>
          <w:fldChar w:fldCharType="separate"/>
        </w:r>
        <w:r w:rsidR="00A455B0">
          <w:rPr>
            <w:noProof/>
            <w:sz w:val="18"/>
            <w:szCs w:val="18"/>
          </w:rPr>
          <w:t>1</w:t>
        </w:r>
        <w:r w:rsidRPr="00BA66F8">
          <w:rPr>
            <w:sz w:val="18"/>
            <w:szCs w:val="18"/>
          </w:rPr>
          <w:fldChar w:fldCharType="end"/>
        </w:r>
      </w:p>
    </w:sdtContent>
  </w:sdt>
  <w:p w:rsidR="00526410" w:rsidRDefault="00526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10" w:rsidRDefault="0052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CD" w:rsidRDefault="005523CD" w:rsidP="00BA66F8">
      <w:r>
        <w:separator/>
      </w:r>
    </w:p>
  </w:footnote>
  <w:footnote w:type="continuationSeparator" w:id="0">
    <w:p w:rsidR="005523CD" w:rsidRDefault="005523CD" w:rsidP="00BA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10" w:rsidRDefault="00526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10" w:rsidRDefault="00526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10" w:rsidRDefault="00526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CCC41FCC"/>
    <w:lvl w:ilvl="0" w:tplc="4EAA30BC">
      <w:start w:val="1"/>
      <w:numFmt w:val="decimal"/>
      <w:lvlText w:val="%1."/>
      <w:lvlJc w:val="left"/>
      <w:pPr>
        <w:tabs>
          <w:tab w:val="num" w:pos="360"/>
        </w:tabs>
        <w:ind w:left="0" w:firstLine="0"/>
      </w:pPr>
      <w:rPr>
        <w:rFonts w:hint="default"/>
        <w:b w:val="0"/>
        <w:i w:val="0"/>
      </w:rPr>
    </w:lvl>
    <w:lvl w:ilvl="1" w:tplc="04090017">
      <w:start w:val="1"/>
      <w:numFmt w:val="lowerLetter"/>
      <w:lvlText w:val="%2)"/>
      <w:lvlJc w:val="left"/>
      <w:pPr>
        <w:tabs>
          <w:tab w:val="num" w:pos="720"/>
        </w:tabs>
        <w:ind w:left="1080" w:firstLine="0"/>
      </w:pPr>
      <w:rPr>
        <w:rFonts w:hint="default"/>
        <w:i w:val="0"/>
        <w:iCs/>
      </w:rPr>
    </w:lvl>
    <w:lvl w:ilvl="2" w:tplc="5ACA8920">
      <w:start w:val="1"/>
      <w:numFmt w:val="lowerLetter"/>
      <w:lvlText w:val="%3."/>
      <w:lvlJc w:val="left"/>
      <w:pPr>
        <w:tabs>
          <w:tab w:val="num" w:pos="2340"/>
        </w:tabs>
        <w:ind w:left="2340" w:hanging="360"/>
      </w:pPr>
      <w:rPr>
        <w:rFonts w:hint="default"/>
        <w:i w:val="0"/>
        <w:iCs/>
      </w:rPr>
    </w:lvl>
    <w:lvl w:ilvl="3" w:tplc="94085AFC">
      <w:start w:val="1"/>
      <w:numFmt w:val="lowerLetter"/>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C03AF"/>
    <w:multiLevelType w:val="hybridMultilevel"/>
    <w:tmpl w:val="D542DBB4"/>
    <w:lvl w:ilvl="0" w:tplc="4C7E0512">
      <w:start w:val="1"/>
      <w:numFmt w:val="decimal"/>
      <w:pStyle w:val="listeanumros"/>
      <w:lvlText w:val="%1."/>
      <w:lvlJc w:val="left"/>
      <w:pPr>
        <w:ind w:left="927" w:hanging="360"/>
      </w:pPr>
      <w:rPr>
        <w:rFonts w:asciiTheme="majorBidi" w:eastAsiaTheme="minorHAnsi"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B79E0B-695F-4453-A67D-65AC20315FF9}"/>
    <w:docVar w:name="dgnword-eventsink" w:val="127288528"/>
  </w:docVars>
  <w:rsids>
    <w:rsidRoot w:val="00114C03"/>
    <w:rsid w:val="00010C0A"/>
    <w:rsid w:val="0001135D"/>
    <w:rsid w:val="000402C5"/>
    <w:rsid w:val="00056814"/>
    <w:rsid w:val="000625E6"/>
    <w:rsid w:val="00064F96"/>
    <w:rsid w:val="000C1D3A"/>
    <w:rsid w:val="00114C03"/>
    <w:rsid w:val="00182CA0"/>
    <w:rsid w:val="001A1A38"/>
    <w:rsid w:val="001B26C3"/>
    <w:rsid w:val="001B2C0F"/>
    <w:rsid w:val="001D4D67"/>
    <w:rsid w:val="002256B5"/>
    <w:rsid w:val="00242A02"/>
    <w:rsid w:val="002541F3"/>
    <w:rsid w:val="002575BE"/>
    <w:rsid w:val="002918C3"/>
    <w:rsid w:val="0036234F"/>
    <w:rsid w:val="003632C0"/>
    <w:rsid w:val="003D0021"/>
    <w:rsid w:val="003D29F0"/>
    <w:rsid w:val="00406419"/>
    <w:rsid w:val="004A49EE"/>
    <w:rsid w:val="004A6D37"/>
    <w:rsid w:val="004E4011"/>
    <w:rsid w:val="0050180F"/>
    <w:rsid w:val="00503963"/>
    <w:rsid w:val="00510558"/>
    <w:rsid w:val="00520B9F"/>
    <w:rsid w:val="00526410"/>
    <w:rsid w:val="005523CD"/>
    <w:rsid w:val="00564D3B"/>
    <w:rsid w:val="0067600F"/>
    <w:rsid w:val="006960D4"/>
    <w:rsid w:val="00697DA7"/>
    <w:rsid w:val="006A5AC3"/>
    <w:rsid w:val="006D3352"/>
    <w:rsid w:val="00704BD5"/>
    <w:rsid w:val="007A0D2B"/>
    <w:rsid w:val="00802365"/>
    <w:rsid w:val="00813147"/>
    <w:rsid w:val="00837541"/>
    <w:rsid w:val="008553A8"/>
    <w:rsid w:val="00871EC2"/>
    <w:rsid w:val="00881EC2"/>
    <w:rsid w:val="008D4FFF"/>
    <w:rsid w:val="008F6877"/>
    <w:rsid w:val="009907B2"/>
    <w:rsid w:val="009C03A1"/>
    <w:rsid w:val="009D6882"/>
    <w:rsid w:val="00A07970"/>
    <w:rsid w:val="00A07B16"/>
    <w:rsid w:val="00A133EA"/>
    <w:rsid w:val="00A23D78"/>
    <w:rsid w:val="00A455B0"/>
    <w:rsid w:val="00A45D11"/>
    <w:rsid w:val="00AB4FAE"/>
    <w:rsid w:val="00AB6EDD"/>
    <w:rsid w:val="00AD50BF"/>
    <w:rsid w:val="00AF4315"/>
    <w:rsid w:val="00B50394"/>
    <w:rsid w:val="00B52EB4"/>
    <w:rsid w:val="00B731FE"/>
    <w:rsid w:val="00BA66F8"/>
    <w:rsid w:val="00C03ECE"/>
    <w:rsid w:val="00C8215F"/>
    <w:rsid w:val="00CD0A23"/>
    <w:rsid w:val="00CE494D"/>
    <w:rsid w:val="00D55D72"/>
    <w:rsid w:val="00E7243A"/>
    <w:rsid w:val="00EC70EF"/>
    <w:rsid w:val="00EE08D4"/>
    <w:rsid w:val="00F200F4"/>
    <w:rsid w:val="00F852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A88549-B751-4D88-930D-A94507E0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A8"/>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8553A8"/>
    <w:pPr>
      <w:outlineLvl w:val="0"/>
    </w:pPr>
    <w:rPr>
      <w:b/>
      <w:bCs/>
      <w:sz w:val="32"/>
      <w:szCs w:val="32"/>
    </w:rPr>
  </w:style>
  <w:style w:type="paragraph" w:styleId="Heading2">
    <w:name w:val="heading 2"/>
    <w:basedOn w:val="Normal"/>
    <w:next w:val="Normal"/>
    <w:link w:val="Heading2Char"/>
    <w:uiPriority w:val="99"/>
    <w:qFormat/>
    <w:rsid w:val="008553A8"/>
    <w:pPr>
      <w:outlineLvl w:val="1"/>
    </w:pPr>
    <w:rPr>
      <w:b/>
      <w:bCs/>
      <w:i/>
      <w:iCs/>
      <w:sz w:val="28"/>
      <w:szCs w:val="28"/>
    </w:rPr>
  </w:style>
  <w:style w:type="paragraph" w:styleId="Heading3">
    <w:name w:val="heading 3"/>
    <w:basedOn w:val="Normal"/>
    <w:next w:val="Normal"/>
    <w:link w:val="Heading3Char"/>
    <w:uiPriority w:val="99"/>
    <w:qFormat/>
    <w:rsid w:val="008553A8"/>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8553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553A8"/>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locked/>
    <w:rsid w:val="008553A8"/>
    <w:rPr>
      <w:rFonts w:asciiTheme="majorHAnsi" w:eastAsiaTheme="majorEastAsia" w:hAnsiTheme="majorHAnsi" w:cstheme="majorBidi"/>
      <w:b/>
      <w:bCs/>
      <w:kern w:val="32"/>
      <w:sz w:val="32"/>
      <w:szCs w:val="32"/>
    </w:rPr>
  </w:style>
  <w:style w:type="paragraph" w:customStyle="1" w:styleId="listeanumros">
    <w:name w:val="liste a numéros"/>
    <w:basedOn w:val="Normal"/>
    <w:qFormat/>
    <w:rsid w:val="009C03A1"/>
    <w:pPr>
      <w:widowControl/>
      <w:numPr>
        <w:numId w:val="1"/>
      </w:numPr>
      <w:autoSpaceDE/>
      <w:autoSpaceDN/>
      <w:adjustRightInd/>
      <w:spacing w:after="80" w:line="259" w:lineRule="auto"/>
      <w:jc w:val="both"/>
    </w:pPr>
    <w:rPr>
      <w:rFonts w:asciiTheme="majorBidi" w:eastAsiaTheme="minorHAnsi" w:hAnsiTheme="majorBidi" w:cstheme="majorBidi"/>
      <w:color w:val="auto"/>
      <w:lang w:val="fr-CA"/>
    </w:rPr>
  </w:style>
  <w:style w:type="paragraph" w:styleId="Header">
    <w:name w:val="header"/>
    <w:basedOn w:val="Normal"/>
    <w:link w:val="HeaderChar"/>
    <w:uiPriority w:val="99"/>
    <w:semiHidden/>
    <w:unhideWhenUsed/>
    <w:rsid w:val="00BA66F8"/>
    <w:pPr>
      <w:tabs>
        <w:tab w:val="center" w:pos="4320"/>
        <w:tab w:val="right" w:pos="8640"/>
      </w:tabs>
    </w:pPr>
  </w:style>
  <w:style w:type="character" w:customStyle="1" w:styleId="HeaderChar">
    <w:name w:val="Header Char"/>
    <w:basedOn w:val="DefaultParagraphFont"/>
    <w:link w:val="Header"/>
    <w:uiPriority w:val="99"/>
    <w:semiHidden/>
    <w:rsid w:val="00BA66F8"/>
    <w:rPr>
      <w:rFonts w:ascii="Arial" w:hAnsi="Arial" w:cs="Arial"/>
      <w:color w:val="000000"/>
      <w:sz w:val="24"/>
      <w:szCs w:val="24"/>
      <w:lang w:val="en-US" w:eastAsia="en-US"/>
    </w:rPr>
  </w:style>
  <w:style w:type="paragraph" w:styleId="Footer">
    <w:name w:val="footer"/>
    <w:basedOn w:val="Normal"/>
    <w:link w:val="FooterChar"/>
    <w:uiPriority w:val="99"/>
    <w:unhideWhenUsed/>
    <w:rsid w:val="00BA66F8"/>
    <w:pPr>
      <w:tabs>
        <w:tab w:val="center" w:pos="4320"/>
        <w:tab w:val="right" w:pos="8640"/>
      </w:tabs>
    </w:pPr>
  </w:style>
  <w:style w:type="character" w:customStyle="1" w:styleId="FooterChar">
    <w:name w:val="Footer Char"/>
    <w:basedOn w:val="DefaultParagraphFont"/>
    <w:link w:val="Footer"/>
    <w:uiPriority w:val="99"/>
    <w:rsid w:val="00BA66F8"/>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8D4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FFF"/>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2AD7FB-CE58-4C2C-BD23-3CBDDED3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2440</Words>
  <Characters>14271</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 Akeel</dc:creator>
  <cp:lastModifiedBy>Lina Janenaite</cp:lastModifiedBy>
  <cp:revision>2</cp:revision>
  <cp:lastPrinted>2016-06-14T18:58:00Z</cp:lastPrinted>
  <dcterms:created xsi:type="dcterms:W3CDTF">2016-06-14T18:59:00Z</dcterms:created>
  <dcterms:modified xsi:type="dcterms:W3CDTF">2016-06-14T18:59:00Z</dcterms:modified>
</cp:coreProperties>
</file>