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018B5" w14:textId="77777777" w:rsidR="00727C51" w:rsidRPr="004A091A" w:rsidRDefault="006C6446" w:rsidP="006C6446">
      <w:pPr>
        <w:jc w:val="center"/>
        <w:rPr>
          <w:b/>
          <w:sz w:val="28"/>
          <w:szCs w:val="28"/>
        </w:rPr>
      </w:pPr>
      <w:r w:rsidRPr="004A091A">
        <w:rPr>
          <w:b/>
          <w:sz w:val="28"/>
          <w:szCs w:val="28"/>
        </w:rPr>
        <w:t xml:space="preserve">Competitiveness in Azerbaijan – </w:t>
      </w:r>
      <w:r w:rsidR="00A12013" w:rsidRPr="004A091A">
        <w:rPr>
          <w:b/>
          <w:sz w:val="28"/>
          <w:szCs w:val="28"/>
        </w:rPr>
        <w:t>A Call to Action</w:t>
      </w:r>
    </w:p>
    <w:p w14:paraId="78F09D6F" w14:textId="77777777" w:rsidR="006C6446" w:rsidRPr="00EB6AC1" w:rsidRDefault="006C6446" w:rsidP="005201EB">
      <w:pPr>
        <w:spacing w:line="360" w:lineRule="auto"/>
        <w:jc w:val="center"/>
        <w:rPr>
          <w:b/>
        </w:rPr>
      </w:pPr>
    </w:p>
    <w:p w14:paraId="41D4A8AE" w14:textId="77777777" w:rsidR="00B13698" w:rsidRPr="00EB6AC1" w:rsidRDefault="00A12013" w:rsidP="00A12013">
      <w:pPr>
        <w:rPr>
          <w:b/>
        </w:rPr>
      </w:pPr>
      <w:r w:rsidRPr="00EB6AC1">
        <w:rPr>
          <w:b/>
        </w:rPr>
        <w:t>Introduction</w:t>
      </w:r>
    </w:p>
    <w:p w14:paraId="1657F0B5" w14:textId="5CAB0243" w:rsidR="00DB7CBC" w:rsidRPr="00EB6AC1" w:rsidRDefault="00B13698" w:rsidP="00DB7CBC">
      <w:pPr>
        <w:jc w:val="both"/>
      </w:pPr>
      <w:r w:rsidRPr="00EB6AC1">
        <w:t xml:space="preserve">On 6 March 2019, </w:t>
      </w:r>
      <w:r w:rsidR="004D1671" w:rsidRPr="00EB6AC1">
        <w:t>a high-level Forum on Economic Diversification con</w:t>
      </w:r>
      <w:r w:rsidR="004D1671" w:rsidRPr="006C6446">
        <w:t xml:space="preserve">vened </w:t>
      </w:r>
      <w:r w:rsidRPr="006C6446">
        <w:t>more than 1</w:t>
      </w:r>
      <w:r w:rsidR="006C6446" w:rsidRPr="006C6446">
        <w:t>0</w:t>
      </w:r>
      <w:r w:rsidRPr="006C6446">
        <w:t xml:space="preserve">0 participants from the Government of Azerbaijan, </w:t>
      </w:r>
      <w:r w:rsidR="00217FC1" w:rsidRPr="006C6446">
        <w:t xml:space="preserve">representatives </w:t>
      </w:r>
      <w:r w:rsidR="00D82A56" w:rsidRPr="006C6446">
        <w:t xml:space="preserve">of </w:t>
      </w:r>
      <w:r w:rsidR="00217FC1" w:rsidRPr="006C6446">
        <w:t xml:space="preserve">the </w:t>
      </w:r>
      <w:r w:rsidR="00424A79" w:rsidRPr="006C6446">
        <w:t>pr</w:t>
      </w:r>
      <w:r w:rsidR="00217FC1" w:rsidRPr="006C6446">
        <w:t>ivate sector</w:t>
      </w:r>
      <w:r w:rsidR="00424A79" w:rsidRPr="006C6446">
        <w:t xml:space="preserve"> and development partners</w:t>
      </w:r>
      <w:r w:rsidR="004D1671" w:rsidRPr="006C6446">
        <w:t xml:space="preserve">. </w:t>
      </w:r>
      <w:r w:rsidRPr="006C6446">
        <w:t xml:space="preserve">Recognizing the key role of </w:t>
      </w:r>
      <w:r w:rsidR="00217FC1" w:rsidRPr="006C6446">
        <w:t xml:space="preserve">the </w:t>
      </w:r>
      <w:r w:rsidR="004D1671" w:rsidRPr="006C6446">
        <w:t>private sector</w:t>
      </w:r>
      <w:r w:rsidRPr="006C6446">
        <w:t xml:space="preserve"> in </w:t>
      </w:r>
      <w:r w:rsidR="004D1671" w:rsidRPr="006C6446">
        <w:t xml:space="preserve">the </w:t>
      </w:r>
      <w:r w:rsidRPr="006C6446">
        <w:t xml:space="preserve">growth and development </w:t>
      </w:r>
      <w:r w:rsidR="004D1671" w:rsidRPr="006C6446">
        <w:t xml:space="preserve">of Azerbaijan </w:t>
      </w:r>
      <w:r w:rsidRPr="006C6446">
        <w:t xml:space="preserve">over the long term, </w:t>
      </w:r>
      <w:r w:rsidR="004D1671" w:rsidRPr="006C6446">
        <w:t xml:space="preserve">the Forum was organized by the World Bank Group (WBG) in partnership with the Office of the Deputy Prime Minister, </w:t>
      </w:r>
      <w:r w:rsidR="006C6332">
        <w:t xml:space="preserve">Ministry of Economy, </w:t>
      </w:r>
      <w:r w:rsidR="004D1671" w:rsidRPr="006C6446">
        <w:t xml:space="preserve">Ministry of </w:t>
      </w:r>
      <w:r w:rsidR="00FB4CB5">
        <w:t>Taxes</w:t>
      </w:r>
      <w:r w:rsidR="004D1671" w:rsidRPr="006C6446">
        <w:t xml:space="preserve">, </w:t>
      </w:r>
      <w:r w:rsidR="00E93BD0">
        <w:t xml:space="preserve">Central Bank of Azerbaijan Republic </w:t>
      </w:r>
      <w:r w:rsidR="004D1671" w:rsidRPr="006C6446">
        <w:t>and Ministry of Labor and Social Protection of the Population</w:t>
      </w:r>
      <w:r w:rsidR="00DB7CBC" w:rsidRPr="006C6446">
        <w:t>.</w:t>
      </w:r>
      <w:r w:rsidR="004D1671" w:rsidRPr="006C6446">
        <w:t xml:space="preserve"> </w:t>
      </w:r>
      <w:r w:rsidR="00DB7CBC" w:rsidRPr="006C6446">
        <w:t>This</w:t>
      </w:r>
      <w:r w:rsidR="00DB7CBC" w:rsidRPr="00EB6AC1">
        <w:t xml:space="preserve"> call to action summarizes the key issues that were discussed at the Forum and puts forth recommendations that the Government of Azerbaijan may consider in its effort to enhance the role of private sector in the economic diversification of the country. </w:t>
      </w:r>
    </w:p>
    <w:p w14:paraId="46BA0CE5" w14:textId="77777777" w:rsidR="004D1671" w:rsidRPr="00EB6AC1" w:rsidRDefault="004D1671" w:rsidP="00424A79">
      <w:pPr>
        <w:jc w:val="both"/>
      </w:pPr>
    </w:p>
    <w:p w14:paraId="6A8D8F6C" w14:textId="77777777" w:rsidR="00D82A56" w:rsidRPr="00EB6AC1" w:rsidRDefault="005201EB" w:rsidP="00424A79">
      <w:pPr>
        <w:jc w:val="both"/>
        <w:rPr>
          <w:b/>
        </w:rPr>
      </w:pPr>
      <w:r>
        <w:rPr>
          <w:b/>
        </w:rPr>
        <w:t>Rebalancing Azerbaijan’s economy</w:t>
      </w:r>
    </w:p>
    <w:p w14:paraId="53C40118" w14:textId="77777777" w:rsidR="006C6446" w:rsidRDefault="006C6446" w:rsidP="00E10DA9">
      <w:pPr>
        <w:jc w:val="both"/>
      </w:pPr>
      <w:r>
        <w:t xml:space="preserve">Learning from success stories around the world, the </w:t>
      </w:r>
      <w:r w:rsidR="00C4386B">
        <w:t>F</w:t>
      </w:r>
      <w:r>
        <w:t xml:space="preserve">orum highlighted that endowments and size are not necessarily a driver for economic development. </w:t>
      </w:r>
      <w:r w:rsidR="00F37A25">
        <w:t xml:space="preserve">According to the research of the </w:t>
      </w:r>
      <w:r w:rsidR="001D0EB7" w:rsidRPr="007E754A">
        <w:rPr>
          <w:i/>
        </w:rPr>
        <w:t>G</w:t>
      </w:r>
      <w:r w:rsidR="00F37A25" w:rsidRPr="007E754A">
        <w:rPr>
          <w:i/>
        </w:rPr>
        <w:t xml:space="preserve">rowth </w:t>
      </w:r>
      <w:r w:rsidR="001D0EB7" w:rsidRPr="007E754A">
        <w:rPr>
          <w:i/>
        </w:rPr>
        <w:t>C</w:t>
      </w:r>
      <w:r w:rsidR="00F37A25" w:rsidRPr="007E754A">
        <w:rPr>
          <w:i/>
        </w:rPr>
        <w:t>ommission</w:t>
      </w:r>
      <w:r w:rsidR="001D0EB7">
        <w:t>,</w:t>
      </w:r>
      <w:r w:rsidR="00F37A25">
        <w:t xml:space="preserve"> t</w:t>
      </w:r>
      <w:r>
        <w:t xml:space="preserve">he most critical commonality among the world’s economic success stories is economic management, </w:t>
      </w:r>
      <w:r w:rsidR="00E10DA9">
        <w:t xml:space="preserve">particularly </w:t>
      </w:r>
      <w:r w:rsidR="005201EB">
        <w:t>(i</w:t>
      </w:r>
      <w:r w:rsidR="00E10DA9">
        <w:t xml:space="preserve">) </w:t>
      </w:r>
      <w:r w:rsidR="00F37A25">
        <w:t>openness to trade</w:t>
      </w:r>
      <w:r w:rsidR="00E10DA9">
        <w:t xml:space="preserve">; </w:t>
      </w:r>
      <w:r w:rsidR="005201EB">
        <w:t>(ii</w:t>
      </w:r>
      <w:r w:rsidR="00E10DA9">
        <w:t xml:space="preserve">) maintaining macroeconomic stability; </w:t>
      </w:r>
      <w:r w:rsidR="005201EB">
        <w:t>(iii</w:t>
      </w:r>
      <w:r w:rsidR="00E10DA9">
        <w:t xml:space="preserve">) </w:t>
      </w:r>
      <w:r w:rsidR="001F0A1B">
        <w:t xml:space="preserve">mustering </w:t>
      </w:r>
      <w:r w:rsidR="00E10DA9">
        <w:t xml:space="preserve">high rates of saving and investment; </w:t>
      </w:r>
      <w:r w:rsidR="005201EB">
        <w:t>(iv</w:t>
      </w:r>
      <w:r w:rsidR="00E10DA9">
        <w:t xml:space="preserve">) letting markets allocate resources; </w:t>
      </w:r>
      <w:r w:rsidR="005201EB">
        <w:t>(v</w:t>
      </w:r>
      <w:r w:rsidR="00E10DA9">
        <w:t>) having committed, credible, and capable governments</w:t>
      </w:r>
      <w:r>
        <w:t>. Th</w:t>
      </w:r>
      <w:r w:rsidR="007E754A">
        <w:t xml:space="preserve">ese ingredients of success apply </w:t>
      </w:r>
      <w:r>
        <w:t xml:space="preserve">to a wide spectrum of economic success stories, including </w:t>
      </w:r>
      <w:r w:rsidR="005201EB">
        <w:t xml:space="preserve">Botswana </w:t>
      </w:r>
      <w:r>
        <w:t xml:space="preserve">China, Oman, </w:t>
      </w:r>
      <w:r w:rsidR="005201EB">
        <w:t>Norway and South Korea.</w:t>
      </w:r>
    </w:p>
    <w:p w14:paraId="216ACDE9" w14:textId="77777777" w:rsidR="006C6446" w:rsidRDefault="006C6446" w:rsidP="00424A79">
      <w:pPr>
        <w:jc w:val="both"/>
      </w:pPr>
    </w:p>
    <w:p w14:paraId="196A3578" w14:textId="77777777" w:rsidR="00D82A56" w:rsidRDefault="00D82A56" w:rsidP="00424A79">
      <w:pPr>
        <w:jc w:val="both"/>
      </w:pPr>
      <w:r w:rsidRPr="00EB6AC1">
        <w:t>The Forum emphasized the importance of economic diversification through enhanced private sector participation and non-oil sector development.</w:t>
      </w:r>
      <w:r w:rsidR="001B13B8" w:rsidRPr="00EB6AC1">
        <w:t xml:space="preserve"> </w:t>
      </w:r>
      <w:r w:rsidR="005201EB" w:rsidRPr="00EB6AC1">
        <w:t>Considering</w:t>
      </w:r>
      <w:r w:rsidR="001B13B8" w:rsidRPr="00EB6AC1">
        <w:t xml:space="preserve"> rapid technological advancements, such as the growth of renewables </w:t>
      </w:r>
      <w:bookmarkStart w:id="0" w:name="_GoBack"/>
      <w:bookmarkEnd w:id="0"/>
      <w:r w:rsidR="001B13B8" w:rsidRPr="00EB6AC1">
        <w:t xml:space="preserve">and </w:t>
      </w:r>
      <w:r w:rsidR="001B13B8" w:rsidRPr="0081434B">
        <w:t xml:space="preserve">increased efficiencies in transport, Azerbaijan </w:t>
      </w:r>
      <w:r w:rsidRPr="0081434B">
        <w:t>would benefit from diversifying</w:t>
      </w:r>
      <w:r w:rsidR="005201EB" w:rsidRPr="0081434B">
        <w:t xml:space="preserve">, e.g. </w:t>
      </w:r>
      <w:r w:rsidRPr="0081434B">
        <w:t xml:space="preserve">into petrochemicals. </w:t>
      </w:r>
      <w:r w:rsidR="001043CC" w:rsidRPr="0081434B">
        <w:t xml:space="preserve">Azerbaijan should embark on a </w:t>
      </w:r>
      <w:r w:rsidR="00F42393" w:rsidRPr="0081434B">
        <w:t xml:space="preserve">new private sector-led </w:t>
      </w:r>
      <w:r w:rsidR="001043CC" w:rsidRPr="0081434B">
        <w:t xml:space="preserve">model </w:t>
      </w:r>
      <w:r w:rsidR="00F42393" w:rsidRPr="0081434B">
        <w:t xml:space="preserve">(including through a dynamic participation of MSMEs) </w:t>
      </w:r>
      <w:r w:rsidR="001043CC" w:rsidRPr="0081434B">
        <w:t>with</w:t>
      </w:r>
      <w:r w:rsidR="00F42393" w:rsidRPr="0081434B">
        <w:t xml:space="preserve"> competition, innovation and productivity growth as its cornerstones while developing automatic, market-based transmission channels for growth, job creation, and equity. </w:t>
      </w:r>
      <w:r w:rsidR="00DB7CBC" w:rsidRPr="0081434B">
        <w:t>The Forum participants recognized that investment in education and human capital will be key to Azerbaijan’s ability to collaborate and compete internationally</w:t>
      </w:r>
      <w:r w:rsidR="00BD7E30" w:rsidRPr="0081434B">
        <w:t>, therefore urging intensified investments</w:t>
      </w:r>
      <w:r w:rsidR="00BD7E30" w:rsidRPr="00EB6AC1">
        <w:t xml:space="preserve"> in this area</w:t>
      </w:r>
      <w:r w:rsidR="004A091A">
        <w:t xml:space="preserve"> (see </w:t>
      </w:r>
      <w:r w:rsidR="004A091A" w:rsidRPr="004A091A">
        <w:rPr>
          <w:i/>
        </w:rPr>
        <w:t>Call to Action</w:t>
      </w:r>
      <w:r w:rsidR="004A091A">
        <w:t xml:space="preserve"> of Human Capital Forum)</w:t>
      </w:r>
      <w:r w:rsidR="00DB7CBC" w:rsidRPr="00EB6AC1">
        <w:t>.</w:t>
      </w:r>
      <w:r w:rsidR="00BD7E30" w:rsidRPr="00EB6AC1">
        <w:t xml:space="preserve"> The rapid rise of Asia’s middle class presents a large new market for Azerbaijan’s diversified goods and services as well as an opportunity for Azerbaijan to take advantage of its regional position as a bridge between Europe and Asia</w:t>
      </w:r>
      <w:r w:rsidR="00EE14A2" w:rsidRPr="00EB6AC1">
        <w:t>.</w:t>
      </w:r>
    </w:p>
    <w:p w14:paraId="1A91FD8F" w14:textId="77777777" w:rsidR="006C6446" w:rsidRDefault="006C6446" w:rsidP="00424A79">
      <w:pPr>
        <w:jc w:val="both"/>
      </w:pPr>
    </w:p>
    <w:p w14:paraId="6DB91CEE" w14:textId="77777777" w:rsidR="00CE3645" w:rsidRDefault="008E6BA1" w:rsidP="00424A79">
      <w:pPr>
        <w:jc w:val="both"/>
      </w:pPr>
      <w:r w:rsidRPr="008E6BA1">
        <w:t xml:space="preserve">Rebalancing Azerbaijan’s economy has become more acute against the backdrop of the sharp decline in oil prices since the end of 2014 which has led to a double devaluation of the local currency, which in turn has created large pressures on the financial sector. While it imposes short-term stress on the financial sector, the devaluation can also help the economy to rebalance towards non-oil exports by a favorable shift in relative prices and a stronger role for the private sector (Figure 1). However, economic rebalancing would also entail more investment-friendly </w:t>
      </w:r>
      <w:r w:rsidRPr="008E6BA1">
        <w:lastRenderedPageBreak/>
        <w:t>policies, improving physical infrastructure involving private sector participation and easier access to capital.</w:t>
      </w:r>
    </w:p>
    <w:p w14:paraId="7197C953" w14:textId="77777777" w:rsidR="00BD696C" w:rsidRPr="00EB6AC1" w:rsidRDefault="00BD696C" w:rsidP="00424A79">
      <w:pPr>
        <w:jc w:val="both"/>
      </w:pPr>
    </w:p>
    <w:tbl>
      <w:tblPr>
        <w:tblStyle w:val="TableGrid"/>
        <w:tblW w:w="9535" w:type="dxa"/>
        <w:tblLook w:val="04A0" w:firstRow="1" w:lastRow="0" w:firstColumn="1" w:lastColumn="0" w:noHBand="0" w:noVBand="1"/>
      </w:tblPr>
      <w:tblGrid>
        <w:gridCol w:w="4677"/>
        <w:gridCol w:w="4858"/>
      </w:tblGrid>
      <w:tr w:rsidR="006C6446" w:rsidRPr="004A091A" w14:paraId="6D6AD9C1" w14:textId="77777777" w:rsidTr="0042387F">
        <w:tc>
          <w:tcPr>
            <w:tcW w:w="9535" w:type="dxa"/>
            <w:gridSpan w:val="2"/>
          </w:tcPr>
          <w:p w14:paraId="67136086" w14:textId="77777777" w:rsidR="006C6446" w:rsidRPr="004A091A" w:rsidRDefault="006C6446" w:rsidP="006C6446">
            <w:pPr>
              <w:spacing w:after="120"/>
              <w:jc w:val="center"/>
              <w:rPr>
                <w:rFonts w:cstheme="minorHAnsi"/>
                <w:i/>
                <w:sz w:val="24"/>
                <w:szCs w:val="24"/>
              </w:rPr>
            </w:pPr>
            <w:r w:rsidRPr="004A091A">
              <w:rPr>
                <w:rFonts w:cstheme="minorHAnsi"/>
                <w:i/>
                <w:sz w:val="24"/>
                <w:szCs w:val="24"/>
              </w:rPr>
              <w:t xml:space="preserve">Figure </w:t>
            </w:r>
            <w:r w:rsidRPr="004A091A">
              <w:rPr>
                <w:rFonts w:cstheme="minorHAnsi"/>
                <w:i/>
              </w:rPr>
              <w:fldChar w:fldCharType="begin"/>
            </w:r>
            <w:r w:rsidRPr="004A091A">
              <w:rPr>
                <w:rFonts w:cstheme="minorHAnsi"/>
                <w:i/>
                <w:sz w:val="24"/>
                <w:szCs w:val="24"/>
              </w:rPr>
              <w:instrText xml:space="preserve"> SEQ Figure \* ARABIC </w:instrText>
            </w:r>
            <w:r w:rsidRPr="004A091A">
              <w:rPr>
                <w:rFonts w:cstheme="minorHAnsi"/>
                <w:i/>
              </w:rPr>
              <w:fldChar w:fldCharType="separate"/>
            </w:r>
            <w:r w:rsidR="00A239EA" w:rsidRPr="004A091A">
              <w:rPr>
                <w:rFonts w:cstheme="minorHAnsi"/>
                <w:i/>
                <w:noProof/>
                <w:sz w:val="24"/>
                <w:szCs w:val="24"/>
              </w:rPr>
              <w:t>1</w:t>
            </w:r>
            <w:r w:rsidRPr="004A091A">
              <w:rPr>
                <w:rFonts w:cstheme="minorHAnsi"/>
                <w:i/>
              </w:rPr>
              <w:fldChar w:fldCharType="end"/>
            </w:r>
            <w:r w:rsidRPr="004A091A">
              <w:rPr>
                <w:rFonts w:cstheme="minorHAnsi"/>
                <w:i/>
                <w:sz w:val="24"/>
                <w:szCs w:val="24"/>
              </w:rPr>
              <w:t>: Rebalancing Azerbaijan’s economy</w:t>
            </w:r>
          </w:p>
        </w:tc>
      </w:tr>
      <w:tr w:rsidR="006C6446" w:rsidRPr="00EB6AC1" w14:paraId="2838061A" w14:textId="77777777" w:rsidTr="00DD17F5">
        <w:trPr>
          <w:trHeight w:val="5201"/>
        </w:trPr>
        <w:tc>
          <w:tcPr>
            <w:tcW w:w="4677" w:type="dxa"/>
          </w:tcPr>
          <w:p w14:paraId="3730C297" w14:textId="77777777" w:rsidR="006C6446" w:rsidRPr="00EB6AC1" w:rsidRDefault="006C6446" w:rsidP="00DD17F5">
            <w:pPr>
              <w:spacing w:after="120"/>
              <w:rPr>
                <w:rFonts w:ascii="Cambria" w:hAnsi="Cambria" w:cstheme="minorHAnsi"/>
                <w:sz w:val="24"/>
                <w:szCs w:val="24"/>
              </w:rPr>
            </w:pPr>
          </w:p>
          <w:p w14:paraId="64A5EFE6" w14:textId="77777777" w:rsidR="006C6446" w:rsidRPr="00EB6AC1" w:rsidRDefault="006C6446" w:rsidP="00DD17F5">
            <w:pPr>
              <w:spacing w:after="120"/>
              <w:rPr>
                <w:rFonts w:ascii="Cambria" w:hAnsi="Cambria" w:cstheme="minorHAnsi"/>
                <w:sz w:val="24"/>
                <w:szCs w:val="24"/>
              </w:rPr>
            </w:pPr>
            <w:r w:rsidRPr="00EB6AC1">
              <w:rPr>
                <w:rFonts w:ascii="Cambria" w:hAnsi="Cambria" w:cstheme="minorHAnsi"/>
                <w:noProof/>
              </w:rPr>
              <w:drawing>
                <wp:inline distT="0" distB="0" distL="0" distR="0" wp14:anchorId="1FEB04CE" wp14:editId="16241573">
                  <wp:extent cx="2751667" cy="2817044"/>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03-11 at 8.39.16 PM.png"/>
                          <pic:cNvPicPr/>
                        </pic:nvPicPr>
                        <pic:blipFill>
                          <a:blip r:embed="rId8">
                            <a:extLst>
                              <a:ext uri="{28A0092B-C50C-407E-A947-70E740481C1C}">
                                <a14:useLocalDpi xmlns:a14="http://schemas.microsoft.com/office/drawing/2010/main" val="0"/>
                              </a:ext>
                            </a:extLst>
                          </a:blip>
                          <a:stretch>
                            <a:fillRect/>
                          </a:stretch>
                        </pic:blipFill>
                        <pic:spPr>
                          <a:xfrm>
                            <a:off x="0" y="0"/>
                            <a:ext cx="2751667" cy="2817044"/>
                          </a:xfrm>
                          <a:prstGeom prst="rect">
                            <a:avLst/>
                          </a:prstGeom>
                        </pic:spPr>
                      </pic:pic>
                    </a:graphicData>
                  </a:graphic>
                </wp:inline>
              </w:drawing>
            </w:r>
          </w:p>
        </w:tc>
        <w:tc>
          <w:tcPr>
            <w:tcW w:w="4858" w:type="dxa"/>
          </w:tcPr>
          <w:p w14:paraId="4CF12A9D" w14:textId="77777777" w:rsidR="006C6446" w:rsidRPr="00EB6AC1" w:rsidRDefault="006C6446" w:rsidP="00DD17F5">
            <w:pPr>
              <w:rPr>
                <w:rFonts w:ascii="Cambria" w:hAnsi="Cambria" w:cstheme="minorHAnsi"/>
                <w:sz w:val="24"/>
                <w:szCs w:val="24"/>
              </w:rPr>
            </w:pPr>
          </w:p>
          <w:p w14:paraId="5AFC9DA1" w14:textId="77777777" w:rsidR="006C6446" w:rsidRPr="00EB6AC1" w:rsidRDefault="006C6446" w:rsidP="00DD17F5">
            <w:pPr>
              <w:spacing w:after="120"/>
              <w:rPr>
                <w:rFonts w:ascii="Cambria" w:hAnsi="Cambria" w:cstheme="minorHAnsi"/>
                <w:sz w:val="24"/>
                <w:szCs w:val="24"/>
              </w:rPr>
            </w:pPr>
            <w:r w:rsidRPr="00EB6AC1">
              <w:rPr>
                <w:rFonts w:ascii="Cambria" w:hAnsi="Cambria" w:cstheme="minorHAnsi"/>
                <w:noProof/>
              </w:rPr>
              <w:drawing>
                <wp:inline distT="0" distB="0" distL="0" distR="0" wp14:anchorId="0157A29D" wp14:editId="1A061F9A">
                  <wp:extent cx="2906393" cy="28930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9-03-11 at 8.42.26 PM.png"/>
                          <pic:cNvPicPr/>
                        </pic:nvPicPr>
                        <pic:blipFill>
                          <a:blip r:embed="rId9">
                            <a:extLst>
                              <a:ext uri="{28A0092B-C50C-407E-A947-70E740481C1C}">
                                <a14:useLocalDpi xmlns:a14="http://schemas.microsoft.com/office/drawing/2010/main" val="0"/>
                              </a:ext>
                            </a:extLst>
                          </a:blip>
                          <a:stretch>
                            <a:fillRect/>
                          </a:stretch>
                        </pic:blipFill>
                        <pic:spPr>
                          <a:xfrm>
                            <a:off x="0" y="0"/>
                            <a:ext cx="2906393" cy="2893060"/>
                          </a:xfrm>
                          <a:prstGeom prst="rect">
                            <a:avLst/>
                          </a:prstGeom>
                        </pic:spPr>
                      </pic:pic>
                    </a:graphicData>
                  </a:graphic>
                </wp:inline>
              </w:drawing>
            </w:r>
          </w:p>
        </w:tc>
      </w:tr>
    </w:tbl>
    <w:p w14:paraId="084EDA68" w14:textId="77777777" w:rsidR="006C6446" w:rsidRPr="00EB6AC1" w:rsidRDefault="006C6446" w:rsidP="006C6446">
      <w:pPr>
        <w:jc w:val="both"/>
      </w:pPr>
    </w:p>
    <w:p w14:paraId="541D7BC8" w14:textId="77777777" w:rsidR="006C6446" w:rsidRPr="00EB6AC1" w:rsidRDefault="006C6446" w:rsidP="006C6446">
      <w:pPr>
        <w:jc w:val="both"/>
      </w:pPr>
    </w:p>
    <w:p w14:paraId="0A2283BF" w14:textId="77777777" w:rsidR="001D0EB7" w:rsidRDefault="006C6446" w:rsidP="005266A2">
      <w:pPr>
        <w:jc w:val="both"/>
      </w:pPr>
      <w:r w:rsidRPr="00EB6AC1">
        <w:t>Building on Azerbaijan’s success</w:t>
      </w:r>
      <w:r w:rsidR="00B9793D">
        <w:t xml:space="preserve">es, </w:t>
      </w:r>
      <w:r w:rsidR="00BD696C">
        <w:t>including in the recent</w:t>
      </w:r>
      <w:r w:rsidRPr="00EB6AC1">
        <w:t xml:space="preserve"> </w:t>
      </w:r>
      <w:r w:rsidRPr="00BD696C">
        <w:rPr>
          <w:i/>
        </w:rPr>
        <w:t>Doing Business</w:t>
      </w:r>
      <w:r w:rsidRPr="00EB6AC1">
        <w:t xml:space="preserve"> ranking, </w:t>
      </w:r>
      <w:r w:rsidR="001D0EB7">
        <w:t xml:space="preserve">reforms </w:t>
      </w:r>
      <w:r w:rsidR="00372331">
        <w:t xml:space="preserve">and effective public programs </w:t>
      </w:r>
      <w:r w:rsidR="001D0EB7">
        <w:t>in the following areas are crucial for successfully rebalancing the economy and boosting competitiveness:</w:t>
      </w:r>
    </w:p>
    <w:p w14:paraId="6924F2ED" w14:textId="77777777" w:rsidR="00DA3352" w:rsidRDefault="00357DED" w:rsidP="00372331">
      <w:pPr>
        <w:pStyle w:val="ListParagraph"/>
        <w:numPr>
          <w:ilvl w:val="0"/>
          <w:numId w:val="5"/>
        </w:numPr>
        <w:jc w:val="both"/>
      </w:pPr>
      <w:r>
        <w:t>I</w:t>
      </w:r>
      <w:r w:rsidR="00372331">
        <w:t>mprov</w:t>
      </w:r>
      <w:r w:rsidR="00C05BBE">
        <w:t>ing</w:t>
      </w:r>
      <w:r w:rsidR="00372331">
        <w:t xml:space="preserve"> </w:t>
      </w:r>
      <w:r w:rsidR="00DA3352">
        <w:t xml:space="preserve">the </w:t>
      </w:r>
      <w:r w:rsidR="00372331">
        <w:t>allocation of resources (labor and capital) from less to more productive uses</w:t>
      </w:r>
      <w:r w:rsidR="00E261D4">
        <w:t>, increasing competition and improving</w:t>
      </w:r>
      <w:r w:rsidR="00E261D4" w:rsidRPr="00E261D4">
        <w:t xml:space="preserve"> investment and trade policies</w:t>
      </w:r>
      <w:r w:rsidR="00E261D4">
        <w:t>;</w:t>
      </w:r>
    </w:p>
    <w:p w14:paraId="4988654F" w14:textId="77777777" w:rsidR="00372331" w:rsidRDefault="00E261D4" w:rsidP="00372331">
      <w:pPr>
        <w:pStyle w:val="ListParagraph"/>
        <w:numPr>
          <w:ilvl w:val="0"/>
          <w:numId w:val="5"/>
        </w:numPr>
        <w:jc w:val="both"/>
      </w:pPr>
      <w:r>
        <w:t>Boost</w:t>
      </w:r>
      <w:r w:rsidR="00C05BBE">
        <w:t>ing</w:t>
      </w:r>
      <w:r w:rsidR="00372331">
        <w:t xml:space="preserve"> the drivers of </w:t>
      </w:r>
      <w:r w:rsidR="006E3607">
        <w:t>firm productivity:</w:t>
      </w:r>
      <w:r w:rsidR="00372331">
        <w:t xml:space="preserve"> technology adoption, firm-level innovation</w:t>
      </w:r>
      <w:r>
        <w:t xml:space="preserve">, FDI attraction, </w:t>
      </w:r>
      <w:r w:rsidR="00372331">
        <w:t>and establishment of linkages b</w:t>
      </w:r>
      <w:r>
        <w:t xml:space="preserve">etween local and foreign firms; </w:t>
      </w:r>
    </w:p>
    <w:p w14:paraId="10A3612B" w14:textId="77777777" w:rsidR="00372331" w:rsidRDefault="00357DED" w:rsidP="00372331">
      <w:pPr>
        <w:pStyle w:val="ListParagraph"/>
        <w:numPr>
          <w:ilvl w:val="0"/>
          <w:numId w:val="5"/>
        </w:numPr>
        <w:jc w:val="both"/>
      </w:pPr>
      <w:r>
        <w:t>Establish</w:t>
      </w:r>
      <w:r w:rsidR="00C05BBE">
        <w:t>ing</w:t>
      </w:r>
      <w:r>
        <w:t xml:space="preserve"> policies and programs for firms that attract human capital;</w:t>
      </w:r>
    </w:p>
    <w:p w14:paraId="66D35D73" w14:textId="77777777" w:rsidR="00372331" w:rsidRDefault="00AD15EE" w:rsidP="00246D3C">
      <w:pPr>
        <w:pStyle w:val="ListParagraph"/>
        <w:numPr>
          <w:ilvl w:val="0"/>
          <w:numId w:val="5"/>
        </w:numPr>
        <w:jc w:val="both"/>
      </w:pPr>
      <w:r>
        <w:t>Identify</w:t>
      </w:r>
      <w:r w:rsidR="00C05BBE">
        <w:t>ing</w:t>
      </w:r>
      <w:r>
        <w:t xml:space="preserve"> </w:t>
      </w:r>
      <w:r w:rsidR="00372331">
        <w:t>sectors in which Azerbaijan has comparati</w:t>
      </w:r>
      <w:r>
        <w:t>ve (or competitive) advantages;</w:t>
      </w:r>
    </w:p>
    <w:p w14:paraId="55B4F2C5" w14:textId="77777777" w:rsidR="00C05BBE" w:rsidRDefault="00AD15EE" w:rsidP="00246D3C">
      <w:pPr>
        <w:pStyle w:val="ListParagraph"/>
        <w:numPr>
          <w:ilvl w:val="0"/>
          <w:numId w:val="5"/>
        </w:numPr>
        <w:jc w:val="both"/>
      </w:pPr>
      <w:r>
        <w:t>Advanc</w:t>
      </w:r>
      <w:r w:rsidR="00C05BBE">
        <w:t>ing</w:t>
      </w:r>
      <w:r w:rsidR="00372331" w:rsidRPr="00EB6AC1">
        <w:t xml:space="preserve"> governance reforms</w:t>
      </w:r>
      <w:r>
        <w:t>, tackl</w:t>
      </w:r>
      <w:r w:rsidR="00C05BBE">
        <w:t>ing</w:t>
      </w:r>
      <w:r>
        <w:t xml:space="preserve"> </w:t>
      </w:r>
      <w:r w:rsidR="00372331">
        <w:t>informality</w:t>
      </w:r>
      <w:r>
        <w:t xml:space="preserve"> as well as increas</w:t>
      </w:r>
      <w:r w:rsidR="00C05BBE">
        <w:t>ing</w:t>
      </w:r>
      <w:r w:rsidR="00372331" w:rsidRPr="00EB6AC1">
        <w:t xml:space="preserve"> transparency and efficiency</w:t>
      </w:r>
      <w:r w:rsidR="00C05BBE">
        <w:t>;</w:t>
      </w:r>
    </w:p>
    <w:p w14:paraId="19D26249" w14:textId="77777777" w:rsidR="00372331" w:rsidRDefault="00C05BBE" w:rsidP="00246D3C">
      <w:pPr>
        <w:pStyle w:val="ListParagraph"/>
        <w:numPr>
          <w:ilvl w:val="0"/>
          <w:numId w:val="5"/>
        </w:numPr>
        <w:jc w:val="both"/>
      </w:pPr>
      <w:r w:rsidRPr="00C05BBE">
        <w:t>Increasing the role and depth of private financial intermediation and enhancing banking sector resilience</w:t>
      </w:r>
      <w:r>
        <w:t>.</w:t>
      </w:r>
    </w:p>
    <w:p w14:paraId="37114185" w14:textId="77777777" w:rsidR="00372331" w:rsidRDefault="00372331" w:rsidP="00372331">
      <w:pPr>
        <w:jc w:val="both"/>
      </w:pPr>
    </w:p>
    <w:p w14:paraId="2C0B4B3B" w14:textId="77777777" w:rsidR="005555A2" w:rsidRDefault="006C6446" w:rsidP="00BD696C">
      <w:pPr>
        <w:jc w:val="both"/>
      </w:pPr>
      <w:r w:rsidRPr="00EB6AC1">
        <w:t xml:space="preserve">Within its program of support to Azerbaijan’s reform effort in the context of strengthening the country’s resilience to shocks and enhancing its competitiveness, the </w:t>
      </w:r>
      <w:r w:rsidR="00E10DA9">
        <w:t>WBG</w:t>
      </w:r>
      <w:r w:rsidRPr="00EB6AC1">
        <w:t xml:space="preserve"> has been cooperating with the government of Azerbaijan in many areas, including</w:t>
      </w:r>
      <w:r w:rsidR="00BD696C">
        <w:t xml:space="preserve"> in strengthening the business environment, advancing tax reform, and stabilization and deepening the f</w:t>
      </w:r>
      <w:r w:rsidR="005555A2" w:rsidRPr="00EB6AC1">
        <w:t>inancial sector</w:t>
      </w:r>
      <w:r w:rsidR="00BD696C">
        <w:t>.</w:t>
      </w:r>
      <w:r w:rsidR="005555A2" w:rsidRPr="00EB6AC1">
        <w:t xml:space="preserve"> </w:t>
      </w:r>
    </w:p>
    <w:p w14:paraId="4851EDF3" w14:textId="77777777" w:rsidR="005555A2" w:rsidRDefault="005555A2" w:rsidP="005555A2">
      <w:pPr>
        <w:ind w:left="1080"/>
        <w:jc w:val="both"/>
      </w:pPr>
    </w:p>
    <w:p w14:paraId="0A22631D" w14:textId="77777777" w:rsidR="006C6446" w:rsidRDefault="00BD696C" w:rsidP="005266A2">
      <w:pPr>
        <w:jc w:val="both"/>
        <w:rPr>
          <w:b/>
        </w:rPr>
      </w:pPr>
      <w:r>
        <w:rPr>
          <w:b/>
        </w:rPr>
        <w:lastRenderedPageBreak/>
        <w:t>New opportunities</w:t>
      </w:r>
    </w:p>
    <w:p w14:paraId="64410F39" w14:textId="77777777" w:rsidR="00BD696C" w:rsidRPr="006C6446" w:rsidRDefault="00BD696C" w:rsidP="00BD696C">
      <w:pPr>
        <w:jc w:val="both"/>
      </w:pPr>
      <w:r>
        <w:t xml:space="preserve">The Forum highlighted </w:t>
      </w:r>
      <w:r w:rsidR="004A2B1F">
        <w:t>four</w:t>
      </w:r>
      <w:r>
        <w:t xml:space="preserve"> major regional and global trends from which Azerbaijan can benefit:  </w:t>
      </w:r>
    </w:p>
    <w:p w14:paraId="2EF1E6AF" w14:textId="77777777" w:rsidR="00BD696C" w:rsidRPr="00EB6AC1" w:rsidRDefault="00BD696C" w:rsidP="00BD696C">
      <w:pPr>
        <w:jc w:val="both"/>
        <w:rPr>
          <w:b/>
        </w:rPr>
      </w:pPr>
    </w:p>
    <w:p w14:paraId="112B8D69" w14:textId="77777777" w:rsidR="00BD696C" w:rsidRPr="00BD696C" w:rsidRDefault="00BD696C" w:rsidP="00BD696C">
      <w:pPr>
        <w:pStyle w:val="ListParagraph"/>
        <w:numPr>
          <w:ilvl w:val="0"/>
          <w:numId w:val="7"/>
        </w:numPr>
        <w:jc w:val="both"/>
        <w:rPr>
          <w:rFonts w:cstheme="minorHAnsi"/>
        </w:rPr>
      </w:pPr>
      <w:r>
        <w:rPr>
          <w:rFonts w:cstheme="minorHAnsi"/>
          <w:b/>
        </w:rPr>
        <w:t>A</w:t>
      </w:r>
      <w:r w:rsidRPr="00BD696C">
        <w:rPr>
          <w:rFonts w:cstheme="minorHAnsi"/>
          <w:b/>
        </w:rPr>
        <w:t xml:space="preserve"> post-oil economy. </w:t>
      </w:r>
      <w:r w:rsidRPr="00BD696C">
        <w:rPr>
          <w:rFonts w:cstheme="minorHAnsi"/>
        </w:rPr>
        <w:t>Diversifying into petrochemicals production and reducing the exposure to oil sales and fuels production is a major opportunity for Azerbaijan. Considering that the chemical sector is a $4 trillion industry (versus a $2 trillion global market for petroleum), the future of the oil industry is in chemicals. Advances in technologies are making the crude-to-chemicals directly process more efficient, further increasing the profitability of the chemicals industry.</w:t>
      </w:r>
    </w:p>
    <w:p w14:paraId="4EDCB3B6" w14:textId="77777777" w:rsidR="00BD696C" w:rsidRDefault="00BD696C" w:rsidP="00BD696C">
      <w:pPr>
        <w:pStyle w:val="ListParagraph"/>
        <w:numPr>
          <w:ilvl w:val="0"/>
          <w:numId w:val="7"/>
        </w:numPr>
        <w:jc w:val="both"/>
        <w:rPr>
          <w:rFonts w:cstheme="minorHAnsi"/>
        </w:rPr>
      </w:pPr>
      <w:r w:rsidRPr="00BD696C">
        <w:rPr>
          <w:rFonts w:cstheme="minorHAnsi"/>
          <w:b/>
        </w:rPr>
        <w:t xml:space="preserve">Asia’s </w:t>
      </w:r>
      <w:r w:rsidR="0060059F">
        <w:rPr>
          <w:rFonts w:cstheme="minorHAnsi"/>
          <w:b/>
        </w:rPr>
        <w:t xml:space="preserve">growing </w:t>
      </w:r>
      <w:r w:rsidRPr="00BD696C">
        <w:rPr>
          <w:rFonts w:cstheme="minorHAnsi"/>
          <w:b/>
        </w:rPr>
        <w:t xml:space="preserve">middle class. </w:t>
      </w:r>
      <w:r w:rsidRPr="00BD696C">
        <w:rPr>
          <w:rFonts w:cstheme="minorHAnsi"/>
        </w:rPr>
        <w:t xml:space="preserve">Azerbaijan can leverage the large new market presented by the one additional billion people entering the global middle class by 2025, with 87% coming from Asia. With an improved economic environment, Azerbaijan’s diversified goods and services will soon have a large market to serve and better conditions in which to reach these markets </w:t>
      </w:r>
      <w:proofErr w:type="gramStart"/>
      <w:r w:rsidRPr="00BD696C">
        <w:rPr>
          <w:rFonts w:cstheme="minorHAnsi"/>
        </w:rPr>
        <w:t>in light of</w:t>
      </w:r>
      <w:proofErr w:type="gramEnd"/>
      <w:r w:rsidRPr="00BD696C">
        <w:rPr>
          <w:rFonts w:cstheme="minorHAnsi"/>
        </w:rPr>
        <w:t xml:space="preserve"> improved efficiencies in transport as well as the Belt</w:t>
      </w:r>
      <w:r w:rsidR="00C4386B">
        <w:rPr>
          <w:rFonts w:cstheme="minorHAnsi"/>
        </w:rPr>
        <w:t xml:space="preserve"> </w:t>
      </w:r>
      <w:r w:rsidRPr="00BD696C">
        <w:rPr>
          <w:rFonts w:cstheme="minorHAnsi"/>
        </w:rPr>
        <w:t>and</w:t>
      </w:r>
      <w:r w:rsidR="00C4386B">
        <w:rPr>
          <w:rFonts w:cstheme="minorHAnsi"/>
        </w:rPr>
        <w:t xml:space="preserve"> </w:t>
      </w:r>
      <w:r w:rsidRPr="00BD696C">
        <w:rPr>
          <w:rFonts w:cstheme="minorHAnsi"/>
        </w:rPr>
        <w:t>Road Initiative.</w:t>
      </w:r>
    </w:p>
    <w:p w14:paraId="03E71A4C" w14:textId="77777777" w:rsidR="00BD696C" w:rsidRDefault="00BD696C" w:rsidP="00BD696C">
      <w:pPr>
        <w:pStyle w:val="ListParagraph"/>
        <w:numPr>
          <w:ilvl w:val="0"/>
          <w:numId w:val="7"/>
        </w:numPr>
        <w:jc w:val="both"/>
        <w:rPr>
          <w:rFonts w:cstheme="minorHAnsi"/>
        </w:rPr>
      </w:pPr>
      <w:r>
        <w:rPr>
          <w:rFonts w:cstheme="minorHAnsi"/>
          <w:b/>
        </w:rPr>
        <w:t>A mobility revolution</w:t>
      </w:r>
      <w:r w:rsidR="00615CF1">
        <w:rPr>
          <w:rFonts w:cstheme="minorHAnsi"/>
          <w:b/>
        </w:rPr>
        <w:t>.</w:t>
      </w:r>
      <w:r w:rsidR="003263C4">
        <w:rPr>
          <w:rFonts w:cstheme="minorHAnsi"/>
        </w:rPr>
        <w:t xml:space="preserve"> </w:t>
      </w:r>
      <w:r w:rsidR="00C4386B" w:rsidRPr="007E754A">
        <w:rPr>
          <w:rFonts w:cstheme="minorHAnsi"/>
        </w:rPr>
        <w:t>Driverless transport will reshape transport corridors</w:t>
      </w:r>
      <w:r w:rsidR="00C4386B">
        <w:rPr>
          <w:rFonts w:cstheme="minorHAnsi"/>
        </w:rPr>
        <w:t xml:space="preserve">, improving connectivity for Azerbaijan. </w:t>
      </w:r>
      <w:r w:rsidR="00A859D3">
        <w:rPr>
          <w:rFonts w:cstheme="minorHAnsi"/>
        </w:rPr>
        <w:t>Electric</w:t>
      </w:r>
      <w:r w:rsidR="00730AE7">
        <w:rPr>
          <w:rFonts w:cstheme="minorHAnsi"/>
        </w:rPr>
        <w:t xml:space="preserve"> autonomous cars and trucks </w:t>
      </w:r>
      <w:r w:rsidR="00303A43">
        <w:rPr>
          <w:rFonts w:cstheme="minorHAnsi"/>
        </w:rPr>
        <w:t>will</w:t>
      </w:r>
      <w:r w:rsidR="00730AE7">
        <w:rPr>
          <w:rFonts w:cstheme="minorHAnsi"/>
        </w:rPr>
        <w:t xml:space="preserve"> </w:t>
      </w:r>
      <w:r w:rsidR="00303A43">
        <w:rPr>
          <w:rFonts w:cstheme="minorHAnsi"/>
        </w:rPr>
        <w:t xml:space="preserve">reduce transportation costs and efficiency as labor costs are </w:t>
      </w:r>
      <w:r w:rsidR="009663BE">
        <w:rPr>
          <w:rFonts w:cstheme="minorHAnsi"/>
        </w:rPr>
        <w:t>minimized</w:t>
      </w:r>
      <w:r w:rsidR="00303A43">
        <w:rPr>
          <w:rFonts w:cstheme="minorHAnsi"/>
        </w:rPr>
        <w:t xml:space="preserve"> and advances in technologies will make renewable energy a cheaper alternative to fossil fuels.</w:t>
      </w:r>
      <w:r w:rsidR="007E754A">
        <w:rPr>
          <w:rFonts w:cstheme="minorHAnsi"/>
        </w:rPr>
        <w:t xml:space="preserve"> While a shift to electric and driverless mobility will reduce the demand for petroleum there will also be opportunities for </w:t>
      </w:r>
      <w:r w:rsidR="009663BE">
        <w:rPr>
          <w:rFonts w:cstheme="minorHAnsi"/>
        </w:rPr>
        <w:t>Azerbaijan</w:t>
      </w:r>
      <w:r w:rsidR="007E754A">
        <w:rPr>
          <w:rFonts w:cstheme="minorHAnsi"/>
        </w:rPr>
        <w:t xml:space="preserve">, especially </w:t>
      </w:r>
      <w:r w:rsidR="009663BE">
        <w:rPr>
          <w:rFonts w:cstheme="minorHAnsi"/>
        </w:rPr>
        <w:t>Baku</w:t>
      </w:r>
      <w:r w:rsidR="007E754A">
        <w:rPr>
          <w:rFonts w:cstheme="minorHAnsi"/>
        </w:rPr>
        <w:t xml:space="preserve">, position itself as an </w:t>
      </w:r>
      <w:r w:rsidR="007E754A" w:rsidRPr="008F15C5">
        <w:rPr>
          <w:rFonts w:cstheme="minorHAnsi"/>
        </w:rPr>
        <w:t>international logistics and trade hub</w:t>
      </w:r>
      <w:r w:rsidR="007E754A">
        <w:rPr>
          <w:rFonts w:cstheme="minorHAnsi"/>
        </w:rPr>
        <w:t xml:space="preserve">, </w:t>
      </w:r>
      <w:r w:rsidR="009663BE">
        <w:rPr>
          <w:rFonts w:cstheme="minorHAnsi"/>
        </w:rPr>
        <w:t>serving both the European and Asian markets</w:t>
      </w:r>
      <w:r w:rsidR="007E754A">
        <w:rPr>
          <w:rFonts w:cstheme="minorHAnsi"/>
        </w:rPr>
        <w:t>.</w:t>
      </w:r>
      <w:r w:rsidR="009663BE">
        <w:rPr>
          <w:rFonts w:cstheme="minorHAnsi"/>
        </w:rPr>
        <w:t xml:space="preserve"> </w:t>
      </w:r>
    </w:p>
    <w:p w14:paraId="53E88C88" w14:textId="77777777" w:rsidR="004A2B1F" w:rsidRPr="00BD696C" w:rsidRDefault="004A2B1F" w:rsidP="004A2B1F">
      <w:pPr>
        <w:pStyle w:val="ListParagraph"/>
        <w:numPr>
          <w:ilvl w:val="0"/>
          <w:numId w:val="7"/>
        </w:numPr>
        <w:jc w:val="both"/>
        <w:rPr>
          <w:rFonts w:cstheme="minorHAnsi"/>
        </w:rPr>
      </w:pPr>
      <w:r w:rsidRPr="00B55317">
        <w:rPr>
          <w:rFonts w:cstheme="minorHAnsi"/>
          <w:b/>
        </w:rPr>
        <w:t>The digital economy.</w:t>
      </w:r>
      <w:r w:rsidRPr="004A2B1F">
        <w:rPr>
          <w:rFonts w:cstheme="minorHAnsi"/>
        </w:rPr>
        <w:t xml:space="preserve"> </w:t>
      </w:r>
      <w:r w:rsidR="0060059F">
        <w:rPr>
          <w:rFonts w:cstheme="minorHAnsi"/>
        </w:rPr>
        <w:t xml:space="preserve">Modern technologies (including digital finance, Blockchain, and Big Data) provide </w:t>
      </w:r>
      <w:r w:rsidRPr="004A2B1F">
        <w:rPr>
          <w:rFonts w:cstheme="minorHAnsi"/>
        </w:rPr>
        <w:t xml:space="preserve">new opportunities for </w:t>
      </w:r>
      <w:r w:rsidR="0060059F">
        <w:rPr>
          <w:rFonts w:cstheme="minorHAnsi"/>
        </w:rPr>
        <w:t>reaching</w:t>
      </w:r>
      <w:r w:rsidRPr="004A2B1F">
        <w:rPr>
          <w:rFonts w:cstheme="minorHAnsi"/>
        </w:rPr>
        <w:t xml:space="preserve"> </w:t>
      </w:r>
      <w:r w:rsidR="0060059F">
        <w:rPr>
          <w:rFonts w:cstheme="minorHAnsi"/>
        </w:rPr>
        <w:t xml:space="preserve">rural and underserved </w:t>
      </w:r>
      <w:r w:rsidRPr="004A2B1F">
        <w:rPr>
          <w:rFonts w:cstheme="minorHAnsi"/>
        </w:rPr>
        <w:t>MSMEs in addition to enhanced exploration of the existing inf</w:t>
      </w:r>
      <w:r w:rsidR="0060059F">
        <w:rPr>
          <w:rFonts w:cstheme="minorHAnsi"/>
        </w:rPr>
        <w:t xml:space="preserve">rastructure (including </w:t>
      </w:r>
      <w:proofErr w:type="spellStart"/>
      <w:r w:rsidR="0060059F">
        <w:rPr>
          <w:rFonts w:cstheme="minorHAnsi"/>
        </w:rPr>
        <w:t>Azerpost</w:t>
      </w:r>
      <w:proofErr w:type="spellEnd"/>
      <w:r w:rsidR="0060059F">
        <w:rPr>
          <w:rFonts w:cstheme="minorHAnsi"/>
        </w:rPr>
        <w:t>-</w:t>
      </w:r>
      <w:r w:rsidRPr="004A2B1F">
        <w:rPr>
          <w:rFonts w:cstheme="minorHAnsi"/>
        </w:rPr>
        <w:t>wide network which can be instrumental in both facilitating access to financial services as well as promot</w:t>
      </w:r>
      <w:r w:rsidR="0060059F">
        <w:rPr>
          <w:rFonts w:cstheme="minorHAnsi"/>
        </w:rPr>
        <w:t>ing domestic and cross-</w:t>
      </w:r>
      <w:r w:rsidRPr="0060059F">
        <w:rPr>
          <w:rFonts w:cstheme="minorHAnsi"/>
        </w:rPr>
        <w:t xml:space="preserve">border trade via e-commerce). Still, for consumer protection and </w:t>
      </w:r>
      <w:r w:rsidR="0060059F">
        <w:rPr>
          <w:rFonts w:cstheme="minorHAnsi"/>
        </w:rPr>
        <w:t xml:space="preserve">the </w:t>
      </w:r>
      <w:r w:rsidRPr="0060059F">
        <w:rPr>
          <w:rFonts w:cstheme="minorHAnsi"/>
        </w:rPr>
        <w:t xml:space="preserve">creation of </w:t>
      </w:r>
      <w:r w:rsidR="0060059F">
        <w:rPr>
          <w:rFonts w:cstheme="minorHAnsi"/>
        </w:rPr>
        <w:t xml:space="preserve">a </w:t>
      </w:r>
      <w:r w:rsidRPr="0060059F">
        <w:rPr>
          <w:rFonts w:cstheme="minorHAnsi"/>
        </w:rPr>
        <w:t>level</w:t>
      </w:r>
      <w:r w:rsidR="0060059F">
        <w:rPr>
          <w:rFonts w:cstheme="minorHAnsi"/>
        </w:rPr>
        <w:t xml:space="preserve"> playing field, the development of Fintech services needs </w:t>
      </w:r>
      <w:r w:rsidRPr="0060059F">
        <w:rPr>
          <w:rFonts w:cstheme="minorHAnsi"/>
        </w:rPr>
        <w:t xml:space="preserve">to be regulated to </w:t>
      </w:r>
      <w:r w:rsidR="0060059F">
        <w:rPr>
          <w:rFonts w:cstheme="minorHAnsi"/>
        </w:rPr>
        <w:t xml:space="preserve">further </w:t>
      </w:r>
      <w:r w:rsidRPr="0060059F">
        <w:rPr>
          <w:rFonts w:cstheme="minorHAnsi"/>
        </w:rPr>
        <w:t>minimize micro and macro risks (e.g. cyber security</w:t>
      </w:r>
      <w:r>
        <w:rPr>
          <w:rFonts w:cstheme="minorHAnsi"/>
        </w:rPr>
        <w:t>).</w:t>
      </w:r>
    </w:p>
    <w:p w14:paraId="1B641CB8" w14:textId="77777777" w:rsidR="00BD696C" w:rsidRPr="00BD696C" w:rsidRDefault="00BD696C" w:rsidP="00B55317">
      <w:pPr>
        <w:pStyle w:val="ListParagraph"/>
        <w:jc w:val="both"/>
      </w:pPr>
    </w:p>
    <w:p w14:paraId="6AAE741E" w14:textId="77777777" w:rsidR="00BD696C" w:rsidRDefault="006C6446" w:rsidP="005266A2">
      <w:pPr>
        <w:jc w:val="both"/>
        <w:rPr>
          <w:b/>
        </w:rPr>
      </w:pPr>
      <w:r w:rsidRPr="00BD696C">
        <w:rPr>
          <w:b/>
        </w:rPr>
        <w:t xml:space="preserve">A </w:t>
      </w:r>
      <w:r w:rsidR="004974E6" w:rsidRPr="00BD696C">
        <w:rPr>
          <w:b/>
        </w:rPr>
        <w:t>C</w:t>
      </w:r>
      <w:r w:rsidRPr="00BD696C">
        <w:rPr>
          <w:b/>
        </w:rPr>
        <w:t xml:space="preserve">all </w:t>
      </w:r>
      <w:r w:rsidR="004974E6" w:rsidRPr="00BD696C">
        <w:rPr>
          <w:b/>
        </w:rPr>
        <w:t xml:space="preserve">to </w:t>
      </w:r>
      <w:r w:rsidRPr="00BD696C">
        <w:rPr>
          <w:b/>
        </w:rPr>
        <w:t>Action</w:t>
      </w:r>
    </w:p>
    <w:p w14:paraId="41A9825B" w14:textId="77777777" w:rsidR="003263C4" w:rsidRDefault="003263C4" w:rsidP="005266A2">
      <w:pPr>
        <w:jc w:val="both"/>
      </w:pPr>
      <w:r w:rsidRPr="003263C4">
        <w:t>To ensure long-term economic growth and the sustainability of that growth, Azerbaijan needs to enhance the role of private sector in the economic diversification of the country. There were several recommendations that came out from the discussions at the Forum to support Azerbaijan in this endeavor. The most pertinent ones are listed here.</w:t>
      </w:r>
    </w:p>
    <w:p w14:paraId="1EFAC6A3" w14:textId="77777777" w:rsidR="00BD696C" w:rsidRPr="00BD696C" w:rsidRDefault="00BD696C" w:rsidP="005266A2">
      <w:pPr>
        <w:jc w:val="both"/>
        <w:rPr>
          <w:b/>
        </w:rPr>
      </w:pPr>
    </w:p>
    <w:p w14:paraId="15A30C12" w14:textId="77777777" w:rsidR="00C173B7" w:rsidRPr="007E754A" w:rsidRDefault="004A091A" w:rsidP="00C173B7">
      <w:pPr>
        <w:pStyle w:val="ListParagraph"/>
        <w:numPr>
          <w:ilvl w:val="0"/>
          <w:numId w:val="2"/>
        </w:numPr>
        <w:spacing w:after="120" w:line="252" w:lineRule="auto"/>
        <w:ind w:left="360"/>
        <w:jc w:val="both"/>
        <w:rPr>
          <w:b/>
        </w:rPr>
      </w:pPr>
      <w:r>
        <w:rPr>
          <w:rFonts w:cstheme="minorHAnsi"/>
          <w:b/>
        </w:rPr>
        <w:t>Enhancing the b</w:t>
      </w:r>
      <w:r w:rsidR="006C6446">
        <w:rPr>
          <w:rFonts w:cstheme="minorHAnsi"/>
          <w:b/>
        </w:rPr>
        <w:t xml:space="preserve">usiness environment. </w:t>
      </w:r>
      <w:r w:rsidRPr="004A091A">
        <w:rPr>
          <w:rFonts w:cstheme="minorHAnsi"/>
        </w:rPr>
        <w:t>The next level of</w:t>
      </w:r>
      <w:r>
        <w:rPr>
          <w:rFonts w:cstheme="minorHAnsi"/>
          <w:b/>
        </w:rPr>
        <w:t xml:space="preserve"> </w:t>
      </w:r>
      <w:r w:rsidR="0022244B" w:rsidRPr="006C6446">
        <w:rPr>
          <w:rFonts w:cstheme="minorHAnsi"/>
        </w:rPr>
        <w:t xml:space="preserve">through </w:t>
      </w:r>
      <w:r w:rsidR="00A65A79" w:rsidRPr="006C6446">
        <w:rPr>
          <w:rFonts w:cstheme="minorHAnsi"/>
        </w:rPr>
        <w:t xml:space="preserve">business environment reforms </w:t>
      </w:r>
      <w:r>
        <w:rPr>
          <w:rFonts w:cstheme="minorHAnsi"/>
        </w:rPr>
        <w:t xml:space="preserve">would put an </w:t>
      </w:r>
      <w:r w:rsidR="00A65A79" w:rsidRPr="006C6446">
        <w:rPr>
          <w:rFonts w:cstheme="minorHAnsi"/>
        </w:rPr>
        <w:t xml:space="preserve">emphasis on </w:t>
      </w:r>
      <w:r w:rsidR="00301FE8" w:rsidRPr="006C6446">
        <w:rPr>
          <w:rFonts w:cstheme="minorHAnsi"/>
        </w:rPr>
        <w:t xml:space="preserve">improving trade logistics, </w:t>
      </w:r>
      <w:r w:rsidR="00061234" w:rsidRPr="006C6446">
        <w:rPr>
          <w:rFonts w:cstheme="minorHAnsi"/>
        </w:rPr>
        <w:t>modernizing the building permitting system and improving the process for electricity connections.  Such reforms will improve the</w:t>
      </w:r>
      <w:r w:rsidR="00B50631" w:rsidRPr="006C6446">
        <w:rPr>
          <w:rFonts w:cstheme="minorHAnsi"/>
        </w:rPr>
        <w:t xml:space="preserve"> efficiency of government to business services, improve the</w:t>
      </w:r>
      <w:r w:rsidR="00061234" w:rsidRPr="006C6446">
        <w:rPr>
          <w:rFonts w:cstheme="minorHAnsi"/>
        </w:rPr>
        <w:t xml:space="preserve"> pred</w:t>
      </w:r>
      <w:r w:rsidR="00B50631" w:rsidRPr="006C6446">
        <w:rPr>
          <w:rFonts w:cstheme="minorHAnsi"/>
        </w:rPr>
        <w:t xml:space="preserve">ictability of business operations, and reduce opportunities for corruption. </w:t>
      </w:r>
      <w:r w:rsidR="00A65A79" w:rsidRPr="006C6446">
        <w:rPr>
          <w:rFonts w:cstheme="minorHAnsi"/>
        </w:rPr>
        <w:t xml:space="preserve"> </w:t>
      </w:r>
    </w:p>
    <w:p w14:paraId="2B12D280" w14:textId="77777777" w:rsidR="007E754A" w:rsidRPr="00B55317" w:rsidRDefault="007E754A">
      <w:pPr>
        <w:pStyle w:val="ListParagraph"/>
        <w:numPr>
          <w:ilvl w:val="0"/>
          <w:numId w:val="2"/>
        </w:numPr>
        <w:spacing w:after="120" w:line="252" w:lineRule="auto"/>
        <w:ind w:left="360"/>
        <w:jc w:val="both"/>
        <w:rPr>
          <w:b/>
        </w:rPr>
      </w:pPr>
      <w:r>
        <w:rPr>
          <w:rFonts w:cstheme="minorHAnsi"/>
          <w:b/>
        </w:rPr>
        <w:t>Strengthening financial sector</w:t>
      </w:r>
      <w:r w:rsidR="00F31A1B">
        <w:rPr>
          <w:rFonts w:cstheme="minorHAnsi"/>
          <w:b/>
        </w:rPr>
        <w:t xml:space="preserve"> resilience</w:t>
      </w:r>
      <w:r>
        <w:rPr>
          <w:rFonts w:cstheme="minorHAnsi"/>
          <w:b/>
        </w:rPr>
        <w:t>.</w:t>
      </w:r>
      <w:r w:rsidR="004A2B1F">
        <w:rPr>
          <w:rFonts w:cstheme="minorHAnsi"/>
          <w:b/>
        </w:rPr>
        <w:t xml:space="preserve"> </w:t>
      </w:r>
      <w:r w:rsidR="00F31A1B">
        <w:rPr>
          <w:rFonts w:cstheme="minorHAnsi"/>
        </w:rPr>
        <w:t>C</w:t>
      </w:r>
      <w:r w:rsidR="004A2B1F" w:rsidRPr="00B55317">
        <w:rPr>
          <w:rFonts w:cstheme="minorHAnsi"/>
        </w:rPr>
        <w:t xml:space="preserve">ontinued robust reforms of financial sector legislation and regulation </w:t>
      </w:r>
      <w:r w:rsidR="00F31A1B">
        <w:rPr>
          <w:rFonts w:cstheme="minorHAnsi"/>
        </w:rPr>
        <w:t>are needed to ensure</w:t>
      </w:r>
      <w:r w:rsidR="004A2B1F" w:rsidRPr="00B55317">
        <w:rPr>
          <w:rFonts w:cstheme="minorHAnsi"/>
        </w:rPr>
        <w:t xml:space="preserve"> compliance with</w:t>
      </w:r>
      <w:r w:rsidR="004A2B1F" w:rsidRPr="004A2B1F">
        <w:rPr>
          <w:rFonts w:cstheme="minorHAnsi"/>
          <w:b/>
        </w:rPr>
        <w:t xml:space="preserve"> </w:t>
      </w:r>
      <w:r w:rsidR="004A2B1F" w:rsidRPr="00B55317">
        <w:rPr>
          <w:rFonts w:cstheme="minorHAnsi"/>
        </w:rPr>
        <w:t>intern</w:t>
      </w:r>
      <w:r w:rsidR="00F31A1B">
        <w:rPr>
          <w:rFonts w:cstheme="minorHAnsi"/>
        </w:rPr>
        <w:t xml:space="preserve">ational standards and </w:t>
      </w:r>
      <w:r w:rsidR="00F31A1B">
        <w:rPr>
          <w:rFonts w:cstheme="minorHAnsi"/>
        </w:rPr>
        <w:lastRenderedPageBreak/>
        <w:t>practices that will</w:t>
      </w:r>
      <w:r w:rsidR="004A2B1F" w:rsidRPr="00B55317">
        <w:rPr>
          <w:rFonts w:cstheme="minorHAnsi"/>
        </w:rPr>
        <w:t xml:space="preserve"> help enhance public and investor confidence and create level playing field with internationally acceptable rules for domest</w:t>
      </w:r>
      <w:r w:rsidR="00F31A1B">
        <w:rPr>
          <w:rFonts w:cstheme="minorHAnsi"/>
        </w:rPr>
        <w:t xml:space="preserve">ic and international investors. </w:t>
      </w:r>
      <w:r w:rsidR="00073B11">
        <w:rPr>
          <w:rFonts w:cstheme="minorHAnsi"/>
        </w:rPr>
        <w:t>Azerbaijan can s</w:t>
      </w:r>
      <w:r w:rsidR="00F31A1B" w:rsidRPr="007C62D9">
        <w:rPr>
          <w:rFonts w:cstheme="minorHAnsi"/>
        </w:rPr>
        <w:t xml:space="preserve">trengthen </w:t>
      </w:r>
      <w:r w:rsidR="00073B11">
        <w:rPr>
          <w:rFonts w:cstheme="minorHAnsi"/>
        </w:rPr>
        <w:t xml:space="preserve">the </w:t>
      </w:r>
      <w:r w:rsidR="00F31A1B" w:rsidRPr="007C62D9">
        <w:rPr>
          <w:rFonts w:cstheme="minorHAnsi"/>
        </w:rPr>
        <w:t xml:space="preserve">financial safety net and enhance crisis preparedness and resilience by enhancing macro-prudential supervision role and capacity of Financial Stability Council, conducting regular stress-testing of the financial sector and taking measures </w:t>
      </w:r>
      <w:r w:rsidR="00073B11">
        <w:rPr>
          <w:rFonts w:cstheme="minorHAnsi"/>
        </w:rPr>
        <w:t>to address key vulnerabilities.</w:t>
      </w:r>
    </w:p>
    <w:p w14:paraId="0C2248AD" w14:textId="77777777" w:rsidR="006C6446" w:rsidRPr="00C173B7" w:rsidRDefault="006C6446" w:rsidP="006C6446">
      <w:pPr>
        <w:pStyle w:val="ListParagraph"/>
        <w:numPr>
          <w:ilvl w:val="0"/>
          <w:numId w:val="2"/>
        </w:numPr>
        <w:spacing w:after="120" w:line="252" w:lineRule="auto"/>
        <w:ind w:left="360"/>
        <w:jc w:val="both"/>
      </w:pPr>
      <w:r w:rsidRPr="00EB6AC1">
        <w:rPr>
          <w:rFonts w:cstheme="minorHAnsi"/>
          <w:b/>
        </w:rPr>
        <w:t>Tackling informality.</w:t>
      </w:r>
      <w:r w:rsidRPr="00EB6AC1">
        <w:rPr>
          <w:rFonts w:cstheme="minorHAnsi"/>
        </w:rPr>
        <w:t xml:space="preserve"> </w:t>
      </w:r>
      <w:r w:rsidR="004A091A">
        <w:rPr>
          <w:rFonts w:cstheme="minorHAnsi"/>
        </w:rPr>
        <w:t xml:space="preserve">Azerbaijan can reform its </w:t>
      </w:r>
      <w:r w:rsidR="00306D37" w:rsidRPr="00306D37">
        <w:rPr>
          <w:rFonts w:cstheme="minorHAnsi"/>
        </w:rPr>
        <w:t xml:space="preserve">tax system to reduce the size of the shadow economy </w:t>
      </w:r>
      <w:r w:rsidR="004A091A">
        <w:rPr>
          <w:rFonts w:cstheme="minorHAnsi"/>
        </w:rPr>
        <w:t xml:space="preserve">in </w:t>
      </w:r>
      <w:r w:rsidR="00306D37" w:rsidRPr="00306D37">
        <w:rPr>
          <w:rFonts w:cstheme="minorHAnsi"/>
        </w:rPr>
        <w:t>strengthen</w:t>
      </w:r>
      <w:r w:rsidR="004A091A">
        <w:rPr>
          <w:rFonts w:cstheme="minorHAnsi"/>
        </w:rPr>
        <w:t>ing</w:t>
      </w:r>
      <w:r w:rsidR="00306D37" w:rsidRPr="00306D37">
        <w:rPr>
          <w:rFonts w:cstheme="minorHAnsi"/>
        </w:rPr>
        <w:t xml:space="preserve"> smart enforcement, provid</w:t>
      </w:r>
      <w:r w:rsidR="004A091A">
        <w:rPr>
          <w:rFonts w:cstheme="minorHAnsi"/>
        </w:rPr>
        <w:t>ing</w:t>
      </w:r>
      <w:r w:rsidR="00306D37" w:rsidRPr="00306D37">
        <w:rPr>
          <w:rFonts w:cstheme="minorHAnsi"/>
        </w:rPr>
        <w:t xml:space="preserve"> incentives to consumers and businesses to report financial transactions correctly, and facilitat</w:t>
      </w:r>
      <w:r w:rsidR="004A091A">
        <w:rPr>
          <w:rFonts w:cstheme="minorHAnsi"/>
        </w:rPr>
        <w:t>ing</w:t>
      </w:r>
      <w:r w:rsidR="00306D37" w:rsidRPr="00306D37">
        <w:rPr>
          <w:rFonts w:cstheme="minorHAnsi"/>
        </w:rPr>
        <w:t xml:space="preserve"> SMEs to formalize. Such measures will provide a level playing field for business, create conditions for greater productivity and growth, and bring higher tax revenues that can be deployed to reduce poverty and economic inequality.</w:t>
      </w:r>
    </w:p>
    <w:p w14:paraId="1A4AD5F7" w14:textId="77777777" w:rsidR="005266A2" w:rsidRPr="00EB6AC1" w:rsidRDefault="005266A2" w:rsidP="005266A2">
      <w:pPr>
        <w:jc w:val="both"/>
      </w:pPr>
    </w:p>
    <w:p w14:paraId="43FF1249" w14:textId="77777777" w:rsidR="00424A79" w:rsidRPr="00EB6AC1" w:rsidRDefault="0082761E" w:rsidP="00424A79">
      <w:pPr>
        <w:jc w:val="both"/>
      </w:pPr>
      <w:r w:rsidRPr="0082761E">
        <w:t xml:space="preserve">Building on a strong 25-year partnership, the WBG is </w:t>
      </w:r>
      <w:r w:rsidR="004A091A">
        <w:t xml:space="preserve">looking forward </w:t>
      </w:r>
      <w:r w:rsidRPr="0082761E">
        <w:t xml:space="preserve">to </w:t>
      </w:r>
      <w:proofErr w:type="gramStart"/>
      <w:r w:rsidRPr="0082761E">
        <w:t>remain</w:t>
      </w:r>
      <w:proofErr w:type="gramEnd"/>
      <w:r w:rsidRPr="0082761E">
        <w:t xml:space="preserve"> a trusted partner for Azerbaijan to help transform </w:t>
      </w:r>
      <w:r>
        <w:t xml:space="preserve">its </w:t>
      </w:r>
      <w:r w:rsidRPr="0082761E">
        <w:t>economy and create a better future f</w:t>
      </w:r>
      <w:r>
        <w:t>or</w:t>
      </w:r>
      <w:r w:rsidRPr="0082761E">
        <w:t xml:space="preserve"> </w:t>
      </w:r>
      <w:r>
        <w:t xml:space="preserve">its </w:t>
      </w:r>
      <w:r w:rsidRPr="0082761E">
        <w:t>people.</w:t>
      </w:r>
    </w:p>
    <w:sectPr w:rsidR="00424A79" w:rsidRPr="00EB6AC1" w:rsidSect="00C96A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DD9DA" w14:textId="77777777" w:rsidR="00E375D7" w:rsidRDefault="00E375D7" w:rsidP="00217FC1">
      <w:r>
        <w:separator/>
      </w:r>
    </w:p>
  </w:endnote>
  <w:endnote w:type="continuationSeparator" w:id="0">
    <w:p w14:paraId="1662784E" w14:textId="77777777" w:rsidR="00E375D7" w:rsidRDefault="00E375D7" w:rsidP="0021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71222" w14:textId="77777777" w:rsidR="00E375D7" w:rsidRDefault="00E375D7" w:rsidP="00217FC1">
      <w:r>
        <w:separator/>
      </w:r>
    </w:p>
  </w:footnote>
  <w:footnote w:type="continuationSeparator" w:id="0">
    <w:p w14:paraId="702DECD2" w14:textId="77777777" w:rsidR="00E375D7" w:rsidRDefault="00E375D7" w:rsidP="00217F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53966"/>
    <w:multiLevelType w:val="hybridMultilevel"/>
    <w:tmpl w:val="8C9C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43C6C"/>
    <w:multiLevelType w:val="hybridMultilevel"/>
    <w:tmpl w:val="1B724A92"/>
    <w:lvl w:ilvl="0" w:tplc="561283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FA1DB2"/>
    <w:multiLevelType w:val="hybridMultilevel"/>
    <w:tmpl w:val="E88E0E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E8262A"/>
    <w:multiLevelType w:val="hybridMultilevel"/>
    <w:tmpl w:val="BE50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0858A6"/>
    <w:multiLevelType w:val="hybridMultilevel"/>
    <w:tmpl w:val="CC6A9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614B59"/>
    <w:multiLevelType w:val="hybridMultilevel"/>
    <w:tmpl w:val="A6520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6A037FB"/>
    <w:multiLevelType w:val="hybridMultilevel"/>
    <w:tmpl w:val="AD38B512"/>
    <w:lvl w:ilvl="0" w:tplc="7F78C1E8">
      <w:start w:val="1"/>
      <w:numFmt w:val="bullet"/>
      <w:lvlText w:val=""/>
      <w:lvlJc w:val="left"/>
      <w:pPr>
        <w:ind w:left="720" w:hanging="360"/>
      </w:pPr>
      <w:rPr>
        <w:rFonts w:ascii="Symbol" w:hAnsi="Symbol" w:hint="default"/>
      </w:rPr>
    </w:lvl>
    <w:lvl w:ilvl="1" w:tplc="7A046ADA">
      <w:start w:val="1"/>
      <w:numFmt w:val="bullet"/>
      <w:lvlText w:val="o"/>
      <w:lvlJc w:val="left"/>
      <w:pPr>
        <w:ind w:left="1440" w:hanging="360"/>
      </w:pPr>
      <w:rPr>
        <w:rFonts w:ascii="Courier New" w:hAnsi="Courier New" w:cs="Courier New" w:hint="default"/>
      </w:rPr>
    </w:lvl>
    <w:lvl w:ilvl="2" w:tplc="BB5EA252">
      <w:start w:val="1"/>
      <w:numFmt w:val="bullet"/>
      <w:lvlText w:val=""/>
      <w:lvlJc w:val="left"/>
      <w:pPr>
        <w:ind w:left="2160" w:hanging="360"/>
      </w:pPr>
      <w:rPr>
        <w:rFonts w:ascii="Wingdings" w:hAnsi="Wingdings" w:hint="default"/>
      </w:rPr>
    </w:lvl>
    <w:lvl w:ilvl="3" w:tplc="9544D248">
      <w:start w:val="1"/>
      <w:numFmt w:val="bullet"/>
      <w:lvlText w:val=""/>
      <w:lvlJc w:val="left"/>
      <w:pPr>
        <w:ind w:left="2880" w:hanging="360"/>
      </w:pPr>
      <w:rPr>
        <w:rFonts w:ascii="Symbol" w:hAnsi="Symbol" w:hint="default"/>
      </w:rPr>
    </w:lvl>
    <w:lvl w:ilvl="4" w:tplc="D05A9D8C">
      <w:start w:val="1"/>
      <w:numFmt w:val="bullet"/>
      <w:lvlText w:val="o"/>
      <w:lvlJc w:val="left"/>
      <w:pPr>
        <w:ind w:left="3600" w:hanging="360"/>
      </w:pPr>
      <w:rPr>
        <w:rFonts w:ascii="Courier New" w:hAnsi="Courier New" w:cs="Courier New" w:hint="default"/>
      </w:rPr>
    </w:lvl>
    <w:lvl w:ilvl="5" w:tplc="70A49DD2">
      <w:start w:val="1"/>
      <w:numFmt w:val="bullet"/>
      <w:lvlText w:val=""/>
      <w:lvlJc w:val="left"/>
      <w:pPr>
        <w:ind w:left="4320" w:hanging="360"/>
      </w:pPr>
      <w:rPr>
        <w:rFonts w:ascii="Wingdings" w:hAnsi="Wingdings" w:hint="default"/>
      </w:rPr>
    </w:lvl>
    <w:lvl w:ilvl="6" w:tplc="255EF1C2">
      <w:start w:val="1"/>
      <w:numFmt w:val="bullet"/>
      <w:lvlText w:val=""/>
      <w:lvlJc w:val="left"/>
      <w:pPr>
        <w:ind w:left="5040" w:hanging="360"/>
      </w:pPr>
      <w:rPr>
        <w:rFonts w:ascii="Symbol" w:hAnsi="Symbol" w:hint="default"/>
      </w:rPr>
    </w:lvl>
    <w:lvl w:ilvl="7" w:tplc="33361550">
      <w:start w:val="1"/>
      <w:numFmt w:val="bullet"/>
      <w:lvlText w:val="o"/>
      <w:lvlJc w:val="left"/>
      <w:pPr>
        <w:ind w:left="5760" w:hanging="360"/>
      </w:pPr>
      <w:rPr>
        <w:rFonts w:ascii="Courier New" w:hAnsi="Courier New" w:cs="Courier New" w:hint="default"/>
      </w:rPr>
    </w:lvl>
    <w:lvl w:ilvl="8" w:tplc="F90CFE00">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013"/>
    <w:rsid w:val="000051CF"/>
    <w:rsid w:val="00005C45"/>
    <w:rsid w:val="000354D6"/>
    <w:rsid w:val="000403EF"/>
    <w:rsid w:val="00061234"/>
    <w:rsid w:val="00073B11"/>
    <w:rsid w:val="001043CC"/>
    <w:rsid w:val="001064F3"/>
    <w:rsid w:val="00126195"/>
    <w:rsid w:val="001740B9"/>
    <w:rsid w:val="001B13B8"/>
    <w:rsid w:val="001D0EB7"/>
    <w:rsid w:val="001F0A1B"/>
    <w:rsid w:val="001F2065"/>
    <w:rsid w:val="001F62F8"/>
    <w:rsid w:val="00210228"/>
    <w:rsid w:val="00217FC1"/>
    <w:rsid w:val="0022244B"/>
    <w:rsid w:val="00246D3C"/>
    <w:rsid w:val="002576C6"/>
    <w:rsid w:val="00264103"/>
    <w:rsid w:val="002816AA"/>
    <w:rsid w:val="002C5A9B"/>
    <w:rsid w:val="002E044F"/>
    <w:rsid w:val="002F1784"/>
    <w:rsid w:val="00301FE8"/>
    <w:rsid w:val="00303A43"/>
    <w:rsid w:val="00306D37"/>
    <w:rsid w:val="003263C4"/>
    <w:rsid w:val="00357DED"/>
    <w:rsid w:val="003623EE"/>
    <w:rsid w:val="00372331"/>
    <w:rsid w:val="0039655A"/>
    <w:rsid w:val="003D7696"/>
    <w:rsid w:val="00424A79"/>
    <w:rsid w:val="00455CA3"/>
    <w:rsid w:val="00481FCC"/>
    <w:rsid w:val="004974E6"/>
    <w:rsid w:val="004A091A"/>
    <w:rsid w:val="004A2B1F"/>
    <w:rsid w:val="004B2715"/>
    <w:rsid w:val="004D1671"/>
    <w:rsid w:val="005049E4"/>
    <w:rsid w:val="005201EB"/>
    <w:rsid w:val="005266A2"/>
    <w:rsid w:val="005555A2"/>
    <w:rsid w:val="00587D22"/>
    <w:rsid w:val="005A7A0E"/>
    <w:rsid w:val="0060059F"/>
    <w:rsid w:val="00615CF1"/>
    <w:rsid w:val="006B3E74"/>
    <w:rsid w:val="006C6332"/>
    <w:rsid w:val="006C6446"/>
    <w:rsid w:val="006C7E24"/>
    <w:rsid w:val="006E3607"/>
    <w:rsid w:val="006F76F3"/>
    <w:rsid w:val="00724161"/>
    <w:rsid w:val="00730AE7"/>
    <w:rsid w:val="00737738"/>
    <w:rsid w:val="0076744E"/>
    <w:rsid w:val="007E754A"/>
    <w:rsid w:val="0081434B"/>
    <w:rsid w:val="00823CCE"/>
    <w:rsid w:val="0082761E"/>
    <w:rsid w:val="008725BE"/>
    <w:rsid w:val="00891E3E"/>
    <w:rsid w:val="008B1651"/>
    <w:rsid w:val="008E6BA1"/>
    <w:rsid w:val="008F15C5"/>
    <w:rsid w:val="008F4AA4"/>
    <w:rsid w:val="008F5F7B"/>
    <w:rsid w:val="00965A41"/>
    <w:rsid w:val="0096609D"/>
    <w:rsid w:val="009663BE"/>
    <w:rsid w:val="009A7D5C"/>
    <w:rsid w:val="009E4F88"/>
    <w:rsid w:val="00A12013"/>
    <w:rsid w:val="00A239EA"/>
    <w:rsid w:val="00A52246"/>
    <w:rsid w:val="00A65A79"/>
    <w:rsid w:val="00A859D3"/>
    <w:rsid w:val="00AA10FA"/>
    <w:rsid w:val="00AC1D3C"/>
    <w:rsid w:val="00AD15EE"/>
    <w:rsid w:val="00AD512B"/>
    <w:rsid w:val="00AD74D5"/>
    <w:rsid w:val="00B13698"/>
    <w:rsid w:val="00B46D0C"/>
    <w:rsid w:val="00B50631"/>
    <w:rsid w:val="00B55317"/>
    <w:rsid w:val="00B90700"/>
    <w:rsid w:val="00B95D3A"/>
    <w:rsid w:val="00B9793D"/>
    <w:rsid w:val="00BA1D28"/>
    <w:rsid w:val="00BA7B7A"/>
    <w:rsid w:val="00BD696C"/>
    <w:rsid w:val="00BD7E30"/>
    <w:rsid w:val="00BF722A"/>
    <w:rsid w:val="00BF7AD8"/>
    <w:rsid w:val="00C00A6F"/>
    <w:rsid w:val="00C05BBE"/>
    <w:rsid w:val="00C173B7"/>
    <w:rsid w:val="00C33DB1"/>
    <w:rsid w:val="00C4386B"/>
    <w:rsid w:val="00C43B00"/>
    <w:rsid w:val="00C43FC7"/>
    <w:rsid w:val="00C96A4E"/>
    <w:rsid w:val="00CD0C77"/>
    <w:rsid w:val="00CE33AC"/>
    <w:rsid w:val="00CE3645"/>
    <w:rsid w:val="00D00B25"/>
    <w:rsid w:val="00D50B8B"/>
    <w:rsid w:val="00D82A56"/>
    <w:rsid w:val="00DA3352"/>
    <w:rsid w:val="00DB66BA"/>
    <w:rsid w:val="00DB7CBC"/>
    <w:rsid w:val="00DE2585"/>
    <w:rsid w:val="00DE6E38"/>
    <w:rsid w:val="00E02E05"/>
    <w:rsid w:val="00E10DA9"/>
    <w:rsid w:val="00E261D4"/>
    <w:rsid w:val="00E375D7"/>
    <w:rsid w:val="00E93BD0"/>
    <w:rsid w:val="00E94CC1"/>
    <w:rsid w:val="00EB6AC1"/>
    <w:rsid w:val="00EE14A2"/>
    <w:rsid w:val="00F26F03"/>
    <w:rsid w:val="00F31A1B"/>
    <w:rsid w:val="00F37A25"/>
    <w:rsid w:val="00F42393"/>
    <w:rsid w:val="00F54B2E"/>
    <w:rsid w:val="00FB4CB5"/>
    <w:rsid w:val="00FF6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3FB24"/>
  <w15:chartTrackingRefBased/>
  <w15:docId w15:val="{578FDA43-BD1F-E441-9420-FD3DB3F8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2013"/>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424A7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7FC1"/>
    <w:pPr>
      <w:tabs>
        <w:tab w:val="center" w:pos="4680"/>
        <w:tab w:val="right" w:pos="9360"/>
      </w:tabs>
    </w:pPr>
  </w:style>
  <w:style w:type="character" w:customStyle="1" w:styleId="HeaderChar">
    <w:name w:val="Header Char"/>
    <w:basedOn w:val="DefaultParagraphFont"/>
    <w:link w:val="Header"/>
    <w:uiPriority w:val="99"/>
    <w:rsid w:val="00217FC1"/>
  </w:style>
  <w:style w:type="paragraph" w:styleId="Footer">
    <w:name w:val="footer"/>
    <w:basedOn w:val="Normal"/>
    <w:link w:val="FooterChar"/>
    <w:uiPriority w:val="99"/>
    <w:unhideWhenUsed/>
    <w:rsid w:val="00217FC1"/>
    <w:pPr>
      <w:tabs>
        <w:tab w:val="center" w:pos="4680"/>
        <w:tab w:val="right" w:pos="9360"/>
      </w:tabs>
    </w:pPr>
  </w:style>
  <w:style w:type="character" w:customStyle="1" w:styleId="FooterChar">
    <w:name w:val="Footer Char"/>
    <w:basedOn w:val="DefaultParagraphFont"/>
    <w:link w:val="Footer"/>
    <w:uiPriority w:val="99"/>
    <w:rsid w:val="00217FC1"/>
  </w:style>
  <w:style w:type="paragraph" w:styleId="ListParagraph">
    <w:name w:val="List Paragraph"/>
    <w:basedOn w:val="Normal"/>
    <w:link w:val="ListParagraphChar"/>
    <w:uiPriority w:val="34"/>
    <w:qFormat/>
    <w:rsid w:val="00CE3645"/>
    <w:pPr>
      <w:ind w:left="720"/>
      <w:contextualSpacing/>
    </w:pPr>
  </w:style>
  <w:style w:type="character" w:customStyle="1" w:styleId="ListParagraphChar">
    <w:name w:val="List Paragraph Char"/>
    <w:link w:val="ListParagraph"/>
    <w:uiPriority w:val="34"/>
    <w:locked/>
    <w:rsid w:val="00EB6AC1"/>
  </w:style>
  <w:style w:type="paragraph" w:styleId="BalloonText">
    <w:name w:val="Balloon Text"/>
    <w:basedOn w:val="Normal"/>
    <w:link w:val="BalloonTextChar"/>
    <w:uiPriority w:val="99"/>
    <w:semiHidden/>
    <w:unhideWhenUsed/>
    <w:rsid w:val="00C173B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73B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C6446"/>
    <w:rPr>
      <w:sz w:val="16"/>
      <w:szCs w:val="16"/>
    </w:rPr>
  </w:style>
  <w:style w:type="paragraph" w:styleId="CommentText">
    <w:name w:val="annotation text"/>
    <w:basedOn w:val="Normal"/>
    <w:link w:val="CommentTextChar"/>
    <w:uiPriority w:val="99"/>
    <w:semiHidden/>
    <w:unhideWhenUsed/>
    <w:rsid w:val="006C6446"/>
    <w:rPr>
      <w:sz w:val="20"/>
      <w:szCs w:val="20"/>
    </w:rPr>
  </w:style>
  <w:style w:type="character" w:customStyle="1" w:styleId="CommentTextChar">
    <w:name w:val="Comment Text Char"/>
    <w:basedOn w:val="DefaultParagraphFont"/>
    <w:link w:val="CommentText"/>
    <w:uiPriority w:val="99"/>
    <w:semiHidden/>
    <w:rsid w:val="006C6446"/>
    <w:rPr>
      <w:sz w:val="20"/>
      <w:szCs w:val="20"/>
    </w:rPr>
  </w:style>
  <w:style w:type="paragraph" w:styleId="CommentSubject">
    <w:name w:val="annotation subject"/>
    <w:basedOn w:val="CommentText"/>
    <w:next w:val="CommentText"/>
    <w:link w:val="CommentSubjectChar"/>
    <w:uiPriority w:val="99"/>
    <w:semiHidden/>
    <w:unhideWhenUsed/>
    <w:rsid w:val="006C6446"/>
    <w:rPr>
      <w:b/>
      <w:bCs/>
    </w:rPr>
  </w:style>
  <w:style w:type="character" w:customStyle="1" w:styleId="CommentSubjectChar">
    <w:name w:val="Comment Subject Char"/>
    <w:basedOn w:val="CommentTextChar"/>
    <w:link w:val="CommentSubject"/>
    <w:uiPriority w:val="99"/>
    <w:semiHidden/>
    <w:rsid w:val="006C64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93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86581F7BDC1FDE43ABFCEFDAF30C5580" ma:contentTypeVersion="3" ma:contentTypeDescription="" ma:contentTypeScope="" ma:versionID="577a0c87dba840f208045edacbfe665c">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Authors xmlns="b99a068c-3844-4a16-badd-77233eea0529">000462069:Nadir Ramazanov:nramazanov@worldbank.org;</DocAuthors>
    <Authors xmlns="b99a068c-3844-4a16-badd-77233eea0529">
      <UserInfo>
        <DisplayName>i:0#.w|wb\wb462069</DisplayName>
        <AccountId>9323</AccountId>
        <AccountType/>
      </UserInfo>
      <UserInfo>
        <DisplayName/>
        <AccountId xsi:nil="true"/>
        <AccountType/>
      </UserInfo>
    </Authors>
    <Cordis_x0020_ID xmlns="b99a068c-3844-4a16-badd-77233eea0529">ITM00270</Cordis_x0020_ID>
    <Stage xmlns="b99a068c-3844-4a16-badd-77233eea0529">IMP</Stage>
    <PolicyExceptions xmlns="b99a068c-3844-4a16-badd-77233eea0529" xsi:nil="true"/>
    <IsTemplate xmlns="b99a068c-3844-4a16-badd-77233eea0529">false</IsTemplate>
    <HasUserUploaded xmlns="b99a068c-3844-4a16-badd-77233eea0529">true</HasUserUploaded>
    <DocumentDate xmlns="b99a068c-3844-4a16-badd-77233eea0529">2019-08-26T04:00:00+00:00</DocumentDate>
    <WBDocType xmlns="b99a068c-3844-4a16-badd-77233eea0529">Report</WBDocType>
    <SecurityClassification xmlns="b99a068c-3844-4a16-badd-77233eea0529">Public</SecurityClassification>
    <DeliverableID xmlns="b99a068c-3844-4a16-badd-77233eea0529">DLV0224764</DeliverableID>
    <ProjectID xmlns="b99a068c-3844-4a16-badd-77233eea0529">P165076</ProjectID>
    <Task_x0020_ID xmlns="b99a068c-3844-4a16-badd-77233eea0529" xsi:nil="true"/>
    <Package xmlns="b99a068c-3844-4a16-badd-77233eea0529">true</Package>
    <TemplateDocVersion xmlns="b99a068c-3844-4a16-badd-77233eea0529" xsi:nil="true"/>
    <SequenceNum xmlns="b99a068c-3844-4a16-badd-77233eea0529" xsi:nil="true"/>
    <RefreshDate xmlns="b99a068c-3844-4a16-badd-77233eea0529" xsi:nil="true"/>
    <IsMandatory xmlns="b99a068c-3844-4a16-badd-77233eea0529">false</IsMandatory>
    <SortOrder xmlns="b99a068c-3844-4a16-badd-77233eea0529" xsi:nil="true"/>
    <IsHidden xmlns="b99a068c-3844-4a16-badd-77233eea0529">false</IsHidden>
    <AttachmentType xmlns="b99a068c-3844-4a16-badd-77233eea0529" xsi:nil="true"/>
    <DisclosedVersion xmlns="b99a068c-3844-4a16-badd-77233eea0529" xsi:nil="true"/>
    <DocumentType xmlns="b99a068c-3844-4a16-badd-77233eea0529" xsi:nil="true"/>
    <ApprovedVersion xmlns="b99a068c-3844-4a16-badd-77233eea0529" xsi:nil="true"/>
    <DocStatus xmlns="b99a068c-3844-4a16-badd-77233eea0529" xsi:nil="true"/>
    <DependentDoc xmlns="b99a068c-3844-4a16-badd-77233eea0529" xsi:nil="true"/>
    <SAPStage xmlns="b99a068c-3844-4a16-badd-77233eea0529" xsi:nil="true"/>
    <LockStatus xmlns="b99a068c-3844-4a16-badd-77233eea0529" xsi:nil="true"/>
    <Abstract xmlns="b99a068c-3844-4a16-badd-77233eea0529" xsi:nil="true"/>
    <DocumentAction xmlns="b99a068c-3844-4a16-badd-77233eea0529" xsi:nil="true"/>
  </documentManagement>
</p:properties>
</file>

<file path=customXml/item5.xml><?xml version="1.0" encoding="utf-8"?>
<?mso-contentType ?>
<SharedContentType xmlns="Microsoft.SharePoint.Taxonomy.ContentTypeSync" SourceId="a4117c50-33ca-4e49-9a5c-4b51d291b3ff" ContentTypeId="0x01010054E0FEF4951F9D49A6F48A35419983C7" PreviousValue="false"/>
</file>

<file path=customXml/itemProps1.xml><?xml version="1.0" encoding="utf-8"?>
<ds:datastoreItem xmlns:ds="http://schemas.openxmlformats.org/officeDocument/2006/customXml" ds:itemID="{C641FC69-A79D-414D-9E8D-6458AD650D90}">
  <ds:schemaRefs>
    <ds:schemaRef ds:uri="http://schemas.openxmlformats.org/officeDocument/2006/bibliography"/>
  </ds:schemaRefs>
</ds:datastoreItem>
</file>

<file path=customXml/itemProps2.xml><?xml version="1.0" encoding="utf-8"?>
<ds:datastoreItem xmlns:ds="http://schemas.openxmlformats.org/officeDocument/2006/customXml" ds:itemID="{DE0A2C35-CC25-4BA0-BDD7-688268AB34AD}"/>
</file>

<file path=customXml/itemProps3.xml><?xml version="1.0" encoding="utf-8"?>
<ds:datastoreItem xmlns:ds="http://schemas.openxmlformats.org/officeDocument/2006/customXml" ds:itemID="{343727A0-C7CF-4E6D-93CF-F6A1DAA793DA}"/>
</file>

<file path=customXml/itemProps4.xml><?xml version="1.0" encoding="utf-8"?>
<ds:datastoreItem xmlns:ds="http://schemas.openxmlformats.org/officeDocument/2006/customXml" ds:itemID="{8D657DA8-E802-411C-AB2B-D3329FBB5F84}"/>
</file>

<file path=customXml/itemProps5.xml><?xml version="1.0" encoding="utf-8"?>
<ds:datastoreItem xmlns:ds="http://schemas.openxmlformats.org/officeDocument/2006/customXml" ds:itemID="{FD1969FB-CF1F-4FD9-9F69-3E66398C7703}"/>
</file>

<file path=docProps/app.xml><?xml version="1.0" encoding="utf-8"?>
<Properties xmlns="http://schemas.openxmlformats.org/officeDocument/2006/extended-properties" xmlns:vt="http://schemas.openxmlformats.org/officeDocument/2006/docPropsVTypes">
  <Template>Normal.dotm</Template>
  <TotalTime>6</TotalTime>
  <Pages>4</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call to action</dc:title>
  <dc:subject/>
  <dc:creator>Alexandra Soininen</dc:creator>
  <cp:keywords/>
  <dc:description/>
  <cp:lastModifiedBy>Nadir Ramazanov</cp:lastModifiedBy>
  <cp:revision>7</cp:revision>
  <cp:lastPrinted>2019-03-19T13:36:00Z</cp:lastPrinted>
  <dcterms:created xsi:type="dcterms:W3CDTF">2019-03-27T17:37:00Z</dcterms:created>
  <dcterms:modified xsi:type="dcterms:W3CDTF">2019-08-26T07:23:00Z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0x01010054E0FEF4951F9D49A6F48A35419983C70086581F7BDC1FDE43ABFCEFDAF30C5580</vt:lpwstr>
  </property>
  <property fmtid="{D5CDD505-2E9C-101B-9397-08002B2CF9AE}" pid="5" name="RatedBy">
    <vt:lpwstr/>
  </property>
  <property fmtid="{D5CDD505-2E9C-101B-9397-08002B2CF9AE}" pid="7" name="LikedBy">
    <vt:lpwstr/>
  </property>
</Properties>
</file>