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F" w:rsidRPr="0035241F" w:rsidRDefault="00701AA9" w:rsidP="0035241F">
      <w:pPr>
        <w:spacing w:after="0" w:line="240" w:lineRule="auto"/>
        <w:jc w:val="center"/>
        <w:rPr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7.1pt;margin-top:-41pt;width:138.75pt;height:39.75pt;z-index:251676672" stroked="f">
            <v:textbox>
              <w:txbxContent>
                <w:p w:rsidR="00701AA9" w:rsidRPr="00701AA9" w:rsidRDefault="00701AA9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49834</w:t>
                  </w:r>
                </w:p>
              </w:txbxContent>
            </v:textbox>
          </v:shape>
        </w:pict>
      </w:r>
      <w:r w:rsidR="0035241F" w:rsidRPr="0035241F">
        <w:rPr>
          <w:rFonts w:ascii="Bradley Hand ITC" w:hAnsi="Bradley Hand ITC"/>
          <w:b/>
          <w:sz w:val="32"/>
          <w:szCs w:val="32"/>
        </w:rPr>
        <w:t>RÉPUBLIQUE TOGOLAISE</w:t>
      </w:r>
    </w:p>
    <w:p w:rsidR="0035241F" w:rsidRDefault="0035241F" w:rsidP="0035241F">
      <w:pPr>
        <w:spacing w:after="0" w:line="240" w:lineRule="auto"/>
        <w:jc w:val="center"/>
        <w:rPr>
          <w:rFonts w:ascii="Showcard Gothic" w:eastAsia="Times New Roman" w:hAnsi="Showcard Gothic" w:cs="Arial"/>
          <w:bCs/>
          <w:sz w:val="24"/>
          <w:szCs w:val="24"/>
          <w:lang w:eastAsia="fr-FR"/>
        </w:rPr>
      </w:pPr>
    </w:p>
    <w:p w:rsidR="0035241F" w:rsidRPr="009A0D06" w:rsidRDefault="0035241F" w:rsidP="0035241F">
      <w:pPr>
        <w:spacing w:after="0" w:line="240" w:lineRule="auto"/>
        <w:jc w:val="center"/>
        <w:rPr>
          <w:rFonts w:ascii="Eras Demi ITC" w:eastAsia="Times New Roman" w:hAnsi="Eras Demi ITC" w:cs="Arial"/>
          <w:bCs/>
          <w:sz w:val="24"/>
          <w:szCs w:val="24"/>
          <w:lang w:eastAsia="fr-FR"/>
        </w:rPr>
      </w:pPr>
      <w:r w:rsidRPr="009A0D06">
        <w:rPr>
          <w:rFonts w:ascii="Eras Demi ITC" w:eastAsia="Times New Roman" w:hAnsi="Eras Demi ITC" w:cs="Arial"/>
          <w:bCs/>
          <w:sz w:val="24"/>
          <w:szCs w:val="24"/>
          <w:lang w:eastAsia="fr-FR"/>
        </w:rPr>
        <w:t>PROJET D'URGENCE DE RÉHABILITATION D’INFRASTRUCTURES ET DES SERVICES ÉLECTRIQUES (PURISE)</w:t>
      </w:r>
    </w:p>
    <w:p w:rsidR="0035241F" w:rsidRDefault="0035241F" w:rsidP="0035241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</w:pPr>
    </w:p>
    <w:p w:rsidR="0035241F" w:rsidRDefault="0035241F" w:rsidP="0035241F">
      <w:pPr>
        <w:spacing w:after="0" w:line="240" w:lineRule="auto"/>
        <w:jc w:val="center"/>
      </w:pPr>
    </w:p>
    <w:tbl>
      <w:tblPr>
        <w:tblW w:w="144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1"/>
        <w:gridCol w:w="6965"/>
        <w:gridCol w:w="1196"/>
        <w:gridCol w:w="1496"/>
        <w:gridCol w:w="1536"/>
        <w:gridCol w:w="1434"/>
        <w:gridCol w:w="1276"/>
      </w:tblGrid>
      <w:tr w:rsidR="0035241F" w:rsidRPr="007357D1" w:rsidTr="007357D1">
        <w:trPr>
          <w:gridAfter w:val="5"/>
          <w:wAfter w:w="6938" w:type="dxa"/>
          <w:trHeight w:val="315"/>
        </w:trPr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7357D1" w:rsidRDefault="0035241F" w:rsidP="003524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261D5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I.- </w:t>
            </w: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fr-FR"/>
              </w:rPr>
              <w:t>G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fr-FR"/>
              </w:rPr>
              <w:t>É</w:t>
            </w: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fr-FR"/>
              </w:rPr>
              <w:t>N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fr-FR"/>
              </w:rPr>
              <w:t>É</w:t>
            </w: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fr-FR"/>
              </w:rPr>
              <w:t>RALIT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fr-FR"/>
              </w:rPr>
              <w:t>É</w:t>
            </w: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fr-FR"/>
              </w:rPr>
              <w:t>S</w:t>
            </w:r>
          </w:p>
        </w:tc>
      </w:tr>
      <w:tr w:rsidR="0035241F" w:rsidRPr="007357D1" w:rsidTr="007357D1">
        <w:trPr>
          <w:gridAfter w:val="5"/>
          <w:wAfter w:w="6938" w:type="dxa"/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7357D1" w:rsidRDefault="0035241F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7357D1" w:rsidRDefault="0035241F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35241F" w:rsidRPr="007357D1" w:rsidTr="007357D1">
        <w:trPr>
          <w:gridAfter w:val="5"/>
          <w:wAfter w:w="6938" w:type="dxa"/>
          <w:trHeight w:val="315"/>
        </w:trPr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7357D1" w:rsidRDefault="0035241F" w:rsidP="007357D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fr-FR"/>
              </w:rPr>
              <w:t>Pays</w:t>
            </w: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 : TOGO</w:t>
            </w:r>
          </w:p>
        </w:tc>
      </w:tr>
      <w:tr w:rsidR="0035241F" w:rsidRPr="007357D1" w:rsidTr="007357D1">
        <w:trPr>
          <w:gridAfter w:val="5"/>
          <w:wAfter w:w="6938" w:type="dxa"/>
          <w:trHeight w:val="315"/>
        </w:trPr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7357D1" w:rsidRDefault="0035241F" w:rsidP="007357D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Emprunteur : REPUBLIQUE TOGOLAISE</w:t>
            </w:r>
          </w:p>
        </w:tc>
      </w:tr>
      <w:tr w:rsidR="0035241F" w:rsidRPr="007357D1" w:rsidTr="00261D55">
        <w:trPr>
          <w:gridAfter w:val="3"/>
          <w:wAfter w:w="4246" w:type="dxa"/>
          <w:trHeight w:val="31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7357D1" w:rsidRDefault="0035241F" w:rsidP="0035241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Projet : 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Projet d’Urgence de Réhabilitation d’Infrastructures et des Services Electriques (PURISE)</w:t>
            </w:r>
          </w:p>
        </w:tc>
      </w:tr>
      <w:tr w:rsidR="0035241F" w:rsidRPr="007357D1" w:rsidTr="007357D1">
        <w:trPr>
          <w:gridAfter w:val="5"/>
          <w:wAfter w:w="6938" w:type="dxa"/>
          <w:trHeight w:val="315"/>
        </w:trPr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7357D1" w:rsidRDefault="0035241F" w:rsidP="00AB6D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Structure de coordination du Projet : AGETUR-TOGO</w:t>
            </w:r>
          </w:p>
        </w:tc>
      </w:tr>
      <w:tr w:rsidR="0035241F" w:rsidRPr="007357D1" w:rsidTr="007357D1">
        <w:trPr>
          <w:gridAfter w:val="5"/>
          <w:wAfter w:w="6938" w:type="dxa"/>
          <w:trHeight w:val="315"/>
        </w:trPr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7357D1" w:rsidRDefault="0035241F" w:rsidP="007357D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Date d'approbation du Plan de Passation de Marché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</w:t>
            </w: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 : 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18 mai 2009</w:t>
            </w: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5241F" w:rsidRPr="007357D1" w:rsidTr="007357D1">
        <w:trPr>
          <w:gridAfter w:val="5"/>
          <w:wAfter w:w="6938" w:type="dxa"/>
          <w:trHeight w:val="315"/>
        </w:trPr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7357D1" w:rsidRDefault="0035241F" w:rsidP="009340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é</w:t>
            </w: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riode couverte par le PPM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 :</w:t>
            </w: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m</w:t>
            </w: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ai 2009 à 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n</w:t>
            </w: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ovembre 2010</w:t>
            </w:r>
          </w:p>
        </w:tc>
      </w:tr>
      <w:tr w:rsidR="0035241F" w:rsidRPr="007357D1" w:rsidTr="0035241F">
        <w:trPr>
          <w:gridAfter w:val="5"/>
          <w:wAfter w:w="6938" w:type="dxa"/>
          <w:trHeight w:val="1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Default="0035241F" w:rsidP="007357D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  <w:p w:rsidR="0035241F" w:rsidRDefault="0035241F" w:rsidP="007357D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  <w:p w:rsidR="0035241F" w:rsidRDefault="0035241F" w:rsidP="007357D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  <w:p w:rsidR="0035241F" w:rsidRPr="0035241F" w:rsidRDefault="0035241F" w:rsidP="007357D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35241F" w:rsidRDefault="0035241F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35241F" w:rsidRPr="007357D1" w:rsidTr="0035241F">
        <w:trPr>
          <w:gridAfter w:val="5"/>
          <w:wAfter w:w="6938" w:type="dxa"/>
          <w:trHeight w:val="237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7357D1" w:rsidRDefault="0035241F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I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I.-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7357D1" w:rsidRDefault="0035241F" w:rsidP="007357D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FOURNITURES ET TRAVAUX  </w:t>
            </w:r>
          </w:p>
        </w:tc>
      </w:tr>
      <w:tr w:rsidR="0035241F" w:rsidRPr="007357D1" w:rsidTr="007357D1">
        <w:trPr>
          <w:gridAfter w:val="5"/>
          <w:wAfter w:w="6938" w:type="dxa"/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35241F" w:rsidRDefault="0035241F" w:rsidP="007357D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1F" w:rsidRPr="0035241F" w:rsidRDefault="0035241F" w:rsidP="007357D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  <w:u w:val="single"/>
                <w:lang w:eastAsia="fr-FR"/>
              </w:rPr>
            </w:pPr>
          </w:p>
        </w:tc>
      </w:tr>
      <w:tr w:rsidR="009340C7" w:rsidRPr="007357D1" w:rsidTr="00261D55">
        <w:trPr>
          <w:trHeight w:val="6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C7" w:rsidRPr="007357D1" w:rsidRDefault="009340C7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1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C7" w:rsidRPr="007357D1" w:rsidRDefault="009340C7" w:rsidP="007357D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Seuils d'examen préalable </w:t>
            </w: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: marchés qui seront soumis à l'examen préalable de la banque conformément aux dispositions de l'Annexe 1 des Directives de passation de marchés :</w:t>
            </w:r>
          </w:p>
        </w:tc>
      </w:tr>
      <w:tr w:rsidR="007357D1" w:rsidRPr="007357D1" w:rsidTr="007357D1">
        <w:trPr>
          <w:trHeight w:val="3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261D55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2</w:t>
            </w:r>
            <w:r w:rsidR="007357D1"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.1 Fournitures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</w:tr>
      <w:tr w:rsidR="007357D1" w:rsidRPr="007357D1" w:rsidTr="007357D1">
        <w:trPr>
          <w:trHeight w:val="99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Méthode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Seuil d'examen Préalable $US</w:t>
            </w:r>
          </w:p>
        </w:tc>
        <w:tc>
          <w:tcPr>
            <w:tcW w:w="4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Commentaires</w:t>
            </w:r>
          </w:p>
        </w:tc>
      </w:tr>
      <w:tr w:rsidR="007357D1" w:rsidRPr="007357D1" w:rsidTr="007357D1">
        <w:trPr>
          <w:trHeight w:val="5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300 000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Examen de tout marché</w:t>
            </w:r>
          </w:p>
        </w:tc>
      </w:tr>
      <w:tr w:rsidR="007357D1" w:rsidRPr="007357D1" w:rsidTr="007357D1">
        <w:trPr>
          <w:trHeight w:val="3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&lt; 300 000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7D1" w:rsidRPr="007357D1" w:rsidRDefault="007357D1" w:rsidP="0035241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Examen des deux premiers marchés</w:t>
            </w:r>
          </w:p>
        </w:tc>
      </w:tr>
      <w:tr w:rsidR="007357D1" w:rsidRPr="007357D1" w:rsidTr="007357D1">
        <w:trPr>
          <w:trHeight w:val="3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CF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&lt; 50 000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7D1" w:rsidRPr="007357D1" w:rsidRDefault="007357D1" w:rsidP="0035241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Examen des deux premiers marchés</w:t>
            </w:r>
          </w:p>
        </w:tc>
      </w:tr>
      <w:tr w:rsidR="007357D1" w:rsidRPr="007357D1" w:rsidTr="007357D1">
        <w:trPr>
          <w:trHeight w:val="3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</w:tr>
      <w:tr w:rsidR="007357D1" w:rsidRPr="007357D1" w:rsidTr="007357D1">
        <w:trPr>
          <w:trHeight w:val="3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261D55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2</w:t>
            </w:r>
            <w:r w:rsidR="007357D1"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.2 Travaux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</w:tr>
      <w:tr w:rsidR="007357D1" w:rsidRPr="007357D1" w:rsidTr="007357D1">
        <w:trPr>
          <w:trHeight w:val="99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Méthode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Seuil d'examen Préalable $US</w:t>
            </w:r>
          </w:p>
        </w:tc>
        <w:tc>
          <w:tcPr>
            <w:tcW w:w="4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Commentaires</w:t>
            </w:r>
          </w:p>
        </w:tc>
      </w:tr>
      <w:tr w:rsidR="007357D1" w:rsidRPr="007357D1" w:rsidTr="007357D1">
        <w:trPr>
          <w:trHeight w:val="5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&gt; = 3 000 </w:t>
            </w:r>
            <w:proofErr w:type="spellStart"/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000</w:t>
            </w:r>
            <w:proofErr w:type="spellEnd"/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Examen de tout marché</w:t>
            </w:r>
          </w:p>
        </w:tc>
      </w:tr>
      <w:tr w:rsidR="007357D1" w:rsidRPr="007357D1" w:rsidTr="007357D1">
        <w:trPr>
          <w:trHeight w:val="3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&lt; 3 000 </w:t>
            </w:r>
            <w:proofErr w:type="spellStart"/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000</w:t>
            </w:r>
            <w:proofErr w:type="spellEnd"/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 Examen des deux premiers marchés</w:t>
            </w:r>
          </w:p>
        </w:tc>
      </w:tr>
      <w:tr w:rsidR="007357D1" w:rsidRPr="007357D1" w:rsidTr="007357D1">
        <w:trPr>
          <w:trHeight w:val="3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CF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&lt; 50 000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 Examen des deux premiers marchés</w:t>
            </w:r>
          </w:p>
        </w:tc>
      </w:tr>
      <w:tr w:rsidR="007357D1" w:rsidRPr="007357D1" w:rsidTr="007357D1">
        <w:trPr>
          <w:trHeight w:val="3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D1" w:rsidRPr="007357D1" w:rsidRDefault="007357D1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</w:tr>
      <w:tr w:rsidR="009340C7" w:rsidRPr="007357D1" w:rsidTr="009340C7">
        <w:trPr>
          <w:trHeight w:val="62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C7" w:rsidRPr="007357D1" w:rsidRDefault="009340C7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1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C7" w:rsidRPr="007357D1" w:rsidRDefault="009340C7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Procédures applicables aux Composantes relatives aux activités communautaires (en relation avec le paragraphe 3.17 des Directives)</w:t>
            </w:r>
            <w:r w:rsidRPr="009340C7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:</w:t>
            </w: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7357D1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fr-FR"/>
              </w:rPr>
              <w:t>Sans objet</w:t>
            </w:r>
          </w:p>
        </w:tc>
      </w:tr>
      <w:tr w:rsidR="009340C7" w:rsidRPr="007357D1" w:rsidTr="00261D55">
        <w:trPr>
          <w:trHeight w:val="42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C7" w:rsidRPr="007357D1" w:rsidRDefault="009340C7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1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C7" w:rsidRPr="007357D1" w:rsidRDefault="009340C7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Autres arrangements spécifiques pour la passation de marchés : </w:t>
            </w:r>
            <w:r w:rsidRPr="007357D1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fr-FR"/>
              </w:rPr>
              <w:t>Sans objet</w:t>
            </w:r>
          </w:p>
        </w:tc>
      </w:tr>
      <w:tr w:rsidR="009340C7" w:rsidRPr="007357D1" w:rsidTr="00261D55">
        <w:trPr>
          <w:trHeight w:val="43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C7" w:rsidRPr="007357D1" w:rsidRDefault="009340C7" w:rsidP="007357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1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C7" w:rsidRPr="007357D1" w:rsidRDefault="009340C7" w:rsidP="007357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357D1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Marchés et Planning et méthode de passation : </w:t>
            </w:r>
          </w:p>
        </w:tc>
      </w:tr>
    </w:tbl>
    <w:p w:rsidR="00261D55" w:rsidRDefault="00261D55" w:rsidP="007543AF">
      <w:pPr>
        <w:spacing w:after="0" w:line="240" w:lineRule="auto"/>
      </w:pPr>
    </w:p>
    <w:p w:rsidR="007543AF" w:rsidRDefault="007543AF" w:rsidP="007543AF">
      <w:pPr>
        <w:spacing w:after="0" w:line="240" w:lineRule="auto"/>
      </w:pPr>
    </w:p>
    <w:p w:rsidR="007543AF" w:rsidRDefault="007543AF" w:rsidP="007543AF">
      <w:pPr>
        <w:spacing w:after="0" w:line="240" w:lineRule="auto"/>
      </w:pPr>
    </w:p>
    <w:tbl>
      <w:tblPr>
        <w:tblW w:w="13207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6312"/>
        <w:gridCol w:w="1418"/>
        <w:gridCol w:w="993"/>
        <w:gridCol w:w="1134"/>
        <w:gridCol w:w="1417"/>
        <w:gridCol w:w="1418"/>
      </w:tblGrid>
      <w:tr w:rsidR="002D19C7" w:rsidRPr="00A9385A" w:rsidTr="002D19C7">
        <w:trPr>
          <w:trHeight w:val="942"/>
        </w:trPr>
        <w:tc>
          <w:tcPr>
            <w:tcW w:w="515" w:type="dxa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Réf. N°.</w:t>
            </w:r>
          </w:p>
        </w:tc>
        <w:tc>
          <w:tcPr>
            <w:tcW w:w="6312" w:type="dxa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Description des fournitures/travaux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b/>
                <w:bCs/>
                <w:lang w:eastAsia="fr-FR"/>
              </w:rPr>
              <w:t>Méthode de passation des marchés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2D19C7" w:rsidRPr="00452C9B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452C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Préférence nationale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b/>
                <w:bCs/>
                <w:lang w:eastAsia="fr-FR"/>
              </w:rPr>
              <w:t>Examen préalable (Oui/non)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b/>
                <w:bCs/>
                <w:lang w:eastAsia="fr-FR"/>
              </w:rPr>
              <w:t>Date d'invitation à soumission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452C9B">
              <w:rPr>
                <w:rFonts w:ascii="Arial Narrow" w:eastAsia="Times New Roman" w:hAnsi="Arial Narrow" w:cs="Arial"/>
                <w:b/>
                <w:bCs/>
                <w:lang w:eastAsia="fr-FR"/>
              </w:rPr>
              <w:t>Observations</w:t>
            </w:r>
          </w:p>
        </w:tc>
      </w:tr>
      <w:tr w:rsidR="002D19C7" w:rsidRPr="00A9385A" w:rsidTr="002D19C7">
        <w:trPr>
          <w:trHeight w:val="615"/>
        </w:trPr>
        <w:tc>
          <w:tcPr>
            <w:tcW w:w="515" w:type="dxa"/>
            <w:tcBorders>
              <w:top w:val="single" w:sz="4" w:space="0" w:color="000000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lang w:eastAsia="fr-FR"/>
              </w:rPr>
              <w:t>1</w:t>
            </w:r>
          </w:p>
        </w:tc>
        <w:tc>
          <w:tcPr>
            <w:tcW w:w="631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lang w:eastAsia="fr-FR"/>
              </w:rPr>
              <w:t>Curage de collecteur/caniveaux et évacuation des fonds de caniveaux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lang w:eastAsia="fr-FR"/>
              </w:rPr>
              <w:t>30-May-09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61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Réhabilitation d'ouvrages existants:</w:t>
            </w: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réfection de voile</w:t>
            </w: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</w:t>
            </w: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de caniveaux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18-Sep-09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1433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Construction du Bassin de rétention 2.1'  (Bassin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Kagbara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),  de sa clôture et divers aménagements,  de caniveaux rectangulaires du Bassin de rétention (BR) 2.1' au Bassin de rétention 2.1 (BR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Takassi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), du Bassin de rétention 2.1' (BR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Kagbara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) au </w:t>
            </w: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</w:t>
            </w: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œud D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15-Jun-09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61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lastRenderedPageBreak/>
              <w:t>4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Construction</w:t>
            </w: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des Bassins de rétention (H2 (lac d'</w:t>
            </w:r>
            <w:proofErr w:type="spellStart"/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Agbalépédogan</w:t>
            </w:r>
            <w:proofErr w:type="spellEnd"/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) et 2.2 (b</w:t>
            </w: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assin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Adébayor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)), de leurs clôtures et divers aménagements, de caniveaux du lac d'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Agbalépédogan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au </w:t>
            </w: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nœud</w:t>
            </w: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E (caniveaux rectangulaires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Adébayor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/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Takassi</w:t>
            </w:r>
            <w:proofErr w:type="spellEnd"/>
            <w:proofErr w:type="gram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) ,de</w:t>
            </w:r>
            <w:proofErr w:type="gram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la Mission catholique Notre dame sous la croix au Nœud F (4 lots)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15-Jun-09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61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Construction de caniveaux  sur le bd du 13 janvier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12-Oct-09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61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Construction  du Bassin de rétention de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Forever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(Avenue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Kondona</w:t>
            </w:r>
            <w:proofErr w:type="spellEnd"/>
            <w:proofErr w:type="gram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) ,</w:t>
            </w:r>
            <w:proofErr w:type="gram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de sa clôture et aménagements divers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10-Nov-09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61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Fourniture et pose conduites de refoulement DN 400 à partir de station de pompage (Avenue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Kondona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14-Nov-09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61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Achat et installation de station de pompage SP4-3 sur le Bassin de rétention de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Forever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(Avenue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Kondona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12-Nov-09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749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Travaux de renforcement et d’extension du réseau de distribution d’électricité</w:t>
            </w:r>
            <w:r w:rsidRPr="00A464ED">
              <w:rPr>
                <w:rFonts w:ascii="Arial Narrow" w:eastAsia="Times New Roman" w:hAnsi="Arial Narrow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400050</wp:posOffset>
                  </wp:positionV>
                  <wp:extent cx="85725" cy="209550"/>
                  <wp:effectExtent l="0" t="0" r="0" b="0"/>
                  <wp:wrapNone/>
                  <wp:docPr id="1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43375" y="17792700"/>
                            <a:ext cx="76200" cy="200025"/>
                            <a:chOff x="4143375" y="17792700"/>
                            <a:chExt cx="76200" cy="200025"/>
                          </a:xfrm>
                        </a:grpSpPr>
                        <a:sp>
                          <a:nvSpPr>
                            <a:cNvPr id="18954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43375" y="177927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464ED">
              <w:rPr>
                <w:rFonts w:ascii="Arial Narrow" w:eastAsia="Times New Roman" w:hAnsi="Arial Narrow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342900</wp:posOffset>
                  </wp:positionV>
                  <wp:extent cx="95250" cy="219075"/>
                  <wp:effectExtent l="0" t="0" r="0" b="0"/>
                  <wp:wrapNone/>
                  <wp:docPr id="2" name="Text Box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71950" y="17745075"/>
                            <a:ext cx="76200" cy="200025"/>
                            <a:chOff x="4171950" y="17745075"/>
                            <a:chExt cx="76200" cy="200025"/>
                          </a:xfrm>
                        </a:grpSpPr>
                        <a:sp>
                          <a:nvSpPr>
                            <a:cNvPr id="18963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71950" y="1774507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17-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Jul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79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Fourniture d’équipement dans le cadre du renforcement et d’extension du réseau de distribution d’électricité</w:t>
            </w:r>
            <w:r w:rsidRPr="00A464ED">
              <w:rPr>
                <w:rFonts w:ascii="Arial Narrow" w:eastAsia="Times New Roman" w:hAnsi="Arial Narrow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647700</wp:posOffset>
                  </wp:positionV>
                  <wp:extent cx="85725" cy="219075"/>
                  <wp:effectExtent l="0" t="0" r="0" b="0"/>
                  <wp:wrapNone/>
                  <wp:docPr id="3" name="Image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43375" y="18802350"/>
                            <a:ext cx="76200" cy="200025"/>
                            <a:chOff x="4143375" y="18802350"/>
                            <a:chExt cx="76200" cy="200025"/>
                          </a:xfrm>
                        </a:grpSpPr>
                        <a:sp>
                          <a:nvSpPr>
                            <a:cNvPr id="18978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43375" y="1880235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464ED">
              <w:rPr>
                <w:rFonts w:ascii="Arial Narrow" w:eastAsia="Times New Roman" w:hAnsi="Arial Narrow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609600</wp:posOffset>
                  </wp:positionV>
                  <wp:extent cx="95250" cy="200025"/>
                  <wp:effectExtent l="0" t="0" r="0" b="0"/>
                  <wp:wrapNone/>
                  <wp:docPr id="4" name="Image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71950" y="18754725"/>
                            <a:ext cx="76200" cy="200025"/>
                            <a:chOff x="4171950" y="18754725"/>
                            <a:chExt cx="76200" cy="200025"/>
                          </a:xfrm>
                        </a:grpSpPr>
                        <a:sp>
                          <a:nvSpPr>
                            <a:cNvPr id="18979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71950" y="187547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464ED">
              <w:rPr>
                <w:rFonts w:ascii="Arial Narrow" w:eastAsia="Times New Roman" w:hAnsi="Arial Narrow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647700</wp:posOffset>
                  </wp:positionV>
                  <wp:extent cx="85725" cy="219075"/>
                  <wp:effectExtent l="0" t="0" r="0" b="0"/>
                  <wp:wrapNone/>
                  <wp:docPr id="5" name="Imag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43375" y="18802350"/>
                            <a:ext cx="76200" cy="200025"/>
                            <a:chOff x="4143375" y="18802350"/>
                            <a:chExt cx="76200" cy="200025"/>
                          </a:xfrm>
                        </a:grpSpPr>
                        <a:sp>
                          <a:nvSpPr>
                            <a:cNvPr id="18980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43375" y="1880235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464ED">
              <w:rPr>
                <w:rFonts w:ascii="Arial Narrow" w:eastAsia="Times New Roman" w:hAnsi="Arial Narrow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609600</wp:posOffset>
                  </wp:positionV>
                  <wp:extent cx="95250" cy="200025"/>
                  <wp:effectExtent l="0" t="0" r="0" b="0"/>
                  <wp:wrapNone/>
                  <wp:docPr id="6" name="Image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71950" y="18754725"/>
                            <a:ext cx="76200" cy="200025"/>
                            <a:chOff x="4171950" y="18754725"/>
                            <a:chExt cx="76200" cy="200025"/>
                          </a:xfrm>
                        </a:grpSpPr>
                        <a:sp>
                          <a:nvSpPr>
                            <a:cNvPr id="18981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71950" y="187547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AOI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2-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Jul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390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Fourniture et Installation d'équipements  pour mini adductions d'eau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AOI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30-Nov-09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390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Travaux pour mini adductions d'eau dans les zones </w:t>
            </w:r>
            <w:proofErr w:type="gram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de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Adidogomé</w:t>
            </w:r>
            <w:proofErr w:type="spellEnd"/>
            <w:proofErr w:type="gram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Agoènyevé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Bè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Kpota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Baguida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(4 lots)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13-Nov-09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49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Réhabilitation de voies de la Gare Routière du Nord d’</w:t>
            </w:r>
            <w:proofErr w:type="spellStart"/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Agbalépédogan</w:t>
            </w:r>
            <w:proofErr w:type="spellEnd"/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au carrefour Bar Caméléon et au carrefour </w:t>
            </w:r>
            <w:proofErr w:type="spellStart"/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Avédji</w:t>
            </w:r>
            <w:proofErr w:type="spellEnd"/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(Limousine)</w:t>
            </w:r>
            <w:r w:rsidRPr="00A464ED">
              <w:rPr>
                <w:rFonts w:ascii="Arial Narrow" w:eastAsia="Times New Roman" w:hAnsi="Arial Narrow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457200</wp:posOffset>
                  </wp:positionV>
                  <wp:extent cx="95250" cy="219075"/>
                  <wp:effectExtent l="0" t="0" r="0" b="0"/>
                  <wp:wrapNone/>
                  <wp:docPr id="7" name="Imag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43375" y="20897850"/>
                            <a:ext cx="85725" cy="200025"/>
                            <a:chOff x="4143375" y="20897850"/>
                            <a:chExt cx="85725" cy="200025"/>
                          </a:xfrm>
                        </a:grpSpPr>
                        <a:sp>
                          <a:nvSpPr>
                            <a:cNvPr id="1896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43375" y="20897850"/>
                              <a:ext cx="8572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464ED">
              <w:rPr>
                <w:rFonts w:ascii="Arial Narrow" w:eastAsia="Times New Roman" w:hAnsi="Arial Narrow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409575</wp:posOffset>
                  </wp:positionV>
                  <wp:extent cx="95250" cy="209550"/>
                  <wp:effectExtent l="0" t="0" r="0" b="0"/>
                  <wp:wrapNone/>
                  <wp:docPr id="8" name="Image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71950" y="20850225"/>
                            <a:ext cx="85725" cy="190500"/>
                            <a:chOff x="4171950" y="20850225"/>
                            <a:chExt cx="85725" cy="190500"/>
                          </a:xfrm>
                        </a:grpSpPr>
                        <a:sp>
                          <a:nvSpPr>
                            <a:cNvPr id="18974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71950" y="20850225"/>
                              <a:ext cx="85725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25-Jun-09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49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Réhabilitation et aménagements divers des voies 117 WTK (rue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Zooti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), de l'Eglise Baptiste d'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Agbalépédogan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, de la br</w:t>
            </w: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etelle </w:t>
            </w:r>
            <w:proofErr w:type="spellStart"/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Totsi</w:t>
            </w:r>
            <w:proofErr w:type="spellEnd"/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, de la rue 37TKA (</w:t>
            </w: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</w:t>
            </w: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lots)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11-Dec-09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667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Aménagement du Boulevard 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Malfakassa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Prolongé N°1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27-Nov-09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55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Acquisition de mobilier de bureau (1 Table de réunion avec chaises) pour la DGIEU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CF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6-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Jul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55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lastRenderedPageBreak/>
              <w:t>17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Fourniture et installation de climatiseurs de 3 chevaux pour la DGIEU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CF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3-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Aug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55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Acquisition d'équipements et fournitures de bureaux (appareil à reliure, lot de fournitures (papier rame, chemise, sous-chemise…)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CF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6-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Jul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82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Acquisition de matériel informatique (Ordinateur PC; Ordinateurs portables; imprimante couleur; imprimante noir et blancs; clé USB, scanner), de matériel </w:t>
            </w: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bureautique (Photocopieurs; Télé</w:t>
            </w: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phones fax; Appareil photo numérique) et</w:t>
            </w:r>
            <w:r w:rsidRPr="00A9385A">
              <w:rPr>
                <w:rFonts w:ascii="Arial Narrow" w:eastAsia="Times New Roman" w:hAnsi="Arial Narrow" w:cs="Arial"/>
                <w:color w:val="008000"/>
                <w:sz w:val="24"/>
                <w:szCs w:val="24"/>
                <w:lang w:eastAsia="fr-FR"/>
              </w:rPr>
              <w:t xml:space="preserve"> </w:t>
            </w: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d'imprimante traceuse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15-Jun-09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49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Réhabilitation de bureau de la DGIEU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2-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Jul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49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Acquisition de matériel roulant (Voiture lég</w:t>
            </w: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è</w:t>
            </w: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re, véhicule double cabine; Moto tout terrain)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AOI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6-</w:t>
            </w:r>
            <w:proofErr w:type="spellStart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Jul</w:t>
            </w:r>
            <w:proofErr w:type="spellEnd"/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2D19C7" w:rsidRPr="00A9385A" w:rsidTr="002D19C7">
        <w:trPr>
          <w:trHeight w:val="615"/>
        </w:trPr>
        <w:tc>
          <w:tcPr>
            <w:tcW w:w="515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lang w:eastAsia="fr-FR"/>
              </w:rPr>
              <w:t>2</w:t>
            </w:r>
            <w:r w:rsidRPr="00A464ED">
              <w:rPr>
                <w:rFonts w:ascii="Arial Narrow" w:eastAsia="Times New Roman" w:hAnsi="Arial Narrow" w:cs="Arial"/>
                <w:lang w:eastAsia="fr-FR"/>
              </w:rPr>
              <w:t>2</w:t>
            </w: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lang w:eastAsia="fr-FR"/>
              </w:rPr>
              <w:t>Acquisition de logiciel TOMPRO pour la comptabilité du projet au compte de l'AGETUR-TOGO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lang w:eastAsia="fr-FR"/>
              </w:rPr>
              <w:t>CF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2D19C7" w:rsidRPr="00A464ED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A464ED">
              <w:rPr>
                <w:rFonts w:ascii="Arial Narrow" w:eastAsia="Times New Roman" w:hAnsi="Arial Narrow" w:cs="Arial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>
              <w:rPr>
                <w:rFonts w:ascii="Arial Narrow" w:eastAsia="Times New Roman" w:hAnsi="Arial Narrow" w:cs="Arial"/>
                <w:lang w:eastAsia="fr-FR"/>
              </w:rPr>
              <w:t>15-May-09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A9385A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fr-FR"/>
              </w:rPr>
            </w:pPr>
            <w:r w:rsidRPr="00A9385A">
              <w:rPr>
                <w:rFonts w:ascii="Arial Narrow" w:eastAsia="Times New Roman" w:hAnsi="Arial Narrow" w:cs="Arial"/>
                <w:sz w:val="26"/>
                <w:szCs w:val="26"/>
                <w:lang w:eastAsia="fr-FR"/>
              </w:rPr>
              <w:t> </w:t>
            </w:r>
          </w:p>
        </w:tc>
      </w:tr>
    </w:tbl>
    <w:p w:rsidR="000752E0" w:rsidRDefault="000752E0" w:rsidP="000752E0">
      <w:pPr>
        <w:spacing w:after="0" w:line="240" w:lineRule="auto"/>
      </w:pPr>
    </w:p>
    <w:p w:rsidR="000752E0" w:rsidRPr="000752E0" w:rsidRDefault="000752E0" w:rsidP="000752E0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fr-FR"/>
        </w:rPr>
      </w:pPr>
      <w:r w:rsidRPr="000752E0">
        <w:rPr>
          <w:rFonts w:ascii="Arial Narrow" w:eastAsia="Times New Roman" w:hAnsi="Arial Narrow" w:cs="Arial"/>
          <w:bCs/>
          <w:i/>
          <w:sz w:val="24"/>
          <w:szCs w:val="24"/>
          <w:u w:val="single"/>
          <w:lang w:eastAsia="fr-FR"/>
        </w:rPr>
        <w:t>N.B.</w:t>
      </w:r>
      <w:r w:rsidRPr="000752E0">
        <w:rPr>
          <w:rFonts w:ascii="Arial Narrow" w:eastAsia="Times New Roman" w:hAnsi="Arial Narrow" w:cs="Arial"/>
          <w:bCs/>
          <w:i/>
          <w:sz w:val="24"/>
          <w:szCs w:val="24"/>
          <w:lang w:eastAsia="fr-FR"/>
        </w:rPr>
        <w:t> : AOI : Appel d’offres international</w:t>
      </w:r>
    </w:p>
    <w:p w:rsidR="000752E0" w:rsidRPr="000752E0" w:rsidRDefault="000752E0" w:rsidP="000752E0">
      <w:pPr>
        <w:spacing w:after="0" w:line="240" w:lineRule="auto"/>
        <w:ind w:left="544"/>
        <w:rPr>
          <w:rFonts w:ascii="Arial Narrow" w:eastAsia="Times New Roman" w:hAnsi="Arial Narrow" w:cs="Arial"/>
          <w:bCs/>
          <w:i/>
          <w:sz w:val="24"/>
          <w:szCs w:val="24"/>
          <w:lang w:eastAsia="fr-FR"/>
        </w:rPr>
      </w:pPr>
      <w:r w:rsidRPr="000752E0">
        <w:rPr>
          <w:rFonts w:ascii="Arial Narrow" w:eastAsia="Times New Roman" w:hAnsi="Arial Narrow" w:cs="Arial"/>
          <w:bCs/>
          <w:i/>
          <w:sz w:val="24"/>
          <w:szCs w:val="24"/>
          <w:lang w:eastAsia="fr-FR"/>
        </w:rPr>
        <w:t>AON : Appel d’offres national</w:t>
      </w:r>
    </w:p>
    <w:p w:rsidR="000752E0" w:rsidRPr="000752E0" w:rsidRDefault="000752E0" w:rsidP="000752E0">
      <w:pPr>
        <w:spacing w:after="0" w:line="240" w:lineRule="auto"/>
        <w:ind w:left="544"/>
        <w:rPr>
          <w:rFonts w:ascii="Arial Narrow" w:eastAsia="Times New Roman" w:hAnsi="Arial Narrow" w:cs="Arial"/>
          <w:bCs/>
          <w:i/>
          <w:sz w:val="24"/>
          <w:szCs w:val="24"/>
          <w:lang w:eastAsia="fr-FR"/>
        </w:rPr>
      </w:pPr>
      <w:r w:rsidRPr="000752E0">
        <w:rPr>
          <w:rFonts w:ascii="Arial Narrow" w:eastAsia="Times New Roman" w:hAnsi="Arial Narrow" w:cs="Arial"/>
          <w:bCs/>
          <w:i/>
          <w:sz w:val="24"/>
          <w:szCs w:val="24"/>
          <w:lang w:eastAsia="fr-FR"/>
        </w:rPr>
        <w:t>CF : Consultation de fournisseur</w:t>
      </w:r>
      <w:r w:rsidR="0018200A">
        <w:rPr>
          <w:rFonts w:ascii="Arial Narrow" w:eastAsia="Times New Roman" w:hAnsi="Arial Narrow" w:cs="Arial"/>
          <w:bCs/>
          <w:i/>
          <w:sz w:val="24"/>
          <w:szCs w:val="24"/>
          <w:lang w:eastAsia="fr-FR"/>
        </w:rPr>
        <w:t>s</w:t>
      </w:r>
    </w:p>
    <w:p w:rsidR="000752E0" w:rsidRDefault="000752E0" w:rsidP="000752E0">
      <w:pPr>
        <w:spacing w:after="0" w:line="240" w:lineRule="auto"/>
      </w:pPr>
    </w:p>
    <w:p w:rsidR="000752E0" w:rsidRDefault="000752E0" w:rsidP="000752E0">
      <w:pPr>
        <w:spacing w:after="0" w:line="240" w:lineRule="auto"/>
      </w:pPr>
    </w:p>
    <w:p w:rsidR="000752E0" w:rsidRDefault="000752E0" w:rsidP="000752E0">
      <w:pPr>
        <w:spacing w:after="0" w:line="240" w:lineRule="auto"/>
      </w:pPr>
    </w:p>
    <w:p w:rsidR="000752E0" w:rsidRDefault="000752E0">
      <w:r>
        <w:br w:type="page"/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930"/>
        <w:gridCol w:w="1385"/>
        <w:gridCol w:w="1701"/>
        <w:gridCol w:w="160"/>
        <w:gridCol w:w="448"/>
        <w:gridCol w:w="754"/>
        <w:gridCol w:w="56"/>
        <w:gridCol w:w="415"/>
        <w:gridCol w:w="464"/>
        <w:gridCol w:w="541"/>
        <w:gridCol w:w="541"/>
        <w:gridCol w:w="563"/>
        <w:gridCol w:w="289"/>
        <w:gridCol w:w="464"/>
        <w:gridCol w:w="242"/>
        <w:gridCol w:w="222"/>
        <w:gridCol w:w="4906"/>
        <w:gridCol w:w="425"/>
      </w:tblGrid>
      <w:tr w:rsidR="004B47EC" w:rsidRPr="000167B6" w:rsidTr="000752E0">
        <w:trPr>
          <w:gridAfter w:val="1"/>
          <w:wAfter w:w="425" w:type="dxa"/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7EC" w:rsidRPr="0035241F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35241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lastRenderedPageBreak/>
              <w:t>II</w:t>
            </w:r>
            <w:r w:rsidR="00261D55" w:rsidRPr="0035241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I.-</w:t>
            </w:r>
          </w:p>
        </w:tc>
        <w:tc>
          <w:tcPr>
            <w:tcW w:w="140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7EC" w:rsidRPr="0035241F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0752E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SÉLECTION</w:t>
            </w:r>
            <w:r w:rsidRPr="0035241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 DE CONSULTANTS</w:t>
            </w:r>
          </w:p>
        </w:tc>
      </w:tr>
      <w:tr w:rsidR="004B47EC" w:rsidRPr="000167B6" w:rsidTr="000752E0">
        <w:trPr>
          <w:gridAfter w:val="1"/>
          <w:wAfter w:w="425" w:type="dxa"/>
          <w:trHeight w:val="6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140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Seuil d'examen préalable </w:t>
            </w:r>
            <w:r w:rsidRPr="000167B6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: Contrats qui seront soumis à l'examen préalable de la banque conformément aux dispositions de l'Annexe 1 des Directives de S</w:t>
            </w:r>
            <w:r w:rsidRPr="00261D55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é</w:t>
            </w:r>
            <w:r w:rsidRPr="000167B6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lection et Emploi de Consultants :</w:t>
            </w:r>
          </w:p>
        </w:tc>
      </w:tr>
      <w:tr w:rsidR="004B47EC" w:rsidRPr="000167B6" w:rsidTr="000752E0">
        <w:trPr>
          <w:gridAfter w:val="3"/>
          <w:wAfter w:w="5553" w:type="dxa"/>
          <w:trHeight w:val="12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M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é</w:t>
            </w:r>
            <w:r w:rsidRPr="000167B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thode de passation de Marchés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Seuil d'examen Préalable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0167B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($US)</w:t>
            </w:r>
          </w:p>
        </w:tc>
        <w:tc>
          <w:tcPr>
            <w:tcW w:w="3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Commentaires</w:t>
            </w:r>
          </w:p>
        </w:tc>
      </w:tr>
      <w:tr w:rsidR="004B47EC" w:rsidRPr="000167B6" w:rsidTr="000752E0">
        <w:trPr>
          <w:gridAfter w:val="3"/>
          <w:wAfter w:w="5553" w:type="dxa"/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SFQC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200 000</w:t>
            </w:r>
          </w:p>
        </w:tc>
        <w:tc>
          <w:tcPr>
            <w:tcW w:w="3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+ les deux premiers marchés</w:t>
            </w:r>
          </w:p>
        </w:tc>
      </w:tr>
      <w:tr w:rsidR="004B47EC" w:rsidRPr="000167B6" w:rsidTr="000752E0">
        <w:trPr>
          <w:gridAfter w:val="3"/>
          <w:wAfter w:w="5553" w:type="dxa"/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QC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200 000</w:t>
            </w:r>
          </w:p>
        </w:tc>
        <w:tc>
          <w:tcPr>
            <w:tcW w:w="3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+ les deux premiers marchés</w:t>
            </w:r>
          </w:p>
        </w:tc>
      </w:tr>
      <w:tr w:rsidR="004B47EC" w:rsidRPr="000167B6" w:rsidTr="000752E0">
        <w:trPr>
          <w:gridAfter w:val="3"/>
          <w:wAfter w:w="5553" w:type="dxa"/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SMC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200 000</w:t>
            </w:r>
          </w:p>
        </w:tc>
        <w:tc>
          <w:tcPr>
            <w:tcW w:w="3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+ les deux premiers marchés</w:t>
            </w:r>
          </w:p>
        </w:tc>
      </w:tr>
      <w:tr w:rsidR="004B47EC" w:rsidRPr="000167B6" w:rsidTr="000752E0">
        <w:trPr>
          <w:gridAfter w:val="3"/>
          <w:wAfter w:w="5553" w:type="dxa"/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SED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Tout marché</w:t>
            </w:r>
          </w:p>
        </w:tc>
        <w:tc>
          <w:tcPr>
            <w:tcW w:w="3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Examen de tout marché</w:t>
            </w:r>
          </w:p>
        </w:tc>
      </w:tr>
      <w:tr w:rsidR="004B47EC" w:rsidRPr="000167B6" w:rsidTr="000752E0">
        <w:trPr>
          <w:gridAfter w:val="3"/>
          <w:wAfter w:w="5553" w:type="dxa"/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CI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100000</w:t>
            </w:r>
          </w:p>
        </w:tc>
        <w:tc>
          <w:tcPr>
            <w:tcW w:w="3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+ les deux premiers marchés</w:t>
            </w:r>
          </w:p>
        </w:tc>
      </w:tr>
      <w:tr w:rsidR="004B47EC" w:rsidRPr="000167B6" w:rsidTr="000752E0">
        <w:trPr>
          <w:gridAfter w:val="2"/>
          <w:wAfter w:w="5331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4B47EC" w:rsidRPr="000167B6" w:rsidTr="000752E0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4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SFQC</w:t>
            </w: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: Sélection Fondé sur la Qualité et le Coût</w:t>
            </w:r>
          </w:p>
        </w:tc>
      </w:tr>
      <w:tr w:rsidR="004B47EC" w:rsidRPr="000167B6" w:rsidTr="000752E0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4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QC</w:t>
            </w: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: Qualifications des Consultants</w:t>
            </w:r>
          </w:p>
        </w:tc>
      </w:tr>
      <w:tr w:rsidR="004B47EC" w:rsidRPr="000167B6" w:rsidTr="000752E0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4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SMC</w:t>
            </w: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: Sélection au Moindre Coût</w:t>
            </w:r>
          </w:p>
        </w:tc>
      </w:tr>
      <w:tr w:rsidR="004B47EC" w:rsidRPr="000167B6" w:rsidTr="000752E0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4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EC" w:rsidRPr="000167B6" w:rsidRDefault="004B47EC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SED</w:t>
            </w: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: Sélection par Entente Directe</w:t>
            </w:r>
          </w:p>
        </w:tc>
      </w:tr>
      <w:tr w:rsidR="000752E0" w:rsidRPr="000167B6" w:rsidTr="000752E0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2E0" w:rsidRPr="000167B6" w:rsidRDefault="000752E0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4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2E0" w:rsidRPr="000167B6" w:rsidRDefault="000752E0" w:rsidP="000752E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0167B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CI : </w:t>
            </w:r>
            <w:r w:rsidRPr="000167B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Consultant Individuel</w:t>
            </w:r>
          </w:p>
        </w:tc>
      </w:tr>
    </w:tbl>
    <w:p w:rsidR="000752E0" w:rsidRDefault="000752E0">
      <w:r>
        <w:br w:type="page"/>
      </w:r>
    </w:p>
    <w:tbl>
      <w:tblPr>
        <w:tblW w:w="13776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"/>
        <w:gridCol w:w="458"/>
        <w:gridCol w:w="62"/>
        <w:gridCol w:w="8256"/>
        <w:gridCol w:w="1133"/>
        <w:gridCol w:w="1133"/>
        <w:gridCol w:w="1417"/>
        <w:gridCol w:w="1294"/>
      </w:tblGrid>
      <w:tr w:rsidR="002D19C7" w:rsidRPr="000167B6" w:rsidTr="002D19C7">
        <w:trPr>
          <w:gridBefore w:val="1"/>
          <w:gridAfter w:val="5"/>
          <w:wBefore w:w="23" w:type="dxa"/>
          <w:wAfter w:w="13233" w:type="dxa"/>
          <w:trHeight w:val="27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C7" w:rsidRPr="000167B6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2D19C7" w:rsidRPr="00CB741E" w:rsidTr="002D19C7">
        <w:trPr>
          <w:trHeight w:val="1372"/>
        </w:trPr>
        <w:tc>
          <w:tcPr>
            <w:tcW w:w="48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317B16">
              <w:rPr>
                <w:rFonts w:ascii="Arial Narrow" w:eastAsia="Times New Roman" w:hAnsi="Arial Narrow" w:cs="Arial"/>
                <w:b/>
                <w:bCs/>
                <w:lang w:eastAsia="fr-FR"/>
              </w:rPr>
              <w:t>Réf. N°</w:t>
            </w:r>
          </w:p>
        </w:tc>
        <w:tc>
          <w:tcPr>
            <w:tcW w:w="8318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317B16">
              <w:rPr>
                <w:rFonts w:ascii="Arial Narrow" w:eastAsia="Times New Roman" w:hAnsi="Arial Narrow" w:cs="Arial"/>
                <w:b/>
                <w:bCs/>
                <w:lang w:eastAsia="fr-FR"/>
              </w:rPr>
              <w:t>Description des Services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b/>
                <w:bCs/>
                <w:lang w:eastAsia="fr-FR"/>
              </w:rPr>
              <w:t>Méthode de passation des marchés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b/>
                <w:bCs/>
                <w:lang w:eastAsia="fr-FR"/>
              </w:rPr>
              <w:t>Examen préalable (Oui/non)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b/>
                <w:bCs/>
                <w:lang w:eastAsia="fr-FR"/>
              </w:rPr>
              <w:t>Date ouverture des proposit</w:t>
            </w:r>
            <w:r w:rsidRPr="00317B16">
              <w:rPr>
                <w:rFonts w:ascii="Arial Narrow" w:eastAsia="Times New Roman" w:hAnsi="Arial Narrow" w:cs="Arial"/>
                <w:b/>
                <w:bCs/>
                <w:lang w:eastAsia="fr-FR"/>
              </w:rPr>
              <w:t>ions</w:t>
            </w:r>
          </w:p>
        </w:tc>
        <w:tc>
          <w:tcPr>
            <w:tcW w:w="1294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b/>
                <w:bCs/>
                <w:lang w:eastAsia="fr-FR"/>
              </w:rPr>
              <w:t>Observations</w:t>
            </w:r>
          </w:p>
        </w:tc>
      </w:tr>
      <w:tr w:rsidR="002D19C7" w:rsidRPr="00CB741E" w:rsidTr="002D19C7">
        <w:trPr>
          <w:trHeight w:val="630"/>
        </w:trPr>
        <w:tc>
          <w:tcPr>
            <w:tcW w:w="481" w:type="dxa"/>
            <w:gridSpan w:val="2"/>
            <w:tcBorders>
              <w:top w:val="single" w:sz="4" w:space="0" w:color="000000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318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lang w:eastAsia="fr-FR"/>
              </w:rPr>
              <w:t xml:space="preserve">Etude d'impact environnemental et social du Projet d'urgence de réhabilitation des infrastructures urbaines et des services électriques </w:t>
            </w:r>
          </w:p>
        </w:tc>
        <w:tc>
          <w:tcPr>
            <w:tcW w:w="113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QC</w:t>
            </w:r>
          </w:p>
        </w:tc>
        <w:tc>
          <w:tcPr>
            <w:tcW w:w="113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30-juil.-09</w:t>
            </w:r>
          </w:p>
        </w:tc>
        <w:tc>
          <w:tcPr>
            <w:tcW w:w="129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720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Etudes techniques + élaboration de DAO dans le cadre de la construction de caniveaux sur le bd du 13 janvier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15-juil.-09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720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Etudes techniques + élaboration de DAO dans le cadre de la construction du bassin de rétention de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Forever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(Avenue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Kondona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10-août-09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720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Etudes techniques + élaboration de DAO dans le cadre de la sous composante A2 (Voirie)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10-août-09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720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Etude techniques + élaboration de DAO, à réaliser dans le cadre de la sous composante A3 (Eau potable) 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30-juil.-09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495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Supervision des travaux  du curage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08-juil.-09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495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Supervision des travaux  de réhabilitation d'ouvrages existants: réfection de certains voiles de caniveaux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14-oct.-09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974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35241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Supervision des travaux de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</w:t>
            </w: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onstruction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du Bassin de rétention 2.1' (b</w:t>
            </w: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assin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Kagbara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), de sa clôture et divers aménagements, de caniveaux rectangulaires du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b</w:t>
            </w: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assin de rétention (BR 2.1' au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b</w:t>
            </w: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assin de rétention 2.1 (BR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Takassi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), du Bassin de rétention 2.1' (BR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Kagbara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) au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</w:t>
            </w: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œud D (3 lots)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29-juil.-09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1380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Supervision des travaux de Construction des Bassins de rétention (H2 (Lac d'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Agbalépédogan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) et 2.2 (Bassin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Adébayor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)</w:t>
            </w:r>
            <w:proofErr w:type="gram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) ,</w:t>
            </w:r>
            <w:proofErr w:type="gram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de leurs clôtures et divers aménagements, de caniveaux du lac d'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Agbalépédogan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au nœ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u</w:t>
            </w: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d E (caniveaux rectangulaires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Adébayor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/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Takassi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), Mission catholique Notre </w:t>
            </w:r>
            <w:r w:rsidRPr="00317B16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D</w:t>
            </w: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ame sous la croix au </w:t>
            </w:r>
            <w:r w:rsidRPr="00317B16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</w:t>
            </w: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œud F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29-juil.-09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375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Supervision des travaux de Construction de caniveaux  sur le bd du 13 janvier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04-nov.-09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585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lastRenderedPageBreak/>
              <w:t>11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Supervision des travaux de Construction  du Bassin de rétention de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Forever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(Avenue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Kondona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), de sa clôture et aménagements divers, de Fourniture et pose conduites de refoulement DN 400 à partir de la station de pompage, d'Achat et installation de station de pompage SP4-3 sur le Bassin de rétention de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Forever</w:t>
            </w:r>
            <w:proofErr w:type="spellEnd"/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07-déc.-09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450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Supervision des travaux de Réhabilitation de voies de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laGare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Routière du Nord d'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Agbalépédogan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au Carrefour Bar Caméléon, du carrefour Bar Caméléon au Carrefour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Avédji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(Limousine)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03-août-09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450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Supervision des travaux de Réhabilitation et aménagements divers des voies 117 WTK (rue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Zooti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), de l'Eglise Baptiste d'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Agbalépédogan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, de la bretelle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Totsi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, de la rue 37TKA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20-janv.-10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450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Supervision des travaux d'aménagement du Boulevard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Malfakassa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Prolongé N°1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10-déc.-09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510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Supervision des travaux de Renforcement et d'extension du réseau de distribution d'électricité 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11-août-09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510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Supervision des travaux  pour mini adductions d'eau dans les zones </w:t>
            </w:r>
            <w:proofErr w:type="gram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de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Adidogomé</w:t>
            </w:r>
            <w:proofErr w:type="spellEnd"/>
            <w:proofErr w:type="gram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Agoènyevé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Bè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Kpota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Baguida</w:t>
            </w:r>
            <w:proofErr w:type="spellEnd"/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, de Fourniture d'équipement pour mini adductions d'eau  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04-déc.-09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630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Recrutement d'un coordinateur, d'un auditeur interne et d'un spécialiste en suivi-évaluation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CI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21-août-09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435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Sélection d'une agence de communication pour l'élaboration  de la stratégie de communication et d'information 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26-août-09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390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Sélection de consultant Audits techniques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17-sept.-09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2D19C7" w:rsidRPr="00CB741E" w:rsidTr="002D19C7">
        <w:trPr>
          <w:trHeight w:val="390"/>
        </w:trPr>
        <w:tc>
          <w:tcPr>
            <w:tcW w:w="481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318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lang w:eastAsia="fr-FR"/>
              </w:rPr>
              <w:t>Sélection de consultant Audits financiers (exercices 2009,2010, 2011, 2012)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SFQC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CB741E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26-août-09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19C7" w:rsidRPr="00CB741E" w:rsidRDefault="002D19C7" w:rsidP="00261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</w:tbl>
    <w:p w:rsidR="004B47EC" w:rsidRDefault="004B47EC" w:rsidP="004B47EC"/>
    <w:p w:rsidR="004B47EC" w:rsidRDefault="004B47EC"/>
    <w:sectPr w:rsidR="004B47EC" w:rsidSect="0035241F"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7D1"/>
    <w:rsid w:val="000752E0"/>
    <w:rsid w:val="0018200A"/>
    <w:rsid w:val="001858D8"/>
    <w:rsid w:val="001E5F0C"/>
    <w:rsid w:val="00247D38"/>
    <w:rsid w:val="00261D55"/>
    <w:rsid w:val="002D19C7"/>
    <w:rsid w:val="0032601B"/>
    <w:rsid w:val="0035241F"/>
    <w:rsid w:val="004B47EC"/>
    <w:rsid w:val="00504203"/>
    <w:rsid w:val="00571C73"/>
    <w:rsid w:val="00701AA9"/>
    <w:rsid w:val="00720F64"/>
    <w:rsid w:val="007357D1"/>
    <w:rsid w:val="007543AF"/>
    <w:rsid w:val="007F5A3C"/>
    <w:rsid w:val="0082160C"/>
    <w:rsid w:val="009340C7"/>
    <w:rsid w:val="009A0D06"/>
    <w:rsid w:val="009C24D6"/>
    <w:rsid w:val="00A30E12"/>
    <w:rsid w:val="00AB6D81"/>
    <w:rsid w:val="00B46D7E"/>
    <w:rsid w:val="00C00BD9"/>
    <w:rsid w:val="00CC2292"/>
    <w:rsid w:val="00CD09E2"/>
    <w:rsid w:val="00D2682E"/>
    <w:rsid w:val="00FA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wb350881</cp:lastModifiedBy>
  <cp:revision>2</cp:revision>
  <cp:lastPrinted>2009-08-05T17:51:00Z</cp:lastPrinted>
  <dcterms:created xsi:type="dcterms:W3CDTF">2009-08-05T17:52:00Z</dcterms:created>
  <dcterms:modified xsi:type="dcterms:W3CDTF">2009-08-05T17:52:00Z</dcterms:modified>
</cp:coreProperties>
</file>