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6C6985" w14:textId="77777777" w:rsidR="002A4181" w:rsidRPr="002A4181" w:rsidRDefault="0040615A" w:rsidP="0040615A">
      <w:pPr>
        <w:pStyle w:val="Outline"/>
        <w:pBdr>
          <w:top w:val="single" w:sz="4" w:space="1" w:color="auto"/>
          <w:bottom w:val="single" w:sz="4" w:space="1" w:color="auto"/>
        </w:pBdr>
        <w:spacing w:before="0"/>
        <w:rPr>
          <w:bCs/>
          <w:smallCaps/>
          <w:sz w:val="22"/>
          <w:szCs w:val="22"/>
        </w:rPr>
      </w:pPr>
      <w:r>
        <w:rPr>
          <w:bCs/>
          <w:smallCaps/>
          <w:kern w:val="0"/>
          <w:sz w:val="28"/>
        </w:rPr>
        <w:t>For Official Use Only</w:t>
      </w:r>
    </w:p>
    <w:p w14:paraId="3718D687" w14:textId="77777777" w:rsidR="002A4181" w:rsidRPr="002A4181" w:rsidRDefault="002A4181" w:rsidP="002A4181">
      <w:pPr>
        <w:spacing w:before="2000" w:line="240" w:lineRule="auto"/>
        <w:rPr>
          <w:bCs/>
          <w:smallCaps/>
          <w:sz w:val="36"/>
          <w:szCs w:val="44"/>
        </w:rPr>
      </w:pPr>
      <w:r w:rsidRPr="002A4181">
        <w:rPr>
          <w:bCs/>
          <w:smallCaps/>
          <w:sz w:val="36"/>
          <w:szCs w:val="44"/>
        </w:rPr>
        <w:t>Financial Sector Assessment</w:t>
      </w:r>
    </w:p>
    <w:p w14:paraId="4EEAD043" w14:textId="77777777" w:rsidR="002A4181" w:rsidRPr="002A4181" w:rsidRDefault="004401F2" w:rsidP="002A4181">
      <w:pPr>
        <w:spacing w:before="120" w:line="240" w:lineRule="auto"/>
        <w:rPr>
          <w:smallCaps/>
          <w:sz w:val="72"/>
        </w:rPr>
      </w:pPr>
      <w:r>
        <w:rPr>
          <w:smallCaps/>
          <w:sz w:val="72"/>
        </w:rPr>
        <w:t>Romania</w:t>
      </w:r>
    </w:p>
    <w:p w14:paraId="214469C4" w14:textId="25E42042" w:rsidR="002A4181" w:rsidRPr="002A4181" w:rsidRDefault="00263502" w:rsidP="002A4181">
      <w:pPr>
        <w:spacing w:before="600" w:line="240" w:lineRule="auto"/>
        <w:rPr>
          <w:smallCaps/>
          <w:w w:val="105"/>
          <w:sz w:val="36"/>
          <w:szCs w:val="36"/>
        </w:rPr>
      </w:pPr>
      <w:r>
        <w:rPr>
          <w:smallCaps/>
          <w:w w:val="105"/>
          <w:sz w:val="36"/>
          <w:szCs w:val="36"/>
        </w:rPr>
        <w:t xml:space="preserve">JULY </w:t>
      </w:r>
      <w:r w:rsidR="00AA60B5">
        <w:rPr>
          <w:smallCaps/>
          <w:w w:val="105"/>
          <w:sz w:val="36"/>
          <w:szCs w:val="36"/>
        </w:rPr>
        <w:t>2018</w:t>
      </w:r>
    </w:p>
    <w:p w14:paraId="589A4C5C" w14:textId="77777777" w:rsidR="002A4181" w:rsidRPr="002A4181" w:rsidRDefault="002A4181" w:rsidP="002A4181">
      <w:pPr>
        <w:spacing w:before="600" w:line="240" w:lineRule="auto"/>
        <w:rPr>
          <w:smallCaps/>
          <w:sz w:val="28"/>
        </w:rPr>
      </w:pPr>
      <w:r w:rsidRPr="002A4181">
        <w:rPr>
          <w:smallCaps/>
          <w:sz w:val="28"/>
        </w:rPr>
        <w:t>Financ</w:t>
      </w:r>
      <w:r w:rsidR="0040615A">
        <w:rPr>
          <w:smallCaps/>
          <w:sz w:val="28"/>
        </w:rPr>
        <w:t>e</w:t>
      </w:r>
      <w:r w:rsidR="002170BD">
        <w:rPr>
          <w:smallCaps/>
          <w:sz w:val="28"/>
        </w:rPr>
        <w:t>, Competitiveness &amp; Innovation</w:t>
      </w:r>
      <w:r w:rsidR="0040615A">
        <w:rPr>
          <w:smallCaps/>
          <w:sz w:val="28"/>
        </w:rPr>
        <w:t xml:space="preserve"> Global Practice </w:t>
      </w:r>
    </w:p>
    <w:p w14:paraId="32703C31" w14:textId="77777777" w:rsidR="002A4181" w:rsidRPr="002A4181" w:rsidRDefault="005834D9" w:rsidP="002A4181">
      <w:pPr>
        <w:spacing w:line="240" w:lineRule="auto"/>
        <w:rPr>
          <w:smallCaps/>
          <w:sz w:val="28"/>
        </w:rPr>
      </w:pPr>
      <w:r>
        <w:rPr>
          <w:smallCaps/>
          <w:sz w:val="28"/>
        </w:rPr>
        <w:t>Europe and Central Asia</w:t>
      </w:r>
      <w:r w:rsidR="002A4181" w:rsidRPr="002A4181">
        <w:rPr>
          <w:smallCaps/>
          <w:sz w:val="28"/>
        </w:rPr>
        <w:t xml:space="preserve"> Regional Vice Presidency</w:t>
      </w:r>
    </w:p>
    <w:p w14:paraId="16C1E451" w14:textId="11DF4E7E" w:rsidR="002A4181" w:rsidRDefault="002A4181" w:rsidP="002A4181">
      <w:pPr>
        <w:spacing w:before="840" w:after="120"/>
        <w:ind w:left="14"/>
        <w:rPr>
          <w:bCs/>
        </w:rPr>
      </w:pPr>
      <w:r w:rsidRPr="006D02CE">
        <w:rPr>
          <w:bCs/>
        </w:rPr>
        <w:t>A joint World Bank</w:t>
      </w:r>
      <w:r w:rsidR="00913242">
        <w:rPr>
          <w:bCs/>
        </w:rPr>
        <w:t>-IMF</w:t>
      </w:r>
      <w:r w:rsidRPr="006D02CE">
        <w:rPr>
          <w:bCs/>
        </w:rPr>
        <w:t xml:space="preserve"> </w:t>
      </w:r>
      <w:r w:rsidR="00913242">
        <w:rPr>
          <w:rFonts w:cs="Segoe UI"/>
          <w:szCs w:val="20"/>
        </w:rPr>
        <w:t xml:space="preserve">Financial Sector Assessment Program (FSAP) mission visited </w:t>
      </w:r>
      <w:r w:rsidR="004401F2">
        <w:rPr>
          <w:rFonts w:cs="Segoe UI"/>
          <w:szCs w:val="20"/>
        </w:rPr>
        <w:t>Romani</w:t>
      </w:r>
      <w:r w:rsidR="00913242">
        <w:rPr>
          <w:rFonts w:cs="Segoe UI"/>
          <w:szCs w:val="20"/>
        </w:rPr>
        <w:t xml:space="preserve">a </w:t>
      </w:r>
      <w:r w:rsidRPr="006D02CE">
        <w:rPr>
          <w:bCs/>
        </w:rPr>
        <w:t xml:space="preserve">from </w:t>
      </w:r>
      <w:r w:rsidR="004401F2" w:rsidRPr="004401F2">
        <w:t xml:space="preserve">October 31 </w:t>
      </w:r>
      <w:r w:rsidR="004401F2">
        <w:t xml:space="preserve">to </w:t>
      </w:r>
      <w:r w:rsidR="004401F2" w:rsidRPr="004401F2">
        <w:t xml:space="preserve">November 21, 2017, and </w:t>
      </w:r>
      <w:r w:rsidR="004401F2">
        <w:t xml:space="preserve">from </w:t>
      </w:r>
      <w:r w:rsidR="004401F2" w:rsidRPr="004401F2">
        <w:t>January 11</w:t>
      </w:r>
      <w:r w:rsidR="004401F2">
        <w:t xml:space="preserve"> to January </w:t>
      </w:r>
      <w:r w:rsidR="004401F2" w:rsidRPr="004401F2">
        <w:t>23, 2018</w:t>
      </w:r>
      <w:r w:rsidRPr="006D02CE">
        <w:rPr>
          <w:bCs/>
        </w:rPr>
        <w:t>.</w:t>
      </w:r>
      <w:r>
        <w:rPr>
          <w:rStyle w:val="FootnoteReference"/>
          <w:bCs/>
        </w:rPr>
        <w:footnoteReference w:id="2"/>
      </w:r>
      <w:r w:rsidRPr="006D02CE">
        <w:rPr>
          <w:bCs/>
        </w:rPr>
        <w:t xml:space="preserve"> T</w:t>
      </w:r>
      <w:r>
        <w:rPr>
          <w:bCs/>
        </w:rPr>
        <w:t>his report summarizes the main findings of the mission, identifies key financial sector vulnerabilities</w:t>
      </w:r>
      <w:r w:rsidR="00CE7EFD">
        <w:rPr>
          <w:bCs/>
        </w:rPr>
        <w:t xml:space="preserve"> and development opportunities</w:t>
      </w:r>
      <w:r>
        <w:rPr>
          <w:bCs/>
        </w:rPr>
        <w:t>, and provides policy recommendations.</w:t>
      </w:r>
    </w:p>
    <w:p w14:paraId="3ED2E482" w14:textId="12D9D805" w:rsidR="00461303" w:rsidRDefault="00461303" w:rsidP="002A4181">
      <w:pPr>
        <w:spacing w:before="840" w:after="120"/>
        <w:ind w:left="14"/>
        <w:rPr>
          <w:bCs/>
        </w:rPr>
      </w:pPr>
    </w:p>
    <w:p w14:paraId="4A40FA5A" w14:textId="77777777" w:rsidR="00461303" w:rsidRDefault="00461303" w:rsidP="002A4181">
      <w:pPr>
        <w:spacing w:before="840" w:after="120"/>
        <w:ind w:left="14"/>
        <w:rPr>
          <w:bCs/>
        </w:rPr>
      </w:pPr>
    </w:p>
    <w:p w14:paraId="0A89D578" w14:textId="77777777" w:rsidR="00461303" w:rsidRDefault="00461303">
      <w:pPr>
        <w:spacing w:line="240" w:lineRule="auto"/>
        <w:rPr>
          <w:rFonts w:ascii="Times New Roman Bold" w:hAnsi="Times New Roman Bold"/>
          <w:b/>
          <w:smallCaps/>
        </w:rPr>
      </w:pPr>
      <w:r>
        <w:rPr>
          <w:rFonts w:ascii="Times New Roman Bold" w:hAnsi="Times New Roman Bold"/>
          <w:smallCaps/>
        </w:rPr>
        <w:br w:type="page"/>
      </w:r>
    </w:p>
    <w:p w14:paraId="44CAF798" w14:textId="7AF0FF94" w:rsidR="00EE216B" w:rsidRPr="006A6649" w:rsidRDefault="00CD6A65" w:rsidP="00EE216B">
      <w:pPr>
        <w:pStyle w:val="Appendix"/>
        <w:rPr>
          <w:rFonts w:ascii="Times New Roman Bold" w:hAnsi="Times New Roman Bold"/>
          <w:smallCaps/>
        </w:rPr>
      </w:pPr>
      <w:r w:rsidRPr="006A6649">
        <w:rPr>
          <w:rFonts w:ascii="Times New Roman Bold" w:hAnsi="Times New Roman Bold"/>
          <w:smallCaps/>
        </w:rPr>
        <w:lastRenderedPageBreak/>
        <w:t>Contents</w:t>
      </w:r>
    </w:p>
    <w:p w14:paraId="39896B45" w14:textId="77777777" w:rsidR="00EE216B" w:rsidRPr="006A6649" w:rsidRDefault="00EE216B" w:rsidP="00EE216B">
      <w:pPr>
        <w:pStyle w:val="Appendix"/>
        <w:rPr>
          <w:rFonts w:ascii="Times New Roman Bold" w:hAnsi="Times New Roman Bold"/>
          <w:smallCaps/>
        </w:rPr>
      </w:pPr>
    </w:p>
    <w:p w14:paraId="0C401B92" w14:textId="184E88B7" w:rsidR="00386AEA" w:rsidRDefault="00EE216B">
      <w:pPr>
        <w:pStyle w:val="TOC1"/>
        <w:tabs>
          <w:tab w:val="right" w:leader="dot" w:pos="8990"/>
        </w:tabs>
        <w:rPr>
          <w:rFonts w:asciiTheme="minorHAnsi" w:eastAsiaTheme="minorEastAsia" w:hAnsiTheme="minorHAnsi" w:cstheme="minorBidi"/>
          <w:noProof/>
          <w:sz w:val="22"/>
          <w:szCs w:val="22"/>
        </w:rPr>
      </w:pPr>
      <w:r w:rsidRPr="006A6649">
        <w:fldChar w:fldCharType="begin"/>
      </w:r>
      <w:r w:rsidRPr="006A6649">
        <w:instrText xml:space="preserve"> TOC \o "1-3" \h \z \u </w:instrText>
      </w:r>
      <w:r w:rsidRPr="006A6649">
        <w:fldChar w:fldCharType="separate"/>
      </w:r>
      <w:hyperlink w:anchor="_Toc518653280" w:history="1">
        <w:r w:rsidR="00386AEA" w:rsidRPr="009C057B">
          <w:rPr>
            <w:rStyle w:val="Hyperlink"/>
            <w:noProof/>
          </w:rPr>
          <w:t>Executive Summary</w:t>
        </w:r>
        <w:r w:rsidR="00386AEA">
          <w:rPr>
            <w:noProof/>
            <w:webHidden/>
          </w:rPr>
          <w:tab/>
        </w:r>
        <w:r w:rsidR="00386AEA">
          <w:rPr>
            <w:noProof/>
            <w:webHidden/>
          </w:rPr>
          <w:fldChar w:fldCharType="begin"/>
        </w:r>
        <w:r w:rsidR="00386AEA">
          <w:rPr>
            <w:noProof/>
            <w:webHidden/>
          </w:rPr>
          <w:instrText xml:space="preserve"> PAGEREF _Toc518653280 \h </w:instrText>
        </w:r>
        <w:r w:rsidR="00386AEA">
          <w:rPr>
            <w:noProof/>
            <w:webHidden/>
          </w:rPr>
        </w:r>
        <w:r w:rsidR="00386AEA">
          <w:rPr>
            <w:noProof/>
            <w:webHidden/>
          </w:rPr>
          <w:fldChar w:fldCharType="separate"/>
        </w:r>
        <w:r w:rsidR="006D0059">
          <w:rPr>
            <w:noProof/>
            <w:webHidden/>
          </w:rPr>
          <w:t>vi</w:t>
        </w:r>
        <w:r w:rsidR="00386AEA">
          <w:rPr>
            <w:noProof/>
            <w:webHidden/>
          </w:rPr>
          <w:fldChar w:fldCharType="end"/>
        </w:r>
      </w:hyperlink>
    </w:p>
    <w:p w14:paraId="126E6F35" w14:textId="75DCCEC2" w:rsidR="00386AEA" w:rsidRDefault="009142E2">
      <w:pPr>
        <w:pStyle w:val="TOC1"/>
        <w:tabs>
          <w:tab w:val="right" w:leader="dot" w:pos="8990"/>
        </w:tabs>
        <w:rPr>
          <w:rFonts w:asciiTheme="minorHAnsi" w:eastAsiaTheme="minorEastAsia" w:hAnsiTheme="minorHAnsi" w:cstheme="minorBidi"/>
          <w:noProof/>
          <w:sz w:val="22"/>
          <w:szCs w:val="22"/>
        </w:rPr>
      </w:pPr>
      <w:hyperlink w:anchor="_Toc518653281" w:history="1">
        <w:r w:rsidR="00386AEA" w:rsidRPr="009C057B">
          <w:rPr>
            <w:rStyle w:val="Hyperlink"/>
            <w:noProof/>
          </w:rPr>
          <w:t>I. Macrofinancial Background</w:t>
        </w:r>
        <w:r w:rsidR="00386AEA">
          <w:rPr>
            <w:noProof/>
            <w:webHidden/>
          </w:rPr>
          <w:tab/>
        </w:r>
        <w:r w:rsidR="00386AEA">
          <w:rPr>
            <w:noProof/>
            <w:webHidden/>
          </w:rPr>
          <w:fldChar w:fldCharType="begin"/>
        </w:r>
        <w:r w:rsidR="00386AEA">
          <w:rPr>
            <w:noProof/>
            <w:webHidden/>
          </w:rPr>
          <w:instrText xml:space="preserve"> PAGEREF _Toc518653281 \h </w:instrText>
        </w:r>
        <w:r w:rsidR="00386AEA">
          <w:rPr>
            <w:noProof/>
            <w:webHidden/>
          </w:rPr>
        </w:r>
        <w:r w:rsidR="00386AEA">
          <w:rPr>
            <w:noProof/>
            <w:webHidden/>
          </w:rPr>
          <w:fldChar w:fldCharType="separate"/>
        </w:r>
        <w:r w:rsidR="006D0059">
          <w:rPr>
            <w:noProof/>
            <w:webHidden/>
          </w:rPr>
          <w:t>1</w:t>
        </w:r>
        <w:r w:rsidR="00386AEA">
          <w:rPr>
            <w:noProof/>
            <w:webHidden/>
          </w:rPr>
          <w:fldChar w:fldCharType="end"/>
        </w:r>
      </w:hyperlink>
    </w:p>
    <w:p w14:paraId="31ACFC74" w14:textId="7805332A" w:rsidR="00386AEA" w:rsidRDefault="009142E2">
      <w:pPr>
        <w:pStyle w:val="TOC1"/>
        <w:tabs>
          <w:tab w:val="right" w:leader="dot" w:pos="8990"/>
        </w:tabs>
        <w:rPr>
          <w:rFonts w:asciiTheme="minorHAnsi" w:eastAsiaTheme="minorEastAsia" w:hAnsiTheme="minorHAnsi" w:cstheme="minorBidi"/>
          <w:noProof/>
          <w:sz w:val="22"/>
          <w:szCs w:val="22"/>
        </w:rPr>
      </w:pPr>
      <w:hyperlink w:anchor="_Toc518653282" w:history="1">
        <w:r w:rsidR="00386AEA" w:rsidRPr="009C057B">
          <w:rPr>
            <w:rStyle w:val="Hyperlink"/>
            <w:noProof/>
          </w:rPr>
          <w:t>II. Systemic Risk and Resilience</w:t>
        </w:r>
        <w:r w:rsidR="00386AEA">
          <w:rPr>
            <w:noProof/>
            <w:webHidden/>
          </w:rPr>
          <w:tab/>
        </w:r>
        <w:r w:rsidR="00386AEA">
          <w:rPr>
            <w:noProof/>
            <w:webHidden/>
          </w:rPr>
          <w:fldChar w:fldCharType="begin"/>
        </w:r>
        <w:r w:rsidR="00386AEA">
          <w:rPr>
            <w:noProof/>
            <w:webHidden/>
          </w:rPr>
          <w:instrText xml:space="preserve"> PAGEREF _Toc518653282 \h </w:instrText>
        </w:r>
        <w:r w:rsidR="00386AEA">
          <w:rPr>
            <w:noProof/>
            <w:webHidden/>
          </w:rPr>
        </w:r>
        <w:r w:rsidR="00386AEA">
          <w:rPr>
            <w:noProof/>
            <w:webHidden/>
          </w:rPr>
          <w:fldChar w:fldCharType="separate"/>
        </w:r>
        <w:r w:rsidR="006D0059">
          <w:rPr>
            <w:noProof/>
            <w:webHidden/>
          </w:rPr>
          <w:t>2</w:t>
        </w:r>
        <w:r w:rsidR="00386AEA">
          <w:rPr>
            <w:noProof/>
            <w:webHidden/>
          </w:rPr>
          <w:fldChar w:fldCharType="end"/>
        </w:r>
      </w:hyperlink>
    </w:p>
    <w:p w14:paraId="545DAA75" w14:textId="6A1F174E" w:rsidR="00386AEA" w:rsidRDefault="009142E2">
      <w:pPr>
        <w:pStyle w:val="TOC2"/>
        <w:rPr>
          <w:rFonts w:asciiTheme="minorHAnsi" w:eastAsiaTheme="minorEastAsia" w:hAnsiTheme="minorHAnsi" w:cstheme="minorBidi"/>
          <w:noProof/>
          <w:sz w:val="22"/>
          <w:szCs w:val="22"/>
        </w:rPr>
      </w:pPr>
      <w:hyperlink w:anchor="_Toc518653283" w:history="1">
        <w:r w:rsidR="00386AEA" w:rsidRPr="009C057B">
          <w:rPr>
            <w:rStyle w:val="Hyperlink"/>
            <w:noProof/>
          </w:rPr>
          <w:t>A. Key Vulnerabilities</w:t>
        </w:r>
        <w:r w:rsidR="00386AEA">
          <w:rPr>
            <w:noProof/>
            <w:webHidden/>
          </w:rPr>
          <w:tab/>
        </w:r>
        <w:r w:rsidR="00386AEA">
          <w:rPr>
            <w:noProof/>
            <w:webHidden/>
          </w:rPr>
          <w:fldChar w:fldCharType="begin"/>
        </w:r>
        <w:r w:rsidR="00386AEA">
          <w:rPr>
            <w:noProof/>
            <w:webHidden/>
          </w:rPr>
          <w:instrText xml:space="preserve"> PAGEREF _Toc518653283 \h </w:instrText>
        </w:r>
        <w:r w:rsidR="00386AEA">
          <w:rPr>
            <w:noProof/>
            <w:webHidden/>
          </w:rPr>
        </w:r>
        <w:r w:rsidR="00386AEA">
          <w:rPr>
            <w:noProof/>
            <w:webHidden/>
          </w:rPr>
          <w:fldChar w:fldCharType="separate"/>
        </w:r>
        <w:r w:rsidR="006D0059">
          <w:rPr>
            <w:noProof/>
            <w:webHidden/>
          </w:rPr>
          <w:t>2</w:t>
        </w:r>
        <w:r w:rsidR="00386AEA">
          <w:rPr>
            <w:noProof/>
            <w:webHidden/>
          </w:rPr>
          <w:fldChar w:fldCharType="end"/>
        </w:r>
      </w:hyperlink>
    </w:p>
    <w:p w14:paraId="28612CD0" w14:textId="093F259B" w:rsidR="00386AEA" w:rsidRDefault="009142E2">
      <w:pPr>
        <w:pStyle w:val="TOC2"/>
        <w:rPr>
          <w:rFonts w:asciiTheme="minorHAnsi" w:eastAsiaTheme="minorEastAsia" w:hAnsiTheme="minorHAnsi" w:cstheme="minorBidi"/>
          <w:noProof/>
          <w:sz w:val="22"/>
          <w:szCs w:val="22"/>
        </w:rPr>
      </w:pPr>
      <w:hyperlink w:anchor="_Toc518653284" w:history="1">
        <w:r w:rsidR="00386AEA" w:rsidRPr="009C057B">
          <w:rPr>
            <w:rStyle w:val="Hyperlink"/>
            <w:noProof/>
          </w:rPr>
          <w:t>B. Resilience</w:t>
        </w:r>
        <w:r w:rsidR="00386AEA">
          <w:rPr>
            <w:noProof/>
            <w:webHidden/>
          </w:rPr>
          <w:tab/>
        </w:r>
        <w:r w:rsidR="00386AEA">
          <w:rPr>
            <w:noProof/>
            <w:webHidden/>
          </w:rPr>
          <w:fldChar w:fldCharType="begin"/>
        </w:r>
        <w:r w:rsidR="00386AEA">
          <w:rPr>
            <w:noProof/>
            <w:webHidden/>
          </w:rPr>
          <w:instrText xml:space="preserve"> PAGEREF _Toc518653284 \h </w:instrText>
        </w:r>
        <w:r w:rsidR="00386AEA">
          <w:rPr>
            <w:noProof/>
            <w:webHidden/>
          </w:rPr>
        </w:r>
        <w:r w:rsidR="00386AEA">
          <w:rPr>
            <w:noProof/>
            <w:webHidden/>
          </w:rPr>
          <w:fldChar w:fldCharType="separate"/>
        </w:r>
        <w:r w:rsidR="006D0059">
          <w:rPr>
            <w:noProof/>
            <w:webHidden/>
          </w:rPr>
          <w:t>3</w:t>
        </w:r>
        <w:r w:rsidR="00386AEA">
          <w:rPr>
            <w:noProof/>
            <w:webHidden/>
          </w:rPr>
          <w:fldChar w:fldCharType="end"/>
        </w:r>
      </w:hyperlink>
    </w:p>
    <w:p w14:paraId="3300E707" w14:textId="49874877" w:rsidR="00386AEA" w:rsidRDefault="009142E2">
      <w:pPr>
        <w:pStyle w:val="TOC1"/>
        <w:tabs>
          <w:tab w:val="right" w:leader="dot" w:pos="8990"/>
        </w:tabs>
        <w:rPr>
          <w:rFonts w:asciiTheme="minorHAnsi" w:eastAsiaTheme="minorEastAsia" w:hAnsiTheme="minorHAnsi" w:cstheme="minorBidi"/>
          <w:noProof/>
          <w:sz w:val="22"/>
          <w:szCs w:val="22"/>
        </w:rPr>
      </w:pPr>
      <w:hyperlink w:anchor="_Toc518653285" w:history="1">
        <w:r w:rsidR="00386AEA" w:rsidRPr="009C057B">
          <w:rPr>
            <w:rStyle w:val="Hyperlink"/>
            <w:noProof/>
          </w:rPr>
          <w:t>III. Macroprudential Framework and Policies</w:t>
        </w:r>
        <w:r w:rsidR="00386AEA">
          <w:rPr>
            <w:noProof/>
            <w:webHidden/>
          </w:rPr>
          <w:tab/>
        </w:r>
        <w:r w:rsidR="00386AEA">
          <w:rPr>
            <w:noProof/>
            <w:webHidden/>
          </w:rPr>
          <w:fldChar w:fldCharType="begin"/>
        </w:r>
        <w:r w:rsidR="00386AEA">
          <w:rPr>
            <w:noProof/>
            <w:webHidden/>
          </w:rPr>
          <w:instrText xml:space="preserve"> PAGEREF _Toc518653285 \h </w:instrText>
        </w:r>
        <w:r w:rsidR="00386AEA">
          <w:rPr>
            <w:noProof/>
            <w:webHidden/>
          </w:rPr>
        </w:r>
        <w:r w:rsidR="00386AEA">
          <w:rPr>
            <w:noProof/>
            <w:webHidden/>
          </w:rPr>
          <w:fldChar w:fldCharType="separate"/>
        </w:r>
        <w:r w:rsidR="006D0059">
          <w:rPr>
            <w:noProof/>
            <w:webHidden/>
          </w:rPr>
          <w:t>5</w:t>
        </w:r>
        <w:r w:rsidR="00386AEA">
          <w:rPr>
            <w:noProof/>
            <w:webHidden/>
          </w:rPr>
          <w:fldChar w:fldCharType="end"/>
        </w:r>
      </w:hyperlink>
    </w:p>
    <w:p w14:paraId="44ABCB9D" w14:textId="578B93D4" w:rsidR="00386AEA" w:rsidRDefault="009142E2">
      <w:pPr>
        <w:pStyle w:val="TOC2"/>
        <w:rPr>
          <w:rFonts w:asciiTheme="minorHAnsi" w:eastAsiaTheme="minorEastAsia" w:hAnsiTheme="minorHAnsi" w:cstheme="minorBidi"/>
          <w:noProof/>
          <w:sz w:val="22"/>
          <w:szCs w:val="22"/>
        </w:rPr>
      </w:pPr>
      <w:hyperlink w:anchor="_Toc518653286" w:history="1">
        <w:r w:rsidR="00386AEA" w:rsidRPr="009C057B">
          <w:rPr>
            <w:rStyle w:val="Hyperlink"/>
            <w:noProof/>
          </w:rPr>
          <w:t>A. Macroprudential Framework</w:t>
        </w:r>
        <w:r w:rsidR="00386AEA">
          <w:rPr>
            <w:noProof/>
            <w:webHidden/>
          </w:rPr>
          <w:tab/>
        </w:r>
        <w:r w:rsidR="00386AEA">
          <w:rPr>
            <w:noProof/>
            <w:webHidden/>
          </w:rPr>
          <w:fldChar w:fldCharType="begin"/>
        </w:r>
        <w:r w:rsidR="00386AEA">
          <w:rPr>
            <w:noProof/>
            <w:webHidden/>
          </w:rPr>
          <w:instrText xml:space="preserve"> PAGEREF _Toc518653286 \h </w:instrText>
        </w:r>
        <w:r w:rsidR="00386AEA">
          <w:rPr>
            <w:noProof/>
            <w:webHidden/>
          </w:rPr>
        </w:r>
        <w:r w:rsidR="00386AEA">
          <w:rPr>
            <w:noProof/>
            <w:webHidden/>
          </w:rPr>
          <w:fldChar w:fldCharType="separate"/>
        </w:r>
        <w:r w:rsidR="006D0059">
          <w:rPr>
            <w:noProof/>
            <w:webHidden/>
          </w:rPr>
          <w:t>5</w:t>
        </w:r>
        <w:r w:rsidR="00386AEA">
          <w:rPr>
            <w:noProof/>
            <w:webHidden/>
          </w:rPr>
          <w:fldChar w:fldCharType="end"/>
        </w:r>
      </w:hyperlink>
    </w:p>
    <w:p w14:paraId="0DAF183C" w14:textId="120810CC" w:rsidR="00386AEA" w:rsidRDefault="009142E2">
      <w:pPr>
        <w:pStyle w:val="TOC2"/>
        <w:rPr>
          <w:rFonts w:asciiTheme="minorHAnsi" w:eastAsiaTheme="minorEastAsia" w:hAnsiTheme="minorHAnsi" w:cstheme="minorBidi"/>
          <w:noProof/>
          <w:sz w:val="22"/>
          <w:szCs w:val="22"/>
        </w:rPr>
      </w:pPr>
      <w:hyperlink w:anchor="_Toc518653287" w:history="1">
        <w:r w:rsidR="00386AEA" w:rsidRPr="009C057B">
          <w:rPr>
            <w:rStyle w:val="Hyperlink"/>
            <w:noProof/>
          </w:rPr>
          <w:t>B. Macroprudential Policies</w:t>
        </w:r>
        <w:r w:rsidR="00386AEA">
          <w:rPr>
            <w:noProof/>
            <w:webHidden/>
          </w:rPr>
          <w:tab/>
        </w:r>
        <w:r w:rsidR="00386AEA">
          <w:rPr>
            <w:noProof/>
            <w:webHidden/>
          </w:rPr>
          <w:fldChar w:fldCharType="begin"/>
        </w:r>
        <w:r w:rsidR="00386AEA">
          <w:rPr>
            <w:noProof/>
            <w:webHidden/>
          </w:rPr>
          <w:instrText xml:space="preserve"> PAGEREF _Toc518653287 \h </w:instrText>
        </w:r>
        <w:r w:rsidR="00386AEA">
          <w:rPr>
            <w:noProof/>
            <w:webHidden/>
          </w:rPr>
        </w:r>
        <w:r w:rsidR="00386AEA">
          <w:rPr>
            <w:noProof/>
            <w:webHidden/>
          </w:rPr>
          <w:fldChar w:fldCharType="separate"/>
        </w:r>
        <w:r w:rsidR="006D0059">
          <w:rPr>
            <w:noProof/>
            <w:webHidden/>
          </w:rPr>
          <w:t>6</w:t>
        </w:r>
        <w:r w:rsidR="00386AEA">
          <w:rPr>
            <w:noProof/>
            <w:webHidden/>
          </w:rPr>
          <w:fldChar w:fldCharType="end"/>
        </w:r>
      </w:hyperlink>
    </w:p>
    <w:p w14:paraId="1141733E" w14:textId="756E486F" w:rsidR="00386AEA" w:rsidRDefault="009142E2">
      <w:pPr>
        <w:pStyle w:val="TOC1"/>
        <w:tabs>
          <w:tab w:val="right" w:leader="dot" w:pos="8990"/>
        </w:tabs>
        <w:rPr>
          <w:rFonts w:asciiTheme="minorHAnsi" w:eastAsiaTheme="minorEastAsia" w:hAnsiTheme="minorHAnsi" w:cstheme="minorBidi"/>
          <w:noProof/>
          <w:sz w:val="22"/>
          <w:szCs w:val="22"/>
        </w:rPr>
      </w:pPr>
      <w:hyperlink w:anchor="_Toc518653288" w:history="1">
        <w:r w:rsidR="00386AEA" w:rsidRPr="009C057B">
          <w:rPr>
            <w:rStyle w:val="Hyperlink"/>
            <w:noProof/>
          </w:rPr>
          <w:t>IV. Sectoral Supervision</w:t>
        </w:r>
        <w:r w:rsidR="00386AEA">
          <w:rPr>
            <w:noProof/>
            <w:webHidden/>
          </w:rPr>
          <w:tab/>
        </w:r>
        <w:r w:rsidR="00386AEA">
          <w:rPr>
            <w:noProof/>
            <w:webHidden/>
          </w:rPr>
          <w:fldChar w:fldCharType="begin"/>
        </w:r>
        <w:r w:rsidR="00386AEA">
          <w:rPr>
            <w:noProof/>
            <w:webHidden/>
          </w:rPr>
          <w:instrText xml:space="preserve"> PAGEREF _Toc518653288 \h </w:instrText>
        </w:r>
        <w:r w:rsidR="00386AEA">
          <w:rPr>
            <w:noProof/>
            <w:webHidden/>
          </w:rPr>
        </w:r>
        <w:r w:rsidR="00386AEA">
          <w:rPr>
            <w:noProof/>
            <w:webHidden/>
          </w:rPr>
          <w:fldChar w:fldCharType="separate"/>
        </w:r>
        <w:r w:rsidR="006D0059">
          <w:rPr>
            <w:noProof/>
            <w:webHidden/>
          </w:rPr>
          <w:t>7</w:t>
        </w:r>
        <w:r w:rsidR="00386AEA">
          <w:rPr>
            <w:noProof/>
            <w:webHidden/>
          </w:rPr>
          <w:fldChar w:fldCharType="end"/>
        </w:r>
      </w:hyperlink>
    </w:p>
    <w:p w14:paraId="16EEC2E7" w14:textId="2EB2D131" w:rsidR="00386AEA" w:rsidRDefault="009142E2">
      <w:pPr>
        <w:pStyle w:val="TOC2"/>
        <w:rPr>
          <w:rFonts w:asciiTheme="minorHAnsi" w:eastAsiaTheme="minorEastAsia" w:hAnsiTheme="minorHAnsi" w:cstheme="minorBidi"/>
          <w:noProof/>
          <w:sz w:val="22"/>
          <w:szCs w:val="22"/>
        </w:rPr>
      </w:pPr>
      <w:hyperlink w:anchor="_Toc518653289" w:history="1">
        <w:r w:rsidR="00386AEA" w:rsidRPr="009C057B">
          <w:rPr>
            <w:rStyle w:val="Hyperlink"/>
            <w:noProof/>
          </w:rPr>
          <w:t>A. Bank Supervision and Regulation</w:t>
        </w:r>
        <w:r w:rsidR="00386AEA">
          <w:rPr>
            <w:noProof/>
            <w:webHidden/>
          </w:rPr>
          <w:tab/>
        </w:r>
        <w:r w:rsidR="00386AEA">
          <w:rPr>
            <w:noProof/>
            <w:webHidden/>
          </w:rPr>
          <w:fldChar w:fldCharType="begin"/>
        </w:r>
        <w:r w:rsidR="00386AEA">
          <w:rPr>
            <w:noProof/>
            <w:webHidden/>
          </w:rPr>
          <w:instrText xml:space="preserve"> PAGEREF _Toc518653289 \h </w:instrText>
        </w:r>
        <w:r w:rsidR="00386AEA">
          <w:rPr>
            <w:noProof/>
            <w:webHidden/>
          </w:rPr>
        </w:r>
        <w:r w:rsidR="00386AEA">
          <w:rPr>
            <w:noProof/>
            <w:webHidden/>
          </w:rPr>
          <w:fldChar w:fldCharType="separate"/>
        </w:r>
        <w:r w:rsidR="006D0059">
          <w:rPr>
            <w:noProof/>
            <w:webHidden/>
          </w:rPr>
          <w:t>7</w:t>
        </w:r>
        <w:r w:rsidR="00386AEA">
          <w:rPr>
            <w:noProof/>
            <w:webHidden/>
          </w:rPr>
          <w:fldChar w:fldCharType="end"/>
        </w:r>
      </w:hyperlink>
    </w:p>
    <w:p w14:paraId="60B7E64B" w14:textId="0CFBBC32" w:rsidR="00386AEA" w:rsidRDefault="009142E2">
      <w:pPr>
        <w:pStyle w:val="TOC2"/>
        <w:rPr>
          <w:rFonts w:asciiTheme="minorHAnsi" w:eastAsiaTheme="minorEastAsia" w:hAnsiTheme="minorHAnsi" w:cstheme="minorBidi"/>
          <w:noProof/>
          <w:sz w:val="22"/>
          <w:szCs w:val="22"/>
        </w:rPr>
      </w:pPr>
      <w:hyperlink w:anchor="_Toc518653290" w:history="1">
        <w:r w:rsidR="00386AEA" w:rsidRPr="009C057B">
          <w:rPr>
            <w:rStyle w:val="Hyperlink"/>
            <w:noProof/>
          </w:rPr>
          <w:t>B. Financial Market Infrastructures</w:t>
        </w:r>
        <w:r w:rsidR="00386AEA">
          <w:rPr>
            <w:noProof/>
            <w:webHidden/>
          </w:rPr>
          <w:tab/>
        </w:r>
        <w:r w:rsidR="00386AEA">
          <w:rPr>
            <w:noProof/>
            <w:webHidden/>
          </w:rPr>
          <w:fldChar w:fldCharType="begin"/>
        </w:r>
        <w:r w:rsidR="00386AEA">
          <w:rPr>
            <w:noProof/>
            <w:webHidden/>
          </w:rPr>
          <w:instrText xml:space="preserve"> PAGEREF _Toc518653290 \h </w:instrText>
        </w:r>
        <w:r w:rsidR="00386AEA">
          <w:rPr>
            <w:noProof/>
            <w:webHidden/>
          </w:rPr>
        </w:r>
        <w:r w:rsidR="00386AEA">
          <w:rPr>
            <w:noProof/>
            <w:webHidden/>
          </w:rPr>
          <w:fldChar w:fldCharType="separate"/>
        </w:r>
        <w:r w:rsidR="006D0059">
          <w:rPr>
            <w:noProof/>
            <w:webHidden/>
          </w:rPr>
          <w:t>8</w:t>
        </w:r>
        <w:r w:rsidR="00386AEA">
          <w:rPr>
            <w:noProof/>
            <w:webHidden/>
          </w:rPr>
          <w:fldChar w:fldCharType="end"/>
        </w:r>
      </w:hyperlink>
    </w:p>
    <w:p w14:paraId="0A0AA4F0" w14:textId="408CEA3E" w:rsidR="00386AEA" w:rsidRDefault="009142E2">
      <w:pPr>
        <w:pStyle w:val="TOC2"/>
        <w:rPr>
          <w:rFonts w:asciiTheme="minorHAnsi" w:eastAsiaTheme="minorEastAsia" w:hAnsiTheme="minorHAnsi" w:cstheme="minorBidi"/>
          <w:noProof/>
          <w:sz w:val="22"/>
          <w:szCs w:val="22"/>
        </w:rPr>
      </w:pPr>
      <w:hyperlink w:anchor="_Toc518653291" w:history="1">
        <w:r w:rsidR="00386AEA" w:rsidRPr="009C057B">
          <w:rPr>
            <w:rStyle w:val="Hyperlink"/>
            <w:noProof/>
          </w:rPr>
          <w:t>C. AML/CFT</w:t>
        </w:r>
        <w:r w:rsidR="00386AEA">
          <w:rPr>
            <w:noProof/>
            <w:webHidden/>
          </w:rPr>
          <w:tab/>
        </w:r>
        <w:r w:rsidR="00386AEA">
          <w:rPr>
            <w:noProof/>
            <w:webHidden/>
          </w:rPr>
          <w:fldChar w:fldCharType="begin"/>
        </w:r>
        <w:r w:rsidR="00386AEA">
          <w:rPr>
            <w:noProof/>
            <w:webHidden/>
          </w:rPr>
          <w:instrText xml:space="preserve"> PAGEREF _Toc518653291 \h </w:instrText>
        </w:r>
        <w:r w:rsidR="00386AEA">
          <w:rPr>
            <w:noProof/>
            <w:webHidden/>
          </w:rPr>
        </w:r>
        <w:r w:rsidR="00386AEA">
          <w:rPr>
            <w:noProof/>
            <w:webHidden/>
          </w:rPr>
          <w:fldChar w:fldCharType="separate"/>
        </w:r>
        <w:r w:rsidR="006D0059">
          <w:rPr>
            <w:noProof/>
            <w:webHidden/>
          </w:rPr>
          <w:t>8</w:t>
        </w:r>
        <w:r w:rsidR="00386AEA">
          <w:rPr>
            <w:noProof/>
            <w:webHidden/>
          </w:rPr>
          <w:fldChar w:fldCharType="end"/>
        </w:r>
      </w:hyperlink>
    </w:p>
    <w:p w14:paraId="55664EEC" w14:textId="06EC8618" w:rsidR="00386AEA" w:rsidRDefault="009142E2">
      <w:pPr>
        <w:pStyle w:val="TOC1"/>
        <w:tabs>
          <w:tab w:val="right" w:leader="dot" w:pos="8990"/>
        </w:tabs>
        <w:rPr>
          <w:rFonts w:asciiTheme="minorHAnsi" w:eastAsiaTheme="minorEastAsia" w:hAnsiTheme="minorHAnsi" w:cstheme="minorBidi"/>
          <w:noProof/>
          <w:sz w:val="22"/>
          <w:szCs w:val="22"/>
        </w:rPr>
      </w:pPr>
      <w:hyperlink w:anchor="_Toc518653292" w:history="1">
        <w:r w:rsidR="00386AEA" w:rsidRPr="009C057B">
          <w:rPr>
            <w:rStyle w:val="Hyperlink"/>
            <w:noProof/>
          </w:rPr>
          <w:t>V. Financial Safety Net and Crisis Management</w:t>
        </w:r>
        <w:r w:rsidR="00386AEA">
          <w:rPr>
            <w:noProof/>
            <w:webHidden/>
          </w:rPr>
          <w:tab/>
        </w:r>
        <w:r w:rsidR="00386AEA">
          <w:rPr>
            <w:noProof/>
            <w:webHidden/>
          </w:rPr>
          <w:fldChar w:fldCharType="begin"/>
        </w:r>
        <w:r w:rsidR="00386AEA">
          <w:rPr>
            <w:noProof/>
            <w:webHidden/>
          </w:rPr>
          <w:instrText xml:space="preserve"> PAGEREF _Toc518653292 \h </w:instrText>
        </w:r>
        <w:r w:rsidR="00386AEA">
          <w:rPr>
            <w:noProof/>
            <w:webHidden/>
          </w:rPr>
        </w:r>
        <w:r w:rsidR="00386AEA">
          <w:rPr>
            <w:noProof/>
            <w:webHidden/>
          </w:rPr>
          <w:fldChar w:fldCharType="separate"/>
        </w:r>
        <w:r w:rsidR="006D0059">
          <w:rPr>
            <w:noProof/>
            <w:webHidden/>
          </w:rPr>
          <w:t>9</w:t>
        </w:r>
        <w:r w:rsidR="00386AEA">
          <w:rPr>
            <w:noProof/>
            <w:webHidden/>
          </w:rPr>
          <w:fldChar w:fldCharType="end"/>
        </w:r>
      </w:hyperlink>
    </w:p>
    <w:p w14:paraId="50EE955D" w14:textId="62B4AFCD" w:rsidR="00386AEA" w:rsidRDefault="009142E2">
      <w:pPr>
        <w:pStyle w:val="TOC1"/>
        <w:tabs>
          <w:tab w:val="right" w:leader="dot" w:pos="8990"/>
        </w:tabs>
        <w:rPr>
          <w:rFonts w:asciiTheme="minorHAnsi" w:eastAsiaTheme="minorEastAsia" w:hAnsiTheme="minorHAnsi" w:cstheme="minorBidi"/>
          <w:noProof/>
          <w:sz w:val="22"/>
          <w:szCs w:val="22"/>
        </w:rPr>
      </w:pPr>
      <w:hyperlink w:anchor="_Toc518653293" w:history="1">
        <w:r w:rsidR="00386AEA" w:rsidRPr="009C057B">
          <w:rPr>
            <w:rStyle w:val="Hyperlink"/>
            <w:noProof/>
          </w:rPr>
          <w:t>VI. Financial Sector Development</w:t>
        </w:r>
        <w:r w:rsidR="00386AEA">
          <w:rPr>
            <w:noProof/>
            <w:webHidden/>
          </w:rPr>
          <w:tab/>
        </w:r>
        <w:r w:rsidR="00386AEA">
          <w:rPr>
            <w:noProof/>
            <w:webHidden/>
          </w:rPr>
          <w:fldChar w:fldCharType="begin"/>
        </w:r>
        <w:r w:rsidR="00386AEA">
          <w:rPr>
            <w:noProof/>
            <w:webHidden/>
          </w:rPr>
          <w:instrText xml:space="preserve"> PAGEREF _Toc518653293 \h </w:instrText>
        </w:r>
        <w:r w:rsidR="00386AEA">
          <w:rPr>
            <w:noProof/>
            <w:webHidden/>
          </w:rPr>
        </w:r>
        <w:r w:rsidR="00386AEA">
          <w:rPr>
            <w:noProof/>
            <w:webHidden/>
          </w:rPr>
          <w:fldChar w:fldCharType="separate"/>
        </w:r>
        <w:r w:rsidR="006D0059">
          <w:rPr>
            <w:noProof/>
            <w:webHidden/>
          </w:rPr>
          <w:t>9</w:t>
        </w:r>
        <w:r w:rsidR="00386AEA">
          <w:rPr>
            <w:noProof/>
            <w:webHidden/>
          </w:rPr>
          <w:fldChar w:fldCharType="end"/>
        </w:r>
      </w:hyperlink>
    </w:p>
    <w:p w14:paraId="6BE5049F" w14:textId="6B0D58AD" w:rsidR="00386AEA" w:rsidRDefault="009142E2">
      <w:pPr>
        <w:pStyle w:val="TOC2"/>
        <w:rPr>
          <w:rFonts w:asciiTheme="minorHAnsi" w:eastAsiaTheme="minorEastAsia" w:hAnsiTheme="minorHAnsi" w:cstheme="minorBidi"/>
          <w:noProof/>
          <w:sz w:val="22"/>
          <w:szCs w:val="22"/>
        </w:rPr>
      </w:pPr>
      <w:hyperlink w:anchor="_Toc518653294" w:history="1">
        <w:r w:rsidR="00386AEA" w:rsidRPr="009C057B">
          <w:rPr>
            <w:rStyle w:val="Hyperlink"/>
            <w:noProof/>
          </w:rPr>
          <w:t>A. Financial Intermediation</w:t>
        </w:r>
        <w:r w:rsidR="00386AEA">
          <w:rPr>
            <w:noProof/>
            <w:webHidden/>
          </w:rPr>
          <w:tab/>
        </w:r>
        <w:r w:rsidR="00386AEA">
          <w:rPr>
            <w:noProof/>
            <w:webHidden/>
          </w:rPr>
          <w:fldChar w:fldCharType="begin"/>
        </w:r>
        <w:r w:rsidR="00386AEA">
          <w:rPr>
            <w:noProof/>
            <w:webHidden/>
          </w:rPr>
          <w:instrText xml:space="preserve"> PAGEREF _Toc518653294 \h </w:instrText>
        </w:r>
        <w:r w:rsidR="00386AEA">
          <w:rPr>
            <w:noProof/>
            <w:webHidden/>
          </w:rPr>
        </w:r>
        <w:r w:rsidR="00386AEA">
          <w:rPr>
            <w:noProof/>
            <w:webHidden/>
          </w:rPr>
          <w:fldChar w:fldCharType="separate"/>
        </w:r>
        <w:r w:rsidR="006D0059">
          <w:rPr>
            <w:noProof/>
            <w:webHidden/>
          </w:rPr>
          <w:t>9</w:t>
        </w:r>
        <w:r w:rsidR="00386AEA">
          <w:rPr>
            <w:noProof/>
            <w:webHidden/>
          </w:rPr>
          <w:fldChar w:fldCharType="end"/>
        </w:r>
      </w:hyperlink>
    </w:p>
    <w:p w14:paraId="4BEF40EC" w14:textId="4C381379" w:rsidR="00386AEA" w:rsidRDefault="009142E2">
      <w:pPr>
        <w:pStyle w:val="TOC2"/>
        <w:rPr>
          <w:rFonts w:asciiTheme="minorHAnsi" w:eastAsiaTheme="minorEastAsia" w:hAnsiTheme="minorHAnsi" w:cstheme="minorBidi"/>
          <w:noProof/>
          <w:sz w:val="22"/>
          <w:szCs w:val="22"/>
        </w:rPr>
      </w:pPr>
      <w:hyperlink w:anchor="_Toc518653295" w:history="1">
        <w:r w:rsidR="00386AEA" w:rsidRPr="009C057B">
          <w:rPr>
            <w:rStyle w:val="Hyperlink"/>
            <w:noProof/>
          </w:rPr>
          <w:t>B. Capital Markets</w:t>
        </w:r>
        <w:r w:rsidR="00386AEA">
          <w:rPr>
            <w:noProof/>
            <w:webHidden/>
          </w:rPr>
          <w:tab/>
        </w:r>
        <w:r w:rsidR="00386AEA">
          <w:rPr>
            <w:noProof/>
            <w:webHidden/>
          </w:rPr>
          <w:fldChar w:fldCharType="begin"/>
        </w:r>
        <w:r w:rsidR="00386AEA">
          <w:rPr>
            <w:noProof/>
            <w:webHidden/>
          </w:rPr>
          <w:instrText xml:space="preserve"> PAGEREF _Toc518653295 \h </w:instrText>
        </w:r>
        <w:r w:rsidR="00386AEA">
          <w:rPr>
            <w:noProof/>
            <w:webHidden/>
          </w:rPr>
        </w:r>
        <w:r w:rsidR="00386AEA">
          <w:rPr>
            <w:noProof/>
            <w:webHidden/>
          </w:rPr>
          <w:fldChar w:fldCharType="separate"/>
        </w:r>
        <w:r w:rsidR="006D0059">
          <w:rPr>
            <w:noProof/>
            <w:webHidden/>
          </w:rPr>
          <w:t>17</w:t>
        </w:r>
        <w:r w:rsidR="00386AEA">
          <w:rPr>
            <w:noProof/>
            <w:webHidden/>
          </w:rPr>
          <w:fldChar w:fldCharType="end"/>
        </w:r>
      </w:hyperlink>
    </w:p>
    <w:p w14:paraId="349A6CA3" w14:textId="7A467792" w:rsidR="00386AEA" w:rsidRDefault="009142E2">
      <w:pPr>
        <w:pStyle w:val="TOC2"/>
        <w:rPr>
          <w:rFonts w:asciiTheme="minorHAnsi" w:eastAsiaTheme="minorEastAsia" w:hAnsiTheme="minorHAnsi" w:cstheme="minorBidi"/>
          <w:noProof/>
          <w:sz w:val="22"/>
          <w:szCs w:val="22"/>
        </w:rPr>
      </w:pPr>
      <w:hyperlink w:anchor="_Toc518653296" w:history="1">
        <w:r w:rsidR="00386AEA" w:rsidRPr="009C057B">
          <w:rPr>
            <w:rStyle w:val="Hyperlink"/>
            <w:noProof/>
          </w:rPr>
          <w:t>C. Insurance Sector</w:t>
        </w:r>
        <w:r w:rsidR="00386AEA">
          <w:rPr>
            <w:noProof/>
            <w:webHidden/>
          </w:rPr>
          <w:tab/>
        </w:r>
        <w:r w:rsidR="00386AEA">
          <w:rPr>
            <w:noProof/>
            <w:webHidden/>
          </w:rPr>
          <w:fldChar w:fldCharType="begin"/>
        </w:r>
        <w:r w:rsidR="00386AEA">
          <w:rPr>
            <w:noProof/>
            <w:webHidden/>
          </w:rPr>
          <w:instrText xml:space="preserve"> PAGEREF _Toc518653296 \h </w:instrText>
        </w:r>
        <w:r w:rsidR="00386AEA">
          <w:rPr>
            <w:noProof/>
            <w:webHidden/>
          </w:rPr>
        </w:r>
        <w:r w:rsidR="00386AEA">
          <w:rPr>
            <w:noProof/>
            <w:webHidden/>
          </w:rPr>
          <w:fldChar w:fldCharType="separate"/>
        </w:r>
        <w:r w:rsidR="006D0059">
          <w:rPr>
            <w:noProof/>
            <w:webHidden/>
          </w:rPr>
          <w:t>19</w:t>
        </w:r>
        <w:r w:rsidR="00386AEA">
          <w:rPr>
            <w:noProof/>
            <w:webHidden/>
          </w:rPr>
          <w:fldChar w:fldCharType="end"/>
        </w:r>
      </w:hyperlink>
    </w:p>
    <w:p w14:paraId="234666F5" w14:textId="735F1364" w:rsidR="00386AEA" w:rsidRDefault="009142E2">
      <w:pPr>
        <w:pStyle w:val="TOC2"/>
        <w:rPr>
          <w:rFonts w:asciiTheme="minorHAnsi" w:eastAsiaTheme="minorEastAsia" w:hAnsiTheme="minorHAnsi" w:cstheme="minorBidi"/>
          <w:noProof/>
          <w:sz w:val="22"/>
          <w:szCs w:val="22"/>
        </w:rPr>
      </w:pPr>
      <w:hyperlink w:anchor="_Toc518653297" w:history="1">
        <w:r w:rsidR="00386AEA" w:rsidRPr="009C057B">
          <w:rPr>
            <w:rStyle w:val="Hyperlink"/>
            <w:noProof/>
          </w:rPr>
          <w:t>D. Housing Finance</w:t>
        </w:r>
        <w:r w:rsidR="00386AEA">
          <w:rPr>
            <w:noProof/>
            <w:webHidden/>
          </w:rPr>
          <w:tab/>
        </w:r>
        <w:r w:rsidR="00386AEA">
          <w:rPr>
            <w:noProof/>
            <w:webHidden/>
          </w:rPr>
          <w:fldChar w:fldCharType="begin"/>
        </w:r>
        <w:r w:rsidR="00386AEA">
          <w:rPr>
            <w:noProof/>
            <w:webHidden/>
          </w:rPr>
          <w:instrText xml:space="preserve"> PAGEREF _Toc518653297 \h </w:instrText>
        </w:r>
        <w:r w:rsidR="00386AEA">
          <w:rPr>
            <w:noProof/>
            <w:webHidden/>
          </w:rPr>
        </w:r>
        <w:r w:rsidR="00386AEA">
          <w:rPr>
            <w:noProof/>
            <w:webHidden/>
          </w:rPr>
          <w:fldChar w:fldCharType="separate"/>
        </w:r>
        <w:r w:rsidR="006D0059">
          <w:rPr>
            <w:noProof/>
            <w:webHidden/>
          </w:rPr>
          <w:t>20</w:t>
        </w:r>
        <w:r w:rsidR="00386AEA">
          <w:rPr>
            <w:noProof/>
            <w:webHidden/>
          </w:rPr>
          <w:fldChar w:fldCharType="end"/>
        </w:r>
      </w:hyperlink>
    </w:p>
    <w:p w14:paraId="5EE89241" w14:textId="0BFC9137" w:rsidR="00386AEA" w:rsidRDefault="009142E2">
      <w:pPr>
        <w:pStyle w:val="TOC1"/>
        <w:tabs>
          <w:tab w:val="right" w:leader="dot" w:pos="8990"/>
        </w:tabs>
        <w:rPr>
          <w:rFonts w:asciiTheme="minorHAnsi" w:eastAsiaTheme="minorEastAsia" w:hAnsiTheme="minorHAnsi" w:cstheme="minorBidi"/>
          <w:noProof/>
          <w:sz w:val="22"/>
          <w:szCs w:val="22"/>
        </w:rPr>
      </w:pPr>
      <w:hyperlink w:anchor="_Toc518653298" w:history="1">
        <w:r w:rsidR="00386AEA" w:rsidRPr="009C057B">
          <w:rPr>
            <w:rStyle w:val="Hyperlink"/>
            <w:noProof/>
          </w:rPr>
          <w:t>Appendix I – Tables and Figures</w:t>
        </w:r>
        <w:r w:rsidR="00386AEA">
          <w:rPr>
            <w:noProof/>
            <w:webHidden/>
          </w:rPr>
          <w:tab/>
        </w:r>
        <w:r w:rsidR="00386AEA">
          <w:rPr>
            <w:noProof/>
            <w:webHidden/>
          </w:rPr>
          <w:fldChar w:fldCharType="begin"/>
        </w:r>
        <w:r w:rsidR="00386AEA">
          <w:rPr>
            <w:noProof/>
            <w:webHidden/>
          </w:rPr>
          <w:instrText xml:space="preserve"> PAGEREF _Toc518653298 \h </w:instrText>
        </w:r>
        <w:r w:rsidR="00386AEA">
          <w:rPr>
            <w:noProof/>
            <w:webHidden/>
          </w:rPr>
        </w:r>
        <w:r w:rsidR="00386AEA">
          <w:rPr>
            <w:noProof/>
            <w:webHidden/>
          </w:rPr>
          <w:fldChar w:fldCharType="separate"/>
        </w:r>
        <w:r w:rsidR="006D0059">
          <w:rPr>
            <w:noProof/>
            <w:webHidden/>
          </w:rPr>
          <w:t>22</w:t>
        </w:r>
        <w:r w:rsidR="00386AEA">
          <w:rPr>
            <w:noProof/>
            <w:webHidden/>
          </w:rPr>
          <w:fldChar w:fldCharType="end"/>
        </w:r>
      </w:hyperlink>
    </w:p>
    <w:p w14:paraId="1B3FABDF" w14:textId="1A9EB9EA" w:rsidR="00386AEA" w:rsidRDefault="009142E2">
      <w:pPr>
        <w:pStyle w:val="TOC1"/>
        <w:tabs>
          <w:tab w:val="right" w:leader="dot" w:pos="8990"/>
        </w:tabs>
        <w:rPr>
          <w:rFonts w:asciiTheme="minorHAnsi" w:eastAsiaTheme="minorEastAsia" w:hAnsiTheme="minorHAnsi" w:cstheme="minorBidi"/>
          <w:noProof/>
          <w:sz w:val="22"/>
          <w:szCs w:val="22"/>
        </w:rPr>
      </w:pPr>
      <w:hyperlink w:anchor="_Toc518653299" w:history="1">
        <w:r w:rsidR="00386AEA" w:rsidRPr="009C057B">
          <w:rPr>
            <w:rStyle w:val="Hyperlink"/>
            <w:noProof/>
          </w:rPr>
          <w:t>Appendix II - Status of FSAP 2009 Recommendations</w:t>
        </w:r>
        <w:r w:rsidR="00386AEA">
          <w:rPr>
            <w:noProof/>
            <w:webHidden/>
          </w:rPr>
          <w:tab/>
        </w:r>
        <w:r w:rsidR="00386AEA">
          <w:rPr>
            <w:noProof/>
            <w:webHidden/>
          </w:rPr>
          <w:fldChar w:fldCharType="begin"/>
        </w:r>
        <w:r w:rsidR="00386AEA">
          <w:rPr>
            <w:noProof/>
            <w:webHidden/>
          </w:rPr>
          <w:instrText xml:space="preserve"> PAGEREF _Toc518653299 \h </w:instrText>
        </w:r>
        <w:r w:rsidR="00386AEA">
          <w:rPr>
            <w:noProof/>
            <w:webHidden/>
          </w:rPr>
        </w:r>
        <w:r w:rsidR="00386AEA">
          <w:rPr>
            <w:noProof/>
            <w:webHidden/>
          </w:rPr>
          <w:fldChar w:fldCharType="separate"/>
        </w:r>
        <w:r w:rsidR="006D0059">
          <w:rPr>
            <w:noProof/>
            <w:webHidden/>
          </w:rPr>
          <w:t>26</w:t>
        </w:r>
        <w:r w:rsidR="00386AEA">
          <w:rPr>
            <w:noProof/>
            <w:webHidden/>
          </w:rPr>
          <w:fldChar w:fldCharType="end"/>
        </w:r>
      </w:hyperlink>
    </w:p>
    <w:p w14:paraId="229FD99E" w14:textId="6B85EF74" w:rsidR="00854314" w:rsidRPr="006A6649" w:rsidRDefault="00EE216B" w:rsidP="00854314">
      <w:r w:rsidRPr="006A6649">
        <w:rPr>
          <w:b/>
          <w:bCs/>
          <w:noProof/>
        </w:rPr>
        <w:fldChar w:fldCharType="end"/>
      </w:r>
    </w:p>
    <w:p w14:paraId="696C5079" w14:textId="77777777" w:rsidR="00854314" w:rsidRPr="006A6649" w:rsidRDefault="00854314" w:rsidP="00854314">
      <w:pPr>
        <w:rPr>
          <w:b/>
        </w:rPr>
      </w:pPr>
      <w:bookmarkStart w:id="0" w:name="bkTOCTables"/>
      <w:r w:rsidRPr="006A6649">
        <w:rPr>
          <w:b/>
        </w:rPr>
        <w:t>Boxes</w:t>
      </w:r>
    </w:p>
    <w:p w14:paraId="3E31C752" w14:textId="0DC71F79" w:rsidR="00E85DA1" w:rsidRDefault="00EE3775">
      <w:pPr>
        <w:pStyle w:val="TableofFigures"/>
        <w:tabs>
          <w:tab w:val="right" w:leader="dot" w:pos="8990"/>
        </w:tabs>
        <w:rPr>
          <w:rFonts w:asciiTheme="minorHAnsi" w:eastAsiaTheme="minorEastAsia" w:hAnsiTheme="minorHAnsi" w:cstheme="minorBidi"/>
          <w:noProof/>
          <w:sz w:val="22"/>
          <w:szCs w:val="22"/>
        </w:rPr>
      </w:pPr>
      <w:r w:rsidRPr="006A6649">
        <w:fldChar w:fldCharType="begin"/>
      </w:r>
      <w:r w:rsidRPr="006A6649">
        <w:instrText xml:space="preserve"> TOC \h \z \c "Box" </w:instrText>
      </w:r>
      <w:r w:rsidRPr="006A6649">
        <w:fldChar w:fldCharType="separate"/>
      </w:r>
      <w:hyperlink w:anchor="_Toc518653300" w:history="1">
        <w:r w:rsidR="00E85DA1" w:rsidRPr="00DE6C15">
          <w:rPr>
            <w:rStyle w:val="Hyperlink"/>
            <w:noProof/>
          </w:rPr>
          <w:t>Box 1. Romania: Financial Infrastructure</w:t>
        </w:r>
        <w:r w:rsidR="00E85DA1">
          <w:rPr>
            <w:noProof/>
            <w:webHidden/>
          </w:rPr>
          <w:tab/>
        </w:r>
        <w:r w:rsidR="00E85DA1">
          <w:rPr>
            <w:noProof/>
            <w:webHidden/>
          </w:rPr>
          <w:fldChar w:fldCharType="begin"/>
        </w:r>
        <w:r w:rsidR="00E85DA1">
          <w:rPr>
            <w:noProof/>
            <w:webHidden/>
          </w:rPr>
          <w:instrText xml:space="preserve"> PAGEREF _Toc518653300 \h </w:instrText>
        </w:r>
        <w:r w:rsidR="00E85DA1">
          <w:rPr>
            <w:noProof/>
            <w:webHidden/>
          </w:rPr>
        </w:r>
        <w:r w:rsidR="00E85DA1">
          <w:rPr>
            <w:noProof/>
            <w:webHidden/>
          </w:rPr>
          <w:fldChar w:fldCharType="separate"/>
        </w:r>
        <w:r w:rsidR="006D0059">
          <w:rPr>
            <w:noProof/>
            <w:webHidden/>
          </w:rPr>
          <w:t>12</w:t>
        </w:r>
        <w:r w:rsidR="00E85DA1">
          <w:rPr>
            <w:noProof/>
            <w:webHidden/>
          </w:rPr>
          <w:fldChar w:fldCharType="end"/>
        </w:r>
      </w:hyperlink>
    </w:p>
    <w:p w14:paraId="7D5610EE" w14:textId="219DCF98" w:rsidR="00854314" w:rsidRPr="006A6649" w:rsidRDefault="00EE3775" w:rsidP="00854314">
      <w:r w:rsidRPr="006A6649">
        <w:fldChar w:fldCharType="end"/>
      </w:r>
    </w:p>
    <w:p w14:paraId="69D480F4" w14:textId="77777777" w:rsidR="00474CDC" w:rsidRPr="006A6649" w:rsidRDefault="00474CDC" w:rsidP="00854314">
      <w:pPr>
        <w:rPr>
          <w:b/>
        </w:rPr>
      </w:pPr>
    </w:p>
    <w:p w14:paraId="186412A5" w14:textId="77777777" w:rsidR="00854314" w:rsidRPr="006A6649" w:rsidRDefault="00854314" w:rsidP="00854314">
      <w:pPr>
        <w:rPr>
          <w:b/>
        </w:rPr>
      </w:pPr>
      <w:r w:rsidRPr="006A6649">
        <w:rPr>
          <w:b/>
        </w:rPr>
        <w:t>Figures</w:t>
      </w:r>
    </w:p>
    <w:p w14:paraId="3488C45E" w14:textId="16ABD1E6" w:rsidR="00E85DA1" w:rsidRDefault="00EE3775">
      <w:pPr>
        <w:pStyle w:val="TableofFigures"/>
        <w:tabs>
          <w:tab w:val="right" w:leader="dot" w:pos="8990"/>
        </w:tabs>
        <w:rPr>
          <w:rFonts w:asciiTheme="minorHAnsi" w:eastAsiaTheme="minorEastAsia" w:hAnsiTheme="minorHAnsi" w:cstheme="minorBidi"/>
          <w:noProof/>
          <w:sz w:val="22"/>
          <w:szCs w:val="22"/>
        </w:rPr>
      </w:pPr>
      <w:r w:rsidRPr="006A6649">
        <w:fldChar w:fldCharType="begin"/>
      </w:r>
      <w:r w:rsidRPr="006A6649">
        <w:instrText xml:space="preserve"> TOC \h \z \c "Figure" </w:instrText>
      </w:r>
      <w:r w:rsidRPr="006A6649">
        <w:fldChar w:fldCharType="separate"/>
      </w:r>
      <w:hyperlink w:anchor="_Toc518653302" w:history="1">
        <w:r w:rsidR="00E85DA1" w:rsidRPr="00FC5455">
          <w:rPr>
            <w:rStyle w:val="Hyperlink"/>
            <w:rFonts w:cs="Segoe UI"/>
            <w:noProof/>
          </w:rPr>
          <w:t>Figure 1. Romania: Economic Developments 2008–17</w:t>
        </w:r>
        <w:r w:rsidR="00E85DA1">
          <w:rPr>
            <w:noProof/>
            <w:webHidden/>
          </w:rPr>
          <w:tab/>
        </w:r>
        <w:r w:rsidR="00E85DA1">
          <w:rPr>
            <w:noProof/>
            <w:webHidden/>
          </w:rPr>
          <w:fldChar w:fldCharType="begin"/>
        </w:r>
        <w:r w:rsidR="00E85DA1">
          <w:rPr>
            <w:noProof/>
            <w:webHidden/>
          </w:rPr>
          <w:instrText xml:space="preserve"> PAGEREF _Toc518653302 \h </w:instrText>
        </w:r>
        <w:r w:rsidR="00E85DA1">
          <w:rPr>
            <w:noProof/>
            <w:webHidden/>
          </w:rPr>
        </w:r>
        <w:r w:rsidR="00E85DA1">
          <w:rPr>
            <w:noProof/>
            <w:webHidden/>
          </w:rPr>
          <w:fldChar w:fldCharType="separate"/>
        </w:r>
        <w:r w:rsidR="006D0059">
          <w:rPr>
            <w:noProof/>
            <w:webHidden/>
          </w:rPr>
          <w:t>22</w:t>
        </w:r>
        <w:r w:rsidR="00E85DA1">
          <w:rPr>
            <w:noProof/>
            <w:webHidden/>
          </w:rPr>
          <w:fldChar w:fldCharType="end"/>
        </w:r>
      </w:hyperlink>
    </w:p>
    <w:p w14:paraId="7DE21333" w14:textId="10849F8E" w:rsidR="00E85DA1" w:rsidRDefault="009142E2">
      <w:pPr>
        <w:pStyle w:val="TableofFigures"/>
        <w:tabs>
          <w:tab w:val="right" w:leader="dot" w:pos="8990"/>
        </w:tabs>
        <w:rPr>
          <w:rFonts w:asciiTheme="minorHAnsi" w:eastAsiaTheme="minorEastAsia" w:hAnsiTheme="minorHAnsi" w:cstheme="minorBidi"/>
          <w:noProof/>
          <w:sz w:val="22"/>
          <w:szCs w:val="22"/>
        </w:rPr>
      </w:pPr>
      <w:hyperlink w:anchor="_Toc518653303" w:history="1">
        <w:r w:rsidR="00E85DA1" w:rsidRPr="00FC5455">
          <w:rPr>
            <w:rStyle w:val="Hyperlink"/>
            <w:noProof/>
          </w:rPr>
          <w:t>Figure 2. Romania: Financial Developments 2008-16</w:t>
        </w:r>
        <w:r w:rsidR="00E85DA1">
          <w:rPr>
            <w:noProof/>
            <w:webHidden/>
          </w:rPr>
          <w:tab/>
        </w:r>
        <w:r w:rsidR="00E85DA1">
          <w:rPr>
            <w:noProof/>
            <w:webHidden/>
          </w:rPr>
          <w:fldChar w:fldCharType="begin"/>
        </w:r>
        <w:r w:rsidR="00E85DA1">
          <w:rPr>
            <w:noProof/>
            <w:webHidden/>
          </w:rPr>
          <w:instrText xml:space="preserve"> PAGEREF _Toc518653303 \h </w:instrText>
        </w:r>
        <w:r w:rsidR="00E85DA1">
          <w:rPr>
            <w:noProof/>
            <w:webHidden/>
          </w:rPr>
        </w:r>
        <w:r w:rsidR="00E85DA1">
          <w:rPr>
            <w:noProof/>
            <w:webHidden/>
          </w:rPr>
          <w:fldChar w:fldCharType="separate"/>
        </w:r>
        <w:r w:rsidR="006D0059">
          <w:rPr>
            <w:noProof/>
            <w:webHidden/>
          </w:rPr>
          <w:t>23</w:t>
        </w:r>
        <w:r w:rsidR="00E85DA1">
          <w:rPr>
            <w:noProof/>
            <w:webHidden/>
          </w:rPr>
          <w:fldChar w:fldCharType="end"/>
        </w:r>
      </w:hyperlink>
    </w:p>
    <w:p w14:paraId="4E79D4AF" w14:textId="76DDC2D8" w:rsidR="00854314" w:rsidRPr="006A6649" w:rsidRDefault="00EE3775" w:rsidP="00854314">
      <w:r w:rsidRPr="006A6649">
        <w:fldChar w:fldCharType="end"/>
      </w:r>
    </w:p>
    <w:p w14:paraId="32E127E6" w14:textId="77777777" w:rsidR="003D51F6" w:rsidRDefault="003D51F6" w:rsidP="00854314">
      <w:pPr>
        <w:rPr>
          <w:b/>
        </w:rPr>
      </w:pPr>
    </w:p>
    <w:p w14:paraId="02C472BB" w14:textId="77777777" w:rsidR="00854314" w:rsidRPr="006A6649" w:rsidRDefault="00854314" w:rsidP="00854314">
      <w:pPr>
        <w:rPr>
          <w:b/>
        </w:rPr>
      </w:pPr>
      <w:r w:rsidRPr="006A6649">
        <w:rPr>
          <w:b/>
        </w:rPr>
        <w:t>Tables</w:t>
      </w:r>
    </w:p>
    <w:p w14:paraId="4C9FB808" w14:textId="2F420175" w:rsidR="00E85DA1" w:rsidRDefault="001252F7">
      <w:pPr>
        <w:pStyle w:val="TableofFigures"/>
        <w:tabs>
          <w:tab w:val="right" w:leader="dot" w:pos="8990"/>
        </w:tabs>
        <w:rPr>
          <w:rFonts w:asciiTheme="minorHAnsi" w:eastAsiaTheme="minorEastAsia" w:hAnsiTheme="minorHAnsi" w:cstheme="minorBidi"/>
          <w:noProof/>
          <w:sz w:val="22"/>
          <w:szCs w:val="22"/>
        </w:rPr>
      </w:pPr>
      <w:r w:rsidRPr="006A6649">
        <w:fldChar w:fldCharType="begin"/>
      </w:r>
      <w:r w:rsidRPr="006A6649">
        <w:instrText xml:space="preserve"> TOC \h \z \c "Table" </w:instrText>
      </w:r>
      <w:r w:rsidRPr="006A6649">
        <w:fldChar w:fldCharType="separate"/>
      </w:r>
      <w:hyperlink w:anchor="_Toc518653306" w:history="1">
        <w:r w:rsidR="00E85DA1" w:rsidRPr="00D265F0">
          <w:rPr>
            <w:rStyle w:val="Hyperlink"/>
            <w:noProof/>
          </w:rPr>
          <w:t>Table 1. Romania FSAP 2018: Key Recommendations</w:t>
        </w:r>
        <w:r w:rsidR="00E85DA1">
          <w:rPr>
            <w:noProof/>
            <w:webHidden/>
          </w:rPr>
          <w:tab/>
        </w:r>
        <w:r w:rsidR="00E85DA1">
          <w:rPr>
            <w:noProof/>
            <w:webHidden/>
          </w:rPr>
          <w:fldChar w:fldCharType="begin"/>
        </w:r>
        <w:r w:rsidR="00E85DA1">
          <w:rPr>
            <w:noProof/>
            <w:webHidden/>
          </w:rPr>
          <w:instrText xml:space="preserve"> PAGEREF _Toc518653306 \h </w:instrText>
        </w:r>
        <w:r w:rsidR="00E85DA1">
          <w:rPr>
            <w:noProof/>
            <w:webHidden/>
          </w:rPr>
        </w:r>
        <w:r w:rsidR="00E85DA1">
          <w:rPr>
            <w:noProof/>
            <w:webHidden/>
          </w:rPr>
          <w:fldChar w:fldCharType="separate"/>
        </w:r>
        <w:r w:rsidR="006D0059">
          <w:rPr>
            <w:noProof/>
            <w:webHidden/>
          </w:rPr>
          <w:t>ix</w:t>
        </w:r>
        <w:r w:rsidR="00E85DA1">
          <w:rPr>
            <w:noProof/>
            <w:webHidden/>
          </w:rPr>
          <w:fldChar w:fldCharType="end"/>
        </w:r>
      </w:hyperlink>
    </w:p>
    <w:p w14:paraId="2663D935" w14:textId="0B762DB2" w:rsidR="00E85DA1" w:rsidRDefault="009142E2">
      <w:pPr>
        <w:pStyle w:val="TableofFigures"/>
        <w:tabs>
          <w:tab w:val="right" w:leader="dot" w:pos="8990"/>
        </w:tabs>
        <w:rPr>
          <w:rFonts w:asciiTheme="minorHAnsi" w:eastAsiaTheme="minorEastAsia" w:hAnsiTheme="minorHAnsi" w:cstheme="minorBidi"/>
          <w:noProof/>
          <w:sz w:val="22"/>
          <w:szCs w:val="22"/>
        </w:rPr>
      </w:pPr>
      <w:hyperlink w:anchor="_Toc518653307" w:history="1">
        <w:r w:rsidR="00E85DA1" w:rsidRPr="00D265F0">
          <w:rPr>
            <w:rStyle w:val="Hyperlink"/>
            <w:noProof/>
          </w:rPr>
          <w:t>Table 2. Romania: Selected Economic Indicators</w:t>
        </w:r>
        <w:r w:rsidR="00E85DA1">
          <w:rPr>
            <w:noProof/>
            <w:webHidden/>
          </w:rPr>
          <w:tab/>
        </w:r>
        <w:r w:rsidR="00E85DA1">
          <w:rPr>
            <w:noProof/>
            <w:webHidden/>
          </w:rPr>
          <w:fldChar w:fldCharType="begin"/>
        </w:r>
        <w:r w:rsidR="00E85DA1">
          <w:rPr>
            <w:noProof/>
            <w:webHidden/>
          </w:rPr>
          <w:instrText xml:space="preserve"> PAGEREF _Toc518653307 \h </w:instrText>
        </w:r>
        <w:r w:rsidR="00E85DA1">
          <w:rPr>
            <w:noProof/>
            <w:webHidden/>
          </w:rPr>
        </w:r>
        <w:r w:rsidR="00E85DA1">
          <w:rPr>
            <w:noProof/>
            <w:webHidden/>
          </w:rPr>
          <w:fldChar w:fldCharType="separate"/>
        </w:r>
        <w:r w:rsidR="006D0059">
          <w:rPr>
            <w:noProof/>
            <w:webHidden/>
          </w:rPr>
          <w:t>24</w:t>
        </w:r>
        <w:r w:rsidR="00E85DA1">
          <w:rPr>
            <w:noProof/>
            <w:webHidden/>
          </w:rPr>
          <w:fldChar w:fldCharType="end"/>
        </w:r>
      </w:hyperlink>
    </w:p>
    <w:p w14:paraId="5F9098F9" w14:textId="258DCA21" w:rsidR="00E85DA1" w:rsidRDefault="009142E2">
      <w:pPr>
        <w:pStyle w:val="TableofFigures"/>
        <w:tabs>
          <w:tab w:val="right" w:leader="dot" w:pos="8990"/>
        </w:tabs>
        <w:rPr>
          <w:rFonts w:asciiTheme="minorHAnsi" w:eastAsiaTheme="minorEastAsia" w:hAnsiTheme="minorHAnsi" w:cstheme="minorBidi"/>
          <w:noProof/>
          <w:sz w:val="22"/>
          <w:szCs w:val="22"/>
        </w:rPr>
      </w:pPr>
      <w:hyperlink w:anchor="_Toc518653308" w:history="1">
        <w:r w:rsidR="00E85DA1" w:rsidRPr="00D265F0">
          <w:rPr>
            <w:rStyle w:val="Hyperlink"/>
            <w:noProof/>
          </w:rPr>
          <w:t>Table 3. Romania: Financia</w:t>
        </w:r>
        <w:bookmarkStart w:id="1" w:name="_GoBack"/>
        <w:bookmarkEnd w:id="1"/>
        <w:r w:rsidR="00E85DA1" w:rsidRPr="00D265F0">
          <w:rPr>
            <w:rStyle w:val="Hyperlink"/>
            <w:noProof/>
          </w:rPr>
          <w:t>l Soundness Indicators</w:t>
        </w:r>
        <w:r w:rsidR="00E85DA1">
          <w:rPr>
            <w:noProof/>
            <w:webHidden/>
          </w:rPr>
          <w:tab/>
        </w:r>
        <w:r w:rsidR="00E85DA1">
          <w:rPr>
            <w:noProof/>
            <w:webHidden/>
          </w:rPr>
          <w:fldChar w:fldCharType="begin"/>
        </w:r>
        <w:r w:rsidR="00E85DA1">
          <w:rPr>
            <w:noProof/>
            <w:webHidden/>
          </w:rPr>
          <w:instrText xml:space="preserve"> PAGEREF _Toc518653308 \h </w:instrText>
        </w:r>
        <w:r w:rsidR="00E85DA1">
          <w:rPr>
            <w:noProof/>
            <w:webHidden/>
          </w:rPr>
        </w:r>
        <w:r w:rsidR="00E85DA1">
          <w:rPr>
            <w:noProof/>
            <w:webHidden/>
          </w:rPr>
          <w:fldChar w:fldCharType="separate"/>
        </w:r>
        <w:r w:rsidR="006D0059">
          <w:rPr>
            <w:noProof/>
            <w:webHidden/>
          </w:rPr>
          <w:t>25</w:t>
        </w:r>
        <w:r w:rsidR="00E85DA1">
          <w:rPr>
            <w:noProof/>
            <w:webHidden/>
          </w:rPr>
          <w:fldChar w:fldCharType="end"/>
        </w:r>
      </w:hyperlink>
    </w:p>
    <w:p w14:paraId="545071DA" w14:textId="391097E3" w:rsidR="001252F7" w:rsidRDefault="001252F7" w:rsidP="00854314">
      <w:r w:rsidRPr="006A6649">
        <w:fldChar w:fldCharType="end"/>
      </w:r>
    </w:p>
    <w:bookmarkEnd w:id="0"/>
    <w:p w14:paraId="2D2C9016" w14:textId="77777777" w:rsidR="00854314" w:rsidRDefault="00854314" w:rsidP="00854314">
      <w:pPr>
        <w:pStyle w:val="Appendix"/>
        <w:rPr>
          <w:rFonts w:ascii="Times New Roman Bold" w:hAnsi="Times New Roman Bold"/>
          <w:smallCaps/>
        </w:rPr>
      </w:pPr>
      <w:r>
        <w:rPr>
          <w:bCs/>
        </w:rPr>
        <w:br w:type="page"/>
      </w:r>
      <w:r>
        <w:rPr>
          <w:rFonts w:ascii="Times New Roman Bold" w:hAnsi="Times New Roman Bold"/>
          <w:smallCaps/>
        </w:rPr>
        <w:lastRenderedPageBreak/>
        <w:t>Glossary</w:t>
      </w:r>
    </w:p>
    <w:p w14:paraId="21A0784E" w14:textId="77777777" w:rsidR="00854314" w:rsidRDefault="00854314" w:rsidP="00854314">
      <w:pPr>
        <w:tabs>
          <w:tab w:val="left" w:pos="1440"/>
        </w:tabs>
      </w:pPr>
    </w:p>
    <w:tbl>
      <w:tblPr>
        <w:tblW w:w="0" w:type="auto"/>
        <w:jc w:val="center"/>
        <w:tblLook w:val="04A0" w:firstRow="1" w:lastRow="0" w:firstColumn="1" w:lastColumn="0" w:noHBand="0" w:noVBand="1"/>
      </w:tblPr>
      <w:tblGrid>
        <w:gridCol w:w="1593"/>
        <w:gridCol w:w="7407"/>
      </w:tblGrid>
      <w:tr w:rsidR="004401F2" w:rsidRPr="000130F4" w14:paraId="61C34773" w14:textId="77777777" w:rsidTr="0025702D">
        <w:trPr>
          <w:jc w:val="center"/>
        </w:trPr>
        <w:tc>
          <w:tcPr>
            <w:tcW w:w="1593" w:type="dxa"/>
          </w:tcPr>
          <w:p w14:paraId="243419C9" w14:textId="77777777" w:rsidR="004401F2" w:rsidRPr="000130F4" w:rsidRDefault="004401F2" w:rsidP="004401F2">
            <w:pPr>
              <w:tabs>
                <w:tab w:val="left" w:pos="8910"/>
              </w:tabs>
              <w:adjustRightInd w:val="0"/>
              <w:snapToGrid w:val="0"/>
              <w:spacing w:after="60" w:line="240" w:lineRule="auto"/>
            </w:pPr>
            <w:r w:rsidRPr="00CF6053">
              <w:t>AML/CFT</w:t>
            </w:r>
          </w:p>
        </w:tc>
        <w:tc>
          <w:tcPr>
            <w:tcW w:w="7407" w:type="dxa"/>
          </w:tcPr>
          <w:p w14:paraId="7DCDF880" w14:textId="77777777" w:rsidR="004401F2" w:rsidRPr="000130F4" w:rsidRDefault="004401F2" w:rsidP="004401F2">
            <w:pPr>
              <w:tabs>
                <w:tab w:val="left" w:pos="8910"/>
              </w:tabs>
              <w:adjustRightInd w:val="0"/>
              <w:snapToGrid w:val="0"/>
              <w:spacing w:after="60" w:line="240" w:lineRule="auto"/>
            </w:pPr>
            <w:r w:rsidRPr="00CF6053">
              <w:t>Anti-Money Laundering and Combating the Financing of Terrorism</w:t>
            </w:r>
          </w:p>
        </w:tc>
      </w:tr>
      <w:tr w:rsidR="0089614A" w:rsidRPr="000130F4" w14:paraId="13D7C90A" w14:textId="77777777" w:rsidTr="0025702D">
        <w:trPr>
          <w:jc w:val="center"/>
        </w:trPr>
        <w:tc>
          <w:tcPr>
            <w:tcW w:w="1593" w:type="dxa"/>
          </w:tcPr>
          <w:p w14:paraId="1B98F7D9" w14:textId="77777777" w:rsidR="0089614A" w:rsidRPr="00CF6053" w:rsidRDefault="0089614A" w:rsidP="0089614A">
            <w:pPr>
              <w:tabs>
                <w:tab w:val="left" w:pos="8910"/>
              </w:tabs>
              <w:adjustRightInd w:val="0"/>
              <w:snapToGrid w:val="0"/>
              <w:spacing w:after="60" w:line="240" w:lineRule="auto"/>
            </w:pPr>
            <w:r w:rsidRPr="00CF6053">
              <w:t>ASF</w:t>
            </w:r>
          </w:p>
        </w:tc>
        <w:tc>
          <w:tcPr>
            <w:tcW w:w="7407" w:type="dxa"/>
          </w:tcPr>
          <w:p w14:paraId="5668F6FA" w14:textId="77777777" w:rsidR="0089614A" w:rsidRPr="00CF6053" w:rsidRDefault="0089614A" w:rsidP="0089614A">
            <w:pPr>
              <w:tabs>
                <w:tab w:val="left" w:pos="8910"/>
              </w:tabs>
              <w:adjustRightInd w:val="0"/>
              <w:snapToGrid w:val="0"/>
              <w:spacing w:after="60" w:line="240" w:lineRule="auto"/>
            </w:pPr>
            <w:r w:rsidRPr="00CF6053">
              <w:t>Financial Supervisory Authority</w:t>
            </w:r>
          </w:p>
        </w:tc>
      </w:tr>
      <w:tr w:rsidR="0089614A" w:rsidRPr="000130F4" w14:paraId="2410F447" w14:textId="77777777" w:rsidTr="0025702D">
        <w:trPr>
          <w:jc w:val="center"/>
        </w:trPr>
        <w:tc>
          <w:tcPr>
            <w:tcW w:w="1593" w:type="dxa"/>
          </w:tcPr>
          <w:p w14:paraId="58482D8B" w14:textId="77777777" w:rsidR="0089614A" w:rsidRPr="00CF6053" w:rsidRDefault="0089614A" w:rsidP="0089614A">
            <w:pPr>
              <w:tabs>
                <w:tab w:val="left" w:pos="8910"/>
              </w:tabs>
              <w:adjustRightInd w:val="0"/>
              <w:snapToGrid w:val="0"/>
              <w:spacing w:after="60" w:line="240" w:lineRule="auto"/>
            </w:pPr>
            <w:r>
              <w:t>ATM</w:t>
            </w:r>
          </w:p>
        </w:tc>
        <w:tc>
          <w:tcPr>
            <w:tcW w:w="7407" w:type="dxa"/>
          </w:tcPr>
          <w:p w14:paraId="64080E14" w14:textId="77777777" w:rsidR="0089614A" w:rsidRPr="00CF6053" w:rsidRDefault="0089614A" w:rsidP="0089614A">
            <w:pPr>
              <w:tabs>
                <w:tab w:val="left" w:pos="8910"/>
              </w:tabs>
              <w:adjustRightInd w:val="0"/>
              <w:snapToGrid w:val="0"/>
              <w:spacing w:after="60" w:line="240" w:lineRule="auto"/>
            </w:pPr>
            <w:r>
              <w:t>Automated Teller Machine</w:t>
            </w:r>
          </w:p>
        </w:tc>
      </w:tr>
      <w:tr w:rsidR="0089614A" w:rsidRPr="000130F4" w14:paraId="00219D1F" w14:textId="77777777" w:rsidTr="0025702D">
        <w:trPr>
          <w:jc w:val="center"/>
        </w:trPr>
        <w:tc>
          <w:tcPr>
            <w:tcW w:w="1593" w:type="dxa"/>
          </w:tcPr>
          <w:p w14:paraId="3978078F" w14:textId="77777777" w:rsidR="0089614A" w:rsidRPr="000130F4" w:rsidRDefault="0089614A" w:rsidP="0089614A">
            <w:pPr>
              <w:tabs>
                <w:tab w:val="left" w:pos="8910"/>
              </w:tabs>
              <w:adjustRightInd w:val="0"/>
              <w:snapToGrid w:val="0"/>
              <w:spacing w:after="60" w:line="240" w:lineRule="auto"/>
            </w:pPr>
            <w:r w:rsidRPr="00CF6053">
              <w:t>BCP</w:t>
            </w:r>
          </w:p>
        </w:tc>
        <w:tc>
          <w:tcPr>
            <w:tcW w:w="7407" w:type="dxa"/>
          </w:tcPr>
          <w:p w14:paraId="4CC6C287" w14:textId="77777777" w:rsidR="0089614A" w:rsidRPr="000130F4" w:rsidRDefault="0089614A" w:rsidP="0089614A">
            <w:pPr>
              <w:tabs>
                <w:tab w:val="left" w:pos="8910"/>
              </w:tabs>
              <w:adjustRightInd w:val="0"/>
              <w:snapToGrid w:val="0"/>
              <w:spacing w:after="60" w:line="240" w:lineRule="auto"/>
            </w:pPr>
            <w:r w:rsidRPr="00CF6053">
              <w:t>Basel Core Principles</w:t>
            </w:r>
          </w:p>
        </w:tc>
      </w:tr>
      <w:tr w:rsidR="0089614A" w:rsidRPr="000130F4" w14:paraId="5D5F2AED" w14:textId="77777777" w:rsidTr="0025702D">
        <w:trPr>
          <w:jc w:val="center"/>
        </w:trPr>
        <w:tc>
          <w:tcPr>
            <w:tcW w:w="1593" w:type="dxa"/>
          </w:tcPr>
          <w:p w14:paraId="24956D34" w14:textId="77777777" w:rsidR="0089614A" w:rsidRPr="000130F4" w:rsidRDefault="0089614A" w:rsidP="0089614A">
            <w:pPr>
              <w:tabs>
                <w:tab w:val="left" w:pos="8910"/>
              </w:tabs>
              <w:adjustRightInd w:val="0"/>
              <w:snapToGrid w:val="0"/>
              <w:spacing w:after="60" w:line="240" w:lineRule="auto"/>
            </w:pPr>
            <w:r w:rsidRPr="00CF6053">
              <w:t>bps</w:t>
            </w:r>
          </w:p>
        </w:tc>
        <w:tc>
          <w:tcPr>
            <w:tcW w:w="7407" w:type="dxa"/>
          </w:tcPr>
          <w:p w14:paraId="138B2D8D" w14:textId="77777777" w:rsidR="0089614A" w:rsidRPr="000130F4" w:rsidRDefault="0089614A" w:rsidP="0089614A">
            <w:pPr>
              <w:tabs>
                <w:tab w:val="left" w:pos="8910"/>
              </w:tabs>
              <w:adjustRightInd w:val="0"/>
              <w:snapToGrid w:val="0"/>
              <w:spacing w:after="60" w:line="240" w:lineRule="auto"/>
            </w:pPr>
            <w:r w:rsidRPr="00CF6053">
              <w:t>Basis points</w:t>
            </w:r>
          </w:p>
        </w:tc>
      </w:tr>
      <w:tr w:rsidR="0089614A" w:rsidRPr="000130F4" w14:paraId="193E6099" w14:textId="77777777" w:rsidTr="0025702D">
        <w:trPr>
          <w:jc w:val="center"/>
        </w:trPr>
        <w:tc>
          <w:tcPr>
            <w:tcW w:w="1593" w:type="dxa"/>
          </w:tcPr>
          <w:p w14:paraId="26FEA27C" w14:textId="77777777" w:rsidR="0089614A" w:rsidRPr="000130F4" w:rsidRDefault="0089614A" w:rsidP="0089614A">
            <w:pPr>
              <w:tabs>
                <w:tab w:val="left" w:pos="8910"/>
              </w:tabs>
              <w:adjustRightInd w:val="0"/>
              <w:snapToGrid w:val="0"/>
              <w:spacing w:after="60" w:line="240" w:lineRule="auto"/>
            </w:pPr>
            <w:r w:rsidRPr="00CF6053">
              <w:t>BRRD</w:t>
            </w:r>
          </w:p>
        </w:tc>
        <w:tc>
          <w:tcPr>
            <w:tcW w:w="7407" w:type="dxa"/>
          </w:tcPr>
          <w:p w14:paraId="11AC4777" w14:textId="77777777" w:rsidR="0089614A" w:rsidRPr="000130F4" w:rsidRDefault="0089614A" w:rsidP="0089614A">
            <w:pPr>
              <w:tabs>
                <w:tab w:val="left" w:pos="8910"/>
              </w:tabs>
              <w:adjustRightInd w:val="0"/>
              <w:snapToGrid w:val="0"/>
              <w:spacing w:after="60" w:line="240" w:lineRule="auto"/>
            </w:pPr>
            <w:r w:rsidRPr="00CF6053">
              <w:t>Bank Recovery and Resolution Directive</w:t>
            </w:r>
          </w:p>
        </w:tc>
      </w:tr>
      <w:tr w:rsidR="0089614A" w:rsidRPr="000130F4" w14:paraId="373F2903" w14:textId="77777777" w:rsidTr="0025702D">
        <w:trPr>
          <w:jc w:val="center"/>
        </w:trPr>
        <w:tc>
          <w:tcPr>
            <w:tcW w:w="1593" w:type="dxa"/>
          </w:tcPr>
          <w:p w14:paraId="090C822F" w14:textId="77777777" w:rsidR="0089614A" w:rsidRPr="000130F4" w:rsidRDefault="0089614A" w:rsidP="0089614A">
            <w:pPr>
              <w:tabs>
                <w:tab w:val="left" w:pos="8910"/>
              </w:tabs>
              <w:adjustRightInd w:val="0"/>
              <w:snapToGrid w:val="0"/>
              <w:spacing w:after="60" w:line="240" w:lineRule="auto"/>
            </w:pPr>
            <w:r w:rsidRPr="00CF6053">
              <w:t>BVB</w:t>
            </w:r>
          </w:p>
        </w:tc>
        <w:tc>
          <w:tcPr>
            <w:tcW w:w="7407" w:type="dxa"/>
          </w:tcPr>
          <w:p w14:paraId="3FEB0C2E" w14:textId="77777777" w:rsidR="0089614A" w:rsidRPr="000130F4" w:rsidRDefault="0089614A" w:rsidP="0089614A">
            <w:pPr>
              <w:tabs>
                <w:tab w:val="left" w:pos="8910"/>
              </w:tabs>
              <w:adjustRightInd w:val="0"/>
              <w:snapToGrid w:val="0"/>
              <w:spacing w:after="60" w:line="240" w:lineRule="auto"/>
            </w:pPr>
            <w:r w:rsidRPr="00CF6053">
              <w:t>Bucharest Stock Exchange</w:t>
            </w:r>
          </w:p>
        </w:tc>
      </w:tr>
      <w:tr w:rsidR="0089614A" w:rsidRPr="000130F4" w14:paraId="31E65F7D" w14:textId="77777777" w:rsidTr="0025702D">
        <w:trPr>
          <w:jc w:val="center"/>
        </w:trPr>
        <w:tc>
          <w:tcPr>
            <w:tcW w:w="1593" w:type="dxa"/>
          </w:tcPr>
          <w:p w14:paraId="0D152BF0" w14:textId="77777777" w:rsidR="0089614A" w:rsidRPr="000130F4" w:rsidRDefault="0089614A" w:rsidP="0089614A">
            <w:pPr>
              <w:tabs>
                <w:tab w:val="left" w:pos="8910"/>
              </w:tabs>
              <w:adjustRightInd w:val="0"/>
              <w:snapToGrid w:val="0"/>
              <w:spacing w:after="60" w:line="240" w:lineRule="auto"/>
            </w:pPr>
            <w:r w:rsidRPr="00CF6053">
              <w:t>CAGR</w:t>
            </w:r>
          </w:p>
        </w:tc>
        <w:tc>
          <w:tcPr>
            <w:tcW w:w="7407" w:type="dxa"/>
          </w:tcPr>
          <w:p w14:paraId="0043537C" w14:textId="77777777" w:rsidR="0089614A" w:rsidRPr="000130F4" w:rsidRDefault="0089614A" w:rsidP="0089614A">
            <w:pPr>
              <w:tabs>
                <w:tab w:val="left" w:pos="8910"/>
              </w:tabs>
              <w:adjustRightInd w:val="0"/>
              <w:snapToGrid w:val="0"/>
              <w:spacing w:after="60" w:line="240" w:lineRule="auto"/>
            </w:pPr>
            <w:r w:rsidRPr="00CF6053">
              <w:t xml:space="preserve">Compound Annual Growth Rate                                                                                </w:t>
            </w:r>
          </w:p>
        </w:tc>
      </w:tr>
      <w:tr w:rsidR="0089614A" w:rsidRPr="000130F4" w14:paraId="4A9CF512" w14:textId="77777777" w:rsidTr="0025702D">
        <w:trPr>
          <w:jc w:val="center"/>
        </w:trPr>
        <w:tc>
          <w:tcPr>
            <w:tcW w:w="1593" w:type="dxa"/>
          </w:tcPr>
          <w:p w14:paraId="6DEA1507" w14:textId="77777777" w:rsidR="0089614A" w:rsidRPr="000130F4" w:rsidRDefault="0089614A" w:rsidP="0089614A">
            <w:pPr>
              <w:tabs>
                <w:tab w:val="left" w:pos="8910"/>
              </w:tabs>
              <w:adjustRightInd w:val="0"/>
              <w:snapToGrid w:val="0"/>
              <w:spacing w:after="60" w:line="240" w:lineRule="auto"/>
            </w:pPr>
            <w:r w:rsidRPr="00CF6053">
              <w:t>CAR</w:t>
            </w:r>
          </w:p>
        </w:tc>
        <w:tc>
          <w:tcPr>
            <w:tcW w:w="7407" w:type="dxa"/>
          </w:tcPr>
          <w:p w14:paraId="483594DE" w14:textId="77777777" w:rsidR="0089614A" w:rsidRPr="000130F4" w:rsidRDefault="0089614A" w:rsidP="0089614A">
            <w:pPr>
              <w:tabs>
                <w:tab w:val="left" w:pos="8910"/>
              </w:tabs>
              <w:adjustRightInd w:val="0"/>
              <w:snapToGrid w:val="0"/>
              <w:spacing w:after="60" w:line="240" w:lineRule="auto"/>
            </w:pPr>
            <w:r w:rsidRPr="00CF6053">
              <w:t>Capital A</w:t>
            </w:r>
            <w:r>
              <w:t>dequacy</w:t>
            </w:r>
            <w:r w:rsidRPr="00CF6053">
              <w:t xml:space="preserve"> Ratio</w:t>
            </w:r>
          </w:p>
        </w:tc>
      </w:tr>
      <w:tr w:rsidR="0089614A" w:rsidRPr="000130F4" w14:paraId="17240255" w14:textId="77777777" w:rsidTr="0025702D">
        <w:trPr>
          <w:jc w:val="center"/>
        </w:trPr>
        <w:tc>
          <w:tcPr>
            <w:tcW w:w="1593" w:type="dxa"/>
          </w:tcPr>
          <w:p w14:paraId="02728703" w14:textId="77777777" w:rsidR="0089614A" w:rsidRPr="000130F4" w:rsidRDefault="0089614A" w:rsidP="0089614A">
            <w:pPr>
              <w:tabs>
                <w:tab w:val="left" w:pos="8910"/>
              </w:tabs>
              <w:adjustRightInd w:val="0"/>
              <w:snapToGrid w:val="0"/>
              <w:spacing w:after="60" w:line="240" w:lineRule="auto"/>
            </w:pPr>
            <w:r w:rsidRPr="00CF6053">
              <w:t>CB</w:t>
            </w:r>
          </w:p>
        </w:tc>
        <w:tc>
          <w:tcPr>
            <w:tcW w:w="7407" w:type="dxa"/>
          </w:tcPr>
          <w:p w14:paraId="7EB23EE6" w14:textId="77777777" w:rsidR="0089614A" w:rsidRPr="000130F4" w:rsidRDefault="0089614A" w:rsidP="0089614A">
            <w:pPr>
              <w:tabs>
                <w:tab w:val="left" w:pos="8910"/>
              </w:tabs>
              <w:adjustRightInd w:val="0"/>
              <w:snapToGrid w:val="0"/>
              <w:spacing w:after="60" w:line="240" w:lineRule="auto"/>
            </w:pPr>
            <w:r w:rsidRPr="00CF6053">
              <w:t>Credit Bureau</w:t>
            </w:r>
          </w:p>
        </w:tc>
      </w:tr>
      <w:tr w:rsidR="0089614A" w:rsidRPr="000130F4" w14:paraId="1CED4316" w14:textId="77777777" w:rsidTr="0025702D">
        <w:trPr>
          <w:jc w:val="center"/>
        </w:trPr>
        <w:tc>
          <w:tcPr>
            <w:tcW w:w="1593" w:type="dxa"/>
          </w:tcPr>
          <w:p w14:paraId="5B7A3C56" w14:textId="77777777" w:rsidR="0089614A" w:rsidRPr="000130F4" w:rsidRDefault="0089614A" w:rsidP="0089614A">
            <w:pPr>
              <w:tabs>
                <w:tab w:val="left" w:pos="8910"/>
              </w:tabs>
              <w:adjustRightInd w:val="0"/>
              <w:snapToGrid w:val="0"/>
              <w:spacing w:after="60" w:line="240" w:lineRule="auto"/>
            </w:pPr>
            <w:r w:rsidRPr="00CF6053">
              <w:t>CCP</w:t>
            </w:r>
          </w:p>
        </w:tc>
        <w:tc>
          <w:tcPr>
            <w:tcW w:w="7407" w:type="dxa"/>
          </w:tcPr>
          <w:p w14:paraId="7B6997B0" w14:textId="77777777" w:rsidR="0089614A" w:rsidRPr="000130F4" w:rsidRDefault="0089614A" w:rsidP="0089614A">
            <w:pPr>
              <w:tabs>
                <w:tab w:val="left" w:pos="8910"/>
              </w:tabs>
              <w:adjustRightInd w:val="0"/>
              <w:snapToGrid w:val="0"/>
              <w:spacing w:after="60" w:line="240" w:lineRule="auto"/>
            </w:pPr>
            <w:r w:rsidRPr="00CF6053">
              <w:t>Central Counterparty</w:t>
            </w:r>
          </w:p>
        </w:tc>
      </w:tr>
      <w:tr w:rsidR="0089614A" w:rsidRPr="000130F4" w14:paraId="778F22AF" w14:textId="77777777" w:rsidTr="0025702D">
        <w:trPr>
          <w:jc w:val="center"/>
        </w:trPr>
        <w:tc>
          <w:tcPr>
            <w:tcW w:w="1593" w:type="dxa"/>
          </w:tcPr>
          <w:p w14:paraId="5533581E" w14:textId="77777777" w:rsidR="0089614A" w:rsidRPr="000130F4" w:rsidRDefault="0089614A" w:rsidP="0089614A">
            <w:pPr>
              <w:tabs>
                <w:tab w:val="left" w:pos="8910"/>
              </w:tabs>
              <w:adjustRightInd w:val="0"/>
              <w:snapToGrid w:val="0"/>
              <w:spacing w:after="60" w:line="240" w:lineRule="auto"/>
            </w:pPr>
            <w:r w:rsidRPr="00CF6053">
              <w:t>CCR</w:t>
            </w:r>
          </w:p>
        </w:tc>
        <w:tc>
          <w:tcPr>
            <w:tcW w:w="7407" w:type="dxa"/>
          </w:tcPr>
          <w:p w14:paraId="2DC8486C" w14:textId="77777777" w:rsidR="0089614A" w:rsidRPr="000130F4" w:rsidRDefault="0089614A" w:rsidP="0089614A">
            <w:pPr>
              <w:tabs>
                <w:tab w:val="left" w:pos="8910"/>
              </w:tabs>
              <w:adjustRightInd w:val="0"/>
              <w:snapToGrid w:val="0"/>
              <w:spacing w:after="60" w:line="240" w:lineRule="auto"/>
            </w:pPr>
            <w:r w:rsidRPr="00CF6053">
              <w:t xml:space="preserve">Central Credit Register                                                                                                   </w:t>
            </w:r>
          </w:p>
        </w:tc>
      </w:tr>
      <w:tr w:rsidR="0089614A" w:rsidRPr="000130F4" w14:paraId="67C2A1C8" w14:textId="77777777" w:rsidTr="0025702D">
        <w:trPr>
          <w:jc w:val="center"/>
        </w:trPr>
        <w:tc>
          <w:tcPr>
            <w:tcW w:w="1593" w:type="dxa"/>
          </w:tcPr>
          <w:p w14:paraId="49329068" w14:textId="77777777" w:rsidR="0089614A" w:rsidRPr="00CF6053" w:rsidRDefault="0089614A" w:rsidP="0089614A">
            <w:pPr>
              <w:tabs>
                <w:tab w:val="left" w:pos="8910"/>
              </w:tabs>
              <w:adjustRightInd w:val="0"/>
              <w:snapToGrid w:val="0"/>
              <w:spacing w:after="60" w:line="240" w:lineRule="auto"/>
            </w:pPr>
            <w:r>
              <w:t>CESEE</w:t>
            </w:r>
          </w:p>
        </w:tc>
        <w:tc>
          <w:tcPr>
            <w:tcW w:w="7407" w:type="dxa"/>
          </w:tcPr>
          <w:p w14:paraId="33DAB0EF" w14:textId="77777777" w:rsidR="0089614A" w:rsidRPr="00CF6053" w:rsidRDefault="0089614A" w:rsidP="0089614A">
            <w:pPr>
              <w:tabs>
                <w:tab w:val="left" w:pos="8910"/>
              </w:tabs>
              <w:adjustRightInd w:val="0"/>
              <w:snapToGrid w:val="0"/>
              <w:spacing w:after="60" w:line="240" w:lineRule="auto"/>
            </w:pPr>
            <w:r>
              <w:t>Central Eastern and Southeastern Europe</w:t>
            </w:r>
          </w:p>
        </w:tc>
      </w:tr>
      <w:tr w:rsidR="0089614A" w:rsidRPr="000130F4" w14:paraId="113ED430" w14:textId="77777777" w:rsidTr="0025702D">
        <w:trPr>
          <w:jc w:val="center"/>
        </w:trPr>
        <w:tc>
          <w:tcPr>
            <w:tcW w:w="1593" w:type="dxa"/>
          </w:tcPr>
          <w:p w14:paraId="30C55125" w14:textId="77777777" w:rsidR="0089614A" w:rsidRPr="000130F4" w:rsidRDefault="0089614A" w:rsidP="0089614A">
            <w:pPr>
              <w:tabs>
                <w:tab w:val="left" w:pos="8910"/>
              </w:tabs>
              <w:adjustRightInd w:val="0"/>
              <w:snapToGrid w:val="0"/>
              <w:spacing w:after="60" w:line="240" w:lineRule="auto"/>
            </w:pPr>
            <w:r w:rsidRPr="00CF6053">
              <w:t>CET1</w:t>
            </w:r>
          </w:p>
        </w:tc>
        <w:tc>
          <w:tcPr>
            <w:tcW w:w="7407" w:type="dxa"/>
          </w:tcPr>
          <w:p w14:paraId="1CC6C9F7" w14:textId="77777777" w:rsidR="0089614A" w:rsidRPr="000130F4" w:rsidRDefault="0089614A" w:rsidP="0089614A">
            <w:pPr>
              <w:tabs>
                <w:tab w:val="left" w:pos="8910"/>
              </w:tabs>
              <w:adjustRightInd w:val="0"/>
              <w:snapToGrid w:val="0"/>
              <w:spacing w:after="60" w:line="240" w:lineRule="auto"/>
            </w:pPr>
            <w:r w:rsidRPr="00CF6053">
              <w:t>Common Equity Tier 1</w:t>
            </w:r>
          </w:p>
        </w:tc>
      </w:tr>
      <w:tr w:rsidR="0089614A" w:rsidRPr="000130F4" w14:paraId="6A839185" w14:textId="77777777" w:rsidTr="0025702D">
        <w:trPr>
          <w:jc w:val="center"/>
        </w:trPr>
        <w:tc>
          <w:tcPr>
            <w:tcW w:w="1593" w:type="dxa"/>
          </w:tcPr>
          <w:p w14:paraId="325EE58B" w14:textId="77777777" w:rsidR="0089614A" w:rsidRPr="00CF6053" w:rsidRDefault="0089614A" w:rsidP="0089614A">
            <w:pPr>
              <w:tabs>
                <w:tab w:val="left" w:pos="8910"/>
              </w:tabs>
              <w:adjustRightInd w:val="0"/>
              <w:snapToGrid w:val="0"/>
              <w:spacing w:after="60" w:line="240" w:lineRule="auto"/>
            </w:pPr>
            <w:r>
              <w:t>CPSS</w:t>
            </w:r>
          </w:p>
        </w:tc>
        <w:tc>
          <w:tcPr>
            <w:tcW w:w="7407" w:type="dxa"/>
          </w:tcPr>
          <w:p w14:paraId="7D98D07F" w14:textId="77777777" w:rsidR="0089614A" w:rsidRPr="00CF6053" w:rsidRDefault="0089614A" w:rsidP="0089614A">
            <w:pPr>
              <w:tabs>
                <w:tab w:val="left" w:pos="8910"/>
              </w:tabs>
              <w:adjustRightInd w:val="0"/>
              <w:snapToGrid w:val="0"/>
              <w:spacing w:after="60" w:line="240" w:lineRule="auto"/>
            </w:pPr>
            <w:r w:rsidRPr="0089614A">
              <w:t>Committee on Payment and Settlement Systems</w:t>
            </w:r>
          </w:p>
        </w:tc>
      </w:tr>
      <w:tr w:rsidR="0089614A" w:rsidRPr="000130F4" w14:paraId="3157AAD9" w14:textId="77777777" w:rsidTr="0025702D">
        <w:trPr>
          <w:jc w:val="center"/>
        </w:trPr>
        <w:tc>
          <w:tcPr>
            <w:tcW w:w="1593" w:type="dxa"/>
          </w:tcPr>
          <w:p w14:paraId="54727F0C" w14:textId="77777777" w:rsidR="0089614A" w:rsidRPr="000130F4" w:rsidRDefault="0089614A" w:rsidP="0089614A">
            <w:pPr>
              <w:tabs>
                <w:tab w:val="left" w:pos="8910"/>
              </w:tabs>
              <w:adjustRightInd w:val="0"/>
              <w:snapToGrid w:val="0"/>
              <w:spacing w:after="60" w:line="240" w:lineRule="auto"/>
            </w:pPr>
            <w:r w:rsidRPr="00CF6053">
              <w:t>CRD</w:t>
            </w:r>
          </w:p>
        </w:tc>
        <w:tc>
          <w:tcPr>
            <w:tcW w:w="7407" w:type="dxa"/>
          </w:tcPr>
          <w:p w14:paraId="4780C022" w14:textId="77777777" w:rsidR="0089614A" w:rsidRPr="000130F4" w:rsidRDefault="0089614A" w:rsidP="0089614A">
            <w:pPr>
              <w:tabs>
                <w:tab w:val="left" w:pos="8910"/>
              </w:tabs>
              <w:adjustRightInd w:val="0"/>
              <w:snapToGrid w:val="0"/>
              <w:spacing w:after="60" w:line="240" w:lineRule="auto"/>
            </w:pPr>
            <w:r w:rsidRPr="00CF6053">
              <w:t>Capital Requirement Directive</w:t>
            </w:r>
          </w:p>
        </w:tc>
      </w:tr>
      <w:tr w:rsidR="0089614A" w:rsidRPr="000130F4" w14:paraId="37464AB0" w14:textId="77777777" w:rsidTr="0025702D">
        <w:trPr>
          <w:jc w:val="center"/>
        </w:trPr>
        <w:tc>
          <w:tcPr>
            <w:tcW w:w="1593" w:type="dxa"/>
          </w:tcPr>
          <w:p w14:paraId="0B422026" w14:textId="77777777" w:rsidR="0089614A" w:rsidRPr="000130F4" w:rsidRDefault="0089614A" w:rsidP="0089614A">
            <w:pPr>
              <w:tabs>
                <w:tab w:val="left" w:pos="8910"/>
              </w:tabs>
              <w:adjustRightInd w:val="0"/>
              <w:snapToGrid w:val="0"/>
              <w:spacing w:after="60" w:line="240" w:lineRule="auto"/>
            </w:pPr>
            <w:r w:rsidRPr="00CF6053">
              <w:t>CRR</w:t>
            </w:r>
          </w:p>
        </w:tc>
        <w:tc>
          <w:tcPr>
            <w:tcW w:w="7407" w:type="dxa"/>
          </w:tcPr>
          <w:p w14:paraId="02D81911" w14:textId="77777777" w:rsidR="0089614A" w:rsidRPr="000130F4" w:rsidRDefault="0089614A" w:rsidP="0089614A">
            <w:pPr>
              <w:tabs>
                <w:tab w:val="left" w:pos="8910"/>
              </w:tabs>
              <w:adjustRightInd w:val="0"/>
              <w:snapToGrid w:val="0"/>
              <w:spacing w:after="60" w:line="240" w:lineRule="auto"/>
            </w:pPr>
            <w:r w:rsidRPr="00CF6053">
              <w:t>Capital Requirement Regulation</w:t>
            </w:r>
          </w:p>
        </w:tc>
      </w:tr>
      <w:tr w:rsidR="0089614A" w:rsidRPr="000130F4" w14:paraId="43212831" w14:textId="77777777" w:rsidTr="0025702D">
        <w:trPr>
          <w:jc w:val="center"/>
        </w:trPr>
        <w:tc>
          <w:tcPr>
            <w:tcW w:w="1593" w:type="dxa"/>
          </w:tcPr>
          <w:p w14:paraId="1EAC0D8B" w14:textId="77777777" w:rsidR="0089614A" w:rsidRPr="00CF6053" w:rsidRDefault="0089614A" w:rsidP="0089614A">
            <w:pPr>
              <w:tabs>
                <w:tab w:val="left" w:pos="8910"/>
              </w:tabs>
              <w:adjustRightInd w:val="0"/>
              <w:snapToGrid w:val="0"/>
              <w:spacing w:after="60" w:line="240" w:lineRule="auto"/>
            </w:pPr>
            <w:r>
              <w:t>CSALB</w:t>
            </w:r>
          </w:p>
        </w:tc>
        <w:tc>
          <w:tcPr>
            <w:tcW w:w="7407" w:type="dxa"/>
          </w:tcPr>
          <w:p w14:paraId="4990628A" w14:textId="77777777" w:rsidR="0089614A" w:rsidRPr="00CF6053" w:rsidRDefault="0089614A" w:rsidP="0089614A">
            <w:pPr>
              <w:tabs>
                <w:tab w:val="left" w:pos="8910"/>
              </w:tabs>
              <w:adjustRightInd w:val="0"/>
              <w:snapToGrid w:val="0"/>
              <w:spacing w:after="60" w:line="240" w:lineRule="auto"/>
            </w:pPr>
            <w:r>
              <w:t xml:space="preserve">Romanian </w:t>
            </w:r>
            <w:r w:rsidRPr="0089614A">
              <w:t>Alternative Dispute Resolution Center for Banking</w:t>
            </w:r>
          </w:p>
        </w:tc>
      </w:tr>
      <w:tr w:rsidR="0089614A" w:rsidRPr="000130F4" w14:paraId="46566E4B" w14:textId="77777777" w:rsidTr="0025702D">
        <w:trPr>
          <w:jc w:val="center"/>
        </w:trPr>
        <w:tc>
          <w:tcPr>
            <w:tcW w:w="1593" w:type="dxa"/>
          </w:tcPr>
          <w:p w14:paraId="6A0FB465" w14:textId="77777777" w:rsidR="0089614A" w:rsidRPr="000130F4" w:rsidRDefault="0089614A" w:rsidP="0089614A">
            <w:pPr>
              <w:tabs>
                <w:tab w:val="left" w:pos="8910"/>
              </w:tabs>
              <w:adjustRightInd w:val="0"/>
              <w:snapToGrid w:val="0"/>
              <w:spacing w:after="60" w:line="240" w:lineRule="auto"/>
            </w:pPr>
            <w:r w:rsidRPr="00CF6053">
              <w:t>CSD</w:t>
            </w:r>
          </w:p>
        </w:tc>
        <w:tc>
          <w:tcPr>
            <w:tcW w:w="7407" w:type="dxa"/>
          </w:tcPr>
          <w:p w14:paraId="7788634D" w14:textId="77777777" w:rsidR="0089614A" w:rsidRPr="000130F4" w:rsidRDefault="0089614A" w:rsidP="0089614A">
            <w:pPr>
              <w:tabs>
                <w:tab w:val="left" w:pos="8910"/>
              </w:tabs>
              <w:adjustRightInd w:val="0"/>
              <w:snapToGrid w:val="0"/>
              <w:spacing w:after="60" w:line="240" w:lineRule="auto"/>
            </w:pPr>
            <w:r w:rsidRPr="00CF6053">
              <w:t>Central Securities Depository</w:t>
            </w:r>
          </w:p>
        </w:tc>
      </w:tr>
      <w:tr w:rsidR="00E2726C" w:rsidRPr="000130F4" w14:paraId="0E07606D" w14:textId="77777777" w:rsidTr="0025702D">
        <w:trPr>
          <w:jc w:val="center"/>
        </w:trPr>
        <w:tc>
          <w:tcPr>
            <w:tcW w:w="1593" w:type="dxa"/>
          </w:tcPr>
          <w:p w14:paraId="7CD20DAE" w14:textId="77777777" w:rsidR="00E2726C" w:rsidRPr="00CF6053" w:rsidRDefault="00E2726C" w:rsidP="0089614A">
            <w:pPr>
              <w:tabs>
                <w:tab w:val="left" w:pos="8910"/>
              </w:tabs>
              <w:adjustRightInd w:val="0"/>
              <w:snapToGrid w:val="0"/>
              <w:spacing w:after="60" w:line="240" w:lineRule="auto"/>
            </w:pPr>
            <w:r>
              <w:t>DPA</w:t>
            </w:r>
          </w:p>
        </w:tc>
        <w:tc>
          <w:tcPr>
            <w:tcW w:w="7407" w:type="dxa"/>
          </w:tcPr>
          <w:p w14:paraId="2163D5A2" w14:textId="77777777" w:rsidR="00E2726C" w:rsidRPr="00CF6053" w:rsidRDefault="00E2726C" w:rsidP="0089614A">
            <w:pPr>
              <w:tabs>
                <w:tab w:val="left" w:pos="8910"/>
              </w:tabs>
              <w:adjustRightInd w:val="0"/>
              <w:snapToGrid w:val="0"/>
              <w:spacing w:after="60" w:line="240" w:lineRule="auto"/>
            </w:pPr>
            <w:r w:rsidRPr="00E2726C">
              <w:t>National Supervisory Authority for Personal Data Processing</w:t>
            </w:r>
          </w:p>
        </w:tc>
      </w:tr>
      <w:tr w:rsidR="0089614A" w:rsidRPr="000130F4" w14:paraId="722CF207" w14:textId="77777777" w:rsidTr="0025702D">
        <w:trPr>
          <w:jc w:val="center"/>
        </w:trPr>
        <w:tc>
          <w:tcPr>
            <w:tcW w:w="1593" w:type="dxa"/>
          </w:tcPr>
          <w:p w14:paraId="4C0AEE65" w14:textId="77777777" w:rsidR="0089614A" w:rsidRPr="000130F4" w:rsidRDefault="0089614A" w:rsidP="0089614A">
            <w:pPr>
              <w:tabs>
                <w:tab w:val="left" w:pos="8910"/>
              </w:tabs>
              <w:adjustRightInd w:val="0"/>
              <w:snapToGrid w:val="0"/>
              <w:spacing w:after="60" w:line="240" w:lineRule="auto"/>
            </w:pPr>
            <w:r w:rsidRPr="00CF6053">
              <w:t>DSTI</w:t>
            </w:r>
          </w:p>
        </w:tc>
        <w:tc>
          <w:tcPr>
            <w:tcW w:w="7407" w:type="dxa"/>
          </w:tcPr>
          <w:p w14:paraId="5A686664" w14:textId="77777777" w:rsidR="0089614A" w:rsidRPr="000130F4" w:rsidRDefault="0089614A" w:rsidP="0089614A">
            <w:pPr>
              <w:tabs>
                <w:tab w:val="left" w:pos="8910"/>
              </w:tabs>
              <w:adjustRightInd w:val="0"/>
              <w:snapToGrid w:val="0"/>
              <w:spacing w:after="60" w:line="240" w:lineRule="auto"/>
            </w:pPr>
            <w:r w:rsidRPr="00CF6053">
              <w:t>Debt-Service-to-Income</w:t>
            </w:r>
          </w:p>
        </w:tc>
      </w:tr>
      <w:tr w:rsidR="0089614A" w:rsidRPr="000130F4" w14:paraId="18E91DD3" w14:textId="77777777" w:rsidTr="0025702D">
        <w:trPr>
          <w:jc w:val="center"/>
        </w:trPr>
        <w:tc>
          <w:tcPr>
            <w:tcW w:w="1593" w:type="dxa"/>
          </w:tcPr>
          <w:p w14:paraId="414DDF5E" w14:textId="77777777" w:rsidR="0089614A" w:rsidRPr="000130F4" w:rsidRDefault="0089614A" w:rsidP="0089614A">
            <w:pPr>
              <w:tabs>
                <w:tab w:val="left" w:pos="8910"/>
              </w:tabs>
              <w:adjustRightInd w:val="0"/>
              <w:snapToGrid w:val="0"/>
              <w:spacing w:after="60" w:line="240" w:lineRule="auto"/>
            </w:pPr>
            <w:r w:rsidRPr="00CF6053">
              <w:t>EBA</w:t>
            </w:r>
          </w:p>
        </w:tc>
        <w:tc>
          <w:tcPr>
            <w:tcW w:w="7407" w:type="dxa"/>
          </w:tcPr>
          <w:p w14:paraId="637EF77B" w14:textId="77777777" w:rsidR="0089614A" w:rsidRPr="000130F4" w:rsidRDefault="0089614A" w:rsidP="0089614A">
            <w:pPr>
              <w:tabs>
                <w:tab w:val="left" w:pos="8910"/>
              </w:tabs>
              <w:adjustRightInd w:val="0"/>
              <w:snapToGrid w:val="0"/>
              <w:spacing w:after="60" w:line="240" w:lineRule="auto"/>
            </w:pPr>
            <w:r w:rsidRPr="00CF6053">
              <w:t>European Banking Authority</w:t>
            </w:r>
          </w:p>
        </w:tc>
      </w:tr>
      <w:tr w:rsidR="0089614A" w:rsidRPr="000130F4" w14:paraId="128EF464" w14:textId="77777777" w:rsidTr="0025702D">
        <w:trPr>
          <w:jc w:val="center"/>
        </w:trPr>
        <w:tc>
          <w:tcPr>
            <w:tcW w:w="1593" w:type="dxa"/>
          </w:tcPr>
          <w:p w14:paraId="4229EFF5" w14:textId="77777777" w:rsidR="0089614A" w:rsidRPr="000130F4" w:rsidRDefault="0089614A" w:rsidP="0089614A">
            <w:pPr>
              <w:tabs>
                <w:tab w:val="left" w:pos="8910"/>
              </w:tabs>
              <w:adjustRightInd w:val="0"/>
              <w:snapToGrid w:val="0"/>
              <w:spacing w:after="60" w:line="240" w:lineRule="auto"/>
            </w:pPr>
            <w:r w:rsidRPr="00CF6053">
              <w:t>ECB</w:t>
            </w:r>
          </w:p>
        </w:tc>
        <w:tc>
          <w:tcPr>
            <w:tcW w:w="7407" w:type="dxa"/>
          </w:tcPr>
          <w:p w14:paraId="5DE76EB5" w14:textId="77777777" w:rsidR="0089614A" w:rsidRPr="000130F4" w:rsidRDefault="0089614A" w:rsidP="0089614A">
            <w:pPr>
              <w:tabs>
                <w:tab w:val="left" w:pos="8910"/>
              </w:tabs>
              <w:adjustRightInd w:val="0"/>
              <w:snapToGrid w:val="0"/>
              <w:spacing w:after="60" w:line="240" w:lineRule="auto"/>
            </w:pPr>
            <w:r w:rsidRPr="00CF6053">
              <w:t>European Central Bank</w:t>
            </w:r>
          </w:p>
        </w:tc>
      </w:tr>
      <w:tr w:rsidR="0089614A" w:rsidRPr="000130F4" w14:paraId="4B82B68C" w14:textId="77777777" w:rsidTr="0025702D">
        <w:trPr>
          <w:jc w:val="center"/>
        </w:trPr>
        <w:tc>
          <w:tcPr>
            <w:tcW w:w="1593" w:type="dxa"/>
          </w:tcPr>
          <w:p w14:paraId="1142639E" w14:textId="77777777" w:rsidR="0089614A" w:rsidRPr="000130F4" w:rsidRDefault="0089614A" w:rsidP="0089614A">
            <w:pPr>
              <w:tabs>
                <w:tab w:val="left" w:pos="8910"/>
              </w:tabs>
              <w:adjustRightInd w:val="0"/>
              <w:snapToGrid w:val="0"/>
              <w:spacing w:after="60" w:line="240" w:lineRule="auto"/>
            </w:pPr>
            <w:r w:rsidRPr="00CF6053">
              <w:t>E</w:t>
            </w:r>
            <w:r>
              <w:t>I</w:t>
            </w:r>
            <w:r w:rsidRPr="00CF6053">
              <w:t>F</w:t>
            </w:r>
          </w:p>
        </w:tc>
        <w:tc>
          <w:tcPr>
            <w:tcW w:w="7407" w:type="dxa"/>
          </w:tcPr>
          <w:p w14:paraId="3AF45C38" w14:textId="77777777" w:rsidR="0089614A" w:rsidRPr="000130F4" w:rsidRDefault="0089614A" w:rsidP="0089614A">
            <w:pPr>
              <w:tabs>
                <w:tab w:val="left" w:pos="8910"/>
              </w:tabs>
              <w:adjustRightInd w:val="0"/>
              <w:snapToGrid w:val="0"/>
              <w:spacing w:after="60" w:line="240" w:lineRule="auto"/>
            </w:pPr>
            <w:r w:rsidRPr="00CF6053">
              <w:t xml:space="preserve">European Investment Fund                                                                                         </w:t>
            </w:r>
          </w:p>
        </w:tc>
      </w:tr>
      <w:tr w:rsidR="0089614A" w:rsidRPr="000130F4" w14:paraId="7D9BF81F" w14:textId="77777777" w:rsidTr="0025702D">
        <w:trPr>
          <w:jc w:val="center"/>
        </w:trPr>
        <w:tc>
          <w:tcPr>
            <w:tcW w:w="1593" w:type="dxa"/>
          </w:tcPr>
          <w:p w14:paraId="70A1E968" w14:textId="77777777" w:rsidR="0089614A" w:rsidRPr="000130F4" w:rsidRDefault="0089614A" w:rsidP="0089614A">
            <w:pPr>
              <w:tabs>
                <w:tab w:val="left" w:pos="8910"/>
              </w:tabs>
              <w:adjustRightInd w:val="0"/>
              <w:snapToGrid w:val="0"/>
              <w:spacing w:after="60" w:line="240" w:lineRule="auto"/>
            </w:pPr>
            <w:r w:rsidRPr="00CF6053">
              <w:t>ELA</w:t>
            </w:r>
          </w:p>
        </w:tc>
        <w:tc>
          <w:tcPr>
            <w:tcW w:w="7407" w:type="dxa"/>
          </w:tcPr>
          <w:p w14:paraId="0E841EBD" w14:textId="77777777" w:rsidR="0089614A" w:rsidRPr="000130F4" w:rsidRDefault="0089614A" w:rsidP="0089614A">
            <w:pPr>
              <w:tabs>
                <w:tab w:val="left" w:pos="8910"/>
              </w:tabs>
              <w:adjustRightInd w:val="0"/>
              <w:snapToGrid w:val="0"/>
              <w:spacing w:after="60" w:line="240" w:lineRule="auto"/>
            </w:pPr>
            <w:r w:rsidRPr="00CF6053">
              <w:t>Emergency Liquidity Assistance</w:t>
            </w:r>
          </w:p>
        </w:tc>
      </w:tr>
      <w:tr w:rsidR="00E2726C" w:rsidRPr="000130F4" w14:paraId="6F451077" w14:textId="77777777" w:rsidTr="0025702D">
        <w:trPr>
          <w:jc w:val="center"/>
        </w:trPr>
        <w:tc>
          <w:tcPr>
            <w:tcW w:w="1593" w:type="dxa"/>
          </w:tcPr>
          <w:p w14:paraId="638AB7B1" w14:textId="77777777" w:rsidR="00E2726C" w:rsidRPr="00CF6053" w:rsidRDefault="00E2726C" w:rsidP="0089614A">
            <w:pPr>
              <w:tabs>
                <w:tab w:val="left" w:pos="8910"/>
              </w:tabs>
              <w:adjustRightInd w:val="0"/>
              <w:snapToGrid w:val="0"/>
              <w:spacing w:after="60" w:line="240" w:lineRule="auto"/>
            </w:pPr>
            <w:r>
              <w:t>EM</w:t>
            </w:r>
          </w:p>
        </w:tc>
        <w:tc>
          <w:tcPr>
            <w:tcW w:w="7407" w:type="dxa"/>
          </w:tcPr>
          <w:p w14:paraId="5BB5FA02" w14:textId="77777777" w:rsidR="00E2726C" w:rsidRPr="00CF6053" w:rsidRDefault="00E2726C" w:rsidP="0089614A">
            <w:pPr>
              <w:tabs>
                <w:tab w:val="left" w:pos="8910"/>
              </w:tabs>
              <w:adjustRightInd w:val="0"/>
              <w:snapToGrid w:val="0"/>
              <w:spacing w:after="60" w:line="240" w:lineRule="auto"/>
            </w:pPr>
            <w:r>
              <w:t>Emerging Market</w:t>
            </w:r>
          </w:p>
        </w:tc>
      </w:tr>
      <w:tr w:rsidR="0089614A" w:rsidRPr="000130F4" w14:paraId="2C552EFD" w14:textId="77777777" w:rsidTr="0025702D">
        <w:trPr>
          <w:jc w:val="center"/>
        </w:trPr>
        <w:tc>
          <w:tcPr>
            <w:tcW w:w="1593" w:type="dxa"/>
          </w:tcPr>
          <w:p w14:paraId="47959B18" w14:textId="77777777" w:rsidR="0089614A" w:rsidRPr="000130F4" w:rsidRDefault="0089614A" w:rsidP="0089614A">
            <w:pPr>
              <w:tabs>
                <w:tab w:val="left" w:pos="8910"/>
              </w:tabs>
              <w:adjustRightInd w:val="0"/>
              <w:snapToGrid w:val="0"/>
              <w:spacing w:after="60" w:line="240" w:lineRule="auto"/>
            </w:pPr>
            <w:r w:rsidRPr="00CF6053">
              <w:t>EU</w:t>
            </w:r>
          </w:p>
        </w:tc>
        <w:tc>
          <w:tcPr>
            <w:tcW w:w="7407" w:type="dxa"/>
          </w:tcPr>
          <w:p w14:paraId="516BB6EB" w14:textId="77777777" w:rsidR="0089614A" w:rsidRPr="000130F4" w:rsidRDefault="0089614A" w:rsidP="0089614A">
            <w:pPr>
              <w:tabs>
                <w:tab w:val="left" w:pos="8910"/>
              </w:tabs>
              <w:adjustRightInd w:val="0"/>
              <w:snapToGrid w:val="0"/>
              <w:spacing w:after="60" w:line="240" w:lineRule="auto"/>
            </w:pPr>
            <w:r w:rsidRPr="00CF6053">
              <w:t>European Union</w:t>
            </w:r>
          </w:p>
        </w:tc>
      </w:tr>
      <w:tr w:rsidR="0089614A" w:rsidRPr="000130F4" w14:paraId="2856670C" w14:textId="77777777" w:rsidTr="0025702D">
        <w:trPr>
          <w:jc w:val="center"/>
        </w:trPr>
        <w:tc>
          <w:tcPr>
            <w:tcW w:w="1593" w:type="dxa"/>
          </w:tcPr>
          <w:p w14:paraId="5AF85CAD" w14:textId="77777777" w:rsidR="0089614A" w:rsidRPr="00CF6053" w:rsidRDefault="0089614A" w:rsidP="0089614A">
            <w:pPr>
              <w:tabs>
                <w:tab w:val="left" w:pos="8910"/>
              </w:tabs>
              <w:adjustRightInd w:val="0"/>
              <w:snapToGrid w:val="0"/>
              <w:spacing w:after="60" w:line="240" w:lineRule="auto"/>
            </w:pPr>
            <w:r>
              <w:t>EUR</w:t>
            </w:r>
          </w:p>
        </w:tc>
        <w:tc>
          <w:tcPr>
            <w:tcW w:w="7407" w:type="dxa"/>
          </w:tcPr>
          <w:p w14:paraId="05083E9B" w14:textId="77777777" w:rsidR="0089614A" w:rsidRPr="00CF6053" w:rsidRDefault="0089614A" w:rsidP="0089614A">
            <w:pPr>
              <w:tabs>
                <w:tab w:val="left" w:pos="8910"/>
              </w:tabs>
              <w:adjustRightInd w:val="0"/>
              <w:snapToGrid w:val="0"/>
              <w:spacing w:after="60" w:line="240" w:lineRule="auto"/>
            </w:pPr>
            <w:r>
              <w:t>Euro</w:t>
            </w:r>
          </w:p>
        </w:tc>
      </w:tr>
      <w:tr w:rsidR="0089614A" w:rsidRPr="000130F4" w14:paraId="5450440E" w14:textId="77777777" w:rsidTr="0025702D">
        <w:trPr>
          <w:jc w:val="center"/>
        </w:trPr>
        <w:tc>
          <w:tcPr>
            <w:tcW w:w="1593" w:type="dxa"/>
          </w:tcPr>
          <w:p w14:paraId="15BC0DAE" w14:textId="77777777" w:rsidR="0089614A" w:rsidRPr="000130F4" w:rsidRDefault="0089614A" w:rsidP="0089614A">
            <w:pPr>
              <w:tabs>
                <w:tab w:val="left" w:pos="8910"/>
              </w:tabs>
              <w:adjustRightInd w:val="0"/>
              <w:snapToGrid w:val="0"/>
              <w:spacing w:after="60" w:line="240" w:lineRule="auto"/>
            </w:pPr>
            <w:r w:rsidRPr="00CF6053">
              <w:t>FATF</w:t>
            </w:r>
          </w:p>
        </w:tc>
        <w:tc>
          <w:tcPr>
            <w:tcW w:w="7407" w:type="dxa"/>
          </w:tcPr>
          <w:p w14:paraId="6A658946" w14:textId="77777777" w:rsidR="0089614A" w:rsidRPr="000130F4" w:rsidRDefault="0089614A" w:rsidP="0089614A">
            <w:pPr>
              <w:tabs>
                <w:tab w:val="left" w:pos="8910"/>
              </w:tabs>
              <w:adjustRightInd w:val="0"/>
              <w:snapToGrid w:val="0"/>
              <w:spacing w:after="60" w:line="240" w:lineRule="auto"/>
            </w:pPr>
            <w:r w:rsidRPr="00CF6053">
              <w:t>Financial Action Task Force</w:t>
            </w:r>
          </w:p>
        </w:tc>
      </w:tr>
      <w:tr w:rsidR="0089614A" w:rsidRPr="000130F4" w14:paraId="71FD0C9D" w14:textId="77777777" w:rsidTr="0025702D">
        <w:trPr>
          <w:jc w:val="center"/>
        </w:trPr>
        <w:tc>
          <w:tcPr>
            <w:tcW w:w="1593" w:type="dxa"/>
          </w:tcPr>
          <w:p w14:paraId="264FB011" w14:textId="77777777" w:rsidR="0089614A" w:rsidRPr="000130F4" w:rsidRDefault="0089614A" w:rsidP="0089614A">
            <w:pPr>
              <w:tabs>
                <w:tab w:val="left" w:pos="8910"/>
              </w:tabs>
              <w:adjustRightInd w:val="0"/>
              <w:snapToGrid w:val="0"/>
              <w:spacing w:after="60" w:line="240" w:lineRule="auto"/>
            </w:pPr>
            <w:r w:rsidRPr="00CF6053">
              <w:t>FGDB</w:t>
            </w:r>
          </w:p>
        </w:tc>
        <w:tc>
          <w:tcPr>
            <w:tcW w:w="7407" w:type="dxa"/>
          </w:tcPr>
          <w:p w14:paraId="5A2253FE" w14:textId="77777777" w:rsidR="0089614A" w:rsidRPr="000130F4" w:rsidRDefault="0089614A" w:rsidP="0089614A">
            <w:pPr>
              <w:tabs>
                <w:tab w:val="left" w:pos="8910"/>
              </w:tabs>
              <w:adjustRightInd w:val="0"/>
              <w:snapToGrid w:val="0"/>
              <w:spacing w:after="60" w:line="240" w:lineRule="auto"/>
            </w:pPr>
            <w:r w:rsidRPr="00CF6053">
              <w:t xml:space="preserve">Bank Deposit Guarantee Fund </w:t>
            </w:r>
          </w:p>
        </w:tc>
      </w:tr>
      <w:tr w:rsidR="0089614A" w:rsidRPr="000130F4" w14:paraId="76872CBD" w14:textId="77777777" w:rsidTr="0025702D">
        <w:trPr>
          <w:jc w:val="center"/>
        </w:trPr>
        <w:tc>
          <w:tcPr>
            <w:tcW w:w="1593" w:type="dxa"/>
          </w:tcPr>
          <w:p w14:paraId="13D9DEF8" w14:textId="77777777" w:rsidR="0089614A" w:rsidRPr="000130F4" w:rsidRDefault="0089614A" w:rsidP="0089614A">
            <w:pPr>
              <w:tabs>
                <w:tab w:val="left" w:pos="8910"/>
              </w:tabs>
              <w:adjustRightInd w:val="0"/>
              <w:snapToGrid w:val="0"/>
              <w:spacing w:after="60" w:line="240" w:lineRule="auto"/>
            </w:pPr>
            <w:r w:rsidRPr="00CF6053">
              <w:t>FIU</w:t>
            </w:r>
          </w:p>
        </w:tc>
        <w:tc>
          <w:tcPr>
            <w:tcW w:w="7407" w:type="dxa"/>
          </w:tcPr>
          <w:p w14:paraId="284B945B" w14:textId="77777777" w:rsidR="0089614A" w:rsidRPr="000130F4" w:rsidRDefault="0089614A" w:rsidP="0089614A">
            <w:pPr>
              <w:tabs>
                <w:tab w:val="left" w:pos="8910"/>
              </w:tabs>
              <w:adjustRightInd w:val="0"/>
              <w:snapToGrid w:val="0"/>
              <w:spacing w:after="60" w:line="240" w:lineRule="auto"/>
            </w:pPr>
            <w:r w:rsidRPr="00CF6053">
              <w:t>Financial Intelligence Unit</w:t>
            </w:r>
          </w:p>
        </w:tc>
      </w:tr>
      <w:tr w:rsidR="0089614A" w:rsidRPr="000130F4" w14:paraId="1FE9C96C" w14:textId="77777777" w:rsidTr="0025702D">
        <w:trPr>
          <w:jc w:val="center"/>
        </w:trPr>
        <w:tc>
          <w:tcPr>
            <w:tcW w:w="1593" w:type="dxa"/>
          </w:tcPr>
          <w:p w14:paraId="3ACC4C04" w14:textId="77777777" w:rsidR="0089614A" w:rsidRPr="000130F4" w:rsidRDefault="0089614A" w:rsidP="0089614A">
            <w:pPr>
              <w:tabs>
                <w:tab w:val="left" w:pos="8910"/>
              </w:tabs>
              <w:adjustRightInd w:val="0"/>
              <w:snapToGrid w:val="0"/>
              <w:spacing w:after="60" w:line="240" w:lineRule="auto"/>
            </w:pPr>
            <w:r w:rsidRPr="00CF6053">
              <w:t>FMI</w:t>
            </w:r>
          </w:p>
        </w:tc>
        <w:tc>
          <w:tcPr>
            <w:tcW w:w="7407" w:type="dxa"/>
          </w:tcPr>
          <w:p w14:paraId="4A8D0AF2" w14:textId="77777777" w:rsidR="0089614A" w:rsidRPr="000130F4" w:rsidRDefault="0089614A" w:rsidP="0089614A">
            <w:pPr>
              <w:tabs>
                <w:tab w:val="left" w:pos="8910"/>
              </w:tabs>
              <w:adjustRightInd w:val="0"/>
              <w:snapToGrid w:val="0"/>
              <w:spacing w:after="60" w:line="240" w:lineRule="auto"/>
            </w:pPr>
            <w:r w:rsidRPr="00CF6053">
              <w:t>Financial Market Infrastructure</w:t>
            </w:r>
          </w:p>
        </w:tc>
      </w:tr>
      <w:tr w:rsidR="0089614A" w:rsidRPr="000130F4" w14:paraId="55142C87" w14:textId="77777777" w:rsidTr="0025702D">
        <w:trPr>
          <w:jc w:val="center"/>
        </w:trPr>
        <w:tc>
          <w:tcPr>
            <w:tcW w:w="1593" w:type="dxa"/>
          </w:tcPr>
          <w:p w14:paraId="66E0F01A" w14:textId="77777777" w:rsidR="0089614A" w:rsidRPr="000130F4" w:rsidRDefault="0089614A" w:rsidP="0089614A">
            <w:pPr>
              <w:tabs>
                <w:tab w:val="left" w:pos="8910"/>
              </w:tabs>
              <w:adjustRightInd w:val="0"/>
              <w:snapToGrid w:val="0"/>
              <w:spacing w:after="60" w:line="240" w:lineRule="auto"/>
            </w:pPr>
            <w:r w:rsidRPr="00CF6053">
              <w:t>FNGCIMM</w:t>
            </w:r>
          </w:p>
        </w:tc>
        <w:tc>
          <w:tcPr>
            <w:tcW w:w="7407" w:type="dxa"/>
          </w:tcPr>
          <w:p w14:paraId="5E67F44E" w14:textId="77777777" w:rsidR="0089614A" w:rsidRPr="000130F4" w:rsidRDefault="0089614A" w:rsidP="0089614A">
            <w:pPr>
              <w:tabs>
                <w:tab w:val="left" w:pos="8910"/>
              </w:tabs>
              <w:adjustRightInd w:val="0"/>
              <w:snapToGrid w:val="0"/>
              <w:spacing w:after="60" w:line="240" w:lineRule="auto"/>
            </w:pPr>
            <w:r w:rsidRPr="00CF6053">
              <w:t xml:space="preserve">National Credit Guarantee Fund for SMEs                                                              </w:t>
            </w:r>
          </w:p>
        </w:tc>
      </w:tr>
      <w:tr w:rsidR="0089614A" w:rsidRPr="000130F4" w14:paraId="262D6606" w14:textId="77777777" w:rsidTr="0025702D">
        <w:trPr>
          <w:jc w:val="center"/>
        </w:trPr>
        <w:tc>
          <w:tcPr>
            <w:tcW w:w="1593" w:type="dxa"/>
          </w:tcPr>
          <w:p w14:paraId="01FD08DE" w14:textId="77777777" w:rsidR="0089614A" w:rsidRPr="000130F4" w:rsidRDefault="0089614A" w:rsidP="0089614A">
            <w:pPr>
              <w:tabs>
                <w:tab w:val="left" w:pos="8910"/>
              </w:tabs>
              <w:adjustRightInd w:val="0"/>
              <w:snapToGrid w:val="0"/>
              <w:spacing w:after="60" w:line="240" w:lineRule="auto"/>
            </w:pPr>
            <w:r w:rsidRPr="00CF6053">
              <w:t xml:space="preserve">FSAP </w:t>
            </w:r>
          </w:p>
        </w:tc>
        <w:tc>
          <w:tcPr>
            <w:tcW w:w="7407" w:type="dxa"/>
          </w:tcPr>
          <w:p w14:paraId="6349ED9C" w14:textId="77777777" w:rsidR="0089614A" w:rsidRPr="000130F4" w:rsidRDefault="0089614A" w:rsidP="0089614A">
            <w:pPr>
              <w:tabs>
                <w:tab w:val="left" w:pos="8910"/>
              </w:tabs>
              <w:adjustRightInd w:val="0"/>
              <w:snapToGrid w:val="0"/>
              <w:spacing w:after="60" w:line="240" w:lineRule="auto"/>
            </w:pPr>
            <w:r w:rsidRPr="00CF6053">
              <w:t>Financial Sector Assessment Program</w:t>
            </w:r>
          </w:p>
        </w:tc>
      </w:tr>
      <w:tr w:rsidR="00E2726C" w:rsidRPr="000130F4" w14:paraId="645993AC" w14:textId="77777777" w:rsidTr="0025702D">
        <w:trPr>
          <w:jc w:val="center"/>
        </w:trPr>
        <w:tc>
          <w:tcPr>
            <w:tcW w:w="1593" w:type="dxa"/>
          </w:tcPr>
          <w:p w14:paraId="36AFB152" w14:textId="77777777" w:rsidR="00E2726C" w:rsidRPr="00CF6053" w:rsidRDefault="00E2726C" w:rsidP="0089614A">
            <w:pPr>
              <w:tabs>
                <w:tab w:val="left" w:pos="8910"/>
              </w:tabs>
              <w:adjustRightInd w:val="0"/>
              <w:snapToGrid w:val="0"/>
              <w:spacing w:after="60" w:line="240" w:lineRule="auto"/>
            </w:pPr>
            <w:r>
              <w:t>FTSE</w:t>
            </w:r>
          </w:p>
        </w:tc>
        <w:tc>
          <w:tcPr>
            <w:tcW w:w="7407" w:type="dxa"/>
          </w:tcPr>
          <w:p w14:paraId="0D327906" w14:textId="77777777" w:rsidR="00E2726C" w:rsidRPr="00CF6053" w:rsidRDefault="00E2726C" w:rsidP="0089614A">
            <w:pPr>
              <w:tabs>
                <w:tab w:val="left" w:pos="8910"/>
              </w:tabs>
              <w:adjustRightInd w:val="0"/>
              <w:snapToGrid w:val="0"/>
              <w:spacing w:after="60" w:line="240" w:lineRule="auto"/>
            </w:pPr>
            <w:r w:rsidRPr="00E2726C">
              <w:t>Financial Times Stock Exchange</w:t>
            </w:r>
          </w:p>
        </w:tc>
      </w:tr>
      <w:tr w:rsidR="0089614A" w:rsidRPr="000130F4" w14:paraId="14D14278" w14:textId="77777777" w:rsidTr="0025702D">
        <w:trPr>
          <w:jc w:val="center"/>
        </w:trPr>
        <w:tc>
          <w:tcPr>
            <w:tcW w:w="1593" w:type="dxa"/>
          </w:tcPr>
          <w:p w14:paraId="5B832C09" w14:textId="77777777" w:rsidR="0089614A" w:rsidRPr="000130F4" w:rsidRDefault="0089614A" w:rsidP="0089614A">
            <w:pPr>
              <w:tabs>
                <w:tab w:val="left" w:pos="8910"/>
              </w:tabs>
              <w:adjustRightInd w:val="0"/>
              <w:snapToGrid w:val="0"/>
              <w:spacing w:after="60" w:line="240" w:lineRule="auto"/>
            </w:pPr>
            <w:r w:rsidRPr="00CF6053">
              <w:t>FX</w:t>
            </w:r>
          </w:p>
        </w:tc>
        <w:tc>
          <w:tcPr>
            <w:tcW w:w="7407" w:type="dxa"/>
          </w:tcPr>
          <w:p w14:paraId="523D4D74" w14:textId="77777777" w:rsidR="0089614A" w:rsidRPr="000130F4" w:rsidRDefault="0089614A" w:rsidP="0089614A">
            <w:pPr>
              <w:tabs>
                <w:tab w:val="left" w:pos="8910"/>
              </w:tabs>
              <w:adjustRightInd w:val="0"/>
              <w:snapToGrid w:val="0"/>
              <w:spacing w:after="60" w:line="240" w:lineRule="auto"/>
            </w:pPr>
            <w:r w:rsidRPr="00CF6053">
              <w:t>Foreign Exchange</w:t>
            </w:r>
          </w:p>
        </w:tc>
      </w:tr>
      <w:tr w:rsidR="0089614A" w:rsidRPr="000130F4" w14:paraId="7030C0FF" w14:textId="77777777" w:rsidTr="0025702D">
        <w:trPr>
          <w:jc w:val="center"/>
        </w:trPr>
        <w:tc>
          <w:tcPr>
            <w:tcW w:w="1593" w:type="dxa"/>
          </w:tcPr>
          <w:p w14:paraId="3AEFBB94" w14:textId="77777777" w:rsidR="0089614A" w:rsidRPr="000130F4" w:rsidRDefault="0089614A" w:rsidP="0089614A">
            <w:pPr>
              <w:tabs>
                <w:tab w:val="left" w:pos="8910"/>
              </w:tabs>
              <w:adjustRightInd w:val="0"/>
              <w:snapToGrid w:val="0"/>
              <w:spacing w:after="60" w:line="240" w:lineRule="auto"/>
            </w:pPr>
            <w:r w:rsidRPr="00CF6053">
              <w:lastRenderedPageBreak/>
              <w:t>GDP</w:t>
            </w:r>
          </w:p>
        </w:tc>
        <w:tc>
          <w:tcPr>
            <w:tcW w:w="7407" w:type="dxa"/>
          </w:tcPr>
          <w:p w14:paraId="19FBE945" w14:textId="77777777" w:rsidR="0089614A" w:rsidRPr="000130F4" w:rsidRDefault="0089614A" w:rsidP="0089614A">
            <w:pPr>
              <w:tabs>
                <w:tab w:val="left" w:pos="8910"/>
              </w:tabs>
              <w:adjustRightInd w:val="0"/>
              <w:snapToGrid w:val="0"/>
              <w:spacing w:after="60" w:line="240" w:lineRule="auto"/>
            </w:pPr>
            <w:r w:rsidRPr="00CF6053">
              <w:t>Gross Domestic Product</w:t>
            </w:r>
          </w:p>
        </w:tc>
      </w:tr>
      <w:tr w:rsidR="0089614A" w:rsidRPr="000130F4" w14:paraId="444E206E" w14:textId="77777777" w:rsidTr="0025702D">
        <w:trPr>
          <w:jc w:val="center"/>
        </w:trPr>
        <w:tc>
          <w:tcPr>
            <w:tcW w:w="1593" w:type="dxa"/>
          </w:tcPr>
          <w:p w14:paraId="1968FB0A" w14:textId="77777777" w:rsidR="0089614A" w:rsidRPr="000130F4" w:rsidRDefault="0089614A" w:rsidP="0089614A">
            <w:pPr>
              <w:tabs>
                <w:tab w:val="left" w:pos="8910"/>
              </w:tabs>
              <w:adjustRightInd w:val="0"/>
              <w:snapToGrid w:val="0"/>
              <w:spacing w:after="60" w:line="240" w:lineRule="auto"/>
            </w:pPr>
            <w:r w:rsidRPr="00CF6053">
              <w:t>GDR</w:t>
            </w:r>
          </w:p>
        </w:tc>
        <w:tc>
          <w:tcPr>
            <w:tcW w:w="7407" w:type="dxa"/>
          </w:tcPr>
          <w:p w14:paraId="6B73609C" w14:textId="77777777" w:rsidR="0089614A" w:rsidRPr="000130F4" w:rsidRDefault="0089614A" w:rsidP="0089614A">
            <w:pPr>
              <w:tabs>
                <w:tab w:val="left" w:pos="8910"/>
              </w:tabs>
              <w:adjustRightInd w:val="0"/>
              <w:snapToGrid w:val="0"/>
              <w:spacing w:after="60" w:line="240" w:lineRule="auto"/>
            </w:pPr>
            <w:r w:rsidRPr="00CF6053">
              <w:t>Global Depository Receipt</w:t>
            </w:r>
          </w:p>
        </w:tc>
      </w:tr>
      <w:tr w:rsidR="00E2726C" w:rsidRPr="000130F4" w14:paraId="0F7CABF6" w14:textId="77777777" w:rsidTr="0025702D">
        <w:trPr>
          <w:jc w:val="center"/>
        </w:trPr>
        <w:tc>
          <w:tcPr>
            <w:tcW w:w="1593" w:type="dxa"/>
          </w:tcPr>
          <w:p w14:paraId="043EFB33" w14:textId="77777777" w:rsidR="00E2726C" w:rsidRPr="00CF6053" w:rsidRDefault="00E2726C" w:rsidP="0089614A">
            <w:pPr>
              <w:tabs>
                <w:tab w:val="left" w:pos="8910"/>
              </w:tabs>
              <w:adjustRightInd w:val="0"/>
              <w:snapToGrid w:val="0"/>
              <w:spacing w:after="60" w:line="240" w:lineRule="auto"/>
            </w:pPr>
            <w:r>
              <w:t>IAIS</w:t>
            </w:r>
          </w:p>
        </w:tc>
        <w:tc>
          <w:tcPr>
            <w:tcW w:w="7407" w:type="dxa"/>
          </w:tcPr>
          <w:p w14:paraId="7F3781D4" w14:textId="77777777" w:rsidR="00E2726C" w:rsidRPr="00CF6053" w:rsidRDefault="00E2726C" w:rsidP="0089614A">
            <w:pPr>
              <w:tabs>
                <w:tab w:val="left" w:pos="8910"/>
              </w:tabs>
              <w:adjustRightInd w:val="0"/>
              <w:snapToGrid w:val="0"/>
              <w:spacing w:after="60" w:line="240" w:lineRule="auto"/>
            </w:pPr>
            <w:r w:rsidRPr="00E2726C">
              <w:t>International Association of Insurance Supervisors</w:t>
            </w:r>
          </w:p>
        </w:tc>
      </w:tr>
      <w:tr w:rsidR="00E2726C" w:rsidRPr="000130F4" w14:paraId="71874AF1" w14:textId="77777777" w:rsidTr="0025702D">
        <w:trPr>
          <w:jc w:val="center"/>
        </w:trPr>
        <w:tc>
          <w:tcPr>
            <w:tcW w:w="1593" w:type="dxa"/>
          </w:tcPr>
          <w:p w14:paraId="3CDDBF47" w14:textId="77777777" w:rsidR="00E2726C" w:rsidRDefault="00E2726C" w:rsidP="0089614A">
            <w:pPr>
              <w:tabs>
                <w:tab w:val="left" w:pos="8910"/>
              </w:tabs>
              <w:adjustRightInd w:val="0"/>
              <w:snapToGrid w:val="0"/>
              <w:spacing w:after="60" w:line="240" w:lineRule="auto"/>
            </w:pPr>
            <w:r>
              <w:t>ICP</w:t>
            </w:r>
          </w:p>
        </w:tc>
        <w:tc>
          <w:tcPr>
            <w:tcW w:w="7407" w:type="dxa"/>
          </w:tcPr>
          <w:p w14:paraId="21FFE880" w14:textId="77777777" w:rsidR="00E2726C" w:rsidRPr="00E2726C" w:rsidRDefault="00E2726C" w:rsidP="0089614A">
            <w:pPr>
              <w:tabs>
                <w:tab w:val="left" w:pos="8910"/>
              </w:tabs>
              <w:adjustRightInd w:val="0"/>
              <w:snapToGrid w:val="0"/>
              <w:spacing w:after="60" w:line="240" w:lineRule="auto"/>
            </w:pPr>
            <w:r>
              <w:t>Insurance Core Principles</w:t>
            </w:r>
          </w:p>
        </w:tc>
      </w:tr>
      <w:tr w:rsidR="0089614A" w:rsidRPr="000130F4" w14:paraId="22D9F685" w14:textId="77777777" w:rsidTr="0025702D">
        <w:trPr>
          <w:jc w:val="center"/>
        </w:trPr>
        <w:tc>
          <w:tcPr>
            <w:tcW w:w="1593" w:type="dxa"/>
          </w:tcPr>
          <w:p w14:paraId="6E52F496" w14:textId="77777777" w:rsidR="0089614A" w:rsidRPr="00CF6053" w:rsidRDefault="0089614A" w:rsidP="0089614A">
            <w:pPr>
              <w:tabs>
                <w:tab w:val="left" w:pos="8910"/>
              </w:tabs>
              <w:adjustRightInd w:val="0"/>
              <w:snapToGrid w:val="0"/>
              <w:spacing w:after="60" w:line="240" w:lineRule="auto"/>
            </w:pPr>
            <w:r>
              <w:t>IFRS</w:t>
            </w:r>
          </w:p>
        </w:tc>
        <w:tc>
          <w:tcPr>
            <w:tcW w:w="7407" w:type="dxa"/>
          </w:tcPr>
          <w:p w14:paraId="7F7E1433" w14:textId="77777777" w:rsidR="0089614A" w:rsidRPr="00CF6053" w:rsidRDefault="0089614A" w:rsidP="0089614A">
            <w:pPr>
              <w:tabs>
                <w:tab w:val="left" w:pos="8910"/>
              </w:tabs>
              <w:adjustRightInd w:val="0"/>
              <w:snapToGrid w:val="0"/>
              <w:spacing w:after="60" w:line="240" w:lineRule="auto"/>
            </w:pPr>
            <w:r>
              <w:t>International Financial Reporting Standards</w:t>
            </w:r>
          </w:p>
        </w:tc>
      </w:tr>
      <w:tr w:rsidR="0089614A" w:rsidRPr="000130F4" w14:paraId="2581EE74" w14:textId="77777777" w:rsidTr="0025702D">
        <w:trPr>
          <w:jc w:val="center"/>
        </w:trPr>
        <w:tc>
          <w:tcPr>
            <w:tcW w:w="1593" w:type="dxa"/>
          </w:tcPr>
          <w:p w14:paraId="1ED307E3" w14:textId="77777777" w:rsidR="0089614A" w:rsidRDefault="0089614A" w:rsidP="0089614A">
            <w:pPr>
              <w:tabs>
                <w:tab w:val="left" w:pos="8910"/>
              </w:tabs>
              <w:adjustRightInd w:val="0"/>
              <w:snapToGrid w:val="0"/>
              <w:spacing w:after="60" w:line="240" w:lineRule="auto"/>
            </w:pPr>
            <w:r>
              <w:t>IMF</w:t>
            </w:r>
          </w:p>
        </w:tc>
        <w:tc>
          <w:tcPr>
            <w:tcW w:w="7407" w:type="dxa"/>
          </w:tcPr>
          <w:p w14:paraId="20E25274" w14:textId="77777777" w:rsidR="0089614A" w:rsidRDefault="0089614A" w:rsidP="0089614A">
            <w:pPr>
              <w:tabs>
                <w:tab w:val="left" w:pos="8910"/>
              </w:tabs>
              <w:adjustRightInd w:val="0"/>
              <w:snapToGrid w:val="0"/>
              <w:spacing w:after="60" w:line="240" w:lineRule="auto"/>
            </w:pPr>
            <w:r>
              <w:t>International Monetary Fund</w:t>
            </w:r>
          </w:p>
        </w:tc>
      </w:tr>
      <w:tr w:rsidR="0089614A" w:rsidRPr="000130F4" w14:paraId="4CAA11D5" w14:textId="77777777" w:rsidTr="0025702D">
        <w:trPr>
          <w:jc w:val="center"/>
        </w:trPr>
        <w:tc>
          <w:tcPr>
            <w:tcW w:w="1593" w:type="dxa"/>
          </w:tcPr>
          <w:p w14:paraId="04A5A878" w14:textId="77777777" w:rsidR="0089614A" w:rsidRDefault="0089614A" w:rsidP="0089614A">
            <w:pPr>
              <w:tabs>
                <w:tab w:val="left" w:pos="8910"/>
              </w:tabs>
              <w:adjustRightInd w:val="0"/>
              <w:snapToGrid w:val="0"/>
              <w:spacing w:after="60" w:line="240" w:lineRule="auto"/>
            </w:pPr>
            <w:r>
              <w:t>IOSCO</w:t>
            </w:r>
          </w:p>
        </w:tc>
        <w:tc>
          <w:tcPr>
            <w:tcW w:w="7407" w:type="dxa"/>
          </w:tcPr>
          <w:p w14:paraId="623CAC47" w14:textId="77777777" w:rsidR="0089614A" w:rsidRDefault="0089614A" w:rsidP="0089614A">
            <w:pPr>
              <w:tabs>
                <w:tab w:val="left" w:pos="8910"/>
              </w:tabs>
              <w:adjustRightInd w:val="0"/>
              <w:snapToGrid w:val="0"/>
              <w:spacing w:after="60" w:line="240" w:lineRule="auto"/>
            </w:pPr>
            <w:r w:rsidRPr="0089614A">
              <w:t>International Organization of Securities Commissions</w:t>
            </w:r>
          </w:p>
        </w:tc>
      </w:tr>
      <w:tr w:rsidR="0089614A" w:rsidRPr="000130F4" w14:paraId="2254DD43" w14:textId="77777777" w:rsidTr="0025702D">
        <w:trPr>
          <w:jc w:val="center"/>
        </w:trPr>
        <w:tc>
          <w:tcPr>
            <w:tcW w:w="1593" w:type="dxa"/>
          </w:tcPr>
          <w:p w14:paraId="337B03C1" w14:textId="77777777" w:rsidR="0089614A" w:rsidRPr="000130F4" w:rsidRDefault="0089614A" w:rsidP="0089614A">
            <w:pPr>
              <w:tabs>
                <w:tab w:val="left" w:pos="8910"/>
              </w:tabs>
              <w:adjustRightInd w:val="0"/>
              <w:snapToGrid w:val="0"/>
              <w:spacing w:after="60" w:line="240" w:lineRule="auto"/>
            </w:pPr>
            <w:r w:rsidRPr="00CF6053">
              <w:t>IPO</w:t>
            </w:r>
          </w:p>
        </w:tc>
        <w:tc>
          <w:tcPr>
            <w:tcW w:w="7407" w:type="dxa"/>
          </w:tcPr>
          <w:p w14:paraId="114BC1C2" w14:textId="77777777" w:rsidR="0089614A" w:rsidRPr="000130F4" w:rsidRDefault="0089614A" w:rsidP="0089614A">
            <w:pPr>
              <w:tabs>
                <w:tab w:val="left" w:pos="8910"/>
              </w:tabs>
              <w:adjustRightInd w:val="0"/>
              <w:snapToGrid w:val="0"/>
              <w:spacing w:after="60" w:line="240" w:lineRule="auto"/>
            </w:pPr>
            <w:r w:rsidRPr="00CF6053">
              <w:t>Initial Public Offering</w:t>
            </w:r>
          </w:p>
        </w:tc>
      </w:tr>
      <w:tr w:rsidR="0089614A" w:rsidRPr="000130F4" w14:paraId="57987AF4" w14:textId="77777777" w:rsidTr="0025702D">
        <w:trPr>
          <w:jc w:val="center"/>
        </w:trPr>
        <w:tc>
          <w:tcPr>
            <w:tcW w:w="1593" w:type="dxa"/>
          </w:tcPr>
          <w:p w14:paraId="2CB90625" w14:textId="77777777" w:rsidR="0089614A" w:rsidRPr="000130F4" w:rsidRDefault="0089614A" w:rsidP="0089614A">
            <w:pPr>
              <w:tabs>
                <w:tab w:val="left" w:pos="8910"/>
              </w:tabs>
              <w:adjustRightInd w:val="0"/>
              <w:snapToGrid w:val="0"/>
              <w:spacing w:after="60" w:line="240" w:lineRule="auto"/>
            </w:pPr>
            <w:r w:rsidRPr="00CF6053">
              <w:t>LCR</w:t>
            </w:r>
          </w:p>
        </w:tc>
        <w:tc>
          <w:tcPr>
            <w:tcW w:w="7407" w:type="dxa"/>
          </w:tcPr>
          <w:p w14:paraId="512D72C3" w14:textId="77777777" w:rsidR="0089614A" w:rsidRPr="000130F4" w:rsidRDefault="0089614A" w:rsidP="0089614A">
            <w:pPr>
              <w:tabs>
                <w:tab w:val="left" w:pos="8910"/>
              </w:tabs>
              <w:adjustRightInd w:val="0"/>
              <w:snapToGrid w:val="0"/>
              <w:spacing w:after="60" w:line="240" w:lineRule="auto"/>
            </w:pPr>
            <w:r w:rsidRPr="00CF6053">
              <w:t xml:space="preserve">Liquidity Coverage Ratio </w:t>
            </w:r>
          </w:p>
        </w:tc>
      </w:tr>
      <w:tr w:rsidR="0089614A" w:rsidRPr="000130F4" w14:paraId="4D1E6656" w14:textId="77777777" w:rsidTr="0025702D">
        <w:trPr>
          <w:jc w:val="center"/>
        </w:trPr>
        <w:tc>
          <w:tcPr>
            <w:tcW w:w="1593" w:type="dxa"/>
          </w:tcPr>
          <w:p w14:paraId="0FB1D3DC" w14:textId="77777777" w:rsidR="0089614A" w:rsidRPr="00CF6053" w:rsidRDefault="0089614A" w:rsidP="0089614A">
            <w:pPr>
              <w:tabs>
                <w:tab w:val="left" w:pos="8910"/>
              </w:tabs>
              <w:adjustRightInd w:val="0"/>
              <w:snapToGrid w:val="0"/>
              <w:spacing w:after="60" w:line="240" w:lineRule="auto"/>
            </w:pPr>
            <w:r>
              <w:t>LTD</w:t>
            </w:r>
          </w:p>
        </w:tc>
        <w:tc>
          <w:tcPr>
            <w:tcW w:w="7407" w:type="dxa"/>
          </w:tcPr>
          <w:p w14:paraId="34196402" w14:textId="77777777" w:rsidR="0089614A" w:rsidRPr="00CF6053" w:rsidRDefault="0089614A" w:rsidP="0089614A">
            <w:pPr>
              <w:tabs>
                <w:tab w:val="left" w:pos="8910"/>
              </w:tabs>
              <w:adjustRightInd w:val="0"/>
              <w:snapToGrid w:val="0"/>
              <w:spacing w:after="60" w:line="240" w:lineRule="auto"/>
            </w:pPr>
            <w:r>
              <w:t>Loan to Deposit</w:t>
            </w:r>
          </w:p>
        </w:tc>
      </w:tr>
      <w:tr w:rsidR="0089614A" w:rsidRPr="000130F4" w14:paraId="7E8D51AF" w14:textId="77777777" w:rsidTr="0025702D">
        <w:trPr>
          <w:jc w:val="center"/>
        </w:trPr>
        <w:tc>
          <w:tcPr>
            <w:tcW w:w="1593" w:type="dxa"/>
          </w:tcPr>
          <w:p w14:paraId="2248C145" w14:textId="77777777" w:rsidR="0089614A" w:rsidRPr="000130F4" w:rsidRDefault="0089614A" w:rsidP="0089614A">
            <w:pPr>
              <w:tabs>
                <w:tab w:val="left" w:pos="8910"/>
              </w:tabs>
              <w:adjustRightInd w:val="0"/>
              <w:snapToGrid w:val="0"/>
              <w:spacing w:after="60" w:line="240" w:lineRule="auto"/>
            </w:pPr>
            <w:r w:rsidRPr="00CF6053">
              <w:t>LTV</w:t>
            </w:r>
          </w:p>
        </w:tc>
        <w:tc>
          <w:tcPr>
            <w:tcW w:w="7407" w:type="dxa"/>
          </w:tcPr>
          <w:p w14:paraId="5C2B273E" w14:textId="77777777" w:rsidR="0089614A" w:rsidRPr="000130F4" w:rsidRDefault="0089614A" w:rsidP="0089614A">
            <w:pPr>
              <w:tabs>
                <w:tab w:val="left" w:pos="8910"/>
              </w:tabs>
              <w:adjustRightInd w:val="0"/>
              <w:snapToGrid w:val="0"/>
              <w:spacing w:after="60" w:line="240" w:lineRule="auto"/>
            </w:pPr>
            <w:r w:rsidRPr="00CF6053">
              <w:t>Loan to Value</w:t>
            </w:r>
          </w:p>
        </w:tc>
      </w:tr>
      <w:tr w:rsidR="0089614A" w:rsidRPr="000130F4" w14:paraId="60D80692" w14:textId="77777777" w:rsidTr="0025702D">
        <w:trPr>
          <w:jc w:val="center"/>
        </w:trPr>
        <w:tc>
          <w:tcPr>
            <w:tcW w:w="1593" w:type="dxa"/>
          </w:tcPr>
          <w:p w14:paraId="0E839074" w14:textId="77777777" w:rsidR="0089614A" w:rsidRPr="000130F4" w:rsidRDefault="0089614A" w:rsidP="0089614A">
            <w:pPr>
              <w:tabs>
                <w:tab w:val="left" w:pos="8910"/>
              </w:tabs>
              <w:adjustRightInd w:val="0"/>
              <w:snapToGrid w:val="0"/>
              <w:spacing w:after="60" w:line="240" w:lineRule="auto"/>
            </w:pPr>
            <w:r w:rsidRPr="00CF6053">
              <w:t>MiFID</w:t>
            </w:r>
          </w:p>
        </w:tc>
        <w:tc>
          <w:tcPr>
            <w:tcW w:w="7407" w:type="dxa"/>
          </w:tcPr>
          <w:p w14:paraId="68495894" w14:textId="77777777" w:rsidR="0089614A" w:rsidRPr="000130F4" w:rsidRDefault="0089614A" w:rsidP="0089614A">
            <w:pPr>
              <w:tabs>
                <w:tab w:val="left" w:pos="8910"/>
              </w:tabs>
              <w:adjustRightInd w:val="0"/>
              <w:snapToGrid w:val="0"/>
              <w:spacing w:after="60" w:line="240" w:lineRule="auto"/>
            </w:pPr>
            <w:r w:rsidRPr="00CF6053">
              <w:t>Markets in Financial Instruments Directive</w:t>
            </w:r>
          </w:p>
        </w:tc>
      </w:tr>
      <w:tr w:rsidR="0089614A" w:rsidRPr="000130F4" w14:paraId="1D90747D" w14:textId="77777777" w:rsidTr="0025702D">
        <w:trPr>
          <w:jc w:val="center"/>
        </w:trPr>
        <w:tc>
          <w:tcPr>
            <w:tcW w:w="1593" w:type="dxa"/>
          </w:tcPr>
          <w:p w14:paraId="5A8102F4" w14:textId="77777777" w:rsidR="0089614A" w:rsidRPr="00CF6053" w:rsidRDefault="0089614A" w:rsidP="0089614A">
            <w:pPr>
              <w:tabs>
                <w:tab w:val="left" w:pos="8910"/>
              </w:tabs>
              <w:adjustRightInd w:val="0"/>
              <w:snapToGrid w:val="0"/>
              <w:spacing w:after="60" w:line="240" w:lineRule="auto"/>
            </w:pPr>
            <w:r>
              <w:t>ML/FT</w:t>
            </w:r>
          </w:p>
        </w:tc>
        <w:tc>
          <w:tcPr>
            <w:tcW w:w="7407" w:type="dxa"/>
          </w:tcPr>
          <w:p w14:paraId="225B2468" w14:textId="77777777" w:rsidR="0089614A" w:rsidRPr="00CF6053" w:rsidRDefault="0089614A" w:rsidP="0089614A">
            <w:pPr>
              <w:tabs>
                <w:tab w:val="left" w:pos="8910"/>
              </w:tabs>
              <w:adjustRightInd w:val="0"/>
              <w:snapToGrid w:val="0"/>
              <w:spacing w:after="60" w:line="240" w:lineRule="auto"/>
            </w:pPr>
            <w:r>
              <w:t>Money Laundering and Financing of Terrorism</w:t>
            </w:r>
          </w:p>
        </w:tc>
      </w:tr>
      <w:tr w:rsidR="00E2726C" w:rsidRPr="000130F4" w14:paraId="26A9BCC0" w14:textId="77777777" w:rsidTr="0025702D">
        <w:trPr>
          <w:jc w:val="center"/>
        </w:trPr>
        <w:tc>
          <w:tcPr>
            <w:tcW w:w="1593" w:type="dxa"/>
          </w:tcPr>
          <w:p w14:paraId="49D1968F" w14:textId="77777777" w:rsidR="00E2726C" w:rsidRDefault="00E2726C" w:rsidP="0089614A">
            <w:pPr>
              <w:tabs>
                <w:tab w:val="left" w:pos="8910"/>
              </w:tabs>
              <w:adjustRightInd w:val="0"/>
              <w:snapToGrid w:val="0"/>
              <w:spacing w:after="60" w:line="240" w:lineRule="auto"/>
            </w:pPr>
            <w:r w:rsidRPr="00E2726C">
              <w:t>MoAI</w:t>
            </w:r>
          </w:p>
        </w:tc>
        <w:tc>
          <w:tcPr>
            <w:tcW w:w="7407" w:type="dxa"/>
          </w:tcPr>
          <w:p w14:paraId="0889B9CE" w14:textId="77777777" w:rsidR="00E2726C" w:rsidRDefault="00E2726C" w:rsidP="0089614A">
            <w:pPr>
              <w:tabs>
                <w:tab w:val="left" w:pos="8910"/>
              </w:tabs>
              <w:adjustRightInd w:val="0"/>
              <w:snapToGrid w:val="0"/>
              <w:spacing w:after="60" w:line="240" w:lineRule="auto"/>
            </w:pPr>
            <w:r w:rsidRPr="00E2726C">
              <w:t>Ministry of Administration and Interior</w:t>
            </w:r>
          </w:p>
        </w:tc>
      </w:tr>
      <w:tr w:rsidR="00E2726C" w:rsidRPr="000130F4" w14:paraId="711C7392" w14:textId="77777777" w:rsidTr="0025702D">
        <w:trPr>
          <w:jc w:val="center"/>
        </w:trPr>
        <w:tc>
          <w:tcPr>
            <w:tcW w:w="1593" w:type="dxa"/>
          </w:tcPr>
          <w:p w14:paraId="58BACBF8" w14:textId="77777777" w:rsidR="00E2726C" w:rsidRPr="00E2726C" w:rsidRDefault="00E2726C" w:rsidP="0089614A">
            <w:pPr>
              <w:tabs>
                <w:tab w:val="left" w:pos="8910"/>
              </w:tabs>
              <w:adjustRightInd w:val="0"/>
              <w:snapToGrid w:val="0"/>
              <w:spacing w:after="60" w:line="240" w:lineRule="auto"/>
            </w:pPr>
            <w:r>
              <w:t>MoE</w:t>
            </w:r>
          </w:p>
        </w:tc>
        <w:tc>
          <w:tcPr>
            <w:tcW w:w="7407" w:type="dxa"/>
          </w:tcPr>
          <w:p w14:paraId="112FC81B" w14:textId="77777777" w:rsidR="00E2726C" w:rsidRPr="00E2726C" w:rsidRDefault="00E2726C" w:rsidP="0089614A">
            <w:pPr>
              <w:tabs>
                <w:tab w:val="left" w:pos="8910"/>
              </w:tabs>
              <w:adjustRightInd w:val="0"/>
              <w:snapToGrid w:val="0"/>
              <w:spacing w:after="60" w:line="240" w:lineRule="auto"/>
            </w:pPr>
            <w:r>
              <w:t>Ministry of Economy</w:t>
            </w:r>
          </w:p>
        </w:tc>
      </w:tr>
      <w:tr w:rsidR="00E2726C" w:rsidRPr="000130F4" w14:paraId="66806918" w14:textId="77777777" w:rsidTr="0025702D">
        <w:trPr>
          <w:jc w:val="center"/>
        </w:trPr>
        <w:tc>
          <w:tcPr>
            <w:tcW w:w="1593" w:type="dxa"/>
          </w:tcPr>
          <w:p w14:paraId="6B8A97FB" w14:textId="77777777" w:rsidR="00E2726C" w:rsidRDefault="00E2726C" w:rsidP="0089614A">
            <w:pPr>
              <w:tabs>
                <w:tab w:val="left" w:pos="8910"/>
              </w:tabs>
              <w:adjustRightInd w:val="0"/>
              <w:snapToGrid w:val="0"/>
              <w:spacing w:after="60" w:line="240" w:lineRule="auto"/>
            </w:pPr>
            <w:r>
              <w:t>MoJ</w:t>
            </w:r>
          </w:p>
        </w:tc>
        <w:tc>
          <w:tcPr>
            <w:tcW w:w="7407" w:type="dxa"/>
          </w:tcPr>
          <w:p w14:paraId="3EF56069" w14:textId="77777777" w:rsidR="00E2726C" w:rsidRDefault="00E2726C" w:rsidP="0089614A">
            <w:pPr>
              <w:tabs>
                <w:tab w:val="left" w:pos="8910"/>
              </w:tabs>
              <w:adjustRightInd w:val="0"/>
              <w:snapToGrid w:val="0"/>
              <w:spacing w:after="60" w:line="240" w:lineRule="auto"/>
            </w:pPr>
            <w:r>
              <w:t>Ministry of Justice</w:t>
            </w:r>
          </w:p>
        </w:tc>
      </w:tr>
      <w:tr w:rsidR="0089614A" w:rsidRPr="000130F4" w14:paraId="0A4A86A6" w14:textId="77777777" w:rsidTr="0025702D">
        <w:trPr>
          <w:jc w:val="center"/>
        </w:trPr>
        <w:tc>
          <w:tcPr>
            <w:tcW w:w="1593" w:type="dxa"/>
          </w:tcPr>
          <w:p w14:paraId="674CAC76" w14:textId="77777777" w:rsidR="0089614A" w:rsidRDefault="0089614A" w:rsidP="0089614A">
            <w:pPr>
              <w:tabs>
                <w:tab w:val="left" w:pos="8910"/>
              </w:tabs>
              <w:adjustRightInd w:val="0"/>
              <w:snapToGrid w:val="0"/>
              <w:spacing w:after="60" w:line="240" w:lineRule="auto"/>
            </w:pPr>
            <w:r>
              <w:t>MONEYVAL</w:t>
            </w:r>
          </w:p>
        </w:tc>
        <w:tc>
          <w:tcPr>
            <w:tcW w:w="7407" w:type="dxa"/>
          </w:tcPr>
          <w:p w14:paraId="0381168B" w14:textId="77777777" w:rsidR="0089614A" w:rsidRDefault="0089614A" w:rsidP="0089614A">
            <w:pPr>
              <w:tabs>
                <w:tab w:val="left" w:pos="8910"/>
              </w:tabs>
              <w:adjustRightInd w:val="0"/>
              <w:snapToGrid w:val="0"/>
              <w:spacing w:after="60" w:line="240" w:lineRule="auto"/>
            </w:pPr>
            <w:r w:rsidRPr="0089614A">
              <w:t>Committee of Experts on the Evaluation of Anti-Money Laundering Measures and the Financing of Terrorism</w:t>
            </w:r>
          </w:p>
        </w:tc>
      </w:tr>
      <w:tr w:rsidR="0089614A" w:rsidRPr="000130F4" w14:paraId="78363349" w14:textId="77777777" w:rsidTr="0025702D">
        <w:trPr>
          <w:jc w:val="center"/>
        </w:trPr>
        <w:tc>
          <w:tcPr>
            <w:tcW w:w="1593" w:type="dxa"/>
          </w:tcPr>
          <w:p w14:paraId="681C51F6" w14:textId="77777777" w:rsidR="0089614A" w:rsidRPr="000130F4" w:rsidRDefault="0089614A" w:rsidP="0089614A">
            <w:pPr>
              <w:tabs>
                <w:tab w:val="left" w:pos="8910"/>
              </w:tabs>
              <w:adjustRightInd w:val="0"/>
              <w:snapToGrid w:val="0"/>
              <w:spacing w:after="60" w:line="240" w:lineRule="auto"/>
            </w:pPr>
            <w:r w:rsidRPr="00CF6053">
              <w:t>MoPF</w:t>
            </w:r>
          </w:p>
        </w:tc>
        <w:tc>
          <w:tcPr>
            <w:tcW w:w="7407" w:type="dxa"/>
          </w:tcPr>
          <w:p w14:paraId="21814B65" w14:textId="77777777" w:rsidR="0089614A" w:rsidRPr="000130F4" w:rsidRDefault="0089614A" w:rsidP="0089614A">
            <w:pPr>
              <w:tabs>
                <w:tab w:val="left" w:pos="8910"/>
              </w:tabs>
              <w:adjustRightInd w:val="0"/>
              <w:snapToGrid w:val="0"/>
              <w:spacing w:after="60" w:line="240" w:lineRule="auto"/>
            </w:pPr>
            <w:r w:rsidRPr="00CF6053">
              <w:t>Ministry of Public Finance</w:t>
            </w:r>
          </w:p>
        </w:tc>
      </w:tr>
      <w:tr w:rsidR="00E2726C" w:rsidRPr="000130F4" w14:paraId="140C2EF5" w14:textId="77777777" w:rsidTr="0025702D">
        <w:trPr>
          <w:jc w:val="center"/>
        </w:trPr>
        <w:tc>
          <w:tcPr>
            <w:tcW w:w="1593" w:type="dxa"/>
          </w:tcPr>
          <w:p w14:paraId="525A704E" w14:textId="77777777" w:rsidR="00E2726C" w:rsidRPr="00CF6053" w:rsidRDefault="00E2726C" w:rsidP="0089614A">
            <w:pPr>
              <w:tabs>
                <w:tab w:val="left" w:pos="8910"/>
              </w:tabs>
              <w:adjustRightInd w:val="0"/>
              <w:snapToGrid w:val="0"/>
              <w:spacing w:after="60" w:line="240" w:lineRule="auto"/>
            </w:pPr>
            <w:r>
              <w:t>MSCI</w:t>
            </w:r>
          </w:p>
        </w:tc>
        <w:tc>
          <w:tcPr>
            <w:tcW w:w="7407" w:type="dxa"/>
          </w:tcPr>
          <w:p w14:paraId="729332AE" w14:textId="77777777" w:rsidR="00E2726C" w:rsidRPr="00CF6053" w:rsidRDefault="00E2726C" w:rsidP="0089614A">
            <w:pPr>
              <w:tabs>
                <w:tab w:val="left" w:pos="8910"/>
              </w:tabs>
              <w:adjustRightInd w:val="0"/>
              <w:snapToGrid w:val="0"/>
              <w:spacing w:after="60" w:line="240" w:lineRule="auto"/>
            </w:pPr>
            <w:r w:rsidRPr="00E2726C">
              <w:t>Morgan Stanley Capital International</w:t>
            </w:r>
          </w:p>
        </w:tc>
      </w:tr>
      <w:tr w:rsidR="0089614A" w:rsidRPr="000130F4" w14:paraId="40C79B51" w14:textId="77777777" w:rsidTr="0025702D">
        <w:trPr>
          <w:jc w:val="center"/>
        </w:trPr>
        <w:tc>
          <w:tcPr>
            <w:tcW w:w="1593" w:type="dxa"/>
          </w:tcPr>
          <w:p w14:paraId="3272164A" w14:textId="77777777" w:rsidR="0089614A" w:rsidRPr="000130F4" w:rsidRDefault="0089614A" w:rsidP="0089614A">
            <w:pPr>
              <w:tabs>
                <w:tab w:val="left" w:pos="8910"/>
              </w:tabs>
              <w:adjustRightInd w:val="0"/>
              <w:snapToGrid w:val="0"/>
              <w:spacing w:after="60" w:line="240" w:lineRule="auto"/>
            </w:pPr>
            <w:r w:rsidRPr="00CF6053">
              <w:t>MSME</w:t>
            </w:r>
          </w:p>
        </w:tc>
        <w:tc>
          <w:tcPr>
            <w:tcW w:w="7407" w:type="dxa"/>
          </w:tcPr>
          <w:p w14:paraId="5DCDF1F1" w14:textId="77777777" w:rsidR="0089614A" w:rsidRPr="000130F4" w:rsidRDefault="0089614A" w:rsidP="0089614A">
            <w:pPr>
              <w:tabs>
                <w:tab w:val="left" w:pos="8910"/>
              </w:tabs>
              <w:adjustRightInd w:val="0"/>
              <w:snapToGrid w:val="0"/>
              <w:spacing w:after="60" w:line="240" w:lineRule="auto"/>
            </w:pPr>
            <w:r w:rsidRPr="00CF6053">
              <w:t>Micro, Small and Medium-sized Enterprise</w:t>
            </w:r>
          </w:p>
        </w:tc>
      </w:tr>
      <w:tr w:rsidR="0089614A" w:rsidRPr="000130F4" w14:paraId="3924CF9A" w14:textId="77777777" w:rsidTr="0025702D">
        <w:trPr>
          <w:jc w:val="center"/>
        </w:trPr>
        <w:tc>
          <w:tcPr>
            <w:tcW w:w="1593" w:type="dxa"/>
          </w:tcPr>
          <w:p w14:paraId="449E5A6D" w14:textId="77777777" w:rsidR="0089614A" w:rsidRPr="000130F4" w:rsidRDefault="0089614A" w:rsidP="0089614A">
            <w:pPr>
              <w:tabs>
                <w:tab w:val="left" w:pos="8910"/>
              </w:tabs>
              <w:adjustRightInd w:val="0"/>
              <w:snapToGrid w:val="0"/>
              <w:spacing w:after="60" w:line="240" w:lineRule="auto"/>
            </w:pPr>
            <w:r w:rsidRPr="00CF6053">
              <w:t>MTPL</w:t>
            </w:r>
          </w:p>
        </w:tc>
        <w:tc>
          <w:tcPr>
            <w:tcW w:w="7407" w:type="dxa"/>
          </w:tcPr>
          <w:p w14:paraId="09FFE5F0" w14:textId="77777777" w:rsidR="0089614A" w:rsidRPr="000130F4" w:rsidRDefault="0089614A" w:rsidP="0089614A">
            <w:pPr>
              <w:tabs>
                <w:tab w:val="left" w:pos="8910"/>
              </w:tabs>
              <w:adjustRightInd w:val="0"/>
              <w:snapToGrid w:val="0"/>
              <w:spacing w:after="60" w:line="240" w:lineRule="auto"/>
            </w:pPr>
            <w:r w:rsidRPr="00CF6053">
              <w:t>Motor Third Party Liability</w:t>
            </w:r>
          </w:p>
        </w:tc>
      </w:tr>
      <w:tr w:rsidR="0089614A" w:rsidRPr="000130F4" w14:paraId="31A1E547" w14:textId="77777777" w:rsidTr="0025702D">
        <w:trPr>
          <w:jc w:val="center"/>
        </w:trPr>
        <w:tc>
          <w:tcPr>
            <w:tcW w:w="1593" w:type="dxa"/>
          </w:tcPr>
          <w:p w14:paraId="543D0F40" w14:textId="77777777" w:rsidR="0089614A" w:rsidRPr="000130F4" w:rsidRDefault="0089614A" w:rsidP="0089614A">
            <w:pPr>
              <w:tabs>
                <w:tab w:val="left" w:pos="8910"/>
              </w:tabs>
              <w:adjustRightInd w:val="0"/>
              <w:snapToGrid w:val="0"/>
              <w:spacing w:after="60" w:line="240" w:lineRule="auto"/>
            </w:pPr>
            <w:r w:rsidRPr="00CF6053">
              <w:t>NBFL</w:t>
            </w:r>
          </w:p>
        </w:tc>
        <w:tc>
          <w:tcPr>
            <w:tcW w:w="7407" w:type="dxa"/>
          </w:tcPr>
          <w:p w14:paraId="457EEEF4" w14:textId="77777777" w:rsidR="0089614A" w:rsidRPr="000130F4" w:rsidRDefault="0089614A" w:rsidP="0089614A">
            <w:pPr>
              <w:tabs>
                <w:tab w:val="left" w:pos="8910"/>
              </w:tabs>
              <w:adjustRightInd w:val="0"/>
              <w:snapToGrid w:val="0"/>
              <w:spacing w:after="60" w:line="240" w:lineRule="auto"/>
            </w:pPr>
            <w:r w:rsidRPr="00CF6053">
              <w:t>Nonbank Financial Lenders</w:t>
            </w:r>
          </w:p>
        </w:tc>
      </w:tr>
      <w:tr w:rsidR="0089614A" w:rsidRPr="000130F4" w14:paraId="622BC2FA" w14:textId="77777777" w:rsidTr="0025702D">
        <w:trPr>
          <w:jc w:val="center"/>
        </w:trPr>
        <w:tc>
          <w:tcPr>
            <w:tcW w:w="1593" w:type="dxa"/>
          </w:tcPr>
          <w:p w14:paraId="2AE59815" w14:textId="77777777" w:rsidR="0089614A" w:rsidRPr="000130F4" w:rsidRDefault="0089614A" w:rsidP="0089614A">
            <w:pPr>
              <w:tabs>
                <w:tab w:val="left" w:pos="8910"/>
              </w:tabs>
              <w:adjustRightInd w:val="0"/>
              <w:snapToGrid w:val="0"/>
              <w:spacing w:after="60" w:line="240" w:lineRule="auto"/>
            </w:pPr>
            <w:r w:rsidRPr="00CF6053">
              <w:t>NBR</w:t>
            </w:r>
          </w:p>
        </w:tc>
        <w:tc>
          <w:tcPr>
            <w:tcW w:w="7407" w:type="dxa"/>
          </w:tcPr>
          <w:p w14:paraId="45081573" w14:textId="77777777" w:rsidR="0089614A" w:rsidRPr="000130F4" w:rsidRDefault="0089614A" w:rsidP="0089614A">
            <w:pPr>
              <w:tabs>
                <w:tab w:val="left" w:pos="8910"/>
              </w:tabs>
              <w:adjustRightInd w:val="0"/>
              <w:snapToGrid w:val="0"/>
              <w:spacing w:after="60" w:line="240" w:lineRule="auto"/>
            </w:pPr>
            <w:r w:rsidRPr="00CF6053">
              <w:t>National Bank of Romania</w:t>
            </w:r>
          </w:p>
        </w:tc>
      </w:tr>
      <w:tr w:rsidR="0089614A" w:rsidRPr="000130F4" w14:paraId="741CEE24" w14:textId="77777777" w:rsidTr="0025702D">
        <w:trPr>
          <w:trHeight w:val="252"/>
          <w:jc w:val="center"/>
        </w:trPr>
        <w:tc>
          <w:tcPr>
            <w:tcW w:w="1593" w:type="dxa"/>
          </w:tcPr>
          <w:p w14:paraId="43E3E7BB" w14:textId="77777777" w:rsidR="0089614A" w:rsidRPr="000130F4" w:rsidRDefault="0089614A" w:rsidP="0089614A">
            <w:pPr>
              <w:tabs>
                <w:tab w:val="left" w:pos="8910"/>
              </w:tabs>
              <w:adjustRightInd w:val="0"/>
              <w:snapToGrid w:val="0"/>
              <w:spacing w:after="60" w:line="240" w:lineRule="auto"/>
            </w:pPr>
            <w:r w:rsidRPr="00CF6053">
              <w:t>NCMO</w:t>
            </w:r>
          </w:p>
        </w:tc>
        <w:tc>
          <w:tcPr>
            <w:tcW w:w="7407" w:type="dxa"/>
          </w:tcPr>
          <w:p w14:paraId="193DD4E4" w14:textId="77777777" w:rsidR="0089614A" w:rsidRPr="000130F4" w:rsidRDefault="0089614A" w:rsidP="0089614A">
            <w:pPr>
              <w:tabs>
                <w:tab w:val="left" w:pos="8910"/>
              </w:tabs>
              <w:adjustRightInd w:val="0"/>
              <w:snapToGrid w:val="0"/>
              <w:spacing w:after="60" w:line="240" w:lineRule="auto"/>
            </w:pPr>
            <w:r w:rsidRPr="00CF6053">
              <w:t>National Committee for Macroprudential Oversight</w:t>
            </w:r>
          </w:p>
        </w:tc>
      </w:tr>
      <w:tr w:rsidR="0089614A" w:rsidRPr="000130F4" w14:paraId="62EE1729" w14:textId="77777777" w:rsidTr="0025702D">
        <w:trPr>
          <w:jc w:val="center"/>
        </w:trPr>
        <w:tc>
          <w:tcPr>
            <w:tcW w:w="1593" w:type="dxa"/>
          </w:tcPr>
          <w:p w14:paraId="14E8C794" w14:textId="77777777" w:rsidR="0089614A" w:rsidRPr="000130F4" w:rsidRDefault="0089614A" w:rsidP="0089614A">
            <w:pPr>
              <w:tabs>
                <w:tab w:val="left" w:pos="8910"/>
              </w:tabs>
              <w:adjustRightInd w:val="0"/>
              <w:snapToGrid w:val="0"/>
              <w:spacing w:after="60" w:line="240" w:lineRule="auto"/>
            </w:pPr>
            <w:r w:rsidRPr="00CF6053">
              <w:t>NPL</w:t>
            </w:r>
          </w:p>
        </w:tc>
        <w:tc>
          <w:tcPr>
            <w:tcW w:w="7407" w:type="dxa"/>
          </w:tcPr>
          <w:p w14:paraId="413D2CD7" w14:textId="77777777" w:rsidR="0089614A" w:rsidRPr="000130F4" w:rsidRDefault="0089614A" w:rsidP="0089614A">
            <w:pPr>
              <w:tabs>
                <w:tab w:val="left" w:pos="8910"/>
              </w:tabs>
              <w:adjustRightInd w:val="0"/>
              <w:snapToGrid w:val="0"/>
              <w:spacing w:after="60" w:line="240" w:lineRule="auto"/>
            </w:pPr>
            <w:r w:rsidRPr="00CF6053">
              <w:t>Non-Performing Loan</w:t>
            </w:r>
          </w:p>
        </w:tc>
      </w:tr>
      <w:tr w:rsidR="0089614A" w:rsidRPr="000130F4" w14:paraId="2BD91A45" w14:textId="77777777" w:rsidTr="0025702D">
        <w:trPr>
          <w:jc w:val="center"/>
        </w:trPr>
        <w:tc>
          <w:tcPr>
            <w:tcW w:w="1593" w:type="dxa"/>
          </w:tcPr>
          <w:p w14:paraId="62FB5EAD" w14:textId="77777777" w:rsidR="0089614A" w:rsidRPr="00CF6053" w:rsidRDefault="0089614A" w:rsidP="0089614A">
            <w:pPr>
              <w:tabs>
                <w:tab w:val="left" w:pos="8910"/>
              </w:tabs>
              <w:adjustRightInd w:val="0"/>
              <w:snapToGrid w:val="0"/>
              <w:spacing w:after="60" w:line="240" w:lineRule="auto"/>
            </w:pPr>
            <w:r>
              <w:t>NRA</w:t>
            </w:r>
          </w:p>
        </w:tc>
        <w:tc>
          <w:tcPr>
            <w:tcW w:w="7407" w:type="dxa"/>
          </w:tcPr>
          <w:p w14:paraId="606C0A6E" w14:textId="77777777" w:rsidR="0089614A" w:rsidRPr="00CF6053" w:rsidRDefault="0089614A" w:rsidP="0089614A">
            <w:pPr>
              <w:tabs>
                <w:tab w:val="left" w:pos="8910"/>
              </w:tabs>
              <w:adjustRightInd w:val="0"/>
              <w:snapToGrid w:val="0"/>
              <w:spacing w:after="60" w:line="240" w:lineRule="auto"/>
            </w:pPr>
            <w:r>
              <w:t>National Risk Assessment</w:t>
            </w:r>
          </w:p>
        </w:tc>
      </w:tr>
      <w:tr w:rsidR="0089614A" w:rsidRPr="000130F4" w14:paraId="7A1957E0" w14:textId="77777777" w:rsidTr="0025702D">
        <w:trPr>
          <w:jc w:val="center"/>
        </w:trPr>
        <w:tc>
          <w:tcPr>
            <w:tcW w:w="1593" w:type="dxa"/>
          </w:tcPr>
          <w:p w14:paraId="42D189A8" w14:textId="77777777" w:rsidR="0089614A" w:rsidRPr="000130F4" w:rsidRDefault="0089614A" w:rsidP="0089614A">
            <w:pPr>
              <w:tabs>
                <w:tab w:val="left" w:pos="8910"/>
              </w:tabs>
              <w:adjustRightInd w:val="0"/>
              <w:snapToGrid w:val="0"/>
              <w:spacing w:after="60" w:line="240" w:lineRule="auto"/>
            </w:pPr>
            <w:r w:rsidRPr="00CF6053">
              <w:t>NSFR</w:t>
            </w:r>
          </w:p>
        </w:tc>
        <w:tc>
          <w:tcPr>
            <w:tcW w:w="7407" w:type="dxa"/>
          </w:tcPr>
          <w:p w14:paraId="7B9ABB88" w14:textId="77777777" w:rsidR="0089614A" w:rsidRPr="000130F4" w:rsidRDefault="0089614A" w:rsidP="0089614A">
            <w:pPr>
              <w:tabs>
                <w:tab w:val="left" w:pos="8910"/>
              </w:tabs>
              <w:adjustRightInd w:val="0"/>
              <w:snapToGrid w:val="0"/>
              <w:spacing w:after="60" w:line="240" w:lineRule="auto"/>
            </w:pPr>
            <w:r w:rsidRPr="00CF6053">
              <w:t>Net Stable Funding Ratio</w:t>
            </w:r>
          </w:p>
        </w:tc>
      </w:tr>
      <w:tr w:rsidR="0089614A" w:rsidRPr="000130F4" w14:paraId="0026F231" w14:textId="77777777" w:rsidTr="0025702D">
        <w:trPr>
          <w:jc w:val="center"/>
        </w:trPr>
        <w:tc>
          <w:tcPr>
            <w:tcW w:w="1593" w:type="dxa"/>
          </w:tcPr>
          <w:p w14:paraId="394D15CD" w14:textId="77777777" w:rsidR="0089614A" w:rsidRPr="000130F4" w:rsidRDefault="0089614A" w:rsidP="0089614A">
            <w:pPr>
              <w:tabs>
                <w:tab w:val="left" w:pos="8910"/>
              </w:tabs>
              <w:adjustRightInd w:val="0"/>
              <w:snapToGrid w:val="0"/>
              <w:spacing w:after="60" w:line="240" w:lineRule="auto"/>
            </w:pPr>
            <w:r w:rsidRPr="00CF6053">
              <w:t>PAID</w:t>
            </w:r>
          </w:p>
        </w:tc>
        <w:tc>
          <w:tcPr>
            <w:tcW w:w="7407" w:type="dxa"/>
          </w:tcPr>
          <w:p w14:paraId="5D4A22D3" w14:textId="77777777" w:rsidR="0089614A" w:rsidRPr="000130F4" w:rsidRDefault="0089614A" w:rsidP="0089614A">
            <w:pPr>
              <w:tabs>
                <w:tab w:val="left" w:pos="8910"/>
              </w:tabs>
              <w:adjustRightInd w:val="0"/>
              <w:snapToGrid w:val="0"/>
              <w:spacing w:after="60" w:line="240" w:lineRule="auto"/>
            </w:pPr>
            <w:r w:rsidRPr="00CF6053">
              <w:t>Natural Disaster Insurance Pool</w:t>
            </w:r>
          </w:p>
        </w:tc>
      </w:tr>
      <w:tr w:rsidR="0089614A" w:rsidRPr="000130F4" w14:paraId="04545C39" w14:textId="77777777" w:rsidTr="0025702D">
        <w:trPr>
          <w:jc w:val="center"/>
        </w:trPr>
        <w:tc>
          <w:tcPr>
            <w:tcW w:w="1593" w:type="dxa"/>
          </w:tcPr>
          <w:p w14:paraId="7125E6BD" w14:textId="77777777" w:rsidR="0089614A" w:rsidRPr="000130F4" w:rsidRDefault="0089614A" w:rsidP="0089614A">
            <w:pPr>
              <w:tabs>
                <w:tab w:val="left" w:pos="8910"/>
              </w:tabs>
              <w:adjustRightInd w:val="0"/>
              <w:snapToGrid w:val="0"/>
              <w:spacing w:after="60" w:line="240" w:lineRule="auto"/>
            </w:pPr>
            <w:r w:rsidRPr="00CF6053">
              <w:t>PD</w:t>
            </w:r>
          </w:p>
        </w:tc>
        <w:tc>
          <w:tcPr>
            <w:tcW w:w="7407" w:type="dxa"/>
          </w:tcPr>
          <w:p w14:paraId="5611CF8E" w14:textId="77777777" w:rsidR="0089614A" w:rsidRPr="000130F4" w:rsidRDefault="0089614A" w:rsidP="0089614A">
            <w:pPr>
              <w:tabs>
                <w:tab w:val="left" w:pos="8910"/>
              </w:tabs>
              <w:adjustRightInd w:val="0"/>
              <w:snapToGrid w:val="0"/>
              <w:spacing w:after="60" w:line="240" w:lineRule="auto"/>
            </w:pPr>
            <w:r w:rsidRPr="00CF6053">
              <w:t>Pr</w:t>
            </w:r>
            <w:r>
              <w:t>imary Dealers</w:t>
            </w:r>
          </w:p>
        </w:tc>
      </w:tr>
      <w:tr w:rsidR="0089614A" w:rsidRPr="000130F4" w14:paraId="569F9ED1" w14:textId="77777777" w:rsidTr="0025702D">
        <w:trPr>
          <w:jc w:val="center"/>
        </w:trPr>
        <w:tc>
          <w:tcPr>
            <w:tcW w:w="1593" w:type="dxa"/>
          </w:tcPr>
          <w:p w14:paraId="33629DD2" w14:textId="77777777" w:rsidR="0089614A" w:rsidRPr="000130F4" w:rsidRDefault="0089614A" w:rsidP="0089614A">
            <w:pPr>
              <w:tabs>
                <w:tab w:val="left" w:pos="8910"/>
              </w:tabs>
              <w:adjustRightInd w:val="0"/>
              <w:snapToGrid w:val="0"/>
              <w:spacing w:after="60" w:line="240" w:lineRule="auto"/>
            </w:pPr>
            <w:r w:rsidRPr="00CF6053">
              <w:t>PEP</w:t>
            </w:r>
          </w:p>
        </w:tc>
        <w:tc>
          <w:tcPr>
            <w:tcW w:w="7407" w:type="dxa"/>
          </w:tcPr>
          <w:p w14:paraId="694D5415" w14:textId="77777777" w:rsidR="0089614A" w:rsidRPr="000130F4" w:rsidRDefault="0089614A" w:rsidP="0089614A">
            <w:pPr>
              <w:tabs>
                <w:tab w:val="left" w:pos="8910"/>
              </w:tabs>
              <w:adjustRightInd w:val="0"/>
              <w:snapToGrid w:val="0"/>
              <w:spacing w:after="60" w:line="240" w:lineRule="auto"/>
            </w:pPr>
            <w:r w:rsidRPr="00CF6053">
              <w:t>Politically Exposed Person</w:t>
            </w:r>
          </w:p>
        </w:tc>
      </w:tr>
      <w:tr w:rsidR="0089614A" w:rsidRPr="000130F4" w14:paraId="55B6E6F4" w14:textId="77777777" w:rsidTr="0025702D">
        <w:trPr>
          <w:jc w:val="center"/>
        </w:trPr>
        <w:tc>
          <w:tcPr>
            <w:tcW w:w="1593" w:type="dxa"/>
          </w:tcPr>
          <w:p w14:paraId="449C9510" w14:textId="77777777" w:rsidR="0089614A" w:rsidRPr="00CF6053" w:rsidRDefault="0089614A" w:rsidP="0089614A">
            <w:pPr>
              <w:tabs>
                <w:tab w:val="left" w:pos="8910"/>
              </w:tabs>
              <w:adjustRightInd w:val="0"/>
              <w:snapToGrid w:val="0"/>
              <w:spacing w:after="60" w:line="240" w:lineRule="auto"/>
            </w:pPr>
            <w:r w:rsidRPr="005A2E7D">
              <w:rPr>
                <w:rFonts w:eastAsia="Segoe UI" w:cs="Segoe UI"/>
                <w:szCs w:val="21"/>
              </w:rPr>
              <w:t>PF</w:t>
            </w:r>
            <w:r>
              <w:rPr>
                <w:rFonts w:eastAsia="Segoe UI" w:cs="Segoe UI"/>
                <w:szCs w:val="21"/>
              </w:rPr>
              <w:t>M</w:t>
            </w:r>
            <w:r w:rsidRPr="005A2E7D">
              <w:rPr>
                <w:rFonts w:eastAsia="Segoe UI" w:cs="Segoe UI"/>
                <w:szCs w:val="21"/>
              </w:rPr>
              <w:t>I</w:t>
            </w:r>
          </w:p>
        </w:tc>
        <w:tc>
          <w:tcPr>
            <w:tcW w:w="7407" w:type="dxa"/>
          </w:tcPr>
          <w:p w14:paraId="460F582F" w14:textId="77777777" w:rsidR="0089614A" w:rsidRPr="00CF6053" w:rsidRDefault="0089614A" w:rsidP="0089614A">
            <w:pPr>
              <w:tabs>
                <w:tab w:val="left" w:pos="8910"/>
              </w:tabs>
              <w:adjustRightInd w:val="0"/>
              <w:snapToGrid w:val="0"/>
              <w:spacing w:after="60" w:line="240" w:lineRule="auto"/>
            </w:pPr>
            <w:r w:rsidRPr="005A2E7D">
              <w:rPr>
                <w:rFonts w:cs="Segoe UI"/>
                <w:szCs w:val="21"/>
              </w:rPr>
              <w:t>Principles for Financial Market Infrastructures</w:t>
            </w:r>
          </w:p>
        </w:tc>
      </w:tr>
      <w:tr w:rsidR="0089614A" w:rsidRPr="000130F4" w14:paraId="26265758" w14:textId="77777777" w:rsidTr="0025702D">
        <w:trPr>
          <w:jc w:val="center"/>
        </w:trPr>
        <w:tc>
          <w:tcPr>
            <w:tcW w:w="1593" w:type="dxa"/>
          </w:tcPr>
          <w:p w14:paraId="64C6FD59" w14:textId="77777777" w:rsidR="0089614A" w:rsidRPr="005A2E7D" w:rsidRDefault="0089614A" w:rsidP="0089614A">
            <w:pPr>
              <w:tabs>
                <w:tab w:val="left" w:pos="8910"/>
              </w:tabs>
              <w:adjustRightInd w:val="0"/>
              <w:snapToGrid w:val="0"/>
              <w:spacing w:after="60" w:line="240" w:lineRule="auto"/>
              <w:rPr>
                <w:rFonts w:eastAsia="Segoe UI" w:cs="Segoe UI"/>
                <w:szCs w:val="21"/>
              </w:rPr>
            </w:pPr>
            <w:r>
              <w:rPr>
                <w:rFonts w:eastAsia="Segoe UI" w:cs="Segoe UI"/>
                <w:szCs w:val="21"/>
              </w:rPr>
              <w:t>POS</w:t>
            </w:r>
          </w:p>
        </w:tc>
        <w:tc>
          <w:tcPr>
            <w:tcW w:w="7407" w:type="dxa"/>
          </w:tcPr>
          <w:p w14:paraId="40F22FF3" w14:textId="77777777" w:rsidR="0089614A" w:rsidRPr="005A2E7D" w:rsidRDefault="0089614A" w:rsidP="0089614A">
            <w:pPr>
              <w:tabs>
                <w:tab w:val="left" w:pos="8910"/>
              </w:tabs>
              <w:adjustRightInd w:val="0"/>
              <w:snapToGrid w:val="0"/>
              <w:spacing w:after="60" w:line="240" w:lineRule="auto"/>
              <w:rPr>
                <w:rFonts w:cs="Segoe UI"/>
                <w:szCs w:val="21"/>
              </w:rPr>
            </w:pPr>
            <w:r>
              <w:rPr>
                <w:rFonts w:cs="Segoe UI"/>
                <w:szCs w:val="21"/>
              </w:rPr>
              <w:t>Points of Sale</w:t>
            </w:r>
          </w:p>
        </w:tc>
      </w:tr>
      <w:tr w:rsidR="00E2726C" w:rsidRPr="000130F4" w14:paraId="489B4FCB" w14:textId="77777777" w:rsidTr="0025702D">
        <w:trPr>
          <w:jc w:val="center"/>
        </w:trPr>
        <w:tc>
          <w:tcPr>
            <w:tcW w:w="1593" w:type="dxa"/>
          </w:tcPr>
          <w:p w14:paraId="27F18B2F" w14:textId="77777777" w:rsidR="00E2726C" w:rsidRDefault="00E2726C" w:rsidP="0089614A">
            <w:pPr>
              <w:tabs>
                <w:tab w:val="left" w:pos="8910"/>
              </w:tabs>
              <w:adjustRightInd w:val="0"/>
              <w:snapToGrid w:val="0"/>
              <w:spacing w:after="60" w:line="240" w:lineRule="auto"/>
              <w:rPr>
                <w:rFonts w:eastAsia="Segoe UI" w:cs="Segoe UI"/>
                <w:szCs w:val="21"/>
              </w:rPr>
            </w:pPr>
            <w:r>
              <w:rPr>
                <w:rFonts w:eastAsia="Segoe UI" w:cs="Segoe UI"/>
                <w:szCs w:val="21"/>
              </w:rPr>
              <w:t>PSD2</w:t>
            </w:r>
          </w:p>
        </w:tc>
        <w:tc>
          <w:tcPr>
            <w:tcW w:w="7407" w:type="dxa"/>
          </w:tcPr>
          <w:p w14:paraId="78755719" w14:textId="77777777" w:rsidR="00E2726C" w:rsidRDefault="00E2726C" w:rsidP="0089614A">
            <w:pPr>
              <w:tabs>
                <w:tab w:val="left" w:pos="8910"/>
              </w:tabs>
              <w:adjustRightInd w:val="0"/>
              <w:snapToGrid w:val="0"/>
              <w:spacing w:after="60" w:line="240" w:lineRule="auto"/>
              <w:rPr>
                <w:rFonts w:cs="Segoe UI"/>
                <w:szCs w:val="21"/>
              </w:rPr>
            </w:pPr>
            <w:r w:rsidRPr="00E2726C">
              <w:rPr>
                <w:rFonts w:cs="Segoe UI"/>
                <w:szCs w:val="21"/>
              </w:rPr>
              <w:t>Payment Service Directive</w:t>
            </w:r>
            <w:r>
              <w:rPr>
                <w:rFonts w:cs="Segoe UI"/>
                <w:szCs w:val="21"/>
              </w:rPr>
              <w:t xml:space="preserve"> 2</w:t>
            </w:r>
          </w:p>
        </w:tc>
      </w:tr>
      <w:tr w:rsidR="00E2726C" w:rsidRPr="000130F4" w14:paraId="16749488" w14:textId="77777777" w:rsidTr="0025702D">
        <w:trPr>
          <w:jc w:val="center"/>
        </w:trPr>
        <w:tc>
          <w:tcPr>
            <w:tcW w:w="1593" w:type="dxa"/>
          </w:tcPr>
          <w:p w14:paraId="09510660" w14:textId="77777777" w:rsidR="00E2726C" w:rsidRDefault="00E2726C" w:rsidP="0089614A">
            <w:pPr>
              <w:tabs>
                <w:tab w:val="left" w:pos="8910"/>
              </w:tabs>
              <w:adjustRightInd w:val="0"/>
              <w:snapToGrid w:val="0"/>
              <w:spacing w:after="60" w:line="240" w:lineRule="auto"/>
              <w:rPr>
                <w:rFonts w:eastAsia="Segoe UI" w:cs="Segoe UI"/>
                <w:szCs w:val="21"/>
              </w:rPr>
            </w:pPr>
            <w:r>
              <w:rPr>
                <w:rFonts w:eastAsia="Segoe UI" w:cs="Segoe UI"/>
                <w:szCs w:val="21"/>
              </w:rPr>
              <w:t>RASDAQ</w:t>
            </w:r>
          </w:p>
        </w:tc>
        <w:tc>
          <w:tcPr>
            <w:tcW w:w="7407" w:type="dxa"/>
          </w:tcPr>
          <w:p w14:paraId="046E4C5F" w14:textId="77777777" w:rsidR="00E2726C" w:rsidRPr="00E2726C" w:rsidRDefault="00E2726C" w:rsidP="0089614A">
            <w:pPr>
              <w:tabs>
                <w:tab w:val="left" w:pos="8910"/>
              </w:tabs>
              <w:adjustRightInd w:val="0"/>
              <w:snapToGrid w:val="0"/>
              <w:spacing w:after="60" w:line="240" w:lineRule="auto"/>
              <w:rPr>
                <w:rFonts w:cs="Segoe UI"/>
                <w:szCs w:val="21"/>
              </w:rPr>
            </w:pPr>
            <w:r>
              <w:rPr>
                <w:rFonts w:cs="Segoe UI"/>
                <w:szCs w:val="21"/>
              </w:rPr>
              <w:t>Romanian Electronic Stock Market</w:t>
            </w:r>
          </w:p>
        </w:tc>
      </w:tr>
      <w:tr w:rsidR="0089614A" w:rsidRPr="000130F4" w14:paraId="095456A9" w14:textId="77777777" w:rsidTr="0025702D">
        <w:trPr>
          <w:jc w:val="center"/>
        </w:trPr>
        <w:tc>
          <w:tcPr>
            <w:tcW w:w="1593" w:type="dxa"/>
          </w:tcPr>
          <w:p w14:paraId="1172EBD8" w14:textId="77777777" w:rsidR="0089614A" w:rsidRPr="00CF6053" w:rsidRDefault="0089614A" w:rsidP="0089614A">
            <w:pPr>
              <w:tabs>
                <w:tab w:val="left" w:pos="8910"/>
              </w:tabs>
              <w:adjustRightInd w:val="0"/>
              <w:snapToGrid w:val="0"/>
              <w:spacing w:after="60" w:line="240" w:lineRule="auto"/>
            </w:pPr>
            <w:r w:rsidRPr="005A2E7D">
              <w:rPr>
                <w:rFonts w:eastAsia="Segoe UI" w:cs="Segoe UI"/>
                <w:szCs w:val="21"/>
              </w:rPr>
              <w:t>ROA</w:t>
            </w:r>
          </w:p>
        </w:tc>
        <w:tc>
          <w:tcPr>
            <w:tcW w:w="7407" w:type="dxa"/>
          </w:tcPr>
          <w:p w14:paraId="00CE670F" w14:textId="77777777" w:rsidR="0089614A" w:rsidRPr="00CF6053" w:rsidRDefault="0089614A" w:rsidP="0089614A">
            <w:pPr>
              <w:tabs>
                <w:tab w:val="left" w:pos="8910"/>
              </w:tabs>
              <w:adjustRightInd w:val="0"/>
              <w:snapToGrid w:val="0"/>
              <w:spacing w:after="60" w:line="240" w:lineRule="auto"/>
            </w:pPr>
            <w:r w:rsidRPr="005A2E7D">
              <w:rPr>
                <w:rFonts w:eastAsia="Segoe UI" w:cs="Segoe UI"/>
                <w:szCs w:val="21"/>
              </w:rPr>
              <w:t>Return on Assets</w:t>
            </w:r>
          </w:p>
        </w:tc>
      </w:tr>
      <w:tr w:rsidR="0089614A" w:rsidRPr="000130F4" w14:paraId="365A11B6" w14:textId="77777777" w:rsidTr="0025702D">
        <w:trPr>
          <w:jc w:val="center"/>
        </w:trPr>
        <w:tc>
          <w:tcPr>
            <w:tcW w:w="1593" w:type="dxa"/>
          </w:tcPr>
          <w:p w14:paraId="038D4B52" w14:textId="77777777" w:rsidR="0089614A" w:rsidRPr="00CF6053" w:rsidRDefault="0089614A" w:rsidP="0089614A">
            <w:pPr>
              <w:tabs>
                <w:tab w:val="left" w:pos="8910"/>
              </w:tabs>
              <w:adjustRightInd w:val="0"/>
              <w:snapToGrid w:val="0"/>
              <w:spacing w:after="60" w:line="240" w:lineRule="auto"/>
            </w:pPr>
            <w:r>
              <w:rPr>
                <w:rFonts w:eastAsia="Segoe UI" w:cs="Segoe UI"/>
                <w:szCs w:val="21"/>
              </w:rPr>
              <w:t>ROBOR</w:t>
            </w:r>
          </w:p>
        </w:tc>
        <w:tc>
          <w:tcPr>
            <w:tcW w:w="7407" w:type="dxa"/>
          </w:tcPr>
          <w:p w14:paraId="5E8F3110" w14:textId="77777777" w:rsidR="0089614A" w:rsidRPr="00CF6053" w:rsidRDefault="0089614A" w:rsidP="0089614A">
            <w:pPr>
              <w:tabs>
                <w:tab w:val="left" w:pos="8910"/>
              </w:tabs>
              <w:adjustRightInd w:val="0"/>
              <w:snapToGrid w:val="0"/>
              <w:spacing w:after="60" w:line="240" w:lineRule="auto"/>
            </w:pPr>
            <w:r>
              <w:rPr>
                <w:rFonts w:eastAsia="Segoe UI" w:cs="Segoe UI"/>
                <w:szCs w:val="21"/>
              </w:rPr>
              <w:t>Romanian Interbank Offer Rate</w:t>
            </w:r>
          </w:p>
        </w:tc>
      </w:tr>
      <w:tr w:rsidR="0089614A" w:rsidRPr="000130F4" w14:paraId="57394D7E" w14:textId="77777777" w:rsidTr="0025702D">
        <w:trPr>
          <w:jc w:val="center"/>
        </w:trPr>
        <w:tc>
          <w:tcPr>
            <w:tcW w:w="1593" w:type="dxa"/>
          </w:tcPr>
          <w:p w14:paraId="38663BA6" w14:textId="77777777" w:rsidR="0089614A" w:rsidRPr="00CF6053" w:rsidRDefault="0089614A" w:rsidP="0089614A">
            <w:pPr>
              <w:tabs>
                <w:tab w:val="left" w:pos="8910"/>
              </w:tabs>
              <w:adjustRightInd w:val="0"/>
              <w:snapToGrid w:val="0"/>
              <w:spacing w:after="60" w:line="240" w:lineRule="auto"/>
            </w:pPr>
            <w:r>
              <w:rPr>
                <w:rFonts w:eastAsia="Segoe UI" w:cs="Segoe UI"/>
                <w:szCs w:val="21"/>
              </w:rPr>
              <w:t>RON</w:t>
            </w:r>
          </w:p>
        </w:tc>
        <w:tc>
          <w:tcPr>
            <w:tcW w:w="7407" w:type="dxa"/>
          </w:tcPr>
          <w:p w14:paraId="450B228D" w14:textId="77777777" w:rsidR="0089614A" w:rsidRPr="00CF6053" w:rsidRDefault="0089614A" w:rsidP="0089614A">
            <w:pPr>
              <w:tabs>
                <w:tab w:val="left" w:pos="8910"/>
              </w:tabs>
              <w:adjustRightInd w:val="0"/>
              <w:snapToGrid w:val="0"/>
              <w:spacing w:after="60" w:line="240" w:lineRule="auto"/>
            </w:pPr>
            <w:r>
              <w:rPr>
                <w:rFonts w:eastAsia="Segoe UI" w:cs="Segoe UI"/>
                <w:szCs w:val="21"/>
              </w:rPr>
              <w:t>Romanian Lei</w:t>
            </w:r>
          </w:p>
        </w:tc>
      </w:tr>
      <w:tr w:rsidR="0089614A" w:rsidRPr="000130F4" w14:paraId="63D4C06E" w14:textId="77777777" w:rsidTr="0025702D">
        <w:trPr>
          <w:jc w:val="center"/>
        </w:trPr>
        <w:tc>
          <w:tcPr>
            <w:tcW w:w="1593" w:type="dxa"/>
          </w:tcPr>
          <w:p w14:paraId="4C5EC58C" w14:textId="77777777" w:rsidR="0089614A" w:rsidRPr="00CF6053" w:rsidRDefault="0089614A" w:rsidP="0089614A">
            <w:pPr>
              <w:tabs>
                <w:tab w:val="left" w:pos="8910"/>
              </w:tabs>
              <w:adjustRightInd w:val="0"/>
              <w:snapToGrid w:val="0"/>
              <w:spacing w:after="60" w:line="240" w:lineRule="auto"/>
            </w:pPr>
            <w:r w:rsidRPr="005A2E7D">
              <w:rPr>
                <w:rFonts w:eastAsia="Segoe UI" w:cs="Segoe UI"/>
                <w:szCs w:val="21"/>
              </w:rPr>
              <w:lastRenderedPageBreak/>
              <w:t>RTGS</w:t>
            </w:r>
          </w:p>
        </w:tc>
        <w:tc>
          <w:tcPr>
            <w:tcW w:w="7407" w:type="dxa"/>
          </w:tcPr>
          <w:p w14:paraId="6ACD5F7A" w14:textId="77777777" w:rsidR="0089614A" w:rsidRPr="00CF6053" w:rsidRDefault="0089614A" w:rsidP="0089614A">
            <w:pPr>
              <w:tabs>
                <w:tab w:val="left" w:pos="8910"/>
              </w:tabs>
              <w:adjustRightInd w:val="0"/>
              <w:snapToGrid w:val="0"/>
              <w:spacing w:after="60" w:line="240" w:lineRule="auto"/>
            </w:pPr>
            <w:r w:rsidRPr="005A2E7D">
              <w:rPr>
                <w:rFonts w:eastAsia="Segoe UI" w:cs="Segoe UI"/>
                <w:szCs w:val="21"/>
              </w:rPr>
              <w:t>Real Time Gross Settlement</w:t>
            </w:r>
          </w:p>
        </w:tc>
      </w:tr>
      <w:tr w:rsidR="003E798D" w:rsidRPr="000130F4" w14:paraId="56281133" w14:textId="77777777" w:rsidTr="0025702D">
        <w:trPr>
          <w:jc w:val="center"/>
        </w:trPr>
        <w:tc>
          <w:tcPr>
            <w:tcW w:w="1593" w:type="dxa"/>
          </w:tcPr>
          <w:p w14:paraId="408E50F7" w14:textId="766776F8" w:rsidR="003E798D" w:rsidRPr="005A2E7D" w:rsidRDefault="003E798D" w:rsidP="0089614A">
            <w:pPr>
              <w:tabs>
                <w:tab w:val="left" w:pos="8910"/>
              </w:tabs>
              <w:adjustRightInd w:val="0"/>
              <w:snapToGrid w:val="0"/>
              <w:spacing w:after="60" w:line="240" w:lineRule="auto"/>
              <w:rPr>
                <w:rFonts w:eastAsia="Segoe UI" w:cs="Segoe UI"/>
                <w:szCs w:val="21"/>
              </w:rPr>
            </w:pPr>
            <w:r>
              <w:rPr>
                <w:rFonts w:eastAsia="Segoe UI" w:cs="Segoe UI"/>
                <w:szCs w:val="21"/>
              </w:rPr>
              <w:t>RWA</w:t>
            </w:r>
          </w:p>
        </w:tc>
        <w:tc>
          <w:tcPr>
            <w:tcW w:w="7407" w:type="dxa"/>
          </w:tcPr>
          <w:p w14:paraId="2EC4FCEE" w14:textId="49AB9442" w:rsidR="003E798D" w:rsidRPr="005A2E7D" w:rsidRDefault="003E798D" w:rsidP="0089614A">
            <w:pPr>
              <w:tabs>
                <w:tab w:val="left" w:pos="8910"/>
              </w:tabs>
              <w:adjustRightInd w:val="0"/>
              <w:snapToGrid w:val="0"/>
              <w:spacing w:after="60" w:line="240" w:lineRule="auto"/>
              <w:rPr>
                <w:rFonts w:eastAsia="Segoe UI" w:cs="Segoe UI"/>
                <w:szCs w:val="21"/>
              </w:rPr>
            </w:pPr>
            <w:r>
              <w:rPr>
                <w:rFonts w:eastAsia="Segoe UI" w:cs="Segoe UI"/>
                <w:szCs w:val="21"/>
              </w:rPr>
              <w:t>Risk Weighted Assets</w:t>
            </w:r>
          </w:p>
        </w:tc>
      </w:tr>
      <w:tr w:rsidR="0089614A" w:rsidRPr="000130F4" w14:paraId="15EFF140" w14:textId="77777777" w:rsidTr="0025702D">
        <w:trPr>
          <w:jc w:val="center"/>
        </w:trPr>
        <w:tc>
          <w:tcPr>
            <w:tcW w:w="1593" w:type="dxa"/>
          </w:tcPr>
          <w:p w14:paraId="73E73890" w14:textId="77777777" w:rsidR="0089614A" w:rsidRPr="005A2E7D" w:rsidRDefault="0089614A" w:rsidP="0089614A">
            <w:pPr>
              <w:tabs>
                <w:tab w:val="left" w:pos="8910"/>
              </w:tabs>
              <w:adjustRightInd w:val="0"/>
              <w:snapToGrid w:val="0"/>
              <w:spacing w:after="60" w:line="240" w:lineRule="auto"/>
              <w:rPr>
                <w:rFonts w:eastAsia="Segoe UI" w:cs="Segoe UI"/>
                <w:szCs w:val="21"/>
              </w:rPr>
            </w:pPr>
            <w:r>
              <w:rPr>
                <w:rFonts w:eastAsia="Segoe UI" w:cs="Segoe UI"/>
                <w:szCs w:val="21"/>
              </w:rPr>
              <w:t>SaFIR</w:t>
            </w:r>
          </w:p>
        </w:tc>
        <w:tc>
          <w:tcPr>
            <w:tcW w:w="7407" w:type="dxa"/>
          </w:tcPr>
          <w:p w14:paraId="0871EF24" w14:textId="77777777" w:rsidR="0089614A" w:rsidRPr="005A2E7D" w:rsidRDefault="0089614A" w:rsidP="0089614A">
            <w:pPr>
              <w:tabs>
                <w:tab w:val="left" w:pos="8910"/>
              </w:tabs>
              <w:adjustRightInd w:val="0"/>
              <w:snapToGrid w:val="0"/>
              <w:spacing w:after="60" w:line="240" w:lineRule="auto"/>
              <w:rPr>
                <w:rFonts w:eastAsia="Segoe UI" w:cs="Segoe UI"/>
                <w:szCs w:val="21"/>
              </w:rPr>
            </w:pPr>
            <w:r>
              <w:rPr>
                <w:rFonts w:eastAsia="Segoe UI" w:cs="Segoe UI"/>
                <w:szCs w:val="21"/>
              </w:rPr>
              <w:t>Romanian C</w:t>
            </w:r>
            <w:r w:rsidRPr="0089614A">
              <w:rPr>
                <w:rFonts w:eastAsia="Segoe UI" w:cs="Segoe UI"/>
                <w:szCs w:val="21"/>
              </w:rPr>
              <w:t xml:space="preserve">entral </w:t>
            </w:r>
            <w:r>
              <w:rPr>
                <w:rFonts w:eastAsia="Segoe UI" w:cs="Segoe UI"/>
                <w:szCs w:val="21"/>
              </w:rPr>
              <w:t>D</w:t>
            </w:r>
            <w:r w:rsidRPr="0089614A">
              <w:rPr>
                <w:rFonts w:eastAsia="Segoe UI" w:cs="Segoe UI"/>
                <w:szCs w:val="21"/>
              </w:rPr>
              <w:t xml:space="preserve">epository and </w:t>
            </w:r>
            <w:r>
              <w:rPr>
                <w:rFonts w:eastAsia="Segoe UI" w:cs="Segoe UI"/>
                <w:szCs w:val="21"/>
              </w:rPr>
              <w:t>S</w:t>
            </w:r>
            <w:r w:rsidRPr="0089614A">
              <w:rPr>
                <w:rFonts w:eastAsia="Segoe UI" w:cs="Segoe UI"/>
                <w:szCs w:val="21"/>
              </w:rPr>
              <w:t xml:space="preserve">ecurities </w:t>
            </w:r>
            <w:r>
              <w:rPr>
                <w:rFonts w:eastAsia="Segoe UI" w:cs="Segoe UI"/>
                <w:szCs w:val="21"/>
              </w:rPr>
              <w:t>S</w:t>
            </w:r>
            <w:r w:rsidRPr="0089614A">
              <w:rPr>
                <w:rFonts w:eastAsia="Segoe UI" w:cs="Segoe UI"/>
                <w:szCs w:val="21"/>
              </w:rPr>
              <w:t xml:space="preserve">ettlement </w:t>
            </w:r>
            <w:r>
              <w:rPr>
                <w:rFonts w:eastAsia="Segoe UI" w:cs="Segoe UI"/>
                <w:szCs w:val="21"/>
              </w:rPr>
              <w:t>S</w:t>
            </w:r>
            <w:r w:rsidRPr="0089614A">
              <w:rPr>
                <w:rFonts w:eastAsia="Segoe UI" w:cs="Segoe UI"/>
                <w:szCs w:val="21"/>
              </w:rPr>
              <w:t>ystem</w:t>
            </w:r>
          </w:p>
        </w:tc>
      </w:tr>
      <w:tr w:rsidR="00E2726C" w:rsidRPr="000130F4" w14:paraId="7C9594C8" w14:textId="77777777" w:rsidTr="0025702D">
        <w:trPr>
          <w:jc w:val="center"/>
        </w:trPr>
        <w:tc>
          <w:tcPr>
            <w:tcW w:w="1593" w:type="dxa"/>
          </w:tcPr>
          <w:p w14:paraId="3106EE6E" w14:textId="77777777" w:rsidR="00E2726C" w:rsidRDefault="00E2726C" w:rsidP="0089614A">
            <w:pPr>
              <w:tabs>
                <w:tab w:val="left" w:pos="8910"/>
              </w:tabs>
              <w:adjustRightInd w:val="0"/>
              <w:snapToGrid w:val="0"/>
              <w:spacing w:after="60" w:line="240" w:lineRule="auto"/>
              <w:rPr>
                <w:rFonts w:eastAsia="Segoe UI" w:cs="Segoe UI"/>
                <w:szCs w:val="21"/>
              </w:rPr>
            </w:pPr>
            <w:r>
              <w:rPr>
                <w:rFonts w:eastAsia="Segoe UI" w:cs="Segoe UI"/>
                <w:szCs w:val="21"/>
              </w:rPr>
              <w:t>SAL-FIN</w:t>
            </w:r>
          </w:p>
        </w:tc>
        <w:tc>
          <w:tcPr>
            <w:tcW w:w="7407" w:type="dxa"/>
          </w:tcPr>
          <w:p w14:paraId="71F5C50E" w14:textId="77777777" w:rsidR="00E2726C" w:rsidRDefault="00E2726C" w:rsidP="0089614A">
            <w:pPr>
              <w:tabs>
                <w:tab w:val="left" w:pos="8910"/>
              </w:tabs>
              <w:adjustRightInd w:val="0"/>
              <w:snapToGrid w:val="0"/>
              <w:spacing w:after="60" w:line="240" w:lineRule="auto"/>
              <w:rPr>
                <w:rFonts w:eastAsia="Segoe UI" w:cs="Segoe UI"/>
                <w:szCs w:val="21"/>
              </w:rPr>
            </w:pPr>
            <w:r w:rsidRPr="00E2726C">
              <w:rPr>
                <w:rFonts w:eastAsia="Segoe UI" w:cs="Segoe UI"/>
                <w:szCs w:val="21"/>
              </w:rPr>
              <w:t xml:space="preserve">Romanian Alternative Dispute Resolution Center for </w:t>
            </w:r>
            <w:r>
              <w:rPr>
                <w:rFonts w:eastAsia="Segoe UI" w:cs="Segoe UI"/>
                <w:szCs w:val="21"/>
              </w:rPr>
              <w:t>Non-</w:t>
            </w:r>
            <w:r w:rsidRPr="00E2726C">
              <w:rPr>
                <w:rFonts w:eastAsia="Segoe UI" w:cs="Segoe UI"/>
                <w:szCs w:val="21"/>
              </w:rPr>
              <w:t>Banking</w:t>
            </w:r>
            <w:r>
              <w:rPr>
                <w:rFonts w:eastAsia="Segoe UI" w:cs="Segoe UI"/>
                <w:szCs w:val="21"/>
              </w:rPr>
              <w:t xml:space="preserve"> Financial Institutions</w:t>
            </w:r>
          </w:p>
        </w:tc>
      </w:tr>
      <w:tr w:rsidR="0089614A" w:rsidRPr="000130F4" w14:paraId="529654B9" w14:textId="77777777" w:rsidTr="0025702D">
        <w:trPr>
          <w:jc w:val="center"/>
        </w:trPr>
        <w:tc>
          <w:tcPr>
            <w:tcW w:w="1593" w:type="dxa"/>
          </w:tcPr>
          <w:p w14:paraId="1179AFAD" w14:textId="77777777" w:rsidR="0089614A" w:rsidRPr="00CF6053" w:rsidRDefault="0089614A" w:rsidP="0089614A">
            <w:pPr>
              <w:tabs>
                <w:tab w:val="left" w:pos="8910"/>
              </w:tabs>
              <w:adjustRightInd w:val="0"/>
              <w:snapToGrid w:val="0"/>
              <w:spacing w:after="60" w:line="240" w:lineRule="auto"/>
            </w:pPr>
            <w:r>
              <w:rPr>
                <w:rFonts w:eastAsia="Segoe UI" w:cs="Segoe UI"/>
                <w:szCs w:val="21"/>
              </w:rPr>
              <w:t>SLB</w:t>
            </w:r>
          </w:p>
        </w:tc>
        <w:tc>
          <w:tcPr>
            <w:tcW w:w="7407" w:type="dxa"/>
          </w:tcPr>
          <w:p w14:paraId="04552C6F" w14:textId="77777777" w:rsidR="0089614A" w:rsidRPr="00CF6053" w:rsidRDefault="0089614A" w:rsidP="0089614A">
            <w:pPr>
              <w:tabs>
                <w:tab w:val="left" w:pos="8910"/>
              </w:tabs>
              <w:adjustRightInd w:val="0"/>
              <w:snapToGrid w:val="0"/>
              <w:spacing w:after="60" w:line="240" w:lineRule="auto"/>
            </w:pPr>
            <w:r>
              <w:rPr>
                <w:rFonts w:eastAsia="Segoe UI" w:cs="Segoe UI"/>
                <w:szCs w:val="21"/>
              </w:rPr>
              <w:t>Securities Lending and Borrowing</w:t>
            </w:r>
          </w:p>
        </w:tc>
      </w:tr>
      <w:tr w:rsidR="0089614A" w:rsidRPr="000130F4" w14:paraId="6B9C3482" w14:textId="77777777" w:rsidTr="0025702D">
        <w:trPr>
          <w:jc w:val="center"/>
        </w:trPr>
        <w:tc>
          <w:tcPr>
            <w:tcW w:w="1593" w:type="dxa"/>
          </w:tcPr>
          <w:p w14:paraId="6C3D1219" w14:textId="77777777" w:rsidR="0089614A" w:rsidRPr="00CF6053" w:rsidRDefault="0089614A" w:rsidP="0089614A">
            <w:pPr>
              <w:tabs>
                <w:tab w:val="left" w:pos="8910"/>
              </w:tabs>
              <w:adjustRightInd w:val="0"/>
              <w:snapToGrid w:val="0"/>
              <w:spacing w:after="60" w:line="240" w:lineRule="auto"/>
            </w:pPr>
            <w:r w:rsidRPr="005A2E7D">
              <w:rPr>
                <w:rFonts w:eastAsia="Segoe UI" w:cs="Segoe UI"/>
                <w:szCs w:val="21"/>
              </w:rPr>
              <w:t>SME</w:t>
            </w:r>
          </w:p>
        </w:tc>
        <w:tc>
          <w:tcPr>
            <w:tcW w:w="7407" w:type="dxa"/>
          </w:tcPr>
          <w:p w14:paraId="7DEC4190" w14:textId="77777777" w:rsidR="0089614A" w:rsidRPr="00CF6053" w:rsidRDefault="0089614A" w:rsidP="0089614A">
            <w:pPr>
              <w:tabs>
                <w:tab w:val="left" w:pos="8910"/>
              </w:tabs>
              <w:adjustRightInd w:val="0"/>
              <w:snapToGrid w:val="0"/>
              <w:spacing w:after="60" w:line="240" w:lineRule="auto"/>
            </w:pPr>
            <w:r w:rsidRPr="005A2E7D">
              <w:rPr>
                <w:rFonts w:eastAsia="Segoe UI" w:cs="Segoe UI"/>
                <w:szCs w:val="21"/>
              </w:rPr>
              <w:t xml:space="preserve">Small- and Medium-Sized Enterprises </w:t>
            </w:r>
          </w:p>
        </w:tc>
      </w:tr>
      <w:tr w:rsidR="0089614A" w:rsidRPr="000130F4" w14:paraId="68EB250C" w14:textId="77777777" w:rsidTr="0025702D">
        <w:trPr>
          <w:jc w:val="center"/>
        </w:trPr>
        <w:tc>
          <w:tcPr>
            <w:tcW w:w="1593" w:type="dxa"/>
          </w:tcPr>
          <w:p w14:paraId="62976186" w14:textId="77777777" w:rsidR="0089614A" w:rsidRPr="00CF6053" w:rsidRDefault="0089614A" w:rsidP="0089614A">
            <w:pPr>
              <w:tabs>
                <w:tab w:val="left" w:pos="8910"/>
              </w:tabs>
              <w:adjustRightInd w:val="0"/>
              <w:snapToGrid w:val="0"/>
              <w:spacing w:after="60" w:line="240" w:lineRule="auto"/>
            </w:pPr>
            <w:r>
              <w:rPr>
                <w:rFonts w:eastAsia="Segoe UI" w:cs="Segoe UI"/>
                <w:szCs w:val="21"/>
              </w:rPr>
              <w:t>SOE</w:t>
            </w:r>
          </w:p>
        </w:tc>
        <w:tc>
          <w:tcPr>
            <w:tcW w:w="7407" w:type="dxa"/>
          </w:tcPr>
          <w:p w14:paraId="64854D16" w14:textId="77777777" w:rsidR="0089614A" w:rsidRPr="00CF6053" w:rsidRDefault="0089614A" w:rsidP="0089614A">
            <w:pPr>
              <w:tabs>
                <w:tab w:val="left" w:pos="8910"/>
              </w:tabs>
              <w:adjustRightInd w:val="0"/>
              <w:snapToGrid w:val="0"/>
              <w:spacing w:after="60" w:line="240" w:lineRule="auto"/>
            </w:pPr>
            <w:r>
              <w:rPr>
                <w:rFonts w:eastAsia="Segoe UI" w:cs="Segoe UI"/>
                <w:szCs w:val="21"/>
              </w:rPr>
              <w:t>State-Owned Enterprises</w:t>
            </w:r>
          </w:p>
        </w:tc>
      </w:tr>
      <w:tr w:rsidR="0089614A" w:rsidRPr="000130F4" w14:paraId="0A283E98" w14:textId="77777777" w:rsidTr="0025702D">
        <w:trPr>
          <w:jc w:val="center"/>
        </w:trPr>
        <w:tc>
          <w:tcPr>
            <w:tcW w:w="1593" w:type="dxa"/>
          </w:tcPr>
          <w:p w14:paraId="1FF93852" w14:textId="77777777" w:rsidR="0089614A" w:rsidRPr="00CF6053" w:rsidRDefault="0089614A" w:rsidP="0089614A">
            <w:pPr>
              <w:tabs>
                <w:tab w:val="left" w:pos="8910"/>
              </w:tabs>
              <w:adjustRightInd w:val="0"/>
              <w:snapToGrid w:val="0"/>
              <w:spacing w:after="60" w:line="240" w:lineRule="auto"/>
            </w:pPr>
            <w:r w:rsidRPr="005A2E7D">
              <w:rPr>
                <w:rFonts w:eastAsia="Segoe UI" w:cs="Segoe UI"/>
                <w:szCs w:val="21"/>
              </w:rPr>
              <w:t>SREP</w:t>
            </w:r>
          </w:p>
        </w:tc>
        <w:tc>
          <w:tcPr>
            <w:tcW w:w="7407" w:type="dxa"/>
          </w:tcPr>
          <w:p w14:paraId="36F2580A" w14:textId="77777777" w:rsidR="0089614A" w:rsidRPr="00CF6053" w:rsidRDefault="0089614A" w:rsidP="0089614A">
            <w:pPr>
              <w:tabs>
                <w:tab w:val="left" w:pos="8910"/>
              </w:tabs>
              <w:adjustRightInd w:val="0"/>
              <w:snapToGrid w:val="0"/>
              <w:spacing w:after="60" w:line="240" w:lineRule="auto"/>
            </w:pPr>
            <w:r w:rsidRPr="005A2E7D">
              <w:rPr>
                <w:rFonts w:eastAsia="Segoe UI" w:cs="Segoe UI"/>
                <w:szCs w:val="21"/>
              </w:rPr>
              <w:t xml:space="preserve">Supervisory Review and Evaluation Process </w:t>
            </w:r>
          </w:p>
        </w:tc>
      </w:tr>
      <w:tr w:rsidR="0089614A" w:rsidRPr="000130F4" w14:paraId="1C3967DE" w14:textId="77777777" w:rsidTr="0025702D">
        <w:trPr>
          <w:jc w:val="center"/>
        </w:trPr>
        <w:tc>
          <w:tcPr>
            <w:tcW w:w="1593" w:type="dxa"/>
          </w:tcPr>
          <w:p w14:paraId="44F60138" w14:textId="77777777" w:rsidR="0089614A" w:rsidRPr="00CF6053" w:rsidRDefault="0089614A" w:rsidP="0089614A">
            <w:pPr>
              <w:tabs>
                <w:tab w:val="left" w:pos="8910"/>
              </w:tabs>
              <w:adjustRightInd w:val="0"/>
              <w:snapToGrid w:val="0"/>
              <w:spacing w:after="60" w:line="240" w:lineRule="auto"/>
            </w:pPr>
            <w:r w:rsidRPr="005A2E7D">
              <w:rPr>
                <w:rFonts w:eastAsia="Segoe UI" w:cs="Segoe UI"/>
                <w:szCs w:val="21"/>
              </w:rPr>
              <w:t>SSM</w:t>
            </w:r>
          </w:p>
        </w:tc>
        <w:tc>
          <w:tcPr>
            <w:tcW w:w="7407" w:type="dxa"/>
          </w:tcPr>
          <w:p w14:paraId="2C999D6F" w14:textId="77777777" w:rsidR="0089614A" w:rsidRPr="00CF6053" w:rsidRDefault="0089614A" w:rsidP="0089614A">
            <w:pPr>
              <w:tabs>
                <w:tab w:val="left" w:pos="8910"/>
              </w:tabs>
              <w:adjustRightInd w:val="0"/>
              <w:snapToGrid w:val="0"/>
              <w:spacing w:after="60" w:line="240" w:lineRule="auto"/>
            </w:pPr>
            <w:r w:rsidRPr="005A2E7D">
              <w:rPr>
                <w:rFonts w:eastAsia="Segoe UI" w:cs="Segoe UI"/>
                <w:szCs w:val="21"/>
              </w:rPr>
              <w:t>Single Supervisory</w:t>
            </w:r>
            <w:r w:rsidRPr="005A2E7D">
              <w:rPr>
                <w:rFonts w:eastAsia="Segoe UI" w:cs="Segoe UI"/>
                <w:spacing w:val="-11"/>
                <w:szCs w:val="21"/>
              </w:rPr>
              <w:t xml:space="preserve"> </w:t>
            </w:r>
            <w:r w:rsidRPr="005A2E7D">
              <w:rPr>
                <w:rFonts w:eastAsia="Segoe UI" w:cs="Segoe UI"/>
                <w:szCs w:val="21"/>
              </w:rPr>
              <w:t>Mech</w:t>
            </w:r>
            <w:r w:rsidRPr="005A2E7D">
              <w:rPr>
                <w:rFonts w:eastAsia="Segoe UI" w:cs="Segoe UI"/>
                <w:spacing w:val="-1"/>
                <w:szCs w:val="21"/>
              </w:rPr>
              <w:t>a</w:t>
            </w:r>
            <w:r w:rsidRPr="005A2E7D">
              <w:rPr>
                <w:rFonts w:eastAsia="Segoe UI" w:cs="Segoe UI"/>
                <w:szCs w:val="21"/>
              </w:rPr>
              <w:t>nism</w:t>
            </w:r>
          </w:p>
        </w:tc>
      </w:tr>
    </w:tbl>
    <w:p w14:paraId="6152807F" w14:textId="77777777" w:rsidR="00854314" w:rsidRPr="004B1F9D" w:rsidRDefault="00854314" w:rsidP="00854314"/>
    <w:p w14:paraId="3518619A" w14:textId="77777777" w:rsidR="00854314" w:rsidRDefault="00854314" w:rsidP="00854314"/>
    <w:p w14:paraId="03652625" w14:textId="77777777" w:rsidR="00486398" w:rsidRPr="004B1F9D" w:rsidRDefault="00486398" w:rsidP="00854314"/>
    <w:p w14:paraId="5A74FAB5" w14:textId="77777777" w:rsidR="004401F2" w:rsidRDefault="004401F2">
      <w:pPr>
        <w:spacing w:line="240" w:lineRule="auto"/>
        <w:rPr>
          <w:rFonts w:cs="Arial"/>
          <w:b/>
          <w:bCs/>
          <w:smallCaps/>
          <w:kern w:val="28"/>
          <w:szCs w:val="32"/>
        </w:rPr>
      </w:pPr>
      <w:bookmarkStart w:id="2" w:name="_Toc49659575"/>
      <w:bookmarkStart w:id="3" w:name="_Toc501639824"/>
      <w:r>
        <w:br w:type="page"/>
      </w:r>
    </w:p>
    <w:p w14:paraId="54C2E478" w14:textId="77777777" w:rsidR="00CD6A65" w:rsidRPr="006A6649" w:rsidRDefault="00FF32B8" w:rsidP="00CD6A65">
      <w:pPr>
        <w:pStyle w:val="Heading1"/>
        <w:numPr>
          <w:ilvl w:val="0"/>
          <w:numId w:val="0"/>
        </w:numPr>
      </w:pPr>
      <w:bookmarkStart w:id="4" w:name="_Toc518653280"/>
      <w:bookmarkEnd w:id="2"/>
      <w:bookmarkEnd w:id="3"/>
      <w:r>
        <w:lastRenderedPageBreak/>
        <w:t>Executive Summary</w:t>
      </w:r>
      <w:bookmarkEnd w:id="4"/>
    </w:p>
    <w:p w14:paraId="53C3ACF4" w14:textId="77777777" w:rsidR="00E145BF" w:rsidRPr="00C46FC1" w:rsidRDefault="00E145BF" w:rsidP="00C46FC1">
      <w:pPr>
        <w:pStyle w:val="ParagraphNumbering"/>
        <w:spacing w:after="120" w:line="300" w:lineRule="exact"/>
        <w:jc w:val="both"/>
        <w:rPr>
          <w:b/>
        </w:rPr>
      </w:pPr>
      <w:r w:rsidRPr="00E145BF">
        <w:rPr>
          <w:b/>
        </w:rPr>
        <w:t xml:space="preserve">Romania’s financial sector has strengthened significantly over the last few years. </w:t>
      </w:r>
      <w:r w:rsidRPr="00C46FC1">
        <w:t>Effective supervisory measures have helped reduce the high level of non-performing loans (NPLs) from 21.5 percent at its peak in 2013 to 6.4 percent as of December 2017. Foreign-owned banks’ dependence on parent funding has significantly declined, while deposits from the domestic private sector have increased, reducing liquidity risks. Banks’ capital buffers strengthened, on the back of a slowdown of credit and low interest rates, with an average capital to risk-weighted assets now above 18 percent.</w:t>
      </w:r>
      <w:r w:rsidRPr="00E145BF">
        <w:rPr>
          <w:b/>
        </w:rPr>
        <w:t xml:space="preserve"> </w:t>
      </w:r>
    </w:p>
    <w:p w14:paraId="14CEF2EC" w14:textId="77777777" w:rsidR="00E145BF" w:rsidRPr="00C46FC1" w:rsidRDefault="00E145BF" w:rsidP="00C46FC1">
      <w:pPr>
        <w:pStyle w:val="ParagraphNumbering"/>
        <w:spacing w:after="120" w:line="300" w:lineRule="exact"/>
        <w:jc w:val="both"/>
        <w:rPr>
          <w:b/>
        </w:rPr>
      </w:pPr>
      <w:r w:rsidRPr="00E145BF">
        <w:rPr>
          <w:b/>
        </w:rPr>
        <w:t xml:space="preserve">However, some vulnerabilities are emerging. </w:t>
      </w:r>
      <w:r w:rsidRPr="00C46FC1">
        <w:t>Banks’ holdings of domestic sovereign paper have grown large, exposing them to valuation losses in case of an increase in interest rates or sovereign risk spreads. Banks’ indirect exposures to government guarantees through the Prima Casa program further strengthens the sovereign-bank nexus. An increase in interest rates may also negatively impact NPL ratios on banks’ mortgage portfolios, which are growing fast and are at variable rates. The share of foreign exchange (FX) denominated loans and deposits significantly decreased, but remains relatively high, and a large share of corporate borrowers is unhedged. Finally, lending practices of non-bank financial lenders (NBFLs) may lead to loan defaults and reputational risks for the banking sector. As the financial system is small, shocks may further discourage financial intermediation, which is already among the lowest in the European Union (EU).</w:t>
      </w:r>
    </w:p>
    <w:p w14:paraId="6249F8E3" w14:textId="77777777" w:rsidR="00E145BF" w:rsidRPr="00C46FC1" w:rsidRDefault="00E145BF" w:rsidP="00C46FC1">
      <w:pPr>
        <w:pStyle w:val="ParagraphNumbering"/>
        <w:spacing w:after="120" w:line="300" w:lineRule="exact"/>
        <w:jc w:val="both"/>
        <w:rPr>
          <w:b/>
        </w:rPr>
      </w:pPr>
      <w:r w:rsidRPr="00E145BF">
        <w:rPr>
          <w:b/>
        </w:rPr>
        <w:t xml:space="preserve">The NBR is transitioning to a risk-based supervisory approach that needs further enhancements. </w:t>
      </w:r>
      <w:r w:rsidRPr="00C46FC1">
        <w:t>The new Supervisory Review and Evaluation Process (SREP) Guidelines of the European Banking Authority (EBA) are still in the initial stages of implementation. The NBR should conduct more risk-focused, banking industry-wide thematic analyses and develop its off-site monitoring tools, such as by conducting bottom up stress tests. The NBR should also build up specialized expertise, in particular in IT and cybersecurity. This will also benefit the systemically important payment and securities settlement systems that are currently being brought under the roof of the NBR. Finally, remaining gaps in the AML/CFT framework should be addressed.</w:t>
      </w:r>
    </w:p>
    <w:p w14:paraId="4ADDFC4C" w14:textId="792B3926" w:rsidR="00433747" w:rsidRDefault="00EE7A88" w:rsidP="00433747">
      <w:pPr>
        <w:pStyle w:val="ParagraphNumbering"/>
        <w:spacing w:after="120" w:line="300" w:lineRule="exact"/>
        <w:jc w:val="both"/>
      </w:pPr>
      <w:r>
        <w:rPr>
          <w:b/>
          <w:bCs/>
        </w:rPr>
        <w:t>F</w:t>
      </w:r>
      <w:r w:rsidR="00433747">
        <w:rPr>
          <w:b/>
          <w:bCs/>
        </w:rPr>
        <w:t>inancial intermediation relative to the economy is low and declining.</w:t>
      </w:r>
      <w:r w:rsidR="00433747">
        <w:t xml:space="preserve"> The depth of the Romanian banking sector is lagging both in terms of deposit and</w:t>
      </w:r>
      <w:r w:rsidR="00433747">
        <w:rPr>
          <w:b/>
          <w:bCs/>
        </w:rPr>
        <w:t xml:space="preserve"> </w:t>
      </w:r>
      <w:r w:rsidR="00433747">
        <w:t>loan penetration. While poverty, rurality and informality form a set of constraints that may subside in the long run, other influencing factors currently contribute to a low supply/demand equilibrium. On the demand side, credit needs remain, overall, limited due to low enterprise density, poor health of the enterprise sector, and high number of foreign owned firms (compared to peers). The economic growth had a positive spillover in the enterprise sector, but this did not translate into increased investment activity</w:t>
      </w:r>
      <w:r>
        <w:t>, despite an unprecedented low interest rate environment</w:t>
      </w:r>
      <w:r w:rsidR="00433747">
        <w:t xml:space="preserve">. On the supply side, </w:t>
      </w:r>
      <w:r w:rsidR="00C24BCC">
        <w:t xml:space="preserve">the </w:t>
      </w:r>
      <w:r w:rsidR="00AB50B9">
        <w:t xml:space="preserve">supply </w:t>
      </w:r>
      <w:r w:rsidR="00C24BCC">
        <w:t xml:space="preserve">of credit </w:t>
      </w:r>
      <w:r w:rsidR="00C354DA">
        <w:t xml:space="preserve">has been </w:t>
      </w:r>
      <w:r w:rsidR="003B3A3C">
        <w:t xml:space="preserve">constrained by </w:t>
      </w:r>
      <w:r w:rsidR="00C354DA">
        <w:t xml:space="preserve">several </w:t>
      </w:r>
      <w:r w:rsidR="003B3A3C">
        <w:t xml:space="preserve">factors including: i) </w:t>
      </w:r>
      <w:r w:rsidR="005214DE">
        <w:t xml:space="preserve">an </w:t>
      </w:r>
      <w:r w:rsidR="00C354DA">
        <w:t xml:space="preserve">acute </w:t>
      </w:r>
      <w:r w:rsidR="00AB50B9">
        <w:t>deterioration of asset quality, particularly among MSMEs, after the crisis,</w:t>
      </w:r>
      <w:r w:rsidR="003B3A3C">
        <w:t xml:space="preserve"> ii) </w:t>
      </w:r>
      <w:r w:rsidR="00C354DA">
        <w:t xml:space="preserve">banks’ deleveraging pressures, </w:t>
      </w:r>
      <w:r w:rsidR="003B3A3C">
        <w:t>i</w:t>
      </w:r>
      <w:r w:rsidR="00C354DA">
        <w:t>i</w:t>
      </w:r>
      <w:r w:rsidR="003B3A3C">
        <w:t xml:space="preserve">i) </w:t>
      </w:r>
      <w:r w:rsidR="00AB50B9">
        <w:t xml:space="preserve">deficiencies in the </w:t>
      </w:r>
      <w:r w:rsidR="003B3A3C">
        <w:t xml:space="preserve">credit enabling </w:t>
      </w:r>
      <w:r w:rsidR="00AB50B9">
        <w:t>infrastructures (credit reporting, insolvency)</w:t>
      </w:r>
      <w:r w:rsidR="003B3A3C">
        <w:t>, i</w:t>
      </w:r>
      <w:r w:rsidR="00C354DA">
        <w:t>v</w:t>
      </w:r>
      <w:r w:rsidR="003B3A3C">
        <w:t>) preference of banks for sovereign debt</w:t>
      </w:r>
      <w:r>
        <w:t xml:space="preserve">, as well as government </w:t>
      </w:r>
      <w:r w:rsidR="009530BA">
        <w:t xml:space="preserve">guaranteed </w:t>
      </w:r>
      <w:r w:rsidR="005214DE">
        <w:t>debt</w:t>
      </w:r>
      <w:r w:rsidR="00AB50B9">
        <w:t xml:space="preserve"> in </w:t>
      </w:r>
      <w:r w:rsidR="005214DE">
        <w:t xml:space="preserve">a </w:t>
      </w:r>
      <w:r w:rsidR="00AB50B9">
        <w:t>context of fiscal expansion</w:t>
      </w:r>
      <w:r w:rsidR="00C354DA">
        <w:t xml:space="preserve">, </w:t>
      </w:r>
      <w:r w:rsidR="00AB50B9">
        <w:t>v)</w:t>
      </w:r>
      <w:r w:rsidR="005E07CB">
        <w:t xml:space="preserve"> </w:t>
      </w:r>
      <w:r>
        <w:t>lack of depth in the NBFI segment</w:t>
      </w:r>
      <w:r w:rsidR="009530BA">
        <w:t>,</w:t>
      </w:r>
      <w:r>
        <w:t xml:space="preserve"> </w:t>
      </w:r>
      <w:r w:rsidR="005E07CB">
        <w:t xml:space="preserve">and vi) </w:t>
      </w:r>
      <w:r w:rsidR="00AB50B9">
        <w:t xml:space="preserve">declining use of </w:t>
      </w:r>
      <w:r w:rsidR="00AB50B9">
        <w:lastRenderedPageBreak/>
        <w:t xml:space="preserve">public </w:t>
      </w:r>
      <w:r w:rsidR="00C354DA">
        <w:t xml:space="preserve">partial </w:t>
      </w:r>
      <w:r w:rsidR="00AB50B9">
        <w:t>credit guarantees due to operational problems</w:t>
      </w:r>
      <w:r w:rsidR="003B3A3C">
        <w:t xml:space="preserve">. </w:t>
      </w:r>
      <w:r w:rsidR="00C354DA">
        <w:t>As a result,</w:t>
      </w:r>
      <w:r w:rsidR="003B3A3C">
        <w:t xml:space="preserve"> </w:t>
      </w:r>
      <w:r w:rsidR="00433747">
        <w:t xml:space="preserve">access to credit is </w:t>
      </w:r>
      <w:r w:rsidR="00C354DA">
        <w:t xml:space="preserve">particularly </w:t>
      </w:r>
      <w:r w:rsidR="00433747">
        <w:t>problematic for certain firm segments that are underserved by the banking sector</w:t>
      </w:r>
      <w:r w:rsidR="00C354DA">
        <w:t xml:space="preserve">, including </w:t>
      </w:r>
      <w:r w:rsidR="00433747">
        <w:t xml:space="preserve">for micro, small and medium-sized enterprises (MSMEs), start-ups, </w:t>
      </w:r>
      <w:r w:rsidR="00C354DA">
        <w:t xml:space="preserve">the agriculture sector, </w:t>
      </w:r>
      <w:r w:rsidR="00433747">
        <w:t xml:space="preserve">and in rural areas. The emergence of banks with clear MSME lending development strategies or niche market positioning could reverse the banking disintermediation trend. </w:t>
      </w:r>
    </w:p>
    <w:p w14:paraId="4124D5A9" w14:textId="03677CE1" w:rsidR="00433747" w:rsidRDefault="00433747" w:rsidP="00433747">
      <w:pPr>
        <w:pStyle w:val="ParagraphNumbering"/>
        <w:spacing w:after="120" w:line="300" w:lineRule="exact"/>
        <w:jc w:val="both"/>
        <w:rPr>
          <w:sz w:val="20"/>
          <w:szCs w:val="20"/>
        </w:rPr>
      </w:pPr>
      <w:r>
        <w:rPr>
          <w:b/>
          <w:bCs/>
        </w:rPr>
        <w:t>Financial inclusion is also lagging</w:t>
      </w:r>
      <w:r>
        <w:t>. In addition to the structural factors already mentioned, low intermediation is the result of a thin (and declining) bank branch network, especially in rural areas.</w:t>
      </w:r>
      <w:r>
        <w:rPr>
          <w:b/>
          <w:bCs/>
        </w:rPr>
        <w:t xml:space="preserve"> </w:t>
      </w:r>
      <w:r>
        <w:t>Although the recent law introducing zero fee accounts for about 50 percent of the population may enhance inclusion, it may also have adverse effects such as higher interest / fees for other clients, or the acceleration of banks’ retrenchment from rural areas.</w:t>
      </w:r>
      <w:r>
        <w:rPr>
          <w:b/>
          <w:bCs/>
        </w:rPr>
        <w:t xml:space="preserve"> </w:t>
      </w:r>
      <w:r>
        <w:t xml:space="preserve">Improving financial inclusion may require broader solutions including i) a better use of the Posta Romana network of branches, </w:t>
      </w:r>
      <w:r w:rsidR="003B3A3C">
        <w:t xml:space="preserve">ii) measures to </w:t>
      </w:r>
      <w:r w:rsidR="00C354DA">
        <w:t>enable</w:t>
      </w:r>
      <w:r w:rsidR="003B3A3C">
        <w:t xml:space="preserve"> </w:t>
      </w:r>
      <w:r w:rsidR="00C354DA">
        <w:t>c</w:t>
      </w:r>
      <w:r w:rsidR="003B3A3C">
        <w:t xml:space="preserve">redit </w:t>
      </w:r>
      <w:r w:rsidR="00C354DA">
        <w:t>u</w:t>
      </w:r>
      <w:r w:rsidR="003B3A3C">
        <w:t xml:space="preserve">nions to </w:t>
      </w:r>
      <w:r w:rsidR="00C354DA">
        <w:t xml:space="preserve">expand and </w:t>
      </w:r>
      <w:r w:rsidR="003B3A3C">
        <w:t>offer more financial services</w:t>
      </w:r>
      <w:r w:rsidR="00C354DA">
        <w:t xml:space="preserve"> while strengthening supervision</w:t>
      </w:r>
      <w:r w:rsidR="003B3A3C">
        <w:t>, i</w:t>
      </w:r>
      <w:r>
        <w:t>ii) the adoption of incentive mechanisms to accelerate the expansion of digital finance solutions</w:t>
      </w:r>
      <w:r w:rsidR="00654364">
        <w:t>,</w:t>
      </w:r>
      <w:r>
        <w:t xml:space="preserve"> and </w:t>
      </w:r>
      <w:r w:rsidR="00C354DA">
        <w:t>i</w:t>
      </w:r>
      <w:r w:rsidR="00654364">
        <w:t>v</w:t>
      </w:r>
      <w:r>
        <w:t>) the promotion of financial inclusion and literacy a</w:t>
      </w:r>
      <w:r w:rsidR="00C354DA">
        <w:t>s well as</w:t>
      </w:r>
      <w:r>
        <w:t xml:space="preserve"> effective consumer protection mechanisms.</w:t>
      </w:r>
    </w:p>
    <w:p w14:paraId="3D259D5F" w14:textId="2783FB5C" w:rsidR="00433747" w:rsidRDefault="00654364" w:rsidP="00433747">
      <w:pPr>
        <w:pStyle w:val="ParagraphNumbering"/>
        <w:spacing w:after="120" w:line="300" w:lineRule="exact"/>
        <w:jc w:val="both"/>
      </w:pPr>
      <w:r>
        <w:rPr>
          <w:b/>
        </w:rPr>
        <w:t>The State is expected to play a</w:t>
      </w:r>
      <w:r w:rsidR="00C354DA">
        <w:rPr>
          <w:b/>
        </w:rPr>
        <w:t xml:space="preserve"> more targeted</w:t>
      </w:r>
      <w:r>
        <w:rPr>
          <w:b/>
        </w:rPr>
        <w:t xml:space="preserve"> role geared toward the c</w:t>
      </w:r>
      <w:r w:rsidRPr="00433747">
        <w:rPr>
          <w:b/>
        </w:rPr>
        <w:t xml:space="preserve">losing </w:t>
      </w:r>
      <w:r w:rsidR="005214DE">
        <w:rPr>
          <w:b/>
        </w:rPr>
        <w:t xml:space="preserve">of </w:t>
      </w:r>
      <w:r w:rsidR="00433747" w:rsidRPr="00433747">
        <w:rPr>
          <w:b/>
        </w:rPr>
        <w:t>these financial sector development gaps.</w:t>
      </w:r>
      <w:r w:rsidR="00433747">
        <w:t xml:space="preserve"> </w:t>
      </w:r>
      <w:r w:rsidR="00C354DA">
        <w:t>These gaps persist despite the presence of several public initiatives</w:t>
      </w:r>
      <w:r w:rsidR="00433747">
        <w:t xml:space="preserve"> to support access to finance</w:t>
      </w:r>
      <w:r w:rsidR="00C354DA">
        <w:t>. Several schemes</w:t>
      </w:r>
      <w:r w:rsidR="00433747">
        <w:t xml:space="preserve"> are </w:t>
      </w:r>
      <w:r>
        <w:t xml:space="preserve">poorly designed, </w:t>
      </w:r>
      <w:r w:rsidR="00433747">
        <w:t xml:space="preserve">too fragmented and </w:t>
      </w:r>
      <w:r>
        <w:t xml:space="preserve">insufficiently </w:t>
      </w:r>
      <w:r w:rsidR="00433747">
        <w:t>coordinat</w:t>
      </w:r>
      <w:r>
        <w:t>ed</w:t>
      </w:r>
      <w:r w:rsidR="00433747">
        <w:t>.</w:t>
      </w:r>
      <w:r w:rsidR="00C354DA">
        <w:t xml:space="preserve"> </w:t>
      </w:r>
      <w:r w:rsidR="00433747">
        <w:t>It is necessary to adopt a holistic view by encompassing all state institutions and initiatives, eliminating duplications, identifying and taking into account all market gaps and leveraging commercial finance. The authorities should also consider establishing a Financial Sector Development Committee with a clear development mandate, an effective monitoring and evaluation system and accountability mechanism.</w:t>
      </w:r>
    </w:p>
    <w:p w14:paraId="60A713E5" w14:textId="77777777" w:rsidR="00433747" w:rsidRDefault="00433747" w:rsidP="00433747">
      <w:pPr>
        <w:pStyle w:val="ParagraphNumbering"/>
        <w:spacing w:after="120" w:line="300" w:lineRule="exact"/>
        <w:jc w:val="both"/>
      </w:pPr>
      <w:r>
        <w:rPr>
          <w:b/>
          <w:bCs/>
        </w:rPr>
        <w:t xml:space="preserve">The insurance market continues to be underdeveloped. </w:t>
      </w:r>
      <w:r>
        <w:t>The insurance sector is characterized by low levels of penetration and concentration in the motor-third party liability (MTPL) segment. Recent turmoil in the non-life sector has undermined trust in the industry and affected independence of the regulator, despite initiatives to stabilize the market. Although regulation and supervisory standards have been revised in alignment to EU standards, and new country-specific regulation has been enacted—including a resolution regime for insurers and a new MTPL Law—a thorough external assessment of the regulatory and supervisory framework is warranted to ensure its adequacy and effectiveness. Efforts to develop other segments of the market, such as homeowners’ catastrophe property, health, and life insurance are warranted.</w:t>
      </w:r>
    </w:p>
    <w:p w14:paraId="04B32BBC" w14:textId="26C956CE" w:rsidR="00654364" w:rsidRDefault="00654364" w:rsidP="00654364">
      <w:pPr>
        <w:pStyle w:val="ParagraphNumbering"/>
        <w:spacing w:after="120" w:line="300" w:lineRule="exact"/>
        <w:jc w:val="both"/>
      </w:pPr>
      <w:r w:rsidRPr="00433747">
        <w:rPr>
          <w:b/>
        </w:rPr>
        <w:t>Romania has made significant progress in the development of its capital markets; this positive momentum needs to be maintained.</w:t>
      </w:r>
      <w:r>
        <w:t xml:space="preserve"> In the past years a broad range of reforms has been undertaken and progress has been noticed internationally. As a result, more liquidity has been brought to the market, both the domestic and foreign investor base has deepened, and medium to longer term investment has increased. However, more could be done on the institutional investor front (especially given the stagnation of the </w:t>
      </w:r>
      <w:r w:rsidR="009530BA">
        <w:t>i</w:t>
      </w:r>
      <w:r>
        <w:t>nsurance sector)</w:t>
      </w:r>
      <w:r w:rsidR="009530BA">
        <w:t>. In addition</w:t>
      </w:r>
      <w:r w:rsidR="009142E2">
        <w:t xml:space="preserve">, </w:t>
      </w:r>
      <w:r>
        <w:t xml:space="preserve">country level concerns regarding Government support for the development of the market, </w:t>
      </w:r>
      <w:r>
        <w:lastRenderedPageBreak/>
        <w:t xml:space="preserve">corporate governance of state-owned enterprises and changes to the private pension system, risk reversing the progress made to date. There are also market level issues that need to be addressed in order to further increase liquidity and successfully introduce new products. </w:t>
      </w:r>
    </w:p>
    <w:p w14:paraId="170D7DA8" w14:textId="3F5E8736" w:rsidR="004A2167" w:rsidRDefault="00433747" w:rsidP="00433747">
      <w:pPr>
        <w:pStyle w:val="ParagraphNumbering"/>
        <w:spacing w:after="120" w:line="300" w:lineRule="exact"/>
        <w:jc w:val="both"/>
      </w:pPr>
      <w:r w:rsidRPr="00433747">
        <w:rPr>
          <w:b/>
        </w:rPr>
        <w:t>Housing finance has grown steadily in a benign credit environment which has seen falls in both interest rates and delinquency rates.</w:t>
      </w:r>
      <w:r>
        <w:t xml:space="preserve"> However, the law on debt-discharge continues to create uncertainty for lenders and provides a further incentive to rely on the Prima Casa program which is exempted from the provisions of that law. In light of the new personal insolvency law, which provides additional rights for borrowers, the law on debt discharge should be repealed to sustain further housing finance expansion.</w:t>
      </w:r>
    </w:p>
    <w:p w14:paraId="2875F62A" w14:textId="0AC0922F" w:rsidR="00461303" w:rsidRDefault="00461303" w:rsidP="00461303">
      <w:pPr>
        <w:pStyle w:val="ParagraphNumbering"/>
        <w:numPr>
          <w:ilvl w:val="0"/>
          <w:numId w:val="0"/>
        </w:numPr>
        <w:spacing w:after="120" w:line="300" w:lineRule="exact"/>
        <w:jc w:val="both"/>
      </w:pPr>
    </w:p>
    <w:p w14:paraId="7B9A4B4D" w14:textId="217869B1" w:rsidR="006A6649" w:rsidRDefault="006A6649"/>
    <w:tbl>
      <w:tblPr>
        <w:tblW w:w="103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55"/>
        <w:gridCol w:w="1418"/>
        <w:gridCol w:w="856"/>
      </w:tblGrid>
      <w:tr w:rsidR="00AA60B5" w:rsidRPr="000130F4" w14:paraId="02D52B79" w14:textId="77777777" w:rsidTr="00FB729C">
        <w:trPr>
          <w:trHeight w:val="350"/>
          <w:tblHeader/>
          <w:jc w:val="center"/>
        </w:trPr>
        <w:tc>
          <w:tcPr>
            <w:tcW w:w="10329" w:type="dxa"/>
            <w:gridSpan w:val="3"/>
            <w:tcBorders>
              <w:top w:val="single" w:sz="4" w:space="0" w:color="auto"/>
              <w:left w:val="single" w:sz="4" w:space="0" w:color="auto"/>
              <w:bottom w:val="single" w:sz="4" w:space="0" w:color="auto"/>
              <w:right w:val="single" w:sz="4" w:space="0" w:color="auto"/>
            </w:tcBorders>
            <w:hideMark/>
          </w:tcPr>
          <w:p w14:paraId="6947CECB" w14:textId="56C4AF7C" w:rsidR="00AA60B5" w:rsidRPr="001252F7" w:rsidRDefault="00AA60B5" w:rsidP="001252F7">
            <w:pPr>
              <w:autoSpaceDE w:val="0"/>
              <w:autoSpaceDN w:val="0"/>
              <w:adjustRightInd w:val="0"/>
              <w:spacing w:line="240" w:lineRule="auto"/>
              <w:jc w:val="center"/>
              <w:rPr>
                <w:b/>
              </w:rPr>
            </w:pPr>
            <w:r w:rsidRPr="00E931CE">
              <w:lastRenderedPageBreak/>
              <w:br w:type="page"/>
            </w:r>
            <w:r w:rsidRPr="00E931CE">
              <w:br w:type="page"/>
            </w:r>
            <w:r w:rsidRPr="00E931CE">
              <w:rPr>
                <w:b/>
              </w:rPr>
              <w:fldChar w:fldCharType="begin"/>
            </w:r>
            <w:r w:rsidRPr="00E931CE">
              <w:rPr>
                <w:b/>
              </w:rPr>
              <w:instrText xml:space="preserve"> TC "</w:instrText>
            </w:r>
            <w:bookmarkStart w:id="5" w:name="_Toc496195031"/>
            <w:bookmarkStart w:id="6" w:name="_Toc496195273"/>
            <w:r w:rsidRPr="00E931CE">
              <w:instrText>1. Key Recommendations</w:instrText>
            </w:r>
            <w:bookmarkEnd w:id="5"/>
            <w:bookmarkEnd w:id="6"/>
            <w:r w:rsidRPr="00E931CE">
              <w:rPr>
                <w:b/>
              </w:rPr>
              <w:cr/>
              <w:instrText xml:space="preserve">"\f B </w:instrText>
            </w:r>
            <w:r w:rsidRPr="00E931CE">
              <w:rPr>
                <w:b/>
              </w:rPr>
              <w:fldChar w:fldCharType="end"/>
            </w:r>
            <w:bookmarkStart w:id="7" w:name="_Toc518653306"/>
            <w:r w:rsidRPr="00E931CE">
              <w:rPr>
                <w:b/>
              </w:rPr>
              <w:t>Table</w:t>
            </w:r>
            <w:r w:rsidR="001252F7">
              <w:rPr>
                <w:b/>
              </w:rPr>
              <w:t xml:space="preserve"> </w:t>
            </w:r>
            <w:r w:rsidR="001252F7" w:rsidRPr="001252F7">
              <w:rPr>
                <w:b/>
              </w:rPr>
              <w:fldChar w:fldCharType="begin"/>
            </w:r>
            <w:r w:rsidR="001252F7" w:rsidRPr="001252F7">
              <w:rPr>
                <w:b/>
              </w:rPr>
              <w:instrText xml:space="preserve"> SEQ Table \* ARABIC </w:instrText>
            </w:r>
            <w:r w:rsidR="001252F7" w:rsidRPr="001252F7">
              <w:rPr>
                <w:b/>
              </w:rPr>
              <w:fldChar w:fldCharType="separate"/>
            </w:r>
            <w:r w:rsidR="006D0059">
              <w:rPr>
                <w:b/>
                <w:noProof/>
              </w:rPr>
              <w:t>1</w:t>
            </w:r>
            <w:r w:rsidR="001252F7" w:rsidRPr="001252F7">
              <w:fldChar w:fldCharType="end"/>
            </w:r>
            <w:r w:rsidRPr="00E931CE">
              <w:rPr>
                <w:b/>
              </w:rPr>
              <w:t xml:space="preserve">. </w:t>
            </w:r>
            <w:r w:rsidR="004401F2">
              <w:rPr>
                <w:b/>
              </w:rPr>
              <w:t>Roman</w:t>
            </w:r>
            <w:r w:rsidRPr="00E931CE">
              <w:rPr>
                <w:b/>
                <w:bCs/>
              </w:rPr>
              <w:t>ia FSAP</w:t>
            </w:r>
            <w:r w:rsidR="004401F2">
              <w:rPr>
                <w:b/>
                <w:bCs/>
              </w:rPr>
              <w:t xml:space="preserve"> 2018</w:t>
            </w:r>
            <w:r w:rsidRPr="00E931CE">
              <w:rPr>
                <w:b/>
                <w:bCs/>
              </w:rPr>
              <w:t>: Key Recommendations</w:t>
            </w:r>
            <w:bookmarkEnd w:id="7"/>
          </w:p>
        </w:tc>
      </w:tr>
      <w:tr w:rsidR="00AA60B5" w:rsidRPr="000130F4" w14:paraId="7CCE00AE" w14:textId="77777777" w:rsidTr="00FB729C">
        <w:trPr>
          <w:trHeight w:val="121"/>
          <w:tblHeader/>
          <w:jc w:val="center"/>
        </w:trPr>
        <w:tc>
          <w:tcPr>
            <w:tcW w:w="8055" w:type="dxa"/>
            <w:tcBorders>
              <w:top w:val="single" w:sz="4" w:space="0" w:color="auto"/>
              <w:left w:val="single" w:sz="4" w:space="0" w:color="auto"/>
              <w:bottom w:val="single" w:sz="4" w:space="0" w:color="auto"/>
              <w:right w:val="single" w:sz="4" w:space="0" w:color="auto"/>
            </w:tcBorders>
            <w:shd w:val="clear" w:color="auto" w:fill="auto"/>
          </w:tcPr>
          <w:p w14:paraId="46F17FBF" w14:textId="77777777" w:rsidR="00AA60B5" w:rsidRPr="000130F4" w:rsidRDefault="00AA60B5" w:rsidP="001C79E0">
            <w:pPr>
              <w:autoSpaceDE w:val="0"/>
              <w:autoSpaceDN w:val="0"/>
              <w:adjustRightInd w:val="0"/>
              <w:spacing w:line="240" w:lineRule="auto"/>
              <w:rPr>
                <w:sz w:val="22"/>
                <w:szCs w:val="22"/>
              </w:rPr>
            </w:pPr>
            <w:r w:rsidRPr="000130F4">
              <w:rPr>
                <w:b/>
                <w:bCs/>
                <w:sz w:val="22"/>
                <w:szCs w:val="22"/>
              </w:rPr>
              <w:t>Recommendations</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39BEA479" w14:textId="77777777" w:rsidR="00AA60B5" w:rsidRPr="000130F4" w:rsidRDefault="004401F2" w:rsidP="001C79E0">
            <w:pPr>
              <w:autoSpaceDE w:val="0"/>
              <w:autoSpaceDN w:val="0"/>
              <w:adjustRightInd w:val="0"/>
              <w:spacing w:line="240" w:lineRule="auto"/>
              <w:jc w:val="center"/>
              <w:rPr>
                <w:b/>
                <w:bCs/>
                <w:sz w:val="22"/>
                <w:szCs w:val="22"/>
              </w:rPr>
            </w:pPr>
            <w:r>
              <w:rPr>
                <w:b/>
                <w:bCs/>
                <w:sz w:val="22"/>
                <w:szCs w:val="22"/>
              </w:rPr>
              <w:t>Agency</w:t>
            </w:r>
          </w:p>
        </w:tc>
        <w:tc>
          <w:tcPr>
            <w:tcW w:w="856" w:type="dxa"/>
            <w:tcBorders>
              <w:top w:val="single" w:sz="4" w:space="0" w:color="auto"/>
              <w:left w:val="single" w:sz="4" w:space="0" w:color="auto"/>
              <w:bottom w:val="single" w:sz="4" w:space="0" w:color="auto"/>
              <w:right w:val="single" w:sz="4" w:space="0" w:color="auto"/>
            </w:tcBorders>
            <w:shd w:val="clear" w:color="auto" w:fill="auto"/>
            <w:hideMark/>
          </w:tcPr>
          <w:p w14:paraId="61B87784" w14:textId="77777777" w:rsidR="00AA60B5" w:rsidRPr="000130F4" w:rsidRDefault="00AA60B5" w:rsidP="001C79E0">
            <w:pPr>
              <w:autoSpaceDE w:val="0"/>
              <w:autoSpaceDN w:val="0"/>
              <w:adjustRightInd w:val="0"/>
              <w:spacing w:line="240" w:lineRule="auto"/>
              <w:jc w:val="center"/>
              <w:rPr>
                <w:sz w:val="22"/>
                <w:szCs w:val="22"/>
              </w:rPr>
            </w:pPr>
            <w:r w:rsidRPr="000130F4">
              <w:rPr>
                <w:b/>
                <w:bCs/>
                <w:sz w:val="22"/>
                <w:szCs w:val="22"/>
              </w:rPr>
              <w:t>Time</w:t>
            </w:r>
          </w:p>
        </w:tc>
      </w:tr>
      <w:tr w:rsidR="00AA60B5" w:rsidRPr="000130F4" w14:paraId="3454A112" w14:textId="77777777" w:rsidTr="00FB729C">
        <w:trPr>
          <w:trHeight w:val="234"/>
          <w:tblHeader/>
          <w:jc w:val="center"/>
        </w:trPr>
        <w:tc>
          <w:tcPr>
            <w:tcW w:w="8055" w:type="dxa"/>
            <w:tcBorders>
              <w:top w:val="single" w:sz="4" w:space="0" w:color="auto"/>
              <w:left w:val="single" w:sz="4" w:space="0" w:color="auto"/>
              <w:bottom w:val="single" w:sz="4" w:space="0" w:color="auto"/>
              <w:right w:val="single" w:sz="4" w:space="0" w:color="auto"/>
            </w:tcBorders>
            <w:shd w:val="clear" w:color="auto" w:fill="D9D9D9"/>
          </w:tcPr>
          <w:p w14:paraId="05FD0B7A" w14:textId="77777777" w:rsidR="00AA60B5" w:rsidRPr="000130F4" w:rsidRDefault="00FD65CD" w:rsidP="001C79E0">
            <w:pPr>
              <w:spacing w:line="240" w:lineRule="auto"/>
              <w:rPr>
                <w:b/>
                <w:i/>
                <w:sz w:val="22"/>
                <w:szCs w:val="22"/>
              </w:rPr>
            </w:pPr>
            <w:r w:rsidRPr="00FD65CD">
              <w:rPr>
                <w:b/>
                <w:i/>
                <w:sz w:val="22"/>
                <w:szCs w:val="22"/>
              </w:rPr>
              <w:t>System Risks and Macroprudential Policies</w:t>
            </w:r>
          </w:p>
        </w:tc>
        <w:tc>
          <w:tcPr>
            <w:tcW w:w="1418" w:type="dxa"/>
            <w:tcBorders>
              <w:top w:val="single" w:sz="4" w:space="0" w:color="auto"/>
              <w:left w:val="single" w:sz="4" w:space="0" w:color="auto"/>
              <w:bottom w:val="single" w:sz="4" w:space="0" w:color="auto"/>
              <w:right w:val="single" w:sz="4" w:space="0" w:color="auto"/>
            </w:tcBorders>
            <w:shd w:val="clear" w:color="auto" w:fill="D9D9D9"/>
          </w:tcPr>
          <w:p w14:paraId="57ADE8F6" w14:textId="77777777" w:rsidR="00AA60B5" w:rsidRPr="000130F4" w:rsidRDefault="00AA60B5" w:rsidP="001C79E0">
            <w:pPr>
              <w:spacing w:line="240" w:lineRule="auto"/>
              <w:rPr>
                <w:b/>
                <w:sz w:val="22"/>
                <w:szCs w:val="22"/>
              </w:rPr>
            </w:pPr>
          </w:p>
        </w:tc>
        <w:tc>
          <w:tcPr>
            <w:tcW w:w="856" w:type="dxa"/>
            <w:tcBorders>
              <w:top w:val="single" w:sz="4" w:space="0" w:color="auto"/>
              <w:left w:val="single" w:sz="4" w:space="0" w:color="auto"/>
              <w:bottom w:val="single" w:sz="4" w:space="0" w:color="auto"/>
              <w:right w:val="single" w:sz="4" w:space="0" w:color="auto"/>
            </w:tcBorders>
            <w:shd w:val="clear" w:color="auto" w:fill="D9D9D9"/>
          </w:tcPr>
          <w:p w14:paraId="45CF1490" w14:textId="77777777" w:rsidR="00AA60B5" w:rsidRPr="000130F4" w:rsidRDefault="00AA60B5" w:rsidP="001C79E0">
            <w:pPr>
              <w:spacing w:line="240" w:lineRule="auto"/>
              <w:jc w:val="center"/>
              <w:rPr>
                <w:b/>
                <w:sz w:val="22"/>
                <w:szCs w:val="22"/>
              </w:rPr>
            </w:pPr>
          </w:p>
        </w:tc>
      </w:tr>
      <w:tr w:rsidR="00FD65CD" w:rsidRPr="000130F4" w14:paraId="0507F072" w14:textId="77777777" w:rsidTr="00FB729C">
        <w:trPr>
          <w:trHeight w:val="234"/>
          <w:tblHeader/>
          <w:jc w:val="center"/>
        </w:trPr>
        <w:tc>
          <w:tcPr>
            <w:tcW w:w="8055" w:type="dxa"/>
            <w:shd w:val="clear" w:color="auto" w:fill="auto"/>
          </w:tcPr>
          <w:p w14:paraId="2DB3F154" w14:textId="77777777" w:rsidR="00FD65CD" w:rsidRPr="00FD65CD" w:rsidRDefault="002240F0" w:rsidP="00FD65CD">
            <w:pPr>
              <w:spacing w:line="240" w:lineRule="auto"/>
              <w:rPr>
                <w:sz w:val="22"/>
                <w:szCs w:val="22"/>
              </w:rPr>
            </w:pPr>
            <w:r w:rsidRPr="002240F0">
              <w:rPr>
                <w:rFonts w:cs="Segoe UI"/>
                <w:bCs/>
                <w:iCs/>
                <w:sz w:val="22"/>
                <w:szCs w:val="18"/>
              </w:rPr>
              <w:t>Strengthen the NCMO</w:t>
            </w:r>
            <w:r w:rsidR="00232F27">
              <w:rPr>
                <w:rFonts w:cs="Segoe UI"/>
                <w:bCs/>
                <w:iCs/>
                <w:sz w:val="22"/>
                <w:szCs w:val="18"/>
              </w:rPr>
              <w:t>’</w:t>
            </w:r>
            <w:r w:rsidRPr="002240F0">
              <w:rPr>
                <w:rFonts w:cs="Segoe UI"/>
                <w:bCs/>
                <w:iCs/>
                <w:sz w:val="22"/>
                <w:szCs w:val="18"/>
              </w:rPr>
              <w:t>s accountability framework by i) requiring proposed policy actions and distribution of votes to be publicly disclosed in the summary of meetings; and ii) developing a common assessment of systemic risk at each NCMO meeting.</w:t>
            </w:r>
          </w:p>
        </w:tc>
        <w:tc>
          <w:tcPr>
            <w:tcW w:w="1418" w:type="dxa"/>
            <w:tcBorders>
              <w:top w:val="single" w:sz="4" w:space="0" w:color="auto"/>
              <w:left w:val="single" w:sz="4" w:space="0" w:color="auto"/>
              <w:right w:val="single" w:sz="4" w:space="0" w:color="auto"/>
            </w:tcBorders>
            <w:shd w:val="clear" w:color="auto" w:fill="FFFFFF"/>
          </w:tcPr>
          <w:p w14:paraId="6B3DE96C" w14:textId="77777777" w:rsidR="00FD65CD" w:rsidRPr="00FD65CD" w:rsidRDefault="00FD65CD" w:rsidP="00FD65CD">
            <w:pPr>
              <w:autoSpaceDE w:val="0"/>
              <w:autoSpaceDN w:val="0"/>
              <w:adjustRightInd w:val="0"/>
              <w:spacing w:line="240" w:lineRule="auto"/>
              <w:jc w:val="center"/>
              <w:rPr>
                <w:rFonts w:cs="Segoe UI"/>
                <w:color w:val="000000"/>
                <w:sz w:val="22"/>
                <w:szCs w:val="18"/>
              </w:rPr>
            </w:pPr>
            <w:r w:rsidRPr="00FD65CD">
              <w:rPr>
                <w:rFonts w:cs="Segoe UI"/>
                <w:color w:val="000000"/>
                <w:sz w:val="22"/>
                <w:szCs w:val="18"/>
              </w:rPr>
              <w:t>NBR, MoPF, ASF</w:t>
            </w:r>
          </w:p>
          <w:p w14:paraId="4130C022" w14:textId="77777777" w:rsidR="00FD65CD" w:rsidRPr="00FD65CD" w:rsidRDefault="00FD65CD" w:rsidP="00FD65CD">
            <w:pPr>
              <w:spacing w:line="240" w:lineRule="auto"/>
              <w:jc w:val="center"/>
              <w:rPr>
                <w:sz w:val="22"/>
                <w:szCs w:val="22"/>
              </w:rPr>
            </w:pPr>
          </w:p>
        </w:tc>
        <w:tc>
          <w:tcPr>
            <w:tcW w:w="856" w:type="dxa"/>
            <w:shd w:val="clear" w:color="auto" w:fill="auto"/>
          </w:tcPr>
          <w:p w14:paraId="0647A169" w14:textId="77777777" w:rsidR="00FD65CD" w:rsidRPr="00FD65CD" w:rsidRDefault="00FD65CD" w:rsidP="00FD65CD">
            <w:pPr>
              <w:spacing w:line="240" w:lineRule="auto"/>
              <w:jc w:val="center"/>
              <w:rPr>
                <w:sz w:val="22"/>
                <w:szCs w:val="22"/>
              </w:rPr>
            </w:pPr>
            <w:r w:rsidRPr="00FD65CD">
              <w:rPr>
                <w:rFonts w:cs="Segoe UI"/>
                <w:color w:val="000000"/>
                <w:sz w:val="22"/>
                <w:szCs w:val="18"/>
              </w:rPr>
              <w:t>NT</w:t>
            </w:r>
          </w:p>
        </w:tc>
      </w:tr>
      <w:tr w:rsidR="00FD65CD" w:rsidRPr="000130F4" w14:paraId="096B5D54" w14:textId="77777777" w:rsidTr="00FB729C">
        <w:trPr>
          <w:trHeight w:val="234"/>
          <w:tblHeader/>
          <w:jc w:val="center"/>
        </w:trPr>
        <w:tc>
          <w:tcPr>
            <w:tcW w:w="8055" w:type="dxa"/>
            <w:shd w:val="clear" w:color="auto" w:fill="auto"/>
          </w:tcPr>
          <w:p w14:paraId="1C9FFAD7" w14:textId="77777777" w:rsidR="00FD65CD" w:rsidRPr="00FD65CD" w:rsidRDefault="002240F0" w:rsidP="00FD65CD">
            <w:pPr>
              <w:spacing w:line="240" w:lineRule="auto"/>
              <w:rPr>
                <w:sz w:val="22"/>
                <w:szCs w:val="22"/>
              </w:rPr>
            </w:pPr>
            <w:r>
              <w:rPr>
                <w:rFonts w:cs="Segoe UI"/>
                <w:bCs/>
                <w:iCs/>
                <w:sz w:val="22"/>
                <w:szCs w:val="18"/>
              </w:rPr>
              <w:t>A</w:t>
            </w:r>
            <w:r w:rsidRPr="002240F0">
              <w:rPr>
                <w:rFonts w:cs="Segoe UI"/>
                <w:bCs/>
                <w:iCs/>
                <w:sz w:val="22"/>
                <w:szCs w:val="18"/>
              </w:rPr>
              <w:t>pply a stressed DSTI limit to household loans and continue scaling back the Prima Casa program.</w:t>
            </w:r>
          </w:p>
        </w:tc>
        <w:tc>
          <w:tcPr>
            <w:tcW w:w="1418" w:type="dxa"/>
            <w:tcBorders>
              <w:left w:val="single" w:sz="4" w:space="0" w:color="auto"/>
              <w:right w:val="single" w:sz="4" w:space="0" w:color="auto"/>
            </w:tcBorders>
            <w:shd w:val="clear" w:color="auto" w:fill="FFFFFF"/>
          </w:tcPr>
          <w:p w14:paraId="4066D123" w14:textId="77777777" w:rsidR="00FD65CD" w:rsidRPr="000130F4" w:rsidRDefault="002240F0" w:rsidP="00FD65CD">
            <w:pPr>
              <w:spacing w:line="240" w:lineRule="auto"/>
              <w:jc w:val="center"/>
              <w:rPr>
                <w:sz w:val="22"/>
                <w:szCs w:val="22"/>
              </w:rPr>
            </w:pPr>
            <w:r>
              <w:rPr>
                <w:sz w:val="22"/>
                <w:szCs w:val="22"/>
              </w:rPr>
              <w:t>NBR</w:t>
            </w:r>
            <w:r w:rsidR="00874049">
              <w:rPr>
                <w:sz w:val="22"/>
                <w:szCs w:val="22"/>
              </w:rPr>
              <w:t>, MoPF</w:t>
            </w:r>
          </w:p>
        </w:tc>
        <w:tc>
          <w:tcPr>
            <w:tcW w:w="856" w:type="dxa"/>
            <w:shd w:val="clear" w:color="auto" w:fill="auto"/>
          </w:tcPr>
          <w:p w14:paraId="43720D0C" w14:textId="77777777" w:rsidR="00FD65CD" w:rsidRPr="00FD65CD" w:rsidRDefault="00FD65CD" w:rsidP="00FD65CD">
            <w:pPr>
              <w:spacing w:line="240" w:lineRule="auto"/>
              <w:jc w:val="center"/>
              <w:rPr>
                <w:sz w:val="22"/>
                <w:szCs w:val="22"/>
              </w:rPr>
            </w:pPr>
            <w:r w:rsidRPr="00FD65CD">
              <w:rPr>
                <w:rFonts w:cs="Segoe UI"/>
                <w:color w:val="000000"/>
                <w:sz w:val="22"/>
                <w:szCs w:val="18"/>
              </w:rPr>
              <w:t>NT</w:t>
            </w:r>
          </w:p>
        </w:tc>
      </w:tr>
      <w:tr w:rsidR="00FD65CD" w:rsidRPr="000130F4" w14:paraId="2675841D" w14:textId="77777777" w:rsidTr="00FB729C">
        <w:trPr>
          <w:trHeight w:val="234"/>
          <w:tblHeader/>
          <w:jc w:val="center"/>
        </w:trPr>
        <w:tc>
          <w:tcPr>
            <w:tcW w:w="8055" w:type="dxa"/>
            <w:shd w:val="clear" w:color="auto" w:fill="auto"/>
          </w:tcPr>
          <w:p w14:paraId="76E81C6E" w14:textId="77777777" w:rsidR="00FD65CD" w:rsidRPr="00FD65CD" w:rsidRDefault="00FD65CD" w:rsidP="00FD65CD">
            <w:pPr>
              <w:spacing w:line="240" w:lineRule="auto"/>
              <w:rPr>
                <w:sz w:val="22"/>
                <w:szCs w:val="22"/>
              </w:rPr>
            </w:pPr>
            <w:r w:rsidRPr="00FD65CD">
              <w:rPr>
                <w:rFonts w:cs="Segoe UI"/>
                <w:bCs/>
                <w:iCs/>
                <w:sz w:val="22"/>
                <w:szCs w:val="18"/>
              </w:rPr>
              <w:t xml:space="preserve">Enforce a currency-differentiated LCR </w:t>
            </w:r>
            <w:r w:rsidR="002240F0">
              <w:rPr>
                <w:rFonts w:cs="Segoe UI"/>
                <w:bCs/>
                <w:iCs/>
                <w:sz w:val="22"/>
                <w:szCs w:val="18"/>
              </w:rPr>
              <w:t xml:space="preserve">and </w:t>
            </w:r>
            <w:r w:rsidR="00CD0EDD">
              <w:rPr>
                <w:rFonts w:cs="Segoe UI"/>
                <w:bCs/>
                <w:iCs/>
                <w:sz w:val="22"/>
                <w:szCs w:val="18"/>
              </w:rPr>
              <w:t xml:space="preserve">monitor a currency-differentiated </w:t>
            </w:r>
            <w:r w:rsidR="002240F0">
              <w:rPr>
                <w:rFonts w:cs="Segoe UI"/>
                <w:bCs/>
                <w:iCs/>
                <w:sz w:val="22"/>
                <w:szCs w:val="18"/>
              </w:rPr>
              <w:t xml:space="preserve">NSFR </w:t>
            </w:r>
            <w:r w:rsidRPr="00FD65CD">
              <w:rPr>
                <w:rFonts w:cs="Segoe UI"/>
                <w:bCs/>
                <w:iCs/>
                <w:sz w:val="22"/>
                <w:szCs w:val="18"/>
              </w:rPr>
              <w:t>for significant currencies.</w:t>
            </w:r>
          </w:p>
        </w:tc>
        <w:tc>
          <w:tcPr>
            <w:tcW w:w="1418" w:type="dxa"/>
            <w:tcBorders>
              <w:left w:val="single" w:sz="4" w:space="0" w:color="auto"/>
              <w:right w:val="single" w:sz="4" w:space="0" w:color="auto"/>
            </w:tcBorders>
            <w:shd w:val="clear" w:color="auto" w:fill="FFFFFF"/>
          </w:tcPr>
          <w:p w14:paraId="41979BA7" w14:textId="77777777" w:rsidR="00FD65CD" w:rsidRPr="000130F4" w:rsidRDefault="002240F0" w:rsidP="00FD65CD">
            <w:pPr>
              <w:spacing w:line="240" w:lineRule="auto"/>
              <w:jc w:val="center"/>
              <w:rPr>
                <w:sz w:val="22"/>
                <w:szCs w:val="22"/>
              </w:rPr>
            </w:pPr>
            <w:r>
              <w:rPr>
                <w:sz w:val="22"/>
                <w:szCs w:val="22"/>
              </w:rPr>
              <w:t>NBR</w:t>
            </w:r>
          </w:p>
        </w:tc>
        <w:tc>
          <w:tcPr>
            <w:tcW w:w="856" w:type="dxa"/>
            <w:shd w:val="clear" w:color="auto" w:fill="auto"/>
          </w:tcPr>
          <w:p w14:paraId="703B1A86" w14:textId="77777777" w:rsidR="00FD65CD" w:rsidRPr="00FD65CD" w:rsidRDefault="002240F0" w:rsidP="00FD65CD">
            <w:pPr>
              <w:spacing w:line="240" w:lineRule="auto"/>
              <w:jc w:val="center"/>
              <w:rPr>
                <w:sz w:val="22"/>
                <w:szCs w:val="22"/>
              </w:rPr>
            </w:pPr>
            <w:r>
              <w:rPr>
                <w:rFonts w:cs="Segoe UI"/>
                <w:color w:val="000000"/>
                <w:sz w:val="22"/>
                <w:szCs w:val="18"/>
              </w:rPr>
              <w:t>N</w:t>
            </w:r>
            <w:r w:rsidR="00FD65CD" w:rsidRPr="00FD65CD">
              <w:rPr>
                <w:rFonts w:cs="Segoe UI"/>
                <w:color w:val="000000"/>
                <w:sz w:val="22"/>
                <w:szCs w:val="18"/>
              </w:rPr>
              <w:t>T</w:t>
            </w:r>
          </w:p>
        </w:tc>
      </w:tr>
      <w:tr w:rsidR="00FD65CD" w:rsidRPr="000130F4" w14:paraId="5E25DAF5" w14:textId="77777777" w:rsidTr="00FB729C">
        <w:trPr>
          <w:trHeight w:val="234"/>
          <w:tblHeader/>
          <w:jc w:val="center"/>
        </w:trPr>
        <w:tc>
          <w:tcPr>
            <w:tcW w:w="8055" w:type="dxa"/>
            <w:shd w:val="clear" w:color="auto" w:fill="auto"/>
          </w:tcPr>
          <w:p w14:paraId="055A02B6" w14:textId="77777777" w:rsidR="00FD65CD" w:rsidRPr="00FD65CD" w:rsidRDefault="002240F0" w:rsidP="00FD65CD">
            <w:pPr>
              <w:spacing w:line="240" w:lineRule="auto"/>
              <w:rPr>
                <w:sz w:val="22"/>
                <w:szCs w:val="22"/>
              </w:rPr>
            </w:pPr>
            <w:r w:rsidRPr="002240F0">
              <w:rPr>
                <w:sz w:val="22"/>
                <w:szCs w:val="18"/>
              </w:rPr>
              <w:t>Introduce a carefully calibrated Systemic Risk Buffer to increase resilience against risks from large exposures to the sovereign.</w:t>
            </w:r>
          </w:p>
        </w:tc>
        <w:tc>
          <w:tcPr>
            <w:tcW w:w="1418" w:type="dxa"/>
            <w:tcBorders>
              <w:left w:val="single" w:sz="4" w:space="0" w:color="auto"/>
              <w:bottom w:val="single" w:sz="4" w:space="0" w:color="auto"/>
              <w:right w:val="single" w:sz="4" w:space="0" w:color="auto"/>
            </w:tcBorders>
            <w:shd w:val="clear" w:color="auto" w:fill="FFFFFF"/>
          </w:tcPr>
          <w:p w14:paraId="6926C01B" w14:textId="77777777" w:rsidR="00FD65CD" w:rsidRPr="002240F0" w:rsidRDefault="002240F0" w:rsidP="002240F0">
            <w:pPr>
              <w:autoSpaceDE w:val="0"/>
              <w:autoSpaceDN w:val="0"/>
              <w:adjustRightInd w:val="0"/>
              <w:spacing w:line="240" w:lineRule="auto"/>
              <w:jc w:val="center"/>
              <w:rPr>
                <w:rFonts w:cs="Segoe UI"/>
                <w:color w:val="000000"/>
                <w:sz w:val="22"/>
                <w:szCs w:val="18"/>
              </w:rPr>
            </w:pPr>
            <w:r>
              <w:rPr>
                <w:rFonts w:cs="Segoe UI"/>
                <w:color w:val="000000"/>
                <w:sz w:val="22"/>
                <w:szCs w:val="18"/>
              </w:rPr>
              <w:t>NBR, MoPF, ASF</w:t>
            </w:r>
          </w:p>
        </w:tc>
        <w:tc>
          <w:tcPr>
            <w:tcW w:w="856" w:type="dxa"/>
            <w:shd w:val="clear" w:color="auto" w:fill="auto"/>
          </w:tcPr>
          <w:p w14:paraId="0EA4AA4C" w14:textId="77777777" w:rsidR="00FD65CD" w:rsidRPr="00FD65CD" w:rsidRDefault="004F04B4" w:rsidP="00FD65CD">
            <w:pPr>
              <w:spacing w:line="240" w:lineRule="auto"/>
              <w:jc w:val="center"/>
              <w:rPr>
                <w:sz w:val="22"/>
                <w:szCs w:val="22"/>
              </w:rPr>
            </w:pPr>
            <w:r>
              <w:rPr>
                <w:rFonts w:cs="Segoe UI"/>
                <w:color w:val="000000"/>
                <w:sz w:val="22"/>
                <w:szCs w:val="18"/>
              </w:rPr>
              <w:t>N</w:t>
            </w:r>
            <w:r w:rsidR="00FD65CD" w:rsidRPr="00FD65CD">
              <w:rPr>
                <w:rFonts w:cs="Segoe UI"/>
                <w:color w:val="000000"/>
                <w:sz w:val="22"/>
                <w:szCs w:val="18"/>
              </w:rPr>
              <w:t>T</w:t>
            </w:r>
          </w:p>
        </w:tc>
      </w:tr>
      <w:tr w:rsidR="00FD65CD" w:rsidRPr="000130F4" w14:paraId="1B0D2BA1" w14:textId="77777777" w:rsidTr="00FB729C">
        <w:trPr>
          <w:trHeight w:val="234"/>
          <w:tblHeader/>
          <w:jc w:val="center"/>
        </w:trPr>
        <w:tc>
          <w:tcPr>
            <w:tcW w:w="8055" w:type="dxa"/>
            <w:shd w:val="clear" w:color="auto" w:fill="auto"/>
          </w:tcPr>
          <w:p w14:paraId="6D4DCF6E" w14:textId="77777777" w:rsidR="00FD65CD" w:rsidRPr="00FD65CD" w:rsidRDefault="00FD65CD" w:rsidP="00FD65CD">
            <w:pPr>
              <w:spacing w:line="240" w:lineRule="auto"/>
              <w:rPr>
                <w:sz w:val="22"/>
                <w:szCs w:val="22"/>
              </w:rPr>
            </w:pPr>
            <w:r w:rsidRPr="00FD65CD">
              <w:rPr>
                <w:sz w:val="22"/>
                <w:szCs w:val="18"/>
              </w:rPr>
              <w:t xml:space="preserve">Ensure provisioning requirements for NBFLs tighten in line with the application of </w:t>
            </w:r>
            <w:r w:rsidR="002240F0" w:rsidRPr="002240F0">
              <w:rPr>
                <w:sz w:val="22"/>
                <w:szCs w:val="18"/>
              </w:rPr>
              <w:t>International Financial Reporting Standards (IFRS)</w:t>
            </w:r>
            <w:r w:rsidR="002240F0">
              <w:rPr>
                <w:sz w:val="22"/>
                <w:szCs w:val="18"/>
              </w:rPr>
              <w:t xml:space="preserve"> </w:t>
            </w:r>
            <w:r w:rsidRPr="00FD65CD">
              <w:rPr>
                <w:sz w:val="22"/>
                <w:szCs w:val="18"/>
              </w:rPr>
              <w:t>9 to banks.</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5D1B946A" w14:textId="77777777" w:rsidR="00FD65CD" w:rsidRPr="000130F4" w:rsidRDefault="00FD65CD" w:rsidP="00FD65CD">
            <w:pPr>
              <w:spacing w:line="240" w:lineRule="auto"/>
              <w:jc w:val="center"/>
              <w:rPr>
                <w:sz w:val="22"/>
                <w:szCs w:val="22"/>
              </w:rPr>
            </w:pPr>
            <w:r w:rsidRPr="00FD65CD">
              <w:rPr>
                <w:rFonts w:cs="Segoe UI"/>
                <w:color w:val="000000"/>
                <w:sz w:val="22"/>
                <w:szCs w:val="18"/>
              </w:rPr>
              <w:t>NBR</w:t>
            </w:r>
            <w:r w:rsidR="002240F0">
              <w:rPr>
                <w:rFonts w:cs="Segoe UI"/>
                <w:color w:val="000000"/>
                <w:sz w:val="22"/>
                <w:szCs w:val="18"/>
              </w:rPr>
              <w:t>, MoPF</w:t>
            </w:r>
          </w:p>
        </w:tc>
        <w:tc>
          <w:tcPr>
            <w:tcW w:w="856" w:type="dxa"/>
            <w:shd w:val="clear" w:color="auto" w:fill="auto"/>
          </w:tcPr>
          <w:p w14:paraId="06197E41" w14:textId="77777777" w:rsidR="00FD65CD" w:rsidRPr="00FD65CD" w:rsidRDefault="00FD65CD" w:rsidP="00FD65CD">
            <w:pPr>
              <w:spacing w:line="240" w:lineRule="auto"/>
              <w:jc w:val="center"/>
              <w:rPr>
                <w:sz w:val="22"/>
                <w:szCs w:val="22"/>
              </w:rPr>
            </w:pPr>
            <w:r w:rsidRPr="00FD65CD">
              <w:rPr>
                <w:rFonts w:cs="Segoe UI"/>
                <w:color w:val="000000"/>
                <w:sz w:val="22"/>
                <w:szCs w:val="18"/>
              </w:rPr>
              <w:t>NT</w:t>
            </w:r>
          </w:p>
        </w:tc>
      </w:tr>
      <w:tr w:rsidR="00FD65CD" w:rsidRPr="000130F4" w14:paraId="2787D218" w14:textId="77777777" w:rsidTr="00FB729C">
        <w:trPr>
          <w:trHeight w:val="234"/>
          <w:tblHeader/>
          <w:jc w:val="center"/>
        </w:trPr>
        <w:tc>
          <w:tcPr>
            <w:tcW w:w="8055" w:type="dxa"/>
            <w:tcBorders>
              <w:top w:val="single" w:sz="4" w:space="0" w:color="auto"/>
              <w:left w:val="single" w:sz="4" w:space="0" w:color="auto"/>
              <w:bottom w:val="single" w:sz="4" w:space="0" w:color="auto"/>
              <w:right w:val="single" w:sz="4" w:space="0" w:color="auto"/>
            </w:tcBorders>
            <w:shd w:val="clear" w:color="auto" w:fill="D9D9D9"/>
          </w:tcPr>
          <w:p w14:paraId="634F72D0" w14:textId="77777777" w:rsidR="00FD65CD" w:rsidRPr="000130F4" w:rsidRDefault="00FD65CD" w:rsidP="00FD65CD">
            <w:pPr>
              <w:spacing w:line="240" w:lineRule="auto"/>
              <w:rPr>
                <w:b/>
                <w:i/>
                <w:sz w:val="22"/>
                <w:szCs w:val="22"/>
              </w:rPr>
            </w:pPr>
            <w:r w:rsidRPr="00FD65CD">
              <w:rPr>
                <w:b/>
                <w:i/>
                <w:sz w:val="22"/>
                <w:szCs w:val="22"/>
              </w:rPr>
              <w:t>Sectoral Oversight</w:t>
            </w:r>
          </w:p>
        </w:tc>
        <w:tc>
          <w:tcPr>
            <w:tcW w:w="1418" w:type="dxa"/>
            <w:tcBorders>
              <w:top w:val="single" w:sz="4" w:space="0" w:color="auto"/>
              <w:left w:val="single" w:sz="4" w:space="0" w:color="auto"/>
              <w:bottom w:val="single" w:sz="4" w:space="0" w:color="auto"/>
              <w:right w:val="single" w:sz="4" w:space="0" w:color="auto"/>
            </w:tcBorders>
            <w:shd w:val="clear" w:color="auto" w:fill="D9D9D9"/>
          </w:tcPr>
          <w:p w14:paraId="79F47FA8" w14:textId="77777777" w:rsidR="00FD65CD" w:rsidRPr="000130F4" w:rsidRDefault="00FD65CD" w:rsidP="00FD65CD">
            <w:pPr>
              <w:spacing w:line="240" w:lineRule="auto"/>
              <w:jc w:val="center"/>
              <w:rPr>
                <w:b/>
                <w:sz w:val="22"/>
                <w:szCs w:val="22"/>
              </w:rPr>
            </w:pPr>
          </w:p>
        </w:tc>
        <w:tc>
          <w:tcPr>
            <w:tcW w:w="856" w:type="dxa"/>
            <w:tcBorders>
              <w:top w:val="single" w:sz="4" w:space="0" w:color="auto"/>
              <w:left w:val="single" w:sz="4" w:space="0" w:color="auto"/>
              <w:bottom w:val="single" w:sz="4" w:space="0" w:color="auto"/>
              <w:right w:val="single" w:sz="4" w:space="0" w:color="auto"/>
            </w:tcBorders>
            <w:shd w:val="clear" w:color="auto" w:fill="D9D9D9"/>
          </w:tcPr>
          <w:p w14:paraId="33D25807" w14:textId="77777777" w:rsidR="00FD65CD" w:rsidRPr="000130F4" w:rsidRDefault="00FD65CD" w:rsidP="00FD65CD">
            <w:pPr>
              <w:spacing w:line="240" w:lineRule="auto"/>
              <w:jc w:val="center"/>
              <w:rPr>
                <w:b/>
                <w:sz w:val="22"/>
                <w:szCs w:val="22"/>
              </w:rPr>
            </w:pPr>
          </w:p>
        </w:tc>
      </w:tr>
      <w:tr w:rsidR="00FD65CD" w:rsidRPr="000130F4" w14:paraId="5EB2ABC0" w14:textId="77777777" w:rsidTr="00FB729C">
        <w:trPr>
          <w:trHeight w:val="234"/>
          <w:tblHeader/>
          <w:jc w:val="center"/>
        </w:trPr>
        <w:tc>
          <w:tcPr>
            <w:tcW w:w="10329" w:type="dxa"/>
            <w:gridSpan w:val="3"/>
            <w:tcBorders>
              <w:top w:val="single" w:sz="4" w:space="0" w:color="auto"/>
              <w:left w:val="single" w:sz="4" w:space="0" w:color="auto"/>
              <w:bottom w:val="single" w:sz="4" w:space="0" w:color="auto"/>
              <w:right w:val="single" w:sz="4" w:space="0" w:color="auto"/>
            </w:tcBorders>
            <w:shd w:val="clear" w:color="auto" w:fill="auto"/>
          </w:tcPr>
          <w:p w14:paraId="2093BC7C" w14:textId="77777777" w:rsidR="00FD65CD" w:rsidRPr="00FD65CD" w:rsidRDefault="00FD65CD" w:rsidP="00FD65CD">
            <w:pPr>
              <w:spacing w:line="240" w:lineRule="auto"/>
              <w:rPr>
                <w:sz w:val="22"/>
                <w:szCs w:val="22"/>
              </w:rPr>
            </w:pPr>
            <w:r w:rsidRPr="00FD65CD">
              <w:rPr>
                <w:b/>
                <w:i/>
                <w:sz w:val="22"/>
                <w:szCs w:val="22"/>
              </w:rPr>
              <w:t>Bank Regulation and Supervision</w:t>
            </w:r>
          </w:p>
        </w:tc>
      </w:tr>
      <w:tr w:rsidR="00FD65CD" w:rsidRPr="000130F4" w14:paraId="346646A3" w14:textId="77777777" w:rsidTr="00FB729C">
        <w:trPr>
          <w:trHeight w:val="234"/>
          <w:tblHeader/>
          <w:jc w:val="center"/>
        </w:trPr>
        <w:tc>
          <w:tcPr>
            <w:tcW w:w="8055" w:type="dxa"/>
            <w:shd w:val="clear" w:color="auto" w:fill="auto"/>
            <w:vAlign w:val="center"/>
          </w:tcPr>
          <w:p w14:paraId="0773C244" w14:textId="77777777" w:rsidR="00FD65CD" w:rsidRPr="00FD65CD" w:rsidRDefault="002240F0" w:rsidP="00FD65CD">
            <w:pPr>
              <w:spacing w:line="240" w:lineRule="auto"/>
              <w:rPr>
                <w:sz w:val="22"/>
                <w:szCs w:val="22"/>
              </w:rPr>
            </w:pPr>
            <w:r w:rsidRPr="002240F0">
              <w:rPr>
                <w:rFonts w:cs="Segoe UI"/>
                <w:snapToGrid w:val="0"/>
                <w:color w:val="000000"/>
                <w:sz w:val="22"/>
                <w:szCs w:val="18"/>
              </w:rPr>
              <w:t>Ensure consistency and objectivity in Supervisory Review and Evaluation Process (SREP) scores, findings and supervisory measures.</w:t>
            </w:r>
          </w:p>
        </w:tc>
        <w:tc>
          <w:tcPr>
            <w:tcW w:w="1418" w:type="dxa"/>
            <w:vMerge w:val="restart"/>
            <w:tcBorders>
              <w:top w:val="single" w:sz="4" w:space="0" w:color="auto"/>
              <w:left w:val="single" w:sz="4" w:space="0" w:color="auto"/>
              <w:right w:val="single" w:sz="4" w:space="0" w:color="auto"/>
            </w:tcBorders>
            <w:shd w:val="clear" w:color="auto" w:fill="auto"/>
          </w:tcPr>
          <w:p w14:paraId="7EF05230" w14:textId="77777777" w:rsidR="00FD65CD" w:rsidRPr="00FD65CD" w:rsidRDefault="00FD65CD" w:rsidP="00FD65CD">
            <w:pPr>
              <w:spacing w:line="240" w:lineRule="auto"/>
              <w:jc w:val="center"/>
              <w:rPr>
                <w:sz w:val="22"/>
                <w:szCs w:val="22"/>
              </w:rPr>
            </w:pPr>
            <w:r>
              <w:rPr>
                <w:sz w:val="22"/>
                <w:szCs w:val="22"/>
              </w:rPr>
              <w:t>NBR</w:t>
            </w:r>
          </w:p>
        </w:tc>
        <w:tc>
          <w:tcPr>
            <w:tcW w:w="856" w:type="dxa"/>
            <w:tcBorders>
              <w:top w:val="single" w:sz="4" w:space="0" w:color="auto"/>
              <w:left w:val="single" w:sz="4" w:space="0" w:color="auto"/>
              <w:bottom w:val="single" w:sz="4" w:space="0" w:color="auto"/>
              <w:right w:val="single" w:sz="4" w:space="0" w:color="auto"/>
            </w:tcBorders>
            <w:shd w:val="clear" w:color="auto" w:fill="auto"/>
          </w:tcPr>
          <w:p w14:paraId="648DF113" w14:textId="77777777" w:rsidR="00FD65CD" w:rsidRPr="00FD65CD" w:rsidRDefault="00FD65CD" w:rsidP="00FD65CD">
            <w:pPr>
              <w:spacing w:line="240" w:lineRule="auto"/>
              <w:jc w:val="center"/>
              <w:rPr>
                <w:sz w:val="22"/>
                <w:szCs w:val="22"/>
              </w:rPr>
            </w:pPr>
            <w:r w:rsidRPr="00FD65CD">
              <w:rPr>
                <w:rFonts w:cs="Segoe UI"/>
                <w:snapToGrid w:val="0"/>
                <w:color w:val="000000"/>
                <w:sz w:val="22"/>
                <w:szCs w:val="19"/>
              </w:rPr>
              <w:t>NT</w:t>
            </w:r>
          </w:p>
        </w:tc>
      </w:tr>
      <w:tr w:rsidR="00FD65CD" w:rsidRPr="000130F4" w14:paraId="140130C4" w14:textId="77777777" w:rsidTr="00FB729C">
        <w:trPr>
          <w:trHeight w:val="234"/>
          <w:tblHeader/>
          <w:jc w:val="center"/>
        </w:trPr>
        <w:tc>
          <w:tcPr>
            <w:tcW w:w="8055" w:type="dxa"/>
            <w:shd w:val="clear" w:color="auto" w:fill="auto"/>
            <w:vAlign w:val="center"/>
          </w:tcPr>
          <w:p w14:paraId="52B0A1CC" w14:textId="77777777" w:rsidR="00FD65CD" w:rsidRPr="00FD65CD" w:rsidRDefault="002240F0" w:rsidP="00FD65CD">
            <w:pPr>
              <w:spacing w:line="240" w:lineRule="auto"/>
              <w:rPr>
                <w:sz w:val="22"/>
                <w:szCs w:val="22"/>
              </w:rPr>
            </w:pPr>
            <w:r w:rsidRPr="002240F0">
              <w:rPr>
                <w:rFonts w:cs="Segoe UI"/>
                <w:snapToGrid w:val="0"/>
                <w:color w:val="000000"/>
                <w:sz w:val="22"/>
                <w:szCs w:val="18"/>
              </w:rPr>
              <w:t>Enhance supervisory tools by incorporating more forward-looking views (e.g., bottom up stress testing tools) and conducting more thematic reviews.</w:t>
            </w:r>
          </w:p>
        </w:tc>
        <w:tc>
          <w:tcPr>
            <w:tcW w:w="1418" w:type="dxa"/>
            <w:vMerge/>
            <w:tcBorders>
              <w:left w:val="single" w:sz="4" w:space="0" w:color="auto"/>
              <w:right w:val="single" w:sz="4" w:space="0" w:color="auto"/>
            </w:tcBorders>
            <w:shd w:val="clear" w:color="auto" w:fill="auto"/>
          </w:tcPr>
          <w:p w14:paraId="5D3BECFE" w14:textId="77777777" w:rsidR="00FD65CD" w:rsidRPr="00FD65CD" w:rsidRDefault="00FD65CD" w:rsidP="00FD65CD">
            <w:pPr>
              <w:spacing w:line="240" w:lineRule="auto"/>
              <w:jc w:val="center"/>
              <w:rPr>
                <w:sz w:val="22"/>
                <w:szCs w:val="22"/>
              </w:rPr>
            </w:pPr>
          </w:p>
        </w:tc>
        <w:tc>
          <w:tcPr>
            <w:tcW w:w="856" w:type="dxa"/>
            <w:tcBorders>
              <w:top w:val="single" w:sz="4" w:space="0" w:color="auto"/>
              <w:left w:val="single" w:sz="4" w:space="0" w:color="auto"/>
              <w:bottom w:val="single" w:sz="4" w:space="0" w:color="auto"/>
              <w:right w:val="single" w:sz="4" w:space="0" w:color="auto"/>
            </w:tcBorders>
            <w:shd w:val="clear" w:color="auto" w:fill="auto"/>
          </w:tcPr>
          <w:p w14:paraId="5EFFBCF7" w14:textId="77777777" w:rsidR="00FD65CD" w:rsidRPr="00FD65CD" w:rsidRDefault="00FD65CD" w:rsidP="00FD65CD">
            <w:pPr>
              <w:spacing w:line="240" w:lineRule="auto"/>
              <w:jc w:val="center"/>
              <w:rPr>
                <w:sz w:val="22"/>
                <w:szCs w:val="22"/>
              </w:rPr>
            </w:pPr>
            <w:r w:rsidRPr="00FD65CD">
              <w:rPr>
                <w:rFonts w:cs="Segoe UI"/>
                <w:sz w:val="22"/>
                <w:szCs w:val="18"/>
              </w:rPr>
              <w:t>MT</w:t>
            </w:r>
          </w:p>
        </w:tc>
      </w:tr>
      <w:tr w:rsidR="00FD65CD" w:rsidRPr="000130F4" w14:paraId="1491C052" w14:textId="77777777" w:rsidTr="00FB729C">
        <w:trPr>
          <w:trHeight w:val="234"/>
          <w:tblHeader/>
          <w:jc w:val="center"/>
        </w:trPr>
        <w:tc>
          <w:tcPr>
            <w:tcW w:w="8055" w:type="dxa"/>
            <w:shd w:val="clear" w:color="auto" w:fill="auto"/>
            <w:vAlign w:val="center"/>
          </w:tcPr>
          <w:p w14:paraId="0CB88B4D" w14:textId="77777777" w:rsidR="00FD65CD" w:rsidRPr="00FD65CD" w:rsidRDefault="002240F0" w:rsidP="00FD65CD">
            <w:pPr>
              <w:spacing w:line="240" w:lineRule="auto"/>
              <w:rPr>
                <w:sz w:val="22"/>
                <w:szCs w:val="22"/>
              </w:rPr>
            </w:pPr>
            <w:r w:rsidRPr="002240F0">
              <w:rPr>
                <w:rFonts w:cs="Segoe UI"/>
                <w:snapToGrid w:val="0"/>
                <w:color w:val="000000"/>
                <w:sz w:val="22"/>
                <w:szCs w:val="18"/>
              </w:rPr>
              <w:t>Strengthen bank corporate governance (number of independent board members, content and periodicity of exchanges between the NBR and board members).</w:t>
            </w:r>
          </w:p>
        </w:tc>
        <w:tc>
          <w:tcPr>
            <w:tcW w:w="1418" w:type="dxa"/>
            <w:vMerge/>
            <w:tcBorders>
              <w:left w:val="single" w:sz="4" w:space="0" w:color="auto"/>
              <w:right w:val="single" w:sz="4" w:space="0" w:color="auto"/>
            </w:tcBorders>
            <w:shd w:val="clear" w:color="auto" w:fill="auto"/>
          </w:tcPr>
          <w:p w14:paraId="1EC4B003" w14:textId="77777777" w:rsidR="00FD65CD" w:rsidRPr="00FD65CD" w:rsidRDefault="00FD65CD" w:rsidP="00FD65CD">
            <w:pPr>
              <w:spacing w:line="240" w:lineRule="auto"/>
              <w:jc w:val="center"/>
              <w:rPr>
                <w:sz w:val="22"/>
                <w:szCs w:val="22"/>
              </w:rPr>
            </w:pPr>
          </w:p>
        </w:tc>
        <w:tc>
          <w:tcPr>
            <w:tcW w:w="856" w:type="dxa"/>
            <w:tcBorders>
              <w:top w:val="single" w:sz="4" w:space="0" w:color="auto"/>
              <w:left w:val="single" w:sz="4" w:space="0" w:color="auto"/>
              <w:bottom w:val="single" w:sz="4" w:space="0" w:color="auto"/>
              <w:right w:val="single" w:sz="4" w:space="0" w:color="auto"/>
            </w:tcBorders>
            <w:shd w:val="clear" w:color="auto" w:fill="auto"/>
          </w:tcPr>
          <w:p w14:paraId="7AA12EEA" w14:textId="77777777" w:rsidR="00FD65CD" w:rsidRPr="00FD65CD" w:rsidRDefault="00FD65CD" w:rsidP="00FD65CD">
            <w:pPr>
              <w:spacing w:line="240" w:lineRule="auto"/>
              <w:jc w:val="center"/>
              <w:rPr>
                <w:sz w:val="22"/>
                <w:szCs w:val="22"/>
              </w:rPr>
            </w:pPr>
            <w:r w:rsidRPr="00FD65CD">
              <w:rPr>
                <w:rFonts w:cs="Segoe UI"/>
                <w:sz w:val="22"/>
                <w:szCs w:val="18"/>
              </w:rPr>
              <w:t>NT</w:t>
            </w:r>
          </w:p>
        </w:tc>
      </w:tr>
      <w:tr w:rsidR="00FD65CD" w:rsidRPr="000130F4" w14:paraId="45BD960A" w14:textId="77777777" w:rsidTr="00FB729C">
        <w:trPr>
          <w:trHeight w:val="234"/>
          <w:tblHeader/>
          <w:jc w:val="center"/>
        </w:trPr>
        <w:tc>
          <w:tcPr>
            <w:tcW w:w="8055" w:type="dxa"/>
            <w:shd w:val="clear" w:color="auto" w:fill="auto"/>
            <w:vAlign w:val="center"/>
          </w:tcPr>
          <w:p w14:paraId="368BC043" w14:textId="77777777" w:rsidR="00FD65CD" w:rsidRPr="00FD65CD" w:rsidRDefault="007E1A3B" w:rsidP="00FD65CD">
            <w:pPr>
              <w:spacing w:line="240" w:lineRule="auto"/>
              <w:rPr>
                <w:sz w:val="22"/>
                <w:szCs w:val="22"/>
              </w:rPr>
            </w:pPr>
            <w:r w:rsidRPr="007E1A3B">
              <w:rPr>
                <w:sz w:val="22"/>
                <w:szCs w:val="18"/>
              </w:rPr>
              <w:t>Review and amend the regulation not governed by EU harmonization (e.g., transactions with related parties) in a more prudent manner.</w:t>
            </w:r>
          </w:p>
        </w:tc>
        <w:tc>
          <w:tcPr>
            <w:tcW w:w="1418" w:type="dxa"/>
            <w:vMerge/>
            <w:tcBorders>
              <w:left w:val="single" w:sz="4" w:space="0" w:color="auto"/>
              <w:bottom w:val="single" w:sz="4" w:space="0" w:color="auto"/>
              <w:right w:val="single" w:sz="4" w:space="0" w:color="auto"/>
            </w:tcBorders>
            <w:shd w:val="clear" w:color="auto" w:fill="auto"/>
          </w:tcPr>
          <w:p w14:paraId="2A5BA634" w14:textId="77777777" w:rsidR="00FD65CD" w:rsidRPr="00FD65CD" w:rsidRDefault="00FD65CD" w:rsidP="00FD65CD">
            <w:pPr>
              <w:spacing w:line="240" w:lineRule="auto"/>
              <w:jc w:val="center"/>
              <w:rPr>
                <w:sz w:val="22"/>
                <w:szCs w:val="22"/>
              </w:rPr>
            </w:pPr>
          </w:p>
        </w:tc>
        <w:tc>
          <w:tcPr>
            <w:tcW w:w="856" w:type="dxa"/>
            <w:tcBorders>
              <w:top w:val="single" w:sz="4" w:space="0" w:color="auto"/>
              <w:left w:val="single" w:sz="4" w:space="0" w:color="auto"/>
              <w:bottom w:val="single" w:sz="4" w:space="0" w:color="auto"/>
              <w:right w:val="single" w:sz="4" w:space="0" w:color="auto"/>
            </w:tcBorders>
            <w:shd w:val="clear" w:color="auto" w:fill="auto"/>
          </w:tcPr>
          <w:p w14:paraId="1903E6E5" w14:textId="77777777" w:rsidR="00FD65CD" w:rsidRPr="00FD65CD" w:rsidRDefault="00FD65CD" w:rsidP="00FD65CD">
            <w:pPr>
              <w:spacing w:line="240" w:lineRule="auto"/>
              <w:jc w:val="center"/>
              <w:rPr>
                <w:sz w:val="22"/>
                <w:szCs w:val="22"/>
              </w:rPr>
            </w:pPr>
            <w:r w:rsidRPr="00FD65CD">
              <w:rPr>
                <w:rFonts w:cs="Segoe UI"/>
                <w:sz w:val="22"/>
                <w:szCs w:val="18"/>
              </w:rPr>
              <w:t>NT</w:t>
            </w:r>
          </w:p>
        </w:tc>
      </w:tr>
      <w:tr w:rsidR="00FD65CD" w:rsidRPr="000130F4" w14:paraId="33EA9137" w14:textId="77777777" w:rsidTr="00FB729C">
        <w:trPr>
          <w:trHeight w:val="234"/>
          <w:tblHeader/>
          <w:jc w:val="center"/>
        </w:trPr>
        <w:tc>
          <w:tcPr>
            <w:tcW w:w="10329" w:type="dxa"/>
            <w:gridSpan w:val="3"/>
            <w:tcBorders>
              <w:right w:val="single" w:sz="4" w:space="0" w:color="auto"/>
            </w:tcBorders>
            <w:shd w:val="clear" w:color="auto" w:fill="auto"/>
          </w:tcPr>
          <w:p w14:paraId="1531D5FA" w14:textId="77777777" w:rsidR="00FD65CD" w:rsidRPr="00FD65CD" w:rsidRDefault="00FD65CD" w:rsidP="00FD65CD">
            <w:pPr>
              <w:spacing w:line="240" w:lineRule="auto"/>
              <w:rPr>
                <w:sz w:val="22"/>
                <w:szCs w:val="22"/>
              </w:rPr>
            </w:pPr>
            <w:r w:rsidRPr="00FD65CD">
              <w:rPr>
                <w:b/>
                <w:i/>
                <w:sz w:val="22"/>
                <w:szCs w:val="18"/>
              </w:rPr>
              <w:t>Financial Market Infrastructures</w:t>
            </w:r>
          </w:p>
        </w:tc>
      </w:tr>
      <w:tr w:rsidR="00FD65CD" w:rsidRPr="000130F4" w14:paraId="1BFE11E6" w14:textId="77777777" w:rsidTr="00FB729C">
        <w:trPr>
          <w:trHeight w:val="234"/>
          <w:tblHeader/>
          <w:jc w:val="center"/>
        </w:trPr>
        <w:tc>
          <w:tcPr>
            <w:tcW w:w="8055" w:type="dxa"/>
            <w:shd w:val="clear" w:color="auto" w:fill="auto"/>
            <w:vAlign w:val="center"/>
          </w:tcPr>
          <w:p w14:paraId="48D1CA10" w14:textId="77777777" w:rsidR="00FD65CD" w:rsidRPr="00FD65CD" w:rsidRDefault="007E1A3B" w:rsidP="00FD65CD">
            <w:pPr>
              <w:spacing w:line="240" w:lineRule="auto"/>
              <w:rPr>
                <w:sz w:val="22"/>
                <w:szCs w:val="22"/>
              </w:rPr>
            </w:pPr>
            <w:r w:rsidRPr="007E1A3B">
              <w:rPr>
                <w:sz w:val="22"/>
                <w:szCs w:val="18"/>
              </w:rPr>
              <w:t>Adopt the PFMI and formalize and strengthen cooperation between the NBR and the ASF for the supervision of the Bucharest Stock Exchange CSD.</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341B4E9" w14:textId="77777777" w:rsidR="00FD65CD" w:rsidRPr="00FD65CD" w:rsidRDefault="00FD65CD" w:rsidP="00FD65CD">
            <w:pPr>
              <w:spacing w:line="240" w:lineRule="auto"/>
              <w:jc w:val="center"/>
              <w:rPr>
                <w:sz w:val="22"/>
                <w:szCs w:val="22"/>
              </w:rPr>
            </w:pPr>
            <w:r w:rsidRPr="00FD65CD">
              <w:rPr>
                <w:rFonts w:cs="Segoe UI"/>
                <w:sz w:val="22"/>
                <w:szCs w:val="18"/>
              </w:rPr>
              <w:t>NBR, ASF</w:t>
            </w:r>
          </w:p>
        </w:tc>
        <w:tc>
          <w:tcPr>
            <w:tcW w:w="856" w:type="dxa"/>
            <w:tcBorders>
              <w:top w:val="single" w:sz="4" w:space="0" w:color="auto"/>
              <w:left w:val="single" w:sz="4" w:space="0" w:color="auto"/>
              <w:bottom w:val="single" w:sz="4" w:space="0" w:color="auto"/>
              <w:right w:val="single" w:sz="4" w:space="0" w:color="auto"/>
            </w:tcBorders>
            <w:shd w:val="clear" w:color="auto" w:fill="auto"/>
          </w:tcPr>
          <w:p w14:paraId="7AC6141A" w14:textId="77777777" w:rsidR="00FD65CD" w:rsidRPr="00FD65CD" w:rsidRDefault="007E1A3B" w:rsidP="00FD65CD">
            <w:pPr>
              <w:spacing w:line="240" w:lineRule="auto"/>
              <w:jc w:val="center"/>
              <w:rPr>
                <w:sz w:val="22"/>
                <w:szCs w:val="22"/>
              </w:rPr>
            </w:pPr>
            <w:r>
              <w:rPr>
                <w:rFonts w:cs="Segoe UI"/>
                <w:sz w:val="22"/>
                <w:szCs w:val="18"/>
              </w:rPr>
              <w:t>N</w:t>
            </w:r>
            <w:r w:rsidR="00FD65CD" w:rsidRPr="00FD65CD">
              <w:rPr>
                <w:rFonts w:cs="Segoe UI"/>
                <w:sz w:val="22"/>
                <w:szCs w:val="18"/>
              </w:rPr>
              <w:t>T</w:t>
            </w:r>
          </w:p>
        </w:tc>
      </w:tr>
      <w:tr w:rsidR="00FD65CD" w:rsidRPr="000130F4" w14:paraId="26C9C966" w14:textId="77777777" w:rsidTr="00FB729C">
        <w:trPr>
          <w:trHeight w:val="234"/>
          <w:tblHeader/>
          <w:jc w:val="center"/>
        </w:trPr>
        <w:tc>
          <w:tcPr>
            <w:tcW w:w="8055" w:type="dxa"/>
            <w:tcBorders>
              <w:bottom w:val="single" w:sz="4" w:space="0" w:color="auto"/>
            </w:tcBorders>
            <w:shd w:val="clear" w:color="auto" w:fill="auto"/>
            <w:vAlign w:val="center"/>
          </w:tcPr>
          <w:p w14:paraId="7D01601F" w14:textId="77777777" w:rsidR="00FD65CD" w:rsidRPr="00FD65CD" w:rsidRDefault="007E1A3B" w:rsidP="00FD65CD">
            <w:pPr>
              <w:spacing w:line="240" w:lineRule="auto"/>
              <w:rPr>
                <w:sz w:val="22"/>
                <w:szCs w:val="22"/>
              </w:rPr>
            </w:pPr>
            <w:r w:rsidRPr="007E1A3B">
              <w:rPr>
                <w:sz w:val="22"/>
                <w:szCs w:val="18"/>
              </w:rPr>
              <w:t>Invest in more and more qualified IT staff, in particular in the area of cyber resilience, and implement a formal project management methodology.</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8D16E9D" w14:textId="77777777" w:rsidR="00FD65CD" w:rsidRPr="00FD65CD" w:rsidRDefault="00FD65CD" w:rsidP="00FD65CD">
            <w:pPr>
              <w:spacing w:line="240" w:lineRule="auto"/>
              <w:jc w:val="center"/>
              <w:rPr>
                <w:sz w:val="22"/>
                <w:szCs w:val="22"/>
              </w:rPr>
            </w:pPr>
            <w:r w:rsidRPr="00FD65CD">
              <w:rPr>
                <w:rFonts w:cs="Segoe UI"/>
                <w:sz w:val="22"/>
                <w:szCs w:val="18"/>
              </w:rPr>
              <w:t>NBR</w:t>
            </w:r>
          </w:p>
        </w:tc>
        <w:tc>
          <w:tcPr>
            <w:tcW w:w="856" w:type="dxa"/>
            <w:tcBorders>
              <w:top w:val="single" w:sz="4" w:space="0" w:color="auto"/>
              <w:left w:val="single" w:sz="4" w:space="0" w:color="auto"/>
              <w:bottom w:val="single" w:sz="4" w:space="0" w:color="auto"/>
              <w:right w:val="single" w:sz="4" w:space="0" w:color="auto"/>
            </w:tcBorders>
            <w:shd w:val="clear" w:color="auto" w:fill="auto"/>
          </w:tcPr>
          <w:p w14:paraId="558D3F7F" w14:textId="77777777" w:rsidR="00FD65CD" w:rsidRPr="00FD65CD" w:rsidRDefault="00FD65CD" w:rsidP="00FD65CD">
            <w:pPr>
              <w:spacing w:line="240" w:lineRule="auto"/>
              <w:jc w:val="center"/>
              <w:rPr>
                <w:sz w:val="22"/>
                <w:szCs w:val="22"/>
              </w:rPr>
            </w:pPr>
            <w:r w:rsidRPr="00FD65CD">
              <w:rPr>
                <w:rFonts w:cs="Segoe UI"/>
                <w:sz w:val="22"/>
                <w:szCs w:val="18"/>
              </w:rPr>
              <w:t>I</w:t>
            </w:r>
          </w:p>
        </w:tc>
      </w:tr>
      <w:tr w:rsidR="00FD65CD" w:rsidRPr="000130F4" w14:paraId="036D2EB7" w14:textId="77777777" w:rsidTr="00FB729C">
        <w:trPr>
          <w:trHeight w:val="234"/>
          <w:tblHeader/>
          <w:jc w:val="center"/>
        </w:trPr>
        <w:tc>
          <w:tcPr>
            <w:tcW w:w="10329" w:type="dxa"/>
            <w:gridSpan w:val="3"/>
            <w:tcBorders>
              <w:top w:val="single" w:sz="4" w:space="0" w:color="auto"/>
              <w:left w:val="single" w:sz="4" w:space="0" w:color="auto"/>
              <w:bottom w:val="single" w:sz="4" w:space="0" w:color="auto"/>
              <w:right w:val="single" w:sz="4" w:space="0" w:color="auto"/>
            </w:tcBorders>
            <w:shd w:val="clear" w:color="auto" w:fill="auto"/>
          </w:tcPr>
          <w:p w14:paraId="264014DD" w14:textId="77777777" w:rsidR="00FD65CD" w:rsidRPr="00FD65CD" w:rsidRDefault="00FD65CD" w:rsidP="00FD65CD">
            <w:pPr>
              <w:spacing w:line="240" w:lineRule="auto"/>
              <w:rPr>
                <w:sz w:val="22"/>
                <w:szCs w:val="22"/>
              </w:rPr>
            </w:pPr>
            <w:r w:rsidRPr="00FD65CD">
              <w:rPr>
                <w:rFonts w:cs="Segoe UI"/>
                <w:b/>
                <w:bCs/>
                <w:i/>
                <w:iCs/>
                <w:sz w:val="22"/>
                <w:szCs w:val="18"/>
              </w:rPr>
              <w:t>AML/CFT</w:t>
            </w:r>
          </w:p>
        </w:tc>
      </w:tr>
      <w:tr w:rsidR="00FD65CD" w:rsidRPr="000130F4" w14:paraId="513CADC6" w14:textId="77777777" w:rsidTr="00FB729C">
        <w:trPr>
          <w:trHeight w:val="234"/>
          <w:tblHeader/>
          <w:jc w:val="center"/>
        </w:trPr>
        <w:tc>
          <w:tcPr>
            <w:tcW w:w="8055" w:type="dxa"/>
            <w:tcBorders>
              <w:top w:val="single" w:sz="4" w:space="0" w:color="auto"/>
              <w:left w:val="single" w:sz="4" w:space="0" w:color="auto"/>
              <w:bottom w:val="single" w:sz="4" w:space="0" w:color="auto"/>
              <w:right w:val="single" w:sz="4" w:space="0" w:color="auto"/>
            </w:tcBorders>
            <w:shd w:val="clear" w:color="auto" w:fill="auto"/>
            <w:vAlign w:val="center"/>
          </w:tcPr>
          <w:p w14:paraId="0EA5E073" w14:textId="77777777" w:rsidR="00FD65CD" w:rsidRPr="00FD65CD" w:rsidRDefault="00FD65CD" w:rsidP="00FD65CD">
            <w:pPr>
              <w:spacing w:line="240" w:lineRule="auto"/>
              <w:rPr>
                <w:sz w:val="22"/>
                <w:szCs w:val="22"/>
              </w:rPr>
            </w:pPr>
            <w:r w:rsidRPr="00FD65CD">
              <w:rPr>
                <w:sz w:val="22"/>
                <w:szCs w:val="18"/>
              </w:rPr>
              <w:t>Address the remaining gaps in the AML/CFT preventive framework, including with respect to PEPs, and entity transparency</w:t>
            </w:r>
            <w:r w:rsidR="007E1A3B">
              <w:rPr>
                <w:rFonts w:cs="Segoe UI"/>
                <w:bCs/>
                <w:iCs/>
                <w:sz w:val="22"/>
                <w:szCs w:val="18"/>
              </w:rPr>
              <w:t xml:space="preserve">; </w:t>
            </w:r>
            <w:r w:rsidR="007E1A3B" w:rsidRPr="007E1A3B">
              <w:rPr>
                <w:rFonts w:cs="Segoe UI"/>
                <w:bCs/>
                <w:iCs/>
                <w:sz w:val="22"/>
                <w:szCs w:val="18"/>
              </w:rPr>
              <w:t>assess and mitigate the ML/TF risks.</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CA05793" w14:textId="77777777" w:rsidR="00FD65CD" w:rsidRPr="00FD65CD" w:rsidRDefault="007E1A3B" w:rsidP="00FD65CD">
            <w:pPr>
              <w:spacing w:line="240" w:lineRule="auto"/>
              <w:jc w:val="center"/>
              <w:rPr>
                <w:sz w:val="22"/>
                <w:szCs w:val="22"/>
              </w:rPr>
            </w:pPr>
            <w:r w:rsidRPr="007E1A3B">
              <w:rPr>
                <w:sz w:val="22"/>
                <w:szCs w:val="22"/>
              </w:rPr>
              <w:t>MoJ</w:t>
            </w:r>
            <w:r>
              <w:rPr>
                <w:sz w:val="22"/>
                <w:szCs w:val="22"/>
              </w:rPr>
              <w:t>,</w:t>
            </w:r>
            <w:r w:rsidRPr="007E1A3B">
              <w:rPr>
                <w:sz w:val="22"/>
                <w:szCs w:val="22"/>
              </w:rPr>
              <w:t xml:space="preserve"> MoAI</w:t>
            </w:r>
          </w:p>
        </w:tc>
        <w:tc>
          <w:tcPr>
            <w:tcW w:w="856" w:type="dxa"/>
            <w:tcBorders>
              <w:top w:val="single" w:sz="4" w:space="0" w:color="auto"/>
              <w:left w:val="single" w:sz="4" w:space="0" w:color="auto"/>
              <w:bottom w:val="single" w:sz="4" w:space="0" w:color="auto"/>
              <w:right w:val="single" w:sz="4" w:space="0" w:color="auto"/>
            </w:tcBorders>
            <w:shd w:val="clear" w:color="auto" w:fill="auto"/>
          </w:tcPr>
          <w:p w14:paraId="7E4C53ED" w14:textId="77777777" w:rsidR="00FD65CD" w:rsidRPr="00FD65CD" w:rsidRDefault="007E1A3B" w:rsidP="00FD65CD">
            <w:pPr>
              <w:spacing w:line="240" w:lineRule="auto"/>
              <w:jc w:val="center"/>
              <w:rPr>
                <w:sz w:val="22"/>
                <w:szCs w:val="22"/>
              </w:rPr>
            </w:pPr>
            <w:r>
              <w:rPr>
                <w:sz w:val="22"/>
                <w:szCs w:val="22"/>
              </w:rPr>
              <w:t>I</w:t>
            </w:r>
          </w:p>
        </w:tc>
      </w:tr>
      <w:tr w:rsidR="00FD65CD" w:rsidRPr="000130F4" w14:paraId="7EA3E6CF" w14:textId="77777777" w:rsidTr="00FB729C">
        <w:trPr>
          <w:trHeight w:val="234"/>
          <w:tblHeader/>
          <w:jc w:val="center"/>
        </w:trPr>
        <w:tc>
          <w:tcPr>
            <w:tcW w:w="8055" w:type="dxa"/>
            <w:tcBorders>
              <w:top w:val="single" w:sz="4" w:space="0" w:color="auto"/>
              <w:left w:val="single" w:sz="4" w:space="0" w:color="auto"/>
              <w:bottom w:val="single" w:sz="4" w:space="0" w:color="auto"/>
              <w:right w:val="single" w:sz="4" w:space="0" w:color="auto"/>
            </w:tcBorders>
            <w:shd w:val="clear" w:color="auto" w:fill="D9D9D9"/>
          </w:tcPr>
          <w:p w14:paraId="1FE35661" w14:textId="77777777" w:rsidR="00FD65CD" w:rsidRPr="000130F4" w:rsidRDefault="00687FD4" w:rsidP="00FD65CD">
            <w:pPr>
              <w:spacing w:line="240" w:lineRule="auto"/>
              <w:rPr>
                <w:b/>
                <w:i/>
                <w:sz w:val="22"/>
                <w:szCs w:val="22"/>
              </w:rPr>
            </w:pPr>
            <w:r w:rsidRPr="00687FD4">
              <w:rPr>
                <w:rFonts w:cs="Segoe UI"/>
                <w:b/>
                <w:bCs/>
                <w:i/>
                <w:iCs/>
                <w:sz w:val="22"/>
                <w:szCs w:val="18"/>
              </w:rPr>
              <w:t>Crisis Management and Bank Resolution</w:t>
            </w:r>
          </w:p>
        </w:tc>
        <w:tc>
          <w:tcPr>
            <w:tcW w:w="1418" w:type="dxa"/>
            <w:tcBorders>
              <w:top w:val="single" w:sz="4" w:space="0" w:color="auto"/>
              <w:left w:val="single" w:sz="4" w:space="0" w:color="auto"/>
              <w:bottom w:val="single" w:sz="4" w:space="0" w:color="auto"/>
              <w:right w:val="single" w:sz="4" w:space="0" w:color="auto"/>
            </w:tcBorders>
            <w:shd w:val="clear" w:color="auto" w:fill="D9D9D9"/>
          </w:tcPr>
          <w:p w14:paraId="6F758BB8" w14:textId="77777777" w:rsidR="00FD65CD" w:rsidRPr="000130F4" w:rsidRDefault="00FD65CD" w:rsidP="00FD65CD">
            <w:pPr>
              <w:spacing w:line="240" w:lineRule="auto"/>
              <w:jc w:val="center"/>
              <w:rPr>
                <w:b/>
                <w:sz w:val="22"/>
                <w:szCs w:val="22"/>
              </w:rPr>
            </w:pPr>
          </w:p>
        </w:tc>
        <w:tc>
          <w:tcPr>
            <w:tcW w:w="856" w:type="dxa"/>
            <w:tcBorders>
              <w:top w:val="single" w:sz="4" w:space="0" w:color="auto"/>
              <w:left w:val="single" w:sz="4" w:space="0" w:color="auto"/>
              <w:bottom w:val="single" w:sz="4" w:space="0" w:color="auto"/>
              <w:right w:val="single" w:sz="4" w:space="0" w:color="auto"/>
            </w:tcBorders>
            <w:shd w:val="clear" w:color="auto" w:fill="D9D9D9"/>
          </w:tcPr>
          <w:p w14:paraId="0B7E12CD" w14:textId="77777777" w:rsidR="00FD65CD" w:rsidRPr="000130F4" w:rsidRDefault="00FD65CD" w:rsidP="00FD65CD">
            <w:pPr>
              <w:spacing w:line="240" w:lineRule="auto"/>
              <w:jc w:val="center"/>
              <w:rPr>
                <w:b/>
                <w:sz w:val="22"/>
                <w:szCs w:val="22"/>
              </w:rPr>
            </w:pPr>
          </w:p>
        </w:tc>
      </w:tr>
      <w:tr w:rsidR="007E1A3B" w:rsidRPr="000130F4" w14:paraId="411DCE6B" w14:textId="77777777" w:rsidTr="00FB729C">
        <w:trPr>
          <w:trHeight w:val="234"/>
          <w:tblHeader/>
          <w:jc w:val="center"/>
        </w:trPr>
        <w:tc>
          <w:tcPr>
            <w:tcW w:w="8055" w:type="dxa"/>
            <w:shd w:val="clear" w:color="auto" w:fill="auto"/>
          </w:tcPr>
          <w:p w14:paraId="70DA9712" w14:textId="77777777" w:rsidR="007E1A3B" w:rsidRPr="00687FD4" w:rsidRDefault="007E1A3B" w:rsidP="007E1A3B">
            <w:pPr>
              <w:spacing w:line="240" w:lineRule="auto"/>
              <w:rPr>
                <w:sz w:val="22"/>
                <w:szCs w:val="18"/>
              </w:rPr>
            </w:pPr>
            <w:r w:rsidRPr="00687FD4">
              <w:rPr>
                <w:sz w:val="22"/>
                <w:szCs w:val="18"/>
              </w:rPr>
              <w:t>Prepare a</w:t>
            </w:r>
            <w:r w:rsidR="00CD0EDD">
              <w:rPr>
                <w:sz w:val="22"/>
                <w:szCs w:val="18"/>
              </w:rPr>
              <w:t>n interagency</w:t>
            </w:r>
            <w:r w:rsidRPr="00687FD4">
              <w:rPr>
                <w:sz w:val="22"/>
                <w:szCs w:val="18"/>
              </w:rPr>
              <w:t xml:space="preserve"> simulation exercise that includes all members of the macropru</w:t>
            </w:r>
            <w:r>
              <w:rPr>
                <w:sz w:val="22"/>
                <w:szCs w:val="18"/>
              </w:rPr>
              <w:t>dential committee plus the FGDB.</w:t>
            </w:r>
          </w:p>
        </w:tc>
        <w:tc>
          <w:tcPr>
            <w:tcW w:w="1418" w:type="dxa"/>
          </w:tcPr>
          <w:p w14:paraId="0CE281C2" w14:textId="77777777" w:rsidR="007E1A3B" w:rsidRPr="00687FD4" w:rsidRDefault="007E1A3B" w:rsidP="007E1A3B">
            <w:pPr>
              <w:spacing w:line="240" w:lineRule="auto"/>
              <w:jc w:val="center"/>
              <w:rPr>
                <w:sz w:val="22"/>
                <w:szCs w:val="19"/>
              </w:rPr>
            </w:pPr>
            <w:r w:rsidRPr="00687FD4">
              <w:rPr>
                <w:sz w:val="22"/>
                <w:szCs w:val="19"/>
              </w:rPr>
              <w:t>all</w:t>
            </w:r>
          </w:p>
        </w:tc>
        <w:tc>
          <w:tcPr>
            <w:tcW w:w="856" w:type="dxa"/>
            <w:shd w:val="clear" w:color="auto" w:fill="auto"/>
          </w:tcPr>
          <w:p w14:paraId="68989876" w14:textId="77777777" w:rsidR="007E1A3B" w:rsidRPr="00687FD4" w:rsidRDefault="007E1A3B" w:rsidP="007E1A3B">
            <w:pPr>
              <w:spacing w:line="240" w:lineRule="auto"/>
              <w:jc w:val="center"/>
              <w:rPr>
                <w:sz w:val="22"/>
                <w:szCs w:val="19"/>
              </w:rPr>
            </w:pPr>
            <w:r w:rsidRPr="00687FD4">
              <w:rPr>
                <w:rFonts w:cs="Segoe UI"/>
                <w:color w:val="000000"/>
                <w:sz w:val="22"/>
                <w:szCs w:val="18"/>
              </w:rPr>
              <w:t>I</w:t>
            </w:r>
          </w:p>
        </w:tc>
      </w:tr>
      <w:tr w:rsidR="007E1A3B" w:rsidRPr="000130F4" w14:paraId="684169FE" w14:textId="77777777" w:rsidTr="00FB729C">
        <w:trPr>
          <w:trHeight w:val="234"/>
          <w:tblHeader/>
          <w:jc w:val="center"/>
        </w:trPr>
        <w:tc>
          <w:tcPr>
            <w:tcW w:w="8055" w:type="dxa"/>
            <w:shd w:val="clear" w:color="auto" w:fill="auto"/>
          </w:tcPr>
          <w:p w14:paraId="2F84B9C3" w14:textId="77777777" w:rsidR="007E1A3B" w:rsidRPr="00687FD4" w:rsidRDefault="007E1A3B" w:rsidP="007E1A3B">
            <w:pPr>
              <w:spacing w:line="240" w:lineRule="auto"/>
              <w:rPr>
                <w:sz w:val="22"/>
                <w:szCs w:val="18"/>
              </w:rPr>
            </w:pPr>
            <w:r w:rsidRPr="007E1A3B">
              <w:rPr>
                <w:sz w:val="22"/>
                <w:szCs w:val="18"/>
              </w:rPr>
              <w:t>Seek an exemption from the Procurement law for bank resolution purposes.</w:t>
            </w:r>
          </w:p>
        </w:tc>
        <w:tc>
          <w:tcPr>
            <w:tcW w:w="1418" w:type="dxa"/>
          </w:tcPr>
          <w:p w14:paraId="11D72DFB" w14:textId="77777777" w:rsidR="007E1A3B" w:rsidRPr="00687FD4" w:rsidRDefault="007E1A3B" w:rsidP="007E1A3B">
            <w:pPr>
              <w:spacing w:line="240" w:lineRule="auto"/>
              <w:jc w:val="center"/>
              <w:rPr>
                <w:sz w:val="22"/>
                <w:szCs w:val="19"/>
              </w:rPr>
            </w:pPr>
            <w:r w:rsidRPr="00687FD4">
              <w:rPr>
                <w:sz w:val="22"/>
                <w:szCs w:val="19"/>
              </w:rPr>
              <w:t xml:space="preserve">NBR, MoPF </w:t>
            </w:r>
          </w:p>
        </w:tc>
        <w:tc>
          <w:tcPr>
            <w:tcW w:w="856" w:type="dxa"/>
            <w:shd w:val="clear" w:color="auto" w:fill="auto"/>
          </w:tcPr>
          <w:p w14:paraId="070BBC3F" w14:textId="77777777" w:rsidR="007E1A3B" w:rsidRPr="00687FD4" w:rsidRDefault="007E1A3B" w:rsidP="007E1A3B">
            <w:pPr>
              <w:spacing w:line="240" w:lineRule="auto"/>
              <w:jc w:val="center"/>
              <w:rPr>
                <w:rFonts w:cs="Segoe UI"/>
                <w:color w:val="000000"/>
                <w:sz w:val="22"/>
                <w:szCs w:val="18"/>
              </w:rPr>
            </w:pPr>
            <w:r w:rsidRPr="00687FD4">
              <w:rPr>
                <w:rFonts w:cs="Segoe UI"/>
                <w:color w:val="000000"/>
                <w:sz w:val="22"/>
                <w:szCs w:val="18"/>
              </w:rPr>
              <w:t>MT</w:t>
            </w:r>
          </w:p>
        </w:tc>
      </w:tr>
      <w:tr w:rsidR="007E1A3B" w:rsidRPr="000130F4" w14:paraId="50AEF342" w14:textId="77777777" w:rsidTr="00FB729C">
        <w:trPr>
          <w:trHeight w:val="234"/>
          <w:tblHeader/>
          <w:jc w:val="center"/>
        </w:trPr>
        <w:tc>
          <w:tcPr>
            <w:tcW w:w="8055" w:type="dxa"/>
            <w:shd w:val="clear" w:color="auto" w:fill="auto"/>
          </w:tcPr>
          <w:p w14:paraId="308C1C73" w14:textId="77777777" w:rsidR="007E1A3B" w:rsidRPr="007E1A3B" w:rsidRDefault="007E1A3B" w:rsidP="007E1A3B">
            <w:pPr>
              <w:spacing w:line="240" w:lineRule="auto"/>
              <w:rPr>
                <w:sz w:val="22"/>
                <w:szCs w:val="18"/>
              </w:rPr>
            </w:pPr>
            <w:r w:rsidRPr="00687FD4">
              <w:rPr>
                <w:sz w:val="22"/>
                <w:szCs w:val="18"/>
              </w:rPr>
              <w:t>Include MoPF officers linked to bank resolution under person</w:t>
            </w:r>
            <w:r>
              <w:rPr>
                <w:sz w:val="22"/>
                <w:szCs w:val="18"/>
              </w:rPr>
              <w:t>al legal protection provisions.</w:t>
            </w:r>
          </w:p>
        </w:tc>
        <w:tc>
          <w:tcPr>
            <w:tcW w:w="1418" w:type="dxa"/>
          </w:tcPr>
          <w:p w14:paraId="0A2C4631" w14:textId="77777777" w:rsidR="007E1A3B" w:rsidRPr="00687FD4" w:rsidRDefault="007E1A3B" w:rsidP="007E1A3B">
            <w:pPr>
              <w:spacing w:line="240" w:lineRule="auto"/>
              <w:jc w:val="center"/>
              <w:rPr>
                <w:sz w:val="22"/>
                <w:szCs w:val="19"/>
              </w:rPr>
            </w:pPr>
            <w:r w:rsidRPr="00687FD4">
              <w:rPr>
                <w:sz w:val="22"/>
                <w:szCs w:val="19"/>
              </w:rPr>
              <w:t>MoPF</w:t>
            </w:r>
          </w:p>
        </w:tc>
        <w:tc>
          <w:tcPr>
            <w:tcW w:w="856" w:type="dxa"/>
            <w:shd w:val="clear" w:color="auto" w:fill="auto"/>
          </w:tcPr>
          <w:p w14:paraId="5F8D742E" w14:textId="77777777" w:rsidR="007E1A3B" w:rsidRPr="00687FD4" w:rsidRDefault="007E1A3B" w:rsidP="007E1A3B">
            <w:pPr>
              <w:spacing w:line="240" w:lineRule="auto"/>
              <w:jc w:val="center"/>
              <w:rPr>
                <w:rFonts w:cs="Segoe UI"/>
                <w:color w:val="000000"/>
                <w:sz w:val="22"/>
                <w:szCs w:val="18"/>
              </w:rPr>
            </w:pPr>
            <w:r w:rsidRPr="00687FD4">
              <w:rPr>
                <w:rFonts w:cs="Segoe UI"/>
                <w:color w:val="000000"/>
                <w:sz w:val="22"/>
                <w:szCs w:val="18"/>
              </w:rPr>
              <w:t>MT</w:t>
            </w:r>
          </w:p>
        </w:tc>
      </w:tr>
      <w:tr w:rsidR="007E1A3B" w:rsidRPr="000130F4" w14:paraId="727D9A18" w14:textId="77777777" w:rsidTr="00FB729C">
        <w:trPr>
          <w:trHeight w:val="234"/>
          <w:tblHeader/>
          <w:jc w:val="center"/>
        </w:trPr>
        <w:tc>
          <w:tcPr>
            <w:tcW w:w="8055" w:type="dxa"/>
            <w:shd w:val="clear" w:color="auto" w:fill="auto"/>
          </w:tcPr>
          <w:p w14:paraId="62B7100E" w14:textId="77777777" w:rsidR="007E1A3B" w:rsidRPr="00687FD4" w:rsidRDefault="007E1A3B" w:rsidP="007E1A3B">
            <w:pPr>
              <w:spacing w:line="240" w:lineRule="auto"/>
              <w:rPr>
                <w:sz w:val="22"/>
                <w:szCs w:val="18"/>
              </w:rPr>
            </w:pPr>
            <w:r w:rsidRPr="00687FD4">
              <w:rPr>
                <w:sz w:val="22"/>
                <w:szCs w:val="18"/>
              </w:rPr>
              <w:t>Ensure that Romania’s interests are addressed in recovery and resolution plans of Romani</w:t>
            </w:r>
            <w:r>
              <w:rPr>
                <w:sz w:val="22"/>
                <w:szCs w:val="18"/>
              </w:rPr>
              <w:t>an subsidiaries of foreign banks.</w:t>
            </w:r>
          </w:p>
        </w:tc>
        <w:tc>
          <w:tcPr>
            <w:tcW w:w="1418" w:type="dxa"/>
          </w:tcPr>
          <w:p w14:paraId="23EFC433" w14:textId="77777777" w:rsidR="007E1A3B" w:rsidRPr="00687FD4" w:rsidRDefault="007E1A3B" w:rsidP="007E1A3B">
            <w:pPr>
              <w:spacing w:line="240" w:lineRule="auto"/>
              <w:jc w:val="center"/>
              <w:rPr>
                <w:sz w:val="22"/>
                <w:szCs w:val="19"/>
              </w:rPr>
            </w:pPr>
            <w:r w:rsidRPr="00687FD4">
              <w:rPr>
                <w:sz w:val="22"/>
                <w:szCs w:val="19"/>
              </w:rPr>
              <w:t>NBR</w:t>
            </w:r>
          </w:p>
        </w:tc>
        <w:tc>
          <w:tcPr>
            <w:tcW w:w="856" w:type="dxa"/>
            <w:shd w:val="clear" w:color="auto" w:fill="auto"/>
          </w:tcPr>
          <w:p w14:paraId="4046AD92" w14:textId="77777777" w:rsidR="007E1A3B" w:rsidRPr="00687FD4" w:rsidRDefault="007E1A3B" w:rsidP="007E1A3B">
            <w:pPr>
              <w:spacing w:line="240" w:lineRule="auto"/>
              <w:jc w:val="center"/>
              <w:rPr>
                <w:rFonts w:cs="Segoe UI"/>
                <w:color w:val="000000"/>
                <w:sz w:val="22"/>
                <w:szCs w:val="18"/>
              </w:rPr>
            </w:pPr>
            <w:r w:rsidRPr="00687FD4">
              <w:rPr>
                <w:rFonts w:cs="Segoe UI"/>
                <w:color w:val="000000"/>
                <w:sz w:val="22"/>
                <w:szCs w:val="18"/>
              </w:rPr>
              <w:t>NT</w:t>
            </w:r>
          </w:p>
        </w:tc>
      </w:tr>
      <w:tr w:rsidR="007E1A3B" w:rsidRPr="000130F4" w14:paraId="3865CDE8" w14:textId="77777777" w:rsidTr="00FB729C">
        <w:trPr>
          <w:trHeight w:val="234"/>
          <w:tblHeader/>
          <w:jc w:val="center"/>
        </w:trPr>
        <w:tc>
          <w:tcPr>
            <w:tcW w:w="8055" w:type="dxa"/>
            <w:shd w:val="clear" w:color="auto" w:fill="auto"/>
          </w:tcPr>
          <w:p w14:paraId="578D85AD" w14:textId="77777777" w:rsidR="007E1A3B" w:rsidRPr="00687FD4" w:rsidRDefault="007E1A3B" w:rsidP="007E1A3B">
            <w:pPr>
              <w:spacing w:line="240" w:lineRule="auto"/>
              <w:rPr>
                <w:sz w:val="22"/>
                <w:szCs w:val="22"/>
              </w:rPr>
            </w:pPr>
            <w:r w:rsidRPr="00687FD4">
              <w:rPr>
                <w:sz w:val="22"/>
                <w:szCs w:val="18"/>
              </w:rPr>
              <w:t>Diversify t</w:t>
            </w:r>
            <w:r>
              <w:rPr>
                <w:sz w:val="22"/>
                <w:szCs w:val="18"/>
              </w:rPr>
              <w:t xml:space="preserve">he investment policy of the FGDB, </w:t>
            </w:r>
            <w:r w:rsidRPr="007E1A3B">
              <w:rPr>
                <w:sz w:val="22"/>
                <w:szCs w:val="18"/>
              </w:rPr>
              <w:t>and establish operational procedures with the NBR that allows the FGDB to have accounts in the central bank and a repo line.</w:t>
            </w:r>
          </w:p>
        </w:tc>
        <w:tc>
          <w:tcPr>
            <w:tcW w:w="1418" w:type="dxa"/>
          </w:tcPr>
          <w:p w14:paraId="6B4E1A88" w14:textId="77777777" w:rsidR="007E1A3B" w:rsidRPr="00687FD4" w:rsidRDefault="007E1A3B" w:rsidP="007E1A3B">
            <w:pPr>
              <w:spacing w:line="240" w:lineRule="auto"/>
              <w:jc w:val="center"/>
              <w:rPr>
                <w:sz w:val="22"/>
                <w:szCs w:val="22"/>
              </w:rPr>
            </w:pPr>
            <w:r w:rsidRPr="00687FD4">
              <w:rPr>
                <w:sz w:val="22"/>
                <w:szCs w:val="19"/>
              </w:rPr>
              <w:t>FGDB</w:t>
            </w:r>
            <w:r>
              <w:rPr>
                <w:sz w:val="22"/>
                <w:szCs w:val="19"/>
              </w:rPr>
              <w:t xml:space="preserve">, </w:t>
            </w:r>
            <w:r w:rsidRPr="00687FD4">
              <w:rPr>
                <w:sz w:val="22"/>
                <w:szCs w:val="19"/>
              </w:rPr>
              <w:t>NBR</w:t>
            </w:r>
          </w:p>
        </w:tc>
        <w:tc>
          <w:tcPr>
            <w:tcW w:w="856" w:type="dxa"/>
            <w:shd w:val="clear" w:color="auto" w:fill="auto"/>
          </w:tcPr>
          <w:p w14:paraId="2E5CC7B2" w14:textId="77777777" w:rsidR="007E1A3B" w:rsidRPr="00687FD4" w:rsidRDefault="007E1A3B" w:rsidP="007E1A3B">
            <w:pPr>
              <w:spacing w:line="240" w:lineRule="auto"/>
              <w:jc w:val="center"/>
              <w:rPr>
                <w:sz w:val="22"/>
                <w:szCs w:val="22"/>
              </w:rPr>
            </w:pPr>
            <w:r w:rsidRPr="00687FD4">
              <w:rPr>
                <w:sz w:val="22"/>
                <w:szCs w:val="19"/>
              </w:rPr>
              <w:t>NT</w:t>
            </w:r>
          </w:p>
        </w:tc>
      </w:tr>
      <w:tr w:rsidR="007E1A3B" w:rsidRPr="000130F4" w14:paraId="6D36DE4D" w14:textId="77777777" w:rsidTr="00FB729C">
        <w:trPr>
          <w:trHeight w:val="234"/>
          <w:tblHeader/>
          <w:jc w:val="center"/>
        </w:trPr>
        <w:tc>
          <w:tcPr>
            <w:tcW w:w="8055" w:type="dxa"/>
            <w:shd w:val="clear" w:color="auto" w:fill="auto"/>
          </w:tcPr>
          <w:p w14:paraId="349919BE" w14:textId="77777777" w:rsidR="007E1A3B" w:rsidRPr="00687FD4" w:rsidRDefault="007E1A3B" w:rsidP="007E1A3B">
            <w:pPr>
              <w:spacing w:line="240" w:lineRule="auto"/>
              <w:rPr>
                <w:sz w:val="22"/>
                <w:szCs w:val="22"/>
              </w:rPr>
            </w:pPr>
            <w:r w:rsidRPr="00687FD4">
              <w:rPr>
                <w:sz w:val="22"/>
                <w:szCs w:val="18"/>
              </w:rPr>
              <w:t>Finalize and implement a</w:t>
            </w:r>
            <w:r w:rsidR="00CD0EDD">
              <w:rPr>
                <w:sz w:val="22"/>
                <w:szCs w:val="18"/>
              </w:rPr>
              <w:t>n</w:t>
            </w:r>
            <w:r w:rsidRPr="00687FD4">
              <w:rPr>
                <w:sz w:val="22"/>
                <w:szCs w:val="18"/>
              </w:rPr>
              <w:t xml:space="preserve"> ELA scheme and prov</w:t>
            </w:r>
            <w:r>
              <w:rPr>
                <w:sz w:val="22"/>
                <w:szCs w:val="18"/>
              </w:rPr>
              <w:t>isions for FX liquidity support.</w:t>
            </w:r>
          </w:p>
        </w:tc>
        <w:tc>
          <w:tcPr>
            <w:tcW w:w="1418" w:type="dxa"/>
          </w:tcPr>
          <w:p w14:paraId="707D6D68" w14:textId="77777777" w:rsidR="007E1A3B" w:rsidRPr="00687FD4" w:rsidRDefault="007E1A3B" w:rsidP="007E1A3B">
            <w:pPr>
              <w:spacing w:line="240" w:lineRule="auto"/>
              <w:jc w:val="center"/>
              <w:rPr>
                <w:sz w:val="22"/>
                <w:szCs w:val="22"/>
              </w:rPr>
            </w:pPr>
            <w:r w:rsidRPr="00687FD4">
              <w:rPr>
                <w:sz w:val="22"/>
                <w:szCs w:val="19"/>
              </w:rPr>
              <w:t>NBR</w:t>
            </w:r>
          </w:p>
        </w:tc>
        <w:tc>
          <w:tcPr>
            <w:tcW w:w="856" w:type="dxa"/>
            <w:shd w:val="clear" w:color="auto" w:fill="auto"/>
          </w:tcPr>
          <w:p w14:paraId="16DB1164" w14:textId="77777777" w:rsidR="007E1A3B" w:rsidRPr="00687FD4" w:rsidRDefault="007E1A3B" w:rsidP="007E1A3B">
            <w:pPr>
              <w:spacing w:line="240" w:lineRule="auto"/>
              <w:jc w:val="center"/>
              <w:rPr>
                <w:sz w:val="22"/>
                <w:szCs w:val="22"/>
              </w:rPr>
            </w:pPr>
            <w:r w:rsidRPr="00687FD4">
              <w:rPr>
                <w:rFonts w:cs="Segoe UI"/>
                <w:color w:val="000000"/>
                <w:sz w:val="22"/>
                <w:szCs w:val="18"/>
              </w:rPr>
              <w:t>NT</w:t>
            </w:r>
          </w:p>
        </w:tc>
      </w:tr>
      <w:tr w:rsidR="007E1A3B" w:rsidRPr="000130F4" w14:paraId="4230CC03" w14:textId="77777777" w:rsidTr="00FB729C">
        <w:trPr>
          <w:trHeight w:val="234"/>
          <w:tblHeader/>
          <w:jc w:val="center"/>
        </w:trPr>
        <w:tc>
          <w:tcPr>
            <w:tcW w:w="8055" w:type="dxa"/>
            <w:tcBorders>
              <w:top w:val="single" w:sz="4" w:space="0" w:color="auto"/>
              <w:left w:val="single" w:sz="4" w:space="0" w:color="auto"/>
              <w:bottom w:val="single" w:sz="4" w:space="0" w:color="auto"/>
              <w:right w:val="single" w:sz="4" w:space="0" w:color="auto"/>
            </w:tcBorders>
            <w:shd w:val="clear" w:color="auto" w:fill="D9D9D9"/>
          </w:tcPr>
          <w:p w14:paraId="781E4693" w14:textId="77777777" w:rsidR="007E1A3B" w:rsidRPr="000130F4" w:rsidRDefault="007E1A3B" w:rsidP="007E1A3B">
            <w:pPr>
              <w:spacing w:line="240" w:lineRule="auto"/>
              <w:rPr>
                <w:sz w:val="22"/>
                <w:szCs w:val="22"/>
              </w:rPr>
            </w:pPr>
            <w:r w:rsidRPr="00687FD4">
              <w:rPr>
                <w:rFonts w:cs="Segoe UI"/>
                <w:b/>
                <w:bCs/>
                <w:i/>
                <w:iCs/>
                <w:sz w:val="22"/>
                <w:szCs w:val="18"/>
              </w:rPr>
              <w:t>Financial Market Development</w:t>
            </w:r>
          </w:p>
        </w:tc>
        <w:tc>
          <w:tcPr>
            <w:tcW w:w="1418" w:type="dxa"/>
            <w:tcBorders>
              <w:top w:val="single" w:sz="4" w:space="0" w:color="auto"/>
              <w:left w:val="single" w:sz="4" w:space="0" w:color="auto"/>
              <w:bottom w:val="single" w:sz="4" w:space="0" w:color="auto"/>
              <w:right w:val="single" w:sz="4" w:space="0" w:color="auto"/>
            </w:tcBorders>
            <w:shd w:val="clear" w:color="auto" w:fill="D9D9D9"/>
          </w:tcPr>
          <w:p w14:paraId="3C867F7F" w14:textId="77777777" w:rsidR="007E1A3B" w:rsidRPr="000130F4" w:rsidRDefault="007E1A3B" w:rsidP="007E1A3B">
            <w:pPr>
              <w:spacing w:line="240" w:lineRule="auto"/>
              <w:jc w:val="center"/>
              <w:rPr>
                <w:sz w:val="22"/>
                <w:szCs w:val="22"/>
              </w:rPr>
            </w:pPr>
          </w:p>
        </w:tc>
        <w:tc>
          <w:tcPr>
            <w:tcW w:w="856" w:type="dxa"/>
            <w:tcBorders>
              <w:top w:val="single" w:sz="4" w:space="0" w:color="auto"/>
              <w:left w:val="single" w:sz="4" w:space="0" w:color="auto"/>
              <w:bottom w:val="single" w:sz="4" w:space="0" w:color="auto"/>
              <w:right w:val="single" w:sz="4" w:space="0" w:color="auto"/>
            </w:tcBorders>
            <w:shd w:val="clear" w:color="auto" w:fill="D9D9D9"/>
          </w:tcPr>
          <w:p w14:paraId="0ED5FBFD" w14:textId="77777777" w:rsidR="007E1A3B" w:rsidRPr="000130F4" w:rsidRDefault="007E1A3B" w:rsidP="007E1A3B">
            <w:pPr>
              <w:tabs>
                <w:tab w:val="left" w:pos="255"/>
                <w:tab w:val="center" w:pos="304"/>
              </w:tabs>
              <w:spacing w:line="240" w:lineRule="auto"/>
              <w:jc w:val="center"/>
              <w:rPr>
                <w:sz w:val="22"/>
                <w:szCs w:val="22"/>
              </w:rPr>
            </w:pPr>
          </w:p>
        </w:tc>
      </w:tr>
      <w:tr w:rsidR="007E1A3B" w:rsidRPr="000130F4" w14:paraId="1A870C27" w14:textId="77777777" w:rsidTr="00FB729C">
        <w:trPr>
          <w:trHeight w:val="234"/>
          <w:tblHeader/>
          <w:jc w:val="center"/>
        </w:trPr>
        <w:tc>
          <w:tcPr>
            <w:tcW w:w="10329" w:type="dxa"/>
            <w:gridSpan w:val="3"/>
            <w:tcBorders>
              <w:top w:val="single" w:sz="4" w:space="0" w:color="auto"/>
              <w:left w:val="single" w:sz="4" w:space="0" w:color="auto"/>
              <w:bottom w:val="single" w:sz="4" w:space="0" w:color="auto"/>
              <w:right w:val="single" w:sz="4" w:space="0" w:color="auto"/>
            </w:tcBorders>
            <w:shd w:val="clear" w:color="auto" w:fill="auto"/>
          </w:tcPr>
          <w:p w14:paraId="650F6448" w14:textId="77777777" w:rsidR="007E1A3B" w:rsidRPr="00687FD4" w:rsidRDefault="007E1A3B" w:rsidP="007E1A3B">
            <w:pPr>
              <w:tabs>
                <w:tab w:val="left" w:pos="255"/>
                <w:tab w:val="center" w:pos="304"/>
              </w:tabs>
              <w:spacing w:line="240" w:lineRule="auto"/>
              <w:rPr>
                <w:sz w:val="22"/>
                <w:szCs w:val="22"/>
              </w:rPr>
            </w:pPr>
            <w:r w:rsidRPr="00687FD4">
              <w:rPr>
                <w:rFonts w:cs="Segoe UI"/>
                <w:b/>
                <w:bCs/>
                <w:i/>
                <w:iCs/>
                <w:sz w:val="22"/>
                <w:szCs w:val="22"/>
              </w:rPr>
              <w:t>Financial Intermediation</w:t>
            </w:r>
          </w:p>
        </w:tc>
      </w:tr>
      <w:tr w:rsidR="007E1A3B" w:rsidRPr="000130F4" w14:paraId="74AEAD23" w14:textId="77777777" w:rsidTr="00FB729C">
        <w:trPr>
          <w:trHeight w:val="234"/>
          <w:tblHeader/>
          <w:jc w:val="center"/>
        </w:trPr>
        <w:tc>
          <w:tcPr>
            <w:tcW w:w="8055" w:type="dxa"/>
            <w:tcBorders>
              <w:top w:val="single" w:sz="4" w:space="0" w:color="auto"/>
              <w:left w:val="single" w:sz="4" w:space="0" w:color="auto"/>
              <w:bottom w:val="single" w:sz="4" w:space="0" w:color="auto"/>
              <w:right w:val="single" w:sz="4" w:space="0" w:color="auto"/>
            </w:tcBorders>
            <w:shd w:val="clear" w:color="auto" w:fill="auto"/>
          </w:tcPr>
          <w:p w14:paraId="49EA0085" w14:textId="77777777" w:rsidR="007E1A3B" w:rsidRPr="00687FD4" w:rsidRDefault="007E1A3B" w:rsidP="007E1A3B">
            <w:pPr>
              <w:spacing w:line="240" w:lineRule="auto"/>
              <w:rPr>
                <w:sz w:val="22"/>
                <w:szCs w:val="22"/>
              </w:rPr>
            </w:pPr>
            <w:r w:rsidRPr="00687FD4">
              <w:rPr>
                <w:sz w:val="22"/>
                <w:szCs w:val="22"/>
              </w:rPr>
              <w:t>Establish steering committee with financial sector development mandate to make proposals on priority actions for financial inclusion, access to f</w:t>
            </w:r>
            <w:r>
              <w:rPr>
                <w:sz w:val="22"/>
                <w:szCs w:val="22"/>
              </w:rPr>
              <w:t>inance, and financial literacy.</w:t>
            </w:r>
          </w:p>
        </w:tc>
        <w:tc>
          <w:tcPr>
            <w:tcW w:w="1418" w:type="dxa"/>
          </w:tcPr>
          <w:p w14:paraId="3122CBAE" w14:textId="77777777" w:rsidR="007E1A3B" w:rsidRPr="00687FD4" w:rsidRDefault="007E1A3B" w:rsidP="007E1A3B">
            <w:pPr>
              <w:spacing w:line="240" w:lineRule="auto"/>
              <w:jc w:val="center"/>
              <w:rPr>
                <w:sz w:val="22"/>
                <w:szCs w:val="22"/>
              </w:rPr>
            </w:pPr>
            <w:r w:rsidRPr="00687FD4">
              <w:rPr>
                <w:rFonts w:cs="Segoe UI"/>
                <w:sz w:val="22"/>
                <w:szCs w:val="22"/>
              </w:rPr>
              <w:t>MoPF</w:t>
            </w:r>
          </w:p>
        </w:tc>
        <w:tc>
          <w:tcPr>
            <w:tcW w:w="856" w:type="dxa"/>
            <w:shd w:val="clear" w:color="auto" w:fill="auto"/>
          </w:tcPr>
          <w:p w14:paraId="1EEC9221" w14:textId="77777777" w:rsidR="007E1A3B" w:rsidRPr="00687FD4" w:rsidRDefault="007E1A3B" w:rsidP="007E1A3B">
            <w:pPr>
              <w:tabs>
                <w:tab w:val="left" w:pos="255"/>
                <w:tab w:val="center" w:pos="304"/>
              </w:tabs>
              <w:spacing w:line="240" w:lineRule="auto"/>
              <w:jc w:val="center"/>
              <w:rPr>
                <w:sz w:val="22"/>
                <w:szCs w:val="22"/>
              </w:rPr>
            </w:pPr>
            <w:r w:rsidRPr="00687FD4">
              <w:rPr>
                <w:sz w:val="22"/>
                <w:szCs w:val="22"/>
              </w:rPr>
              <w:t>I</w:t>
            </w:r>
          </w:p>
        </w:tc>
      </w:tr>
      <w:tr w:rsidR="007E1A3B" w:rsidRPr="000130F4" w14:paraId="1EB9A52D" w14:textId="77777777" w:rsidTr="00FB729C">
        <w:trPr>
          <w:trHeight w:val="234"/>
          <w:tblHeader/>
          <w:jc w:val="center"/>
        </w:trPr>
        <w:tc>
          <w:tcPr>
            <w:tcW w:w="8055" w:type="dxa"/>
            <w:tcBorders>
              <w:top w:val="single" w:sz="4" w:space="0" w:color="auto"/>
              <w:left w:val="single" w:sz="4" w:space="0" w:color="auto"/>
              <w:bottom w:val="single" w:sz="4" w:space="0" w:color="auto"/>
              <w:right w:val="single" w:sz="4" w:space="0" w:color="auto"/>
            </w:tcBorders>
            <w:shd w:val="clear" w:color="auto" w:fill="auto"/>
          </w:tcPr>
          <w:p w14:paraId="6C351DE9" w14:textId="77777777" w:rsidR="007E1A3B" w:rsidRPr="00687FD4" w:rsidRDefault="004F04B4" w:rsidP="007E1A3B">
            <w:pPr>
              <w:spacing w:line="240" w:lineRule="auto"/>
              <w:rPr>
                <w:sz w:val="22"/>
                <w:szCs w:val="22"/>
              </w:rPr>
            </w:pPr>
            <w:r w:rsidRPr="004F04B4">
              <w:rPr>
                <w:sz w:val="22"/>
                <w:szCs w:val="22"/>
              </w:rPr>
              <w:lastRenderedPageBreak/>
              <w:t>Establish a multi-stakeholder committee tasked with improving the quality of credit reporting and enhancing its reach to improve access to finance</w:t>
            </w:r>
            <w:r>
              <w:rPr>
                <w:sz w:val="22"/>
                <w:szCs w:val="22"/>
              </w:rPr>
              <w:t>.</w:t>
            </w:r>
          </w:p>
        </w:tc>
        <w:tc>
          <w:tcPr>
            <w:tcW w:w="1418" w:type="dxa"/>
          </w:tcPr>
          <w:p w14:paraId="4CC959C5" w14:textId="77777777" w:rsidR="007E1A3B" w:rsidRPr="00687FD4" w:rsidRDefault="007E1A3B" w:rsidP="007E1A3B">
            <w:pPr>
              <w:spacing w:line="240" w:lineRule="auto"/>
              <w:jc w:val="center"/>
              <w:rPr>
                <w:sz w:val="22"/>
                <w:szCs w:val="22"/>
              </w:rPr>
            </w:pPr>
            <w:r w:rsidRPr="00687FD4">
              <w:rPr>
                <w:rFonts w:cs="Segoe UI"/>
                <w:sz w:val="22"/>
                <w:szCs w:val="22"/>
              </w:rPr>
              <w:t>NBR, DPA</w:t>
            </w:r>
          </w:p>
        </w:tc>
        <w:tc>
          <w:tcPr>
            <w:tcW w:w="856" w:type="dxa"/>
            <w:shd w:val="clear" w:color="auto" w:fill="auto"/>
          </w:tcPr>
          <w:p w14:paraId="6385CA95" w14:textId="77777777" w:rsidR="007E1A3B" w:rsidRPr="00687FD4" w:rsidRDefault="007E1A3B" w:rsidP="007E1A3B">
            <w:pPr>
              <w:tabs>
                <w:tab w:val="left" w:pos="255"/>
                <w:tab w:val="center" w:pos="304"/>
              </w:tabs>
              <w:spacing w:line="240" w:lineRule="auto"/>
              <w:jc w:val="center"/>
              <w:rPr>
                <w:sz w:val="22"/>
                <w:szCs w:val="22"/>
              </w:rPr>
            </w:pPr>
            <w:r w:rsidRPr="00687FD4">
              <w:rPr>
                <w:rFonts w:cs="Segoe UI"/>
                <w:sz w:val="22"/>
                <w:szCs w:val="22"/>
              </w:rPr>
              <w:t>I</w:t>
            </w:r>
          </w:p>
        </w:tc>
      </w:tr>
      <w:tr w:rsidR="007E1A3B" w:rsidRPr="000130F4" w14:paraId="6D8DB597" w14:textId="77777777" w:rsidTr="00FB729C">
        <w:trPr>
          <w:trHeight w:val="234"/>
          <w:tblHeader/>
          <w:jc w:val="center"/>
        </w:trPr>
        <w:tc>
          <w:tcPr>
            <w:tcW w:w="8055" w:type="dxa"/>
            <w:tcBorders>
              <w:top w:val="single" w:sz="4" w:space="0" w:color="auto"/>
              <w:left w:val="single" w:sz="4" w:space="0" w:color="auto"/>
              <w:bottom w:val="single" w:sz="4" w:space="0" w:color="auto"/>
              <w:right w:val="single" w:sz="4" w:space="0" w:color="auto"/>
            </w:tcBorders>
            <w:shd w:val="clear" w:color="auto" w:fill="auto"/>
          </w:tcPr>
          <w:p w14:paraId="53026A2A" w14:textId="77777777" w:rsidR="007E1A3B" w:rsidRPr="00687FD4" w:rsidRDefault="007E1A3B" w:rsidP="007E1A3B">
            <w:pPr>
              <w:spacing w:line="240" w:lineRule="auto"/>
              <w:rPr>
                <w:sz w:val="22"/>
                <w:szCs w:val="22"/>
              </w:rPr>
            </w:pPr>
            <w:r w:rsidRPr="00687FD4">
              <w:rPr>
                <w:sz w:val="22"/>
                <w:szCs w:val="22"/>
              </w:rPr>
              <w:t xml:space="preserve">Undertake cost-benefit analysis </w:t>
            </w:r>
            <w:r w:rsidR="004F04B4" w:rsidRPr="004F04B4">
              <w:rPr>
                <w:sz w:val="22"/>
                <w:szCs w:val="22"/>
              </w:rPr>
              <w:t xml:space="preserve">related to the further development of the credit union sector including </w:t>
            </w:r>
            <w:r w:rsidRPr="00687FD4">
              <w:rPr>
                <w:sz w:val="22"/>
                <w:szCs w:val="22"/>
              </w:rPr>
              <w:t>reviewing the regulatory and supervisory framework</w:t>
            </w:r>
            <w:r>
              <w:rPr>
                <w:sz w:val="22"/>
                <w:szCs w:val="22"/>
              </w:rPr>
              <w:t>.</w:t>
            </w:r>
          </w:p>
        </w:tc>
        <w:tc>
          <w:tcPr>
            <w:tcW w:w="1418" w:type="dxa"/>
          </w:tcPr>
          <w:p w14:paraId="1EAFBDA7" w14:textId="77777777" w:rsidR="007E1A3B" w:rsidRPr="00687FD4" w:rsidRDefault="007E1A3B" w:rsidP="007E1A3B">
            <w:pPr>
              <w:spacing w:line="240" w:lineRule="auto"/>
              <w:jc w:val="center"/>
              <w:rPr>
                <w:sz w:val="22"/>
                <w:szCs w:val="22"/>
              </w:rPr>
            </w:pPr>
            <w:r w:rsidRPr="00687FD4">
              <w:rPr>
                <w:rFonts w:cs="Segoe UI"/>
                <w:sz w:val="22"/>
                <w:szCs w:val="22"/>
              </w:rPr>
              <w:t>NBR</w:t>
            </w:r>
          </w:p>
        </w:tc>
        <w:tc>
          <w:tcPr>
            <w:tcW w:w="856" w:type="dxa"/>
            <w:shd w:val="clear" w:color="auto" w:fill="auto"/>
          </w:tcPr>
          <w:p w14:paraId="570B74D3" w14:textId="77777777" w:rsidR="007E1A3B" w:rsidRPr="00687FD4" w:rsidRDefault="007E1A3B" w:rsidP="007E1A3B">
            <w:pPr>
              <w:tabs>
                <w:tab w:val="left" w:pos="255"/>
                <w:tab w:val="center" w:pos="304"/>
              </w:tabs>
              <w:spacing w:line="240" w:lineRule="auto"/>
              <w:jc w:val="center"/>
              <w:rPr>
                <w:sz w:val="22"/>
                <w:szCs w:val="22"/>
              </w:rPr>
            </w:pPr>
            <w:r w:rsidRPr="00687FD4">
              <w:rPr>
                <w:rFonts w:cs="Segoe UI"/>
                <w:sz w:val="22"/>
                <w:szCs w:val="22"/>
              </w:rPr>
              <w:t>NT</w:t>
            </w:r>
          </w:p>
        </w:tc>
      </w:tr>
      <w:tr w:rsidR="007E1A3B" w:rsidRPr="000130F4" w14:paraId="446AE204" w14:textId="77777777" w:rsidTr="00FB729C">
        <w:trPr>
          <w:trHeight w:val="234"/>
          <w:tblHeader/>
          <w:jc w:val="center"/>
        </w:trPr>
        <w:tc>
          <w:tcPr>
            <w:tcW w:w="8055" w:type="dxa"/>
            <w:tcBorders>
              <w:top w:val="single" w:sz="4" w:space="0" w:color="auto"/>
              <w:left w:val="single" w:sz="4" w:space="0" w:color="auto"/>
              <w:bottom w:val="single" w:sz="4" w:space="0" w:color="auto"/>
              <w:right w:val="single" w:sz="4" w:space="0" w:color="auto"/>
            </w:tcBorders>
            <w:shd w:val="clear" w:color="auto" w:fill="auto"/>
          </w:tcPr>
          <w:p w14:paraId="707C541E" w14:textId="77777777" w:rsidR="007E1A3B" w:rsidRPr="00687FD4" w:rsidRDefault="004F04B4" w:rsidP="007E1A3B">
            <w:pPr>
              <w:spacing w:line="240" w:lineRule="auto"/>
              <w:rPr>
                <w:sz w:val="22"/>
                <w:szCs w:val="22"/>
              </w:rPr>
            </w:pPr>
            <w:r w:rsidRPr="004F04B4">
              <w:rPr>
                <w:sz w:val="22"/>
                <w:szCs w:val="22"/>
              </w:rPr>
              <w:t>Prepare a national strategy for financial inclusion, which is well-coordinated, robustly monitored, and evaluated and reflecting all stake-holders to address lagging financial inclusion, especially in rural areas. The strategy should reflect a digital approach and include a financial education component, which is targeted and informed by a baseline household financial capability survey</w:t>
            </w:r>
            <w:r>
              <w:rPr>
                <w:sz w:val="22"/>
                <w:szCs w:val="22"/>
              </w:rPr>
              <w:t>.</w:t>
            </w:r>
          </w:p>
        </w:tc>
        <w:tc>
          <w:tcPr>
            <w:tcW w:w="1418" w:type="dxa"/>
            <w:tcBorders>
              <w:top w:val="single" w:sz="4" w:space="0" w:color="auto"/>
              <w:left w:val="single" w:sz="4" w:space="0" w:color="auto"/>
              <w:bottom w:val="single" w:sz="4" w:space="0" w:color="auto"/>
              <w:right w:val="single" w:sz="4" w:space="0" w:color="auto"/>
            </w:tcBorders>
          </w:tcPr>
          <w:p w14:paraId="6CB40340" w14:textId="77777777" w:rsidR="007E1A3B" w:rsidRPr="00687FD4" w:rsidRDefault="007E1A3B" w:rsidP="007E1A3B">
            <w:pPr>
              <w:spacing w:line="240" w:lineRule="auto"/>
              <w:jc w:val="center"/>
              <w:rPr>
                <w:sz w:val="22"/>
                <w:szCs w:val="22"/>
              </w:rPr>
            </w:pPr>
            <w:r w:rsidRPr="00687FD4">
              <w:rPr>
                <w:rFonts w:cs="Segoe UI"/>
                <w:sz w:val="22"/>
                <w:szCs w:val="22"/>
              </w:rPr>
              <w:t>NBR</w:t>
            </w:r>
            <w:r w:rsidR="004F04B4">
              <w:rPr>
                <w:rFonts w:cs="Segoe UI"/>
                <w:sz w:val="22"/>
                <w:szCs w:val="22"/>
              </w:rPr>
              <w:t>, MoPF</w:t>
            </w:r>
          </w:p>
        </w:tc>
        <w:tc>
          <w:tcPr>
            <w:tcW w:w="856" w:type="dxa"/>
            <w:tcBorders>
              <w:top w:val="single" w:sz="4" w:space="0" w:color="auto"/>
              <w:left w:val="single" w:sz="4" w:space="0" w:color="auto"/>
              <w:bottom w:val="single" w:sz="4" w:space="0" w:color="auto"/>
              <w:right w:val="single" w:sz="4" w:space="0" w:color="auto"/>
            </w:tcBorders>
            <w:shd w:val="clear" w:color="auto" w:fill="auto"/>
          </w:tcPr>
          <w:p w14:paraId="50ED8DEF" w14:textId="77777777" w:rsidR="007E1A3B" w:rsidRPr="00687FD4" w:rsidRDefault="007E1A3B" w:rsidP="007E1A3B">
            <w:pPr>
              <w:tabs>
                <w:tab w:val="left" w:pos="255"/>
                <w:tab w:val="center" w:pos="304"/>
              </w:tabs>
              <w:spacing w:line="240" w:lineRule="auto"/>
              <w:jc w:val="center"/>
              <w:rPr>
                <w:sz w:val="22"/>
                <w:szCs w:val="22"/>
              </w:rPr>
            </w:pPr>
            <w:r w:rsidRPr="00687FD4">
              <w:rPr>
                <w:sz w:val="22"/>
                <w:szCs w:val="22"/>
              </w:rPr>
              <w:t>NT</w:t>
            </w:r>
          </w:p>
        </w:tc>
      </w:tr>
      <w:tr w:rsidR="007E1A3B" w:rsidRPr="000130F4" w14:paraId="259F105F" w14:textId="77777777" w:rsidTr="00FB729C">
        <w:trPr>
          <w:trHeight w:val="234"/>
          <w:tblHeader/>
          <w:jc w:val="center"/>
        </w:trPr>
        <w:tc>
          <w:tcPr>
            <w:tcW w:w="8055" w:type="dxa"/>
            <w:tcBorders>
              <w:top w:val="single" w:sz="4" w:space="0" w:color="auto"/>
              <w:left w:val="single" w:sz="4" w:space="0" w:color="auto"/>
              <w:bottom w:val="single" w:sz="4" w:space="0" w:color="auto"/>
              <w:right w:val="single" w:sz="4" w:space="0" w:color="auto"/>
            </w:tcBorders>
            <w:shd w:val="clear" w:color="auto" w:fill="auto"/>
          </w:tcPr>
          <w:p w14:paraId="536D8546" w14:textId="77777777" w:rsidR="007E1A3B" w:rsidRPr="00687FD4" w:rsidRDefault="004F04B4" w:rsidP="007E1A3B">
            <w:pPr>
              <w:spacing w:line="240" w:lineRule="auto"/>
              <w:rPr>
                <w:sz w:val="22"/>
                <w:szCs w:val="22"/>
              </w:rPr>
            </w:pPr>
            <w:r w:rsidRPr="004F04B4">
              <w:rPr>
                <w:sz w:val="22"/>
                <w:szCs w:val="22"/>
              </w:rPr>
              <w:t>Strengthen the monitoring of bank agents (e.g. via a register), which would also highlight areas of regulatory focus for the future</w:t>
            </w:r>
            <w:r>
              <w:rPr>
                <w:sz w:val="22"/>
                <w:szCs w:val="22"/>
              </w:rPr>
              <w:t>.</w:t>
            </w:r>
          </w:p>
        </w:tc>
        <w:tc>
          <w:tcPr>
            <w:tcW w:w="1418" w:type="dxa"/>
            <w:tcBorders>
              <w:top w:val="single" w:sz="4" w:space="0" w:color="auto"/>
              <w:left w:val="single" w:sz="4" w:space="0" w:color="auto"/>
              <w:bottom w:val="single" w:sz="4" w:space="0" w:color="auto"/>
              <w:right w:val="single" w:sz="4" w:space="0" w:color="auto"/>
            </w:tcBorders>
          </w:tcPr>
          <w:p w14:paraId="2B9EB5C2" w14:textId="77777777" w:rsidR="007E1A3B" w:rsidRPr="00687FD4" w:rsidRDefault="007E1A3B" w:rsidP="007E1A3B">
            <w:pPr>
              <w:spacing w:line="240" w:lineRule="auto"/>
              <w:jc w:val="center"/>
              <w:rPr>
                <w:sz w:val="22"/>
                <w:szCs w:val="22"/>
              </w:rPr>
            </w:pPr>
            <w:r w:rsidRPr="00687FD4">
              <w:rPr>
                <w:rFonts w:cs="Segoe UI"/>
                <w:sz w:val="22"/>
                <w:szCs w:val="22"/>
              </w:rPr>
              <w:t>NBR</w:t>
            </w:r>
          </w:p>
        </w:tc>
        <w:tc>
          <w:tcPr>
            <w:tcW w:w="856" w:type="dxa"/>
            <w:tcBorders>
              <w:top w:val="single" w:sz="4" w:space="0" w:color="auto"/>
              <w:left w:val="single" w:sz="4" w:space="0" w:color="auto"/>
              <w:bottom w:val="single" w:sz="4" w:space="0" w:color="auto"/>
              <w:right w:val="single" w:sz="4" w:space="0" w:color="auto"/>
            </w:tcBorders>
            <w:shd w:val="clear" w:color="auto" w:fill="auto"/>
          </w:tcPr>
          <w:p w14:paraId="02AF9977" w14:textId="77777777" w:rsidR="007E1A3B" w:rsidRPr="00687FD4" w:rsidRDefault="007E1A3B" w:rsidP="007E1A3B">
            <w:pPr>
              <w:tabs>
                <w:tab w:val="left" w:pos="255"/>
                <w:tab w:val="center" w:pos="304"/>
              </w:tabs>
              <w:spacing w:line="240" w:lineRule="auto"/>
              <w:jc w:val="center"/>
              <w:rPr>
                <w:sz w:val="22"/>
                <w:szCs w:val="22"/>
              </w:rPr>
            </w:pPr>
            <w:r w:rsidRPr="00687FD4">
              <w:rPr>
                <w:sz w:val="22"/>
                <w:szCs w:val="22"/>
              </w:rPr>
              <w:t>I</w:t>
            </w:r>
          </w:p>
        </w:tc>
      </w:tr>
      <w:tr w:rsidR="007E1A3B" w:rsidRPr="000130F4" w14:paraId="07EA9F39" w14:textId="77777777" w:rsidTr="00FB729C">
        <w:trPr>
          <w:trHeight w:val="234"/>
          <w:tblHeader/>
          <w:jc w:val="center"/>
        </w:trPr>
        <w:tc>
          <w:tcPr>
            <w:tcW w:w="8055" w:type="dxa"/>
            <w:tcBorders>
              <w:top w:val="single" w:sz="4" w:space="0" w:color="auto"/>
              <w:left w:val="single" w:sz="4" w:space="0" w:color="auto"/>
              <w:bottom w:val="single" w:sz="4" w:space="0" w:color="auto"/>
              <w:right w:val="single" w:sz="4" w:space="0" w:color="auto"/>
            </w:tcBorders>
            <w:shd w:val="clear" w:color="auto" w:fill="auto"/>
          </w:tcPr>
          <w:p w14:paraId="6243D172" w14:textId="77777777" w:rsidR="007E1A3B" w:rsidRPr="00687FD4" w:rsidRDefault="004F04B4" w:rsidP="007E1A3B">
            <w:pPr>
              <w:spacing w:line="240" w:lineRule="auto"/>
              <w:rPr>
                <w:b/>
                <w:i/>
                <w:sz w:val="22"/>
                <w:szCs w:val="22"/>
              </w:rPr>
            </w:pPr>
            <w:r w:rsidRPr="004F04B4">
              <w:rPr>
                <w:sz w:val="22"/>
                <w:szCs w:val="22"/>
              </w:rPr>
              <w:t>Provide incentives for the usage of digital payment solutions e.g. by awards to buyers and merchants (through lottery), or merchants’ tax cuts based on the volume of card and mobile phone transactions</w:t>
            </w:r>
            <w:r>
              <w:rPr>
                <w:sz w:val="22"/>
                <w:szCs w:val="22"/>
              </w:rPr>
              <w:t>.</w:t>
            </w:r>
          </w:p>
        </w:tc>
        <w:tc>
          <w:tcPr>
            <w:tcW w:w="1418" w:type="dxa"/>
            <w:tcBorders>
              <w:top w:val="single" w:sz="4" w:space="0" w:color="auto"/>
              <w:left w:val="single" w:sz="4" w:space="0" w:color="auto"/>
              <w:bottom w:val="single" w:sz="4" w:space="0" w:color="auto"/>
              <w:right w:val="single" w:sz="4" w:space="0" w:color="auto"/>
            </w:tcBorders>
          </w:tcPr>
          <w:p w14:paraId="5EC6F773" w14:textId="77777777" w:rsidR="007E1A3B" w:rsidRPr="00687FD4" w:rsidRDefault="007E1A3B" w:rsidP="007E1A3B">
            <w:pPr>
              <w:spacing w:line="240" w:lineRule="auto"/>
              <w:jc w:val="center"/>
              <w:rPr>
                <w:b/>
                <w:sz w:val="22"/>
                <w:szCs w:val="22"/>
              </w:rPr>
            </w:pPr>
            <w:r w:rsidRPr="00687FD4">
              <w:rPr>
                <w:rFonts w:cs="Segoe UI"/>
                <w:sz w:val="22"/>
                <w:szCs w:val="22"/>
              </w:rPr>
              <w:t>NBR, MoPF</w:t>
            </w:r>
          </w:p>
        </w:tc>
        <w:tc>
          <w:tcPr>
            <w:tcW w:w="856" w:type="dxa"/>
            <w:tcBorders>
              <w:top w:val="single" w:sz="4" w:space="0" w:color="auto"/>
              <w:left w:val="single" w:sz="4" w:space="0" w:color="auto"/>
              <w:bottom w:val="single" w:sz="4" w:space="0" w:color="auto"/>
              <w:right w:val="single" w:sz="4" w:space="0" w:color="auto"/>
            </w:tcBorders>
            <w:shd w:val="clear" w:color="auto" w:fill="auto"/>
          </w:tcPr>
          <w:p w14:paraId="120FEC58" w14:textId="77777777" w:rsidR="007E1A3B" w:rsidRPr="00687FD4" w:rsidRDefault="007E1A3B" w:rsidP="007E1A3B">
            <w:pPr>
              <w:spacing w:line="240" w:lineRule="auto"/>
              <w:jc w:val="center"/>
              <w:rPr>
                <w:b/>
                <w:sz w:val="22"/>
                <w:szCs w:val="22"/>
              </w:rPr>
            </w:pPr>
            <w:r w:rsidRPr="00687FD4">
              <w:rPr>
                <w:sz w:val="22"/>
                <w:szCs w:val="22"/>
              </w:rPr>
              <w:t>I</w:t>
            </w:r>
          </w:p>
        </w:tc>
      </w:tr>
      <w:tr w:rsidR="007E1A3B" w:rsidRPr="000130F4" w14:paraId="4064D2A9" w14:textId="77777777" w:rsidTr="00FB729C">
        <w:trPr>
          <w:trHeight w:val="234"/>
          <w:tblHeader/>
          <w:jc w:val="center"/>
        </w:trPr>
        <w:tc>
          <w:tcPr>
            <w:tcW w:w="8055" w:type="dxa"/>
            <w:tcBorders>
              <w:top w:val="single" w:sz="4" w:space="0" w:color="auto"/>
              <w:left w:val="single" w:sz="4" w:space="0" w:color="auto"/>
              <w:bottom w:val="single" w:sz="4" w:space="0" w:color="auto"/>
              <w:right w:val="single" w:sz="4" w:space="0" w:color="auto"/>
            </w:tcBorders>
            <w:shd w:val="clear" w:color="auto" w:fill="auto"/>
          </w:tcPr>
          <w:p w14:paraId="4EEB0A79" w14:textId="77777777" w:rsidR="007E1A3B" w:rsidRPr="00687FD4" w:rsidRDefault="004F04B4" w:rsidP="007E1A3B">
            <w:pPr>
              <w:spacing w:line="240" w:lineRule="auto"/>
              <w:rPr>
                <w:sz w:val="22"/>
                <w:szCs w:val="22"/>
              </w:rPr>
            </w:pPr>
            <w:r w:rsidRPr="004F04B4">
              <w:rPr>
                <w:sz w:val="22"/>
                <w:szCs w:val="22"/>
              </w:rPr>
              <w:t xml:space="preserve">Amend CSALB’s rule so that providers can no longer opt out (and without introducing </w:t>
            </w:r>
            <w:r>
              <w:rPr>
                <w:sz w:val="22"/>
                <w:szCs w:val="22"/>
              </w:rPr>
              <w:t>any new restrictive conditions)</w:t>
            </w:r>
            <w:r w:rsidR="007E1A3B">
              <w:rPr>
                <w:sz w:val="22"/>
                <w:szCs w:val="22"/>
              </w:rPr>
              <w:t>.</w:t>
            </w:r>
          </w:p>
        </w:tc>
        <w:tc>
          <w:tcPr>
            <w:tcW w:w="1418" w:type="dxa"/>
            <w:tcBorders>
              <w:top w:val="single" w:sz="4" w:space="0" w:color="auto"/>
              <w:left w:val="single" w:sz="4" w:space="0" w:color="auto"/>
              <w:bottom w:val="single" w:sz="4" w:space="0" w:color="auto"/>
              <w:right w:val="single" w:sz="4" w:space="0" w:color="auto"/>
            </w:tcBorders>
          </w:tcPr>
          <w:p w14:paraId="29FDA9B6" w14:textId="77777777" w:rsidR="007E1A3B" w:rsidRPr="00687FD4" w:rsidRDefault="007E1A3B" w:rsidP="007E1A3B">
            <w:pPr>
              <w:spacing w:line="240" w:lineRule="auto"/>
              <w:jc w:val="center"/>
              <w:rPr>
                <w:sz w:val="22"/>
                <w:szCs w:val="22"/>
              </w:rPr>
            </w:pPr>
            <w:r w:rsidRPr="00687FD4">
              <w:rPr>
                <w:rFonts w:cs="Segoe UI"/>
                <w:sz w:val="22"/>
                <w:szCs w:val="22"/>
              </w:rPr>
              <w:t>CSALB</w:t>
            </w:r>
          </w:p>
        </w:tc>
        <w:tc>
          <w:tcPr>
            <w:tcW w:w="856" w:type="dxa"/>
            <w:tcBorders>
              <w:top w:val="single" w:sz="4" w:space="0" w:color="auto"/>
              <w:left w:val="single" w:sz="4" w:space="0" w:color="auto"/>
              <w:bottom w:val="single" w:sz="4" w:space="0" w:color="auto"/>
              <w:right w:val="single" w:sz="4" w:space="0" w:color="auto"/>
            </w:tcBorders>
            <w:shd w:val="clear" w:color="auto" w:fill="auto"/>
          </w:tcPr>
          <w:p w14:paraId="03647839" w14:textId="77777777" w:rsidR="007E1A3B" w:rsidRPr="00687FD4" w:rsidRDefault="007E1A3B" w:rsidP="007E1A3B">
            <w:pPr>
              <w:spacing w:line="240" w:lineRule="auto"/>
              <w:jc w:val="center"/>
              <w:rPr>
                <w:sz w:val="22"/>
                <w:szCs w:val="22"/>
              </w:rPr>
            </w:pPr>
            <w:r w:rsidRPr="00687FD4">
              <w:rPr>
                <w:sz w:val="22"/>
                <w:szCs w:val="22"/>
              </w:rPr>
              <w:t>I</w:t>
            </w:r>
          </w:p>
        </w:tc>
      </w:tr>
      <w:tr w:rsidR="007E1A3B" w:rsidRPr="000130F4" w14:paraId="5044F9EA" w14:textId="77777777" w:rsidTr="00FB729C">
        <w:trPr>
          <w:trHeight w:val="234"/>
          <w:tblHeader/>
          <w:jc w:val="center"/>
        </w:trPr>
        <w:tc>
          <w:tcPr>
            <w:tcW w:w="10329" w:type="dxa"/>
            <w:gridSpan w:val="3"/>
            <w:tcBorders>
              <w:top w:val="single" w:sz="4" w:space="0" w:color="auto"/>
              <w:left w:val="single" w:sz="4" w:space="0" w:color="auto"/>
              <w:bottom w:val="single" w:sz="4" w:space="0" w:color="auto"/>
              <w:right w:val="single" w:sz="4" w:space="0" w:color="auto"/>
            </w:tcBorders>
            <w:shd w:val="clear" w:color="auto" w:fill="auto"/>
          </w:tcPr>
          <w:p w14:paraId="76F280D2" w14:textId="77777777" w:rsidR="007E1A3B" w:rsidRPr="00687FD4" w:rsidRDefault="007E1A3B" w:rsidP="007E1A3B">
            <w:pPr>
              <w:spacing w:line="240" w:lineRule="auto"/>
              <w:rPr>
                <w:sz w:val="22"/>
                <w:szCs w:val="22"/>
              </w:rPr>
            </w:pPr>
            <w:r w:rsidRPr="00687FD4">
              <w:rPr>
                <w:b/>
                <w:i/>
                <w:sz w:val="22"/>
                <w:szCs w:val="22"/>
              </w:rPr>
              <w:t>Capital Markets</w:t>
            </w:r>
          </w:p>
        </w:tc>
      </w:tr>
      <w:tr w:rsidR="007E1A3B" w:rsidRPr="000130F4" w14:paraId="0BE68773" w14:textId="77777777" w:rsidTr="00FB729C">
        <w:trPr>
          <w:trHeight w:val="234"/>
          <w:tblHeader/>
          <w:jc w:val="center"/>
        </w:trPr>
        <w:tc>
          <w:tcPr>
            <w:tcW w:w="8055" w:type="dxa"/>
            <w:tcBorders>
              <w:top w:val="single" w:sz="4" w:space="0" w:color="auto"/>
              <w:left w:val="single" w:sz="4" w:space="0" w:color="auto"/>
              <w:bottom w:val="single" w:sz="4" w:space="0" w:color="auto"/>
              <w:right w:val="single" w:sz="4" w:space="0" w:color="auto"/>
            </w:tcBorders>
            <w:shd w:val="clear" w:color="auto" w:fill="auto"/>
          </w:tcPr>
          <w:p w14:paraId="01346924" w14:textId="77777777" w:rsidR="007E1A3B" w:rsidRPr="00687FD4" w:rsidRDefault="007E1A3B" w:rsidP="007E1A3B">
            <w:pPr>
              <w:spacing w:line="240" w:lineRule="auto"/>
              <w:rPr>
                <w:sz w:val="22"/>
                <w:szCs w:val="22"/>
              </w:rPr>
            </w:pPr>
            <w:r>
              <w:rPr>
                <w:sz w:val="22"/>
                <w:szCs w:val="22"/>
              </w:rPr>
              <w:t>I</w:t>
            </w:r>
            <w:r w:rsidRPr="00687FD4">
              <w:rPr>
                <w:sz w:val="22"/>
                <w:szCs w:val="22"/>
              </w:rPr>
              <w:t xml:space="preserve">ncrease </w:t>
            </w:r>
            <w:r>
              <w:rPr>
                <w:sz w:val="22"/>
                <w:szCs w:val="22"/>
              </w:rPr>
              <w:t xml:space="preserve">or at least maintain </w:t>
            </w:r>
            <w:r w:rsidRPr="00687FD4">
              <w:rPr>
                <w:sz w:val="22"/>
                <w:szCs w:val="22"/>
              </w:rPr>
              <w:t>Pillar 2 pension contributions to original targets</w:t>
            </w:r>
            <w:r>
              <w:rPr>
                <w:sz w:val="22"/>
                <w:szCs w:val="22"/>
              </w:rPr>
              <w:t>.</w:t>
            </w:r>
          </w:p>
        </w:tc>
        <w:tc>
          <w:tcPr>
            <w:tcW w:w="1418" w:type="dxa"/>
            <w:tcBorders>
              <w:top w:val="single" w:sz="4" w:space="0" w:color="auto"/>
              <w:left w:val="single" w:sz="4" w:space="0" w:color="auto"/>
              <w:bottom w:val="single" w:sz="4" w:space="0" w:color="auto"/>
              <w:right w:val="single" w:sz="4" w:space="0" w:color="auto"/>
            </w:tcBorders>
          </w:tcPr>
          <w:p w14:paraId="52B24977" w14:textId="77777777" w:rsidR="007E1A3B" w:rsidRPr="00687FD4" w:rsidRDefault="007E1A3B" w:rsidP="007E1A3B">
            <w:pPr>
              <w:spacing w:line="240" w:lineRule="auto"/>
              <w:jc w:val="center"/>
              <w:rPr>
                <w:sz w:val="22"/>
                <w:szCs w:val="22"/>
              </w:rPr>
            </w:pPr>
            <w:r w:rsidRPr="00687FD4">
              <w:rPr>
                <w:rFonts w:cs="Segoe UI"/>
                <w:sz w:val="22"/>
                <w:szCs w:val="22"/>
              </w:rPr>
              <w:t>MoPF</w:t>
            </w:r>
          </w:p>
        </w:tc>
        <w:tc>
          <w:tcPr>
            <w:tcW w:w="856" w:type="dxa"/>
            <w:tcBorders>
              <w:top w:val="single" w:sz="4" w:space="0" w:color="auto"/>
              <w:left w:val="single" w:sz="4" w:space="0" w:color="auto"/>
              <w:bottom w:val="single" w:sz="4" w:space="0" w:color="auto"/>
              <w:right w:val="single" w:sz="4" w:space="0" w:color="auto"/>
            </w:tcBorders>
            <w:shd w:val="clear" w:color="auto" w:fill="auto"/>
          </w:tcPr>
          <w:p w14:paraId="1CB94DB3" w14:textId="77777777" w:rsidR="007E1A3B" w:rsidRPr="00687FD4" w:rsidRDefault="007E1A3B" w:rsidP="007E1A3B">
            <w:pPr>
              <w:spacing w:line="240" w:lineRule="auto"/>
              <w:jc w:val="center"/>
              <w:rPr>
                <w:sz w:val="22"/>
                <w:szCs w:val="22"/>
              </w:rPr>
            </w:pPr>
            <w:r w:rsidRPr="00687FD4">
              <w:rPr>
                <w:sz w:val="22"/>
                <w:szCs w:val="22"/>
              </w:rPr>
              <w:t>NT</w:t>
            </w:r>
          </w:p>
        </w:tc>
      </w:tr>
      <w:tr w:rsidR="007E1A3B" w:rsidRPr="000130F4" w14:paraId="1C087B21" w14:textId="77777777" w:rsidTr="00FB729C">
        <w:trPr>
          <w:trHeight w:val="234"/>
          <w:tblHeader/>
          <w:jc w:val="center"/>
        </w:trPr>
        <w:tc>
          <w:tcPr>
            <w:tcW w:w="8055" w:type="dxa"/>
            <w:tcBorders>
              <w:top w:val="single" w:sz="4" w:space="0" w:color="auto"/>
              <w:left w:val="single" w:sz="4" w:space="0" w:color="auto"/>
              <w:bottom w:val="single" w:sz="4" w:space="0" w:color="auto"/>
              <w:right w:val="single" w:sz="4" w:space="0" w:color="auto"/>
            </w:tcBorders>
            <w:shd w:val="clear" w:color="auto" w:fill="auto"/>
          </w:tcPr>
          <w:p w14:paraId="25E6FBD4" w14:textId="77777777" w:rsidR="007E1A3B" w:rsidRPr="00687FD4" w:rsidRDefault="007E1A3B" w:rsidP="007E1A3B">
            <w:pPr>
              <w:spacing w:line="240" w:lineRule="auto"/>
              <w:rPr>
                <w:sz w:val="22"/>
                <w:szCs w:val="22"/>
              </w:rPr>
            </w:pPr>
            <w:r w:rsidRPr="00687FD4">
              <w:rPr>
                <w:sz w:val="22"/>
                <w:szCs w:val="22"/>
              </w:rPr>
              <w:t>Restore best practices on corporate governance for SOEs</w:t>
            </w:r>
            <w:r>
              <w:rPr>
                <w:sz w:val="22"/>
                <w:szCs w:val="22"/>
              </w:rPr>
              <w:t>.</w:t>
            </w:r>
          </w:p>
        </w:tc>
        <w:tc>
          <w:tcPr>
            <w:tcW w:w="1418" w:type="dxa"/>
          </w:tcPr>
          <w:p w14:paraId="2957BE92" w14:textId="77777777" w:rsidR="007E1A3B" w:rsidRPr="00687FD4" w:rsidRDefault="007E1A3B" w:rsidP="007E1A3B">
            <w:pPr>
              <w:spacing w:line="240" w:lineRule="auto"/>
              <w:jc w:val="center"/>
              <w:rPr>
                <w:sz w:val="22"/>
                <w:szCs w:val="22"/>
              </w:rPr>
            </w:pPr>
            <w:r w:rsidRPr="00687FD4">
              <w:rPr>
                <w:rFonts w:cs="Segoe UI"/>
                <w:sz w:val="22"/>
                <w:szCs w:val="22"/>
              </w:rPr>
              <w:t>MoPF</w:t>
            </w:r>
          </w:p>
        </w:tc>
        <w:tc>
          <w:tcPr>
            <w:tcW w:w="856" w:type="dxa"/>
            <w:shd w:val="clear" w:color="auto" w:fill="auto"/>
          </w:tcPr>
          <w:p w14:paraId="2636B69D" w14:textId="77777777" w:rsidR="007E1A3B" w:rsidRPr="00687FD4" w:rsidRDefault="007E1A3B" w:rsidP="007E1A3B">
            <w:pPr>
              <w:spacing w:line="240" w:lineRule="auto"/>
              <w:jc w:val="center"/>
              <w:rPr>
                <w:sz w:val="22"/>
                <w:szCs w:val="22"/>
              </w:rPr>
            </w:pPr>
            <w:r w:rsidRPr="00687FD4">
              <w:rPr>
                <w:sz w:val="22"/>
                <w:szCs w:val="22"/>
              </w:rPr>
              <w:t>NT</w:t>
            </w:r>
          </w:p>
        </w:tc>
      </w:tr>
      <w:tr w:rsidR="007E1A3B" w:rsidRPr="000130F4" w14:paraId="6EE5F31F" w14:textId="77777777" w:rsidTr="00FB729C">
        <w:trPr>
          <w:trHeight w:val="234"/>
          <w:tblHeader/>
          <w:jc w:val="center"/>
        </w:trPr>
        <w:tc>
          <w:tcPr>
            <w:tcW w:w="8055" w:type="dxa"/>
            <w:tcBorders>
              <w:top w:val="single" w:sz="4" w:space="0" w:color="auto"/>
              <w:left w:val="single" w:sz="4" w:space="0" w:color="auto"/>
              <w:bottom w:val="single" w:sz="4" w:space="0" w:color="auto"/>
              <w:right w:val="single" w:sz="4" w:space="0" w:color="auto"/>
            </w:tcBorders>
            <w:shd w:val="clear" w:color="auto" w:fill="auto"/>
          </w:tcPr>
          <w:p w14:paraId="0C686F84" w14:textId="77777777" w:rsidR="007E1A3B" w:rsidRPr="00687FD4" w:rsidRDefault="007E1A3B" w:rsidP="007E1A3B">
            <w:pPr>
              <w:spacing w:line="240" w:lineRule="auto"/>
              <w:rPr>
                <w:sz w:val="22"/>
                <w:szCs w:val="22"/>
              </w:rPr>
            </w:pPr>
            <w:r w:rsidRPr="00687FD4">
              <w:rPr>
                <w:sz w:val="22"/>
                <w:szCs w:val="22"/>
              </w:rPr>
              <w:t>Adopt measures improving market liquidity (link to regional CCP, clarify framework for SLB, and take measures to resolve dormant retail accounts)</w:t>
            </w:r>
            <w:r>
              <w:rPr>
                <w:sz w:val="22"/>
                <w:szCs w:val="22"/>
              </w:rPr>
              <w:t>.</w:t>
            </w:r>
          </w:p>
        </w:tc>
        <w:tc>
          <w:tcPr>
            <w:tcW w:w="1418" w:type="dxa"/>
          </w:tcPr>
          <w:p w14:paraId="1D8ADC38" w14:textId="77777777" w:rsidR="007E1A3B" w:rsidRPr="00687FD4" w:rsidRDefault="007E1A3B" w:rsidP="007E1A3B">
            <w:pPr>
              <w:spacing w:line="240" w:lineRule="auto"/>
              <w:jc w:val="center"/>
              <w:rPr>
                <w:sz w:val="22"/>
                <w:szCs w:val="22"/>
              </w:rPr>
            </w:pPr>
            <w:r w:rsidRPr="00687FD4">
              <w:rPr>
                <w:rFonts w:cs="Segoe UI"/>
                <w:sz w:val="22"/>
                <w:szCs w:val="22"/>
              </w:rPr>
              <w:t>ASF, MoPF</w:t>
            </w:r>
          </w:p>
        </w:tc>
        <w:tc>
          <w:tcPr>
            <w:tcW w:w="856" w:type="dxa"/>
            <w:shd w:val="clear" w:color="auto" w:fill="auto"/>
          </w:tcPr>
          <w:p w14:paraId="732F0BD6" w14:textId="77777777" w:rsidR="007E1A3B" w:rsidRPr="00687FD4" w:rsidRDefault="007E1A3B" w:rsidP="007E1A3B">
            <w:pPr>
              <w:spacing w:line="240" w:lineRule="auto"/>
              <w:jc w:val="center"/>
              <w:rPr>
                <w:sz w:val="22"/>
                <w:szCs w:val="22"/>
              </w:rPr>
            </w:pPr>
            <w:r w:rsidRPr="00687FD4">
              <w:rPr>
                <w:rFonts w:cs="Segoe UI"/>
                <w:sz w:val="22"/>
                <w:szCs w:val="22"/>
              </w:rPr>
              <w:t>NT</w:t>
            </w:r>
          </w:p>
        </w:tc>
      </w:tr>
      <w:tr w:rsidR="007E1A3B" w:rsidRPr="000130F4" w14:paraId="25BD6781" w14:textId="77777777" w:rsidTr="00FB729C">
        <w:trPr>
          <w:trHeight w:val="234"/>
          <w:tblHeader/>
          <w:jc w:val="center"/>
        </w:trPr>
        <w:tc>
          <w:tcPr>
            <w:tcW w:w="8055" w:type="dxa"/>
            <w:tcBorders>
              <w:top w:val="single" w:sz="4" w:space="0" w:color="auto"/>
              <w:left w:val="single" w:sz="4" w:space="0" w:color="auto"/>
              <w:bottom w:val="single" w:sz="4" w:space="0" w:color="auto"/>
              <w:right w:val="single" w:sz="4" w:space="0" w:color="auto"/>
            </w:tcBorders>
            <w:shd w:val="clear" w:color="auto" w:fill="auto"/>
          </w:tcPr>
          <w:p w14:paraId="06ACD923" w14:textId="77777777" w:rsidR="007E1A3B" w:rsidRPr="00687FD4" w:rsidRDefault="007E1A3B" w:rsidP="007E1A3B">
            <w:pPr>
              <w:spacing w:line="240" w:lineRule="auto"/>
              <w:rPr>
                <w:sz w:val="22"/>
                <w:szCs w:val="22"/>
              </w:rPr>
            </w:pPr>
            <w:r w:rsidRPr="00687FD4">
              <w:rPr>
                <w:sz w:val="22"/>
                <w:szCs w:val="22"/>
              </w:rPr>
              <w:t>Address remaining constraints in the non-government bond markets (remove requirement of extraordinary general meeting to issue corporate bonds, level tax playing field between interest payments coming from different instruments, review rating requirements for corporate bonds applicable to pension funds, and definition of a system to manage se</w:t>
            </w:r>
            <w:r>
              <w:rPr>
                <w:sz w:val="22"/>
                <w:szCs w:val="22"/>
              </w:rPr>
              <w:t>ttlement failures).</w:t>
            </w:r>
          </w:p>
        </w:tc>
        <w:tc>
          <w:tcPr>
            <w:tcW w:w="1418" w:type="dxa"/>
          </w:tcPr>
          <w:p w14:paraId="3012C458" w14:textId="77777777" w:rsidR="007E1A3B" w:rsidRPr="00687FD4" w:rsidRDefault="007E1A3B" w:rsidP="007E1A3B">
            <w:pPr>
              <w:spacing w:line="240" w:lineRule="auto"/>
              <w:jc w:val="center"/>
              <w:rPr>
                <w:sz w:val="22"/>
                <w:szCs w:val="22"/>
              </w:rPr>
            </w:pPr>
            <w:r w:rsidRPr="00687FD4">
              <w:rPr>
                <w:rFonts w:cs="Segoe UI"/>
                <w:sz w:val="22"/>
                <w:szCs w:val="22"/>
              </w:rPr>
              <w:t>ASF, MoPF</w:t>
            </w:r>
          </w:p>
        </w:tc>
        <w:tc>
          <w:tcPr>
            <w:tcW w:w="856" w:type="dxa"/>
            <w:shd w:val="clear" w:color="auto" w:fill="auto"/>
          </w:tcPr>
          <w:p w14:paraId="5B033963" w14:textId="77777777" w:rsidR="007E1A3B" w:rsidRPr="00687FD4" w:rsidRDefault="007E1A3B" w:rsidP="007E1A3B">
            <w:pPr>
              <w:spacing w:line="240" w:lineRule="auto"/>
              <w:jc w:val="center"/>
              <w:rPr>
                <w:sz w:val="22"/>
                <w:szCs w:val="22"/>
              </w:rPr>
            </w:pPr>
            <w:r w:rsidRPr="00687FD4">
              <w:rPr>
                <w:rFonts w:cs="Segoe UI"/>
                <w:sz w:val="22"/>
                <w:szCs w:val="22"/>
              </w:rPr>
              <w:t>NT</w:t>
            </w:r>
          </w:p>
        </w:tc>
      </w:tr>
      <w:tr w:rsidR="007E1A3B" w:rsidRPr="000130F4" w14:paraId="088DACAF" w14:textId="77777777" w:rsidTr="00FB729C">
        <w:trPr>
          <w:trHeight w:val="234"/>
          <w:tblHeader/>
          <w:jc w:val="center"/>
        </w:trPr>
        <w:tc>
          <w:tcPr>
            <w:tcW w:w="10329" w:type="dxa"/>
            <w:gridSpan w:val="3"/>
            <w:tcBorders>
              <w:top w:val="single" w:sz="4" w:space="0" w:color="auto"/>
              <w:left w:val="single" w:sz="4" w:space="0" w:color="auto"/>
              <w:bottom w:val="single" w:sz="4" w:space="0" w:color="auto"/>
            </w:tcBorders>
            <w:shd w:val="clear" w:color="auto" w:fill="auto"/>
          </w:tcPr>
          <w:p w14:paraId="6E387FD9" w14:textId="77777777" w:rsidR="007E1A3B" w:rsidRPr="00687FD4" w:rsidRDefault="007E1A3B" w:rsidP="007E1A3B">
            <w:pPr>
              <w:spacing w:line="240" w:lineRule="auto"/>
              <w:rPr>
                <w:sz w:val="22"/>
                <w:szCs w:val="22"/>
              </w:rPr>
            </w:pPr>
            <w:r w:rsidRPr="00687FD4">
              <w:rPr>
                <w:b/>
                <w:i/>
                <w:sz w:val="22"/>
                <w:szCs w:val="22"/>
              </w:rPr>
              <w:t>Insurance</w:t>
            </w:r>
          </w:p>
        </w:tc>
      </w:tr>
      <w:tr w:rsidR="007E1A3B" w:rsidRPr="000130F4" w14:paraId="16769621" w14:textId="77777777" w:rsidTr="00FB729C">
        <w:trPr>
          <w:trHeight w:val="234"/>
          <w:tblHeader/>
          <w:jc w:val="center"/>
        </w:trPr>
        <w:tc>
          <w:tcPr>
            <w:tcW w:w="8055" w:type="dxa"/>
            <w:tcBorders>
              <w:top w:val="single" w:sz="4" w:space="0" w:color="auto"/>
              <w:left w:val="single" w:sz="4" w:space="0" w:color="auto"/>
              <w:bottom w:val="single" w:sz="4" w:space="0" w:color="auto"/>
              <w:right w:val="single" w:sz="4" w:space="0" w:color="auto"/>
            </w:tcBorders>
            <w:shd w:val="clear" w:color="auto" w:fill="auto"/>
          </w:tcPr>
          <w:p w14:paraId="3E266B00" w14:textId="77777777" w:rsidR="007E1A3B" w:rsidRPr="00687FD4" w:rsidRDefault="007E1A3B" w:rsidP="007E1A3B">
            <w:pPr>
              <w:spacing w:line="240" w:lineRule="auto"/>
              <w:rPr>
                <w:sz w:val="22"/>
                <w:szCs w:val="22"/>
              </w:rPr>
            </w:pPr>
            <w:r w:rsidRPr="00687FD4">
              <w:rPr>
                <w:sz w:val="22"/>
                <w:szCs w:val="22"/>
              </w:rPr>
              <w:t xml:space="preserve">Conduct an independent assessment of ASF’s compliance with all </w:t>
            </w:r>
            <w:r w:rsidR="00E2726C">
              <w:rPr>
                <w:sz w:val="22"/>
                <w:szCs w:val="22"/>
              </w:rPr>
              <w:t xml:space="preserve">IAIS </w:t>
            </w:r>
            <w:r w:rsidRPr="00687FD4">
              <w:rPr>
                <w:sz w:val="22"/>
                <w:szCs w:val="22"/>
              </w:rPr>
              <w:t>Insurance Core Principles</w:t>
            </w:r>
            <w:r w:rsidR="00E2726C">
              <w:rPr>
                <w:sz w:val="22"/>
                <w:szCs w:val="22"/>
              </w:rPr>
              <w:t xml:space="preserve"> (ICPs)</w:t>
            </w:r>
            <w:r>
              <w:rPr>
                <w:sz w:val="22"/>
                <w:szCs w:val="22"/>
              </w:rPr>
              <w:t>.</w:t>
            </w:r>
          </w:p>
        </w:tc>
        <w:tc>
          <w:tcPr>
            <w:tcW w:w="1418" w:type="dxa"/>
            <w:tcBorders>
              <w:bottom w:val="single" w:sz="4" w:space="0" w:color="auto"/>
            </w:tcBorders>
          </w:tcPr>
          <w:p w14:paraId="62E3A608" w14:textId="77777777" w:rsidR="007E1A3B" w:rsidRPr="00687FD4" w:rsidRDefault="007E1A3B" w:rsidP="007E1A3B">
            <w:pPr>
              <w:spacing w:line="240" w:lineRule="auto"/>
              <w:jc w:val="center"/>
              <w:rPr>
                <w:sz w:val="22"/>
                <w:szCs w:val="22"/>
              </w:rPr>
            </w:pPr>
            <w:r w:rsidRPr="00687FD4">
              <w:rPr>
                <w:sz w:val="22"/>
                <w:szCs w:val="22"/>
              </w:rPr>
              <w:t>ASF</w:t>
            </w:r>
          </w:p>
        </w:tc>
        <w:tc>
          <w:tcPr>
            <w:tcW w:w="856" w:type="dxa"/>
            <w:tcBorders>
              <w:bottom w:val="single" w:sz="4" w:space="0" w:color="auto"/>
            </w:tcBorders>
            <w:shd w:val="clear" w:color="auto" w:fill="auto"/>
          </w:tcPr>
          <w:p w14:paraId="5265623D" w14:textId="77777777" w:rsidR="007E1A3B" w:rsidRPr="00687FD4" w:rsidRDefault="007E1A3B" w:rsidP="007E1A3B">
            <w:pPr>
              <w:spacing w:line="240" w:lineRule="auto"/>
              <w:jc w:val="center"/>
              <w:rPr>
                <w:sz w:val="22"/>
                <w:szCs w:val="22"/>
              </w:rPr>
            </w:pPr>
            <w:r w:rsidRPr="00687FD4">
              <w:rPr>
                <w:sz w:val="22"/>
                <w:szCs w:val="22"/>
              </w:rPr>
              <w:t>NT</w:t>
            </w:r>
          </w:p>
        </w:tc>
      </w:tr>
      <w:tr w:rsidR="007E1A3B" w:rsidRPr="000130F4" w14:paraId="08995E7A" w14:textId="77777777" w:rsidTr="00FB729C">
        <w:trPr>
          <w:trHeight w:val="234"/>
          <w:tblHeader/>
          <w:jc w:val="center"/>
        </w:trPr>
        <w:tc>
          <w:tcPr>
            <w:tcW w:w="8055" w:type="dxa"/>
            <w:tcBorders>
              <w:top w:val="single" w:sz="4" w:space="0" w:color="auto"/>
              <w:left w:val="single" w:sz="4" w:space="0" w:color="auto"/>
              <w:bottom w:val="single" w:sz="4" w:space="0" w:color="auto"/>
              <w:right w:val="single" w:sz="4" w:space="0" w:color="auto"/>
            </w:tcBorders>
            <w:shd w:val="clear" w:color="auto" w:fill="auto"/>
          </w:tcPr>
          <w:p w14:paraId="5E6A2CE7" w14:textId="77777777" w:rsidR="007E1A3B" w:rsidRPr="00687FD4" w:rsidRDefault="007E1A3B" w:rsidP="007E1A3B">
            <w:pPr>
              <w:spacing w:line="240" w:lineRule="auto"/>
              <w:rPr>
                <w:sz w:val="22"/>
                <w:szCs w:val="22"/>
              </w:rPr>
            </w:pPr>
            <w:r w:rsidRPr="00687FD4">
              <w:rPr>
                <w:sz w:val="22"/>
                <w:szCs w:val="22"/>
              </w:rPr>
              <w:t>Strengthen the independence of ASF</w:t>
            </w:r>
            <w:r>
              <w:rPr>
                <w:sz w:val="22"/>
                <w:szCs w:val="22"/>
              </w:rPr>
              <w:t>.</w:t>
            </w:r>
          </w:p>
        </w:tc>
        <w:tc>
          <w:tcPr>
            <w:tcW w:w="1418" w:type="dxa"/>
            <w:tcBorders>
              <w:bottom w:val="single" w:sz="4" w:space="0" w:color="auto"/>
            </w:tcBorders>
          </w:tcPr>
          <w:p w14:paraId="2A498D9C" w14:textId="77777777" w:rsidR="007E1A3B" w:rsidRPr="00687FD4" w:rsidRDefault="007E1A3B" w:rsidP="007E1A3B">
            <w:pPr>
              <w:spacing w:line="240" w:lineRule="auto"/>
              <w:jc w:val="center"/>
              <w:rPr>
                <w:sz w:val="22"/>
                <w:szCs w:val="22"/>
              </w:rPr>
            </w:pPr>
            <w:r w:rsidRPr="00687FD4">
              <w:rPr>
                <w:sz w:val="22"/>
                <w:szCs w:val="22"/>
              </w:rPr>
              <w:t>ASF</w:t>
            </w:r>
          </w:p>
        </w:tc>
        <w:tc>
          <w:tcPr>
            <w:tcW w:w="856" w:type="dxa"/>
            <w:tcBorders>
              <w:bottom w:val="single" w:sz="4" w:space="0" w:color="auto"/>
            </w:tcBorders>
            <w:shd w:val="clear" w:color="auto" w:fill="auto"/>
          </w:tcPr>
          <w:p w14:paraId="62CA5E87" w14:textId="77777777" w:rsidR="007E1A3B" w:rsidRPr="00687FD4" w:rsidRDefault="007E1A3B" w:rsidP="007E1A3B">
            <w:pPr>
              <w:spacing w:line="240" w:lineRule="auto"/>
              <w:jc w:val="center"/>
              <w:rPr>
                <w:sz w:val="22"/>
                <w:szCs w:val="22"/>
              </w:rPr>
            </w:pPr>
            <w:r w:rsidRPr="00687FD4">
              <w:rPr>
                <w:sz w:val="22"/>
                <w:szCs w:val="22"/>
              </w:rPr>
              <w:t>I</w:t>
            </w:r>
          </w:p>
        </w:tc>
      </w:tr>
      <w:tr w:rsidR="007E1A3B" w:rsidRPr="000130F4" w14:paraId="15CDEB7B" w14:textId="77777777" w:rsidTr="00FB729C">
        <w:trPr>
          <w:trHeight w:val="234"/>
          <w:tblHeader/>
          <w:jc w:val="center"/>
        </w:trPr>
        <w:tc>
          <w:tcPr>
            <w:tcW w:w="8055" w:type="dxa"/>
            <w:tcBorders>
              <w:top w:val="single" w:sz="4" w:space="0" w:color="auto"/>
              <w:left w:val="single" w:sz="4" w:space="0" w:color="auto"/>
              <w:bottom w:val="single" w:sz="4" w:space="0" w:color="auto"/>
              <w:right w:val="single" w:sz="4" w:space="0" w:color="auto"/>
            </w:tcBorders>
            <w:shd w:val="clear" w:color="auto" w:fill="auto"/>
          </w:tcPr>
          <w:p w14:paraId="7ECA2457" w14:textId="77777777" w:rsidR="007E1A3B" w:rsidRPr="00687FD4" w:rsidRDefault="007E1A3B" w:rsidP="007E1A3B">
            <w:pPr>
              <w:spacing w:line="240" w:lineRule="auto"/>
              <w:rPr>
                <w:sz w:val="22"/>
                <w:szCs w:val="22"/>
              </w:rPr>
            </w:pPr>
            <w:r w:rsidRPr="00687FD4">
              <w:rPr>
                <w:sz w:val="22"/>
                <w:szCs w:val="22"/>
              </w:rPr>
              <w:t>Conduct review of new regulatory framework for motor third party liability insurance with all stakeholders, and adjust as necessar</w:t>
            </w:r>
            <w:r>
              <w:rPr>
                <w:sz w:val="22"/>
                <w:szCs w:val="22"/>
              </w:rPr>
              <w:t>y.</w:t>
            </w:r>
          </w:p>
        </w:tc>
        <w:tc>
          <w:tcPr>
            <w:tcW w:w="1418" w:type="dxa"/>
            <w:tcBorders>
              <w:bottom w:val="single" w:sz="4" w:space="0" w:color="auto"/>
            </w:tcBorders>
          </w:tcPr>
          <w:p w14:paraId="2BE11C63" w14:textId="77777777" w:rsidR="007E1A3B" w:rsidRPr="00687FD4" w:rsidRDefault="007E1A3B" w:rsidP="007E1A3B">
            <w:pPr>
              <w:spacing w:line="240" w:lineRule="auto"/>
              <w:jc w:val="center"/>
              <w:rPr>
                <w:sz w:val="22"/>
                <w:szCs w:val="22"/>
              </w:rPr>
            </w:pPr>
            <w:r w:rsidRPr="00687FD4">
              <w:rPr>
                <w:sz w:val="22"/>
                <w:szCs w:val="22"/>
              </w:rPr>
              <w:t>ASF</w:t>
            </w:r>
          </w:p>
        </w:tc>
        <w:tc>
          <w:tcPr>
            <w:tcW w:w="856" w:type="dxa"/>
            <w:tcBorders>
              <w:bottom w:val="single" w:sz="4" w:space="0" w:color="auto"/>
            </w:tcBorders>
            <w:shd w:val="clear" w:color="auto" w:fill="auto"/>
          </w:tcPr>
          <w:p w14:paraId="760AC253" w14:textId="77777777" w:rsidR="007E1A3B" w:rsidRPr="00687FD4" w:rsidRDefault="007E1A3B" w:rsidP="007E1A3B">
            <w:pPr>
              <w:spacing w:line="240" w:lineRule="auto"/>
              <w:jc w:val="center"/>
              <w:rPr>
                <w:sz w:val="22"/>
                <w:szCs w:val="22"/>
              </w:rPr>
            </w:pPr>
            <w:r w:rsidRPr="00687FD4">
              <w:rPr>
                <w:sz w:val="22"/>
                <w:szCs w:val="22"/>
              </w:rPr>
              <w:t>NT</w:t>
            </w:r>
          </w:p>
        </w:tc>
      </w:tr>
      <w:tr w:rsidR="007E1A3B" w:rsidRPr="000130F4" w14:paraId="31A07EEF" w14:textId="77777777" w:rsidTr="00FB729C">
        <w:trPr>
          <w:trHeight w:val="234"/>
          <w:tblHeader/>
          <w:jc w:val="center"/>
        </w:trPr>
        <w:tc>
          <w:tcPr>
            <w:tcW w:w="8055" w:type="dxa"/>
            <w:tcBorders>
              <w:top w:val="single" w:sz="4" w:space="0" w:color="auto"/>
              <w:left w:val="single" w:sz="4" w:space="0" w:color="auto"/>
              <w:bottom w:val="single" w:sz="4" w:space="0" w:color="auto"/>
              <w:right w:val="single" w:sz="4" w:space="0" w:color="auto"/>
            </w:tcBorders>
            <w:shd w:val="clear" w:color="auto" w:fill="auto"/>
          </w:tcPr>
          <w:p w14:paraId="17CF94F1" w14:textId="77777777" w:rsidR="007E1A3B" w:rsidRPr="00687FD4" w:rsidRDefault="007E1A3B" w:rsidP="007E1A3B">
            <w:pPr>
              <w:spacing w:line="240" w:lineRule="auto"/>
              <w:rPr>
                <w:sz w:val="22"/>
                <w:szCs w:val="22"/>
              </w:rPr>
            </w:pPr>
            <w:r w:rsidRPr="00687FD4">
              <w:rPr>
                <w:sz w:val="22"/>
                <w:szCs w:val="22"/>
              </w:rPr>
              <w:t>Establish working groups with all relevant stakeholders to develop propositions to stimulate life and health insurance</w:t>
            </w:r>
            <w:r>
              <w:rPr>
                <w:sz w:val="22"/>
                <w:szCs w:val="22"/>
              </w:rPr>
              <w:t>.</w:t>
            </w:r>
          </w:p>
        </w:tc>
        <w:tc>
          <w:tcPr>
            <w:tcW w:w="1418" w:type="dxa"/>
            <w:tcBorders>
              <w:bottom w:val="single" w:sz="4" w:space="0" w:color="auto"/>
            </w:tcBorders>
          </w:tcPr>
          <w:p w14:paraId="1191B16D" w14:textId="77777777" w:rsidR="007E1A3B" w:rsidRPr="00687FD4" w:rsidRDefault="007E1A3B" w:rsidP="007E1A3B">
            <w:pPr>
              <w:spacing w:line="240" w:lineRule="auto"/>
              <w:jc w:val="center"/>
              <w:rPr>
                <w:sz w:val="22"/>
                <w:szCs w:val="22"/>
              </w:rPr>
            </w:pPr>
            <w:r w:rsidRPr="00687FD4">
              <w:rPr>
                <w:sz w:val="22"/>
                <w:szCs w:val="22"/>
              </w:rPr>
              <w:t>ASF</w:t>
            </w:r>
          </w:p>
        </w:tc>
        <w:tc>
          <w:tcPr>
            <w:tcW w:w="856" w:type="dxa"/>
            <w:tcBorders>
              <w:bottom w:val="single" w:sz="4" w:space="0" w:color="auto"/>
            </w:tcBorders>
            <w:shd w:val="clear" w:color="auto" w:fill="auto"/>
          </w:tcPr>
          <w:p w14:paraId="1D506E34" w14:textId="77777777" w:rsidR="007E1A3B" w:rsidRPr="00687FD4" w:rsidRDefault="007E1A3B" w:rsidP="007E1A3B">
            <w:pPr>
              <w:spacing w:line="240" w:lineRule="auto"/>
              <w:jc w:val="center"/>
              <w:rPr>
                <w:sz w:val="22"/>
                <w:szCs w:val="22"/>
              </w:rPr>
            </w:pPr>
            <w:r w:rsidRPr="00687FD4">
              <w:rPr>
                <w:sz w:val="22"/>
                <w:szCs w:val="22"/>
              </w:rPr>
              <w:t>NT</w:t>
            </w:r>
          </w:p>
        </w:tc>
      </w:tr>
      <w:tr w:rsidR="007E1A3B" w:rsidRPr="000130F4" w14:paraId="64818035" w14:textId="77777777" w:rsidTr="00FB729C">
        <w:trPr>
          <w:trHeight w:val="234"/>
          <w:tblHeader/>
          <w:jc w:val="center"/>
        </w:trPr>
        <w:tc>
          <w:tcPr>
            <w:tcW w:w="8055" w:type="dxa"/>
            <w:tcBorders>
              <w:top w:val="single" w:sz="4" w:space="0" w:color="auto"/>
              <w:left w:val="single" w:sz="4" w:space="0" w:color="auto"/>
              <w:bottom w:val="single" w:sz="4" w:space="0" w:color="auto"/>
              <w:right w:val="single" w:sz="4" w:space="0" w:color="auto"/>
            </w:tcBorders>
            <w:shd w:val="clear" w:color="auto" w:fill="auto"/>
          </w:tcPr>
          <w:p w14:paraId="75325995" w14:textId="77777777" w:rsidR="007E1A3B" w:rsidRPr="00687FD4" w:rsidRDefault="007E1A3B" w:rsidP="007E1A3B">
            <w:pPr>
              <w:spacing w:line="240" w:lineRule="auto"/>
              <w:rPr>
                <w:sz w:val="22"/>
                <w:szCs w:val="22"/>
              </w:rPr>
            </w:pPr>
            <w:r w:rsidRPr="00687FD4">
              <w:rPr>
                <w:sz w:val="22"/>
                <w:szCs w:val="22"/>
              </w:rPr>
              <w:t>Implement appropriate measures to increase compliance with mandatory ho</w:t>
            </w:r>
            <w:r>
              <w:rPr>
                <w:sz w:val="22"/>
                <w:szCs w:val="22"/>
              </w:rPr>
              <w:t>meowners’ catastrophe insurance.</w:t>
            </w:r>
          </w:p>
        </w:tc>
        <w:tc>
          <w:tcPr>
            <w:tcW w:w="1418" w:type="dxa"/>
          </w:tcPr>
          <w:p w14:paraId="27A3A344" w14:textId="77777777" w:rsidR="007E1A3B" w:rsidRPr="00687FD4" w:rsidRDefault="007E1A3B" w:rsidP="007E1A3B">
            <w:pPr>
              <w:spacing w:line="240" w:lineRule="auto"/>
              <w:jc w:val="center"/>
              <w:rPr>
                <w:sz w:val="22"/>
                <w:szCs w:val="22"/>
              </w:rPr>
            </w:pPr>
            <w:r w:rsidRPr="00687FD4">
              <w:rPr>
                <w:sz w:val="22"/>
                <w:szCs w:val="22"/>
              </w:rPr>
              <w:t>ASF</w:t>
            </w:r>
          </w:p>
        </w:tc>
        <w:tc>
          <w:tcPr>
            <w:tcW w:w="856" w:type="dxa"/>
            <w:shd w:val="clear" w:color="auto" w:fill="auto"/>
          </w:tcPr>
          <w:p w14:paraId="4BBB1E2D" w14:textId="77777777" w:rsidR="007E1A3B" w:rsidRPr="00687FD4" w:rsidRDefault="007E1A3B" w:rsidP="007E1A3B">
            <w:pPr>
              <w:spacing w:line="240" w:lineRule="auto"/>
              <w:jc w:val="center"/>
              <w:rPr>
                <w:sz w:val="22"/>
                <w:szCs w:val="22"/>
              </w:rPr>
            </w:pPr>
            <w:r w:rsidRPr="00687FD4">
              <w:rPr>
                <w:sz w:val="22"/>
                <w:szCs w:val="22"/>
              </w:rPr>
              <w:t>NT</w:t>
            </w:r>
          </w:p>
        </w:tc>
      </w:tr>
      <w:tr w:rsidR="007E1A3B" w:rsidRPr="000130F4" w14:paraId="10E73B9D" w14:textId="77777777" w:rsidTr="00FB729C">
        <w:trPr>
          <w:trHeight w:val="234"/>
          <w:tblHeader/>
          <w:jc w:val="center"/>
        </w:trPr>
        <w:tc>
          <w:tcPr>
            <w:tcW w:w="10329" w:type="dxa"/>
            <w:gridSpan w:val="3"/>
            <w:tcBorders>
              <w:top w:val="single" w:sz="4" w:space="0" w:color="auto"/>
              <w:left w:val="single" w:sz="4" w:space="0" w:color="auto"/>
              <w:bottom w:val="single" w:sz="4" w:space="0" w:color="auto"/>
            </w:tcBorders>
            <w:shd w:val="clear" w:color="auto" w:fill="auto"/>
          </w:tcPr>
          <w:p w14:paraId="5720659E" w14:textId="77777777" w:rsidR="007E1A3B" w:rsidRPr="00687FD4" w:rsidRDefault="007E1A3B" w:rsidP="007E1A3B">
            <w:pPr>
              <w:spacing w:line="240" w:lineRule="auto"/>
              <w:rPr>
                <w:sz w:val="22"/>
                <w:szCs w:val="22"/>
              </w:rPr>
            </w:pPr>
            <w:r w:rsidRPr="00687FD4">
              <w:rPr>
                <w:b/>
                <w:i/>
                <w:sz w:val="22"/>
                <w:szCs w:val="22"/>
              </w:rPr>
              <w:t>Housing Finance</w:t>
            </w:r>
          </w:p>
        </w:tc>
      </w:tr>
      <w:tr w:rsidR="007E1A3B" w:rsidRPr="000130F4" w14:paraId="7D1F9F1A" w14:textId="77777777" w:rsidTr="00FB729C">
        <w:trPr>
          <w:trHeight w:val="234"/>
          <w:tblHeader/>
          <w:jc w:val="center"/>
        </w:trPr>
        <w:tc>
          <w:tcPr>
            <w:tcW w:w="8055" w:type="dxa"/>
            <w:tcBorders>
              <w:top w:val="single" w:sz="4" w:space="0" w:color="auto"/>
              <w:left w:val="single" w:sz="4" w:space="0" w:color="auto"/>
              <w:bottom w:val="single" w:sz="4" w:space="0" w:color="auto"/>
              <w:right w:val="single" w:sz="4" w:space="0" w:color="auto"/>
            </w:tcBorders>
            <w:shd w:val="clear" w:color="auto" w:fill="auto"/>
          </w:tcPr>
          <w:p w14:paraId="11E6A804" w14:textId="77777777" w:rsidR="007E1A3B" w:rsidRPr="00687FD4" w:rsidRDefault="007E1A3B" w:rsidP="007E1A3B">
            <w:pPr>
              <w:spacing w:line="240" w:lineRule="auto"/>
              <w:rPr>
                <w:sz w:val="22"/>
                <w:szCs w:val="22"/>
              </w:rPr>
            </w:pPr>
            <w:r w:rsidRPr="00687FD4">
              <w:rPr>
                <w:sz w:val="22"/>
                <w:szCs w:val="22"/>
              </w:rPr>
              <w:t>Repeal the Law on debt discharge, given the introduction of a personal insolvency framework and the provisions of the Mortgage Credit Directive, both improving borrower rights</w:t>
            </w:r>
            <w:r>
              <w:rPr>
                <w:sz w:val="22"/>
                <w:szCs w:val="22"/>
              </w:rPr>
              <w:t>.</w:t>
            </w:r>
          </w:p>
        </w:tc>
        <w:tc>
          <w:tcPr>
            <w:tcW w:w="1418" w:type="dxa"/>
            <w:tcBorders>
              <w:bottom w:val="single" w:sz="4" w:space="0" w:color="auto"/>
            </w:tcBorders>
          </w:tcPr>
          <w:p w14:paraId="58C85AD9" w14:textId="77777777" w:rsidR="007E1A3B" w:rsidRPr="00687FD4" w:rsidRDefault="007E1A3B" w:rsidP="007E1A3B">
            <w:pPr>
              <w:spacing w:line="240" w:lineRule="auto"/>
              <w:jc w:val="center"/>
              <w:rPr>
                <w:sz w:val="22"/>
                <w:szCs w:val="22"/>
              </w:rPr>
            </w:pPr>
            <w:r w:rsidRPr="00687FD4">
              <w:rPr>
                <w:sz w:val="22"/>
                <w:szCs w:val="22"/>
              </w:rPr>
              <w:t>MoE</w:t>
            </w:r>
          </w:p>
        </w:tc>
        <w:tc>
          <w:tcPr>
            <w:tcW w:w="856" w:type="dxa"/>
            <w:tcBorders>
              <w:bottom w:val="single" w:sz="4" w:space="0" w:color="auto"/>
            </w:tcBorders>
            <w:shd w:val="clear" w:color="auto" w:fill="auto"/>
          </w:tcPr>
          <w:p w14:paraId="195215EB" w14:textId="77777777" w:rsidR="007E1A3B" w:rsidRPr="00687FD4" w:rsidRDefault="007E1A3B" w:rsidP="007E1A3B">
            <w:pPr>
              <w:spacing w:line="240" w:lineRule="auto"/>
              <w:jc w:val="center"/>
              <w:rPr>
                <w:sz w:val="22"/>
                <w:szCs w:val="22"/>
              </w:rPr>
            </w:pPr>
            <w:r w:rsidRPr="00687FD4">
              <w:rPr>
                <w:sz w:val="22"/>
                <w:szCs w:val="22"/>
              </w:rPr>
              <w:t>I</w:t>
            </w:r>
          </w:p>
        </w:tc>
      </w:tr>
    </w:tbl>
    <w:p w14:paraId="41279444" w14:textId="77777777" w:rsidR="004401F2" w:rsidRDefault="004401F2" w:rsidP="004401F2">
      <w:pPr>
        <w:spacing w:line="240" w:lineRule="auto"/>
        <w:ind w:right="-360" w:hanging="630"/>
        <w:rPr>
          <w:sz w:val="20"/>
          <w:szCs w:val="20"/>
        </w:rPr>
      </w:pPr>
    </w:p>
    <w:p w14:paraId="266FDD3B" w14:textId="77777777" w:rsidR="004401F2" w:rsidRPr="004401F2" w:rsidRDefault="004401F2" w:rsidP="007E1A3B">
      <w:pPr>
        <w:spacing w:line="240" w:lineRule="auto"/>
        <w:ind w:left="-630" w:right="-360"/>
        <w:rPr>
          <w:sz w:val="20"/>
          <w:szCs w:val="20"/>
        </w:rPr>
      </w:pPr>
      <w:r w:rsidRPr="004401F2">
        <w:rPr>
          <w:sz w:val="20"/>
          <w:szCs w:val="20"/>
        </w:rPr>
        <w:t>Agencies: ASF = Financial S</w:t>
      </w:r>
      <w:r w:rsidR="00954FE6">
        <w:rPr>
          <w:sz w:val="20"/>
          <w:szCs w:val="20"/>
        </w:rPr>
        <w:t>upervisory</w:t>
      </w:r>
      <w:r w:rsidRPr="004401F2">
        <w:rPr>
          <w:sz w:val="20"/>
          <w:szCs w:val="20"/>
        </w:rPr>
        <w:t xml:space="preserve"> Authority; CSALB = Alternative Dispute Resolution Center for Banking; DPA = National Supervisory Authority </w:t>
      </w:r>
      <w:r w:rsidR="007E1A3B">
        <w:rPr>
          <w:sz w:val="20"/>
          <w:szCs w:val="20"/>
        </w:rPr>
        <w:t>f</w:t>
      </w:r>
      <w:r w:rsidRPr="004401F2">
        <w:rPr>
          <w:sz w:val="20"/>
          <w:szCs w:val="20"/>
        </w:rPr>
        <w:t>or Personal Data Processing; FGDB =</w:t>
      </w:r>
      <w:r>
        <w:rPr>
          <w:sz w:val="20"/>
          <w:szCs w:val="20"/>
        </w:rPr>
        <w:t xml:space="preserve"> </w:t>
      </w:r>
      <w:r w:rsidRPr="004401F2">
        <w:rPr>
          <w:sz w:val="20"/>
          <w:szCs w:val="20"/>
        </w:rPr>
        <w:t xml:space="preserve">Bank Guarantee Deposit Fund; </w:t>
      </w:r>
      <w:r w:rsidR="007E1A3B">
        <w:rPr>
          <w:sz w:val="20"/>
          <w:szCs w:val="20"/>
        </w:rPr>
        <w:t xml:space="preserve">MoAI = Ministry of Administration and Interior; </w:t>
      </w:r>
      <w:r w:rsidRPr="004401F2">
        <w:rPr>
          <w:sz w:val="20"/>
          <w:szCs w:val="20"/>
        </w:rPr>
        <w:t>MoPF = Ministry of Public Finance; NBR = National Bank of Romania; MoE = Ministry of Economy</w:t>
      </w:r>
      <w:r w:rsidR="007E1A3B">
        <w:rPr>
          <w:sz w:val="20"/>
          <w:szCs w:val="20"/>
        </w:rPr>
        <w:t>, MoJ = Ministry of Justice</w:t>
      </w:r>
      <w:r w:rsidRPr="004401F2">
        <w:rPr>
          <w:sz w:val="20"/>
          <w:szCs w:val="20"/>
        </w:rPr>
        <w:t>.</w:t>
      </w:r>
    </w:p>
    <w:p w14:paraId="2C86E2D2" w14:textId="77777777" w:rsidR="004401F2" w:rsidRDefault="004401F2" w:rsidP="004401F2">
      <w:pPr>
        <w:spacing w:line="240" w:lineRule="auto"/>
        <w:ind w:right="-360" w:hanging="630"/>
        <w:rPr>
          <w:sz w:val="20"/>
          <w:szCs w:val="20"/>
        </w:rPr>
      </w:pPr>
    </w:p>
    <w:p w14:paraId="4DB86994" w14:textId="10547626" w:rsidR="00AA60B5" w:rsidRDefault="004401F2" w:rsidP="00FD65CD">
      <w:pPr>
        <w:spacing w:line="240" w:lineRule="auto"/>
        <w:ind w:left="-630" w:right="-360"/>
        <w:rPr>
          <w:sz w:val="20"/>
          <w:szCs w:val="20"/>
        </w:rPr>
      </w:pPr>
      <w:r w:rsidRPr="004401F2">
        <w:rPr>
          <w:sz w:val="20"/>
          <w:szCs w:val="20"/>
        </w:rPr>
        <w:t>Time Frame: C = continuous; I = (immediate) = (within one year); NT = (near term) = (1-3 years); MT = (medium term) = (3-5 years).</w:t>
      </w:r>
    </w:p>
    <w:p w14:paraId="0F019F37" w14:textId="77777777" w:rsidR="009142E2" w:rsidRDefault="009142E2" w:rsidP="00FD65CD">
      <w:pPr>
        <w:spacing w:line="240" w:lineRule="auto"/>
        <w:ind w:left="-630" w:right="-360"/>
        <w:rPr>
          <w:sz w:val="20"/>
          <w:szCs w:val="20"/>
        </w:rPr>
        <w:sectPr w:rsidR="009142E2" w:rsidSect="00461303">
          <w:headerReference w:type="default" r:id="rId15"/>
          <w:type w:val="continuous"/>
          <w:pgSz w:w="12240" w:h="15840" w:code="1"/>
          <w:pgMar w:top="1440" w:right="1440" w:bottom="1440" w:left="1800" w:header="720" w:footer="720" w:gutter="0"/>
          <w:pgNumType w:fmt="lowerRoman" w:start="1"/>
          <w:cols w:space="720"/>
          <w:titlePg/>
          <w:docGrid w:linePitch="360"/>
        </w:sectPr>
      </w:pPr>
    </w:p>
    <w:p w14:paraId="2FBABF81" w14:textId="7E140031" w:rsidR="00CD6A65" w:rsidRDefault="00687FD4" w:rsidP="00CD6A65">
      <w:pPr>
        <w:pStyle w:val="Heading1"/>
        <w:spacing w:line="240" w:lineRule="auto"/>
      </w:pPr>
      <w:bookmarkStart w:id="8" w:name="_Toc501639825"/>
      <w:bookmarkStart w:id="9" w:name="_Toc518653281"/>
      <w:r>
        <w:lastRenderedPageBreak/>
        <w:t xml:space="preserve">Macrofinancial </w:t>
      </w:r>
      <w:r w:rsidR="00C01232">
        <w:t>Background</w:t>
      </w:r>
      <w:bookmarkEnd w:id="8"/>
      <w:bookmarkEnd w:id="9"/>
    </w:p>
    <w:p w14:paraId="2A51795A" w14:textId="77777777" w:rsidR="00CF60A8" w:rsidRPr="00CF60A8" w:rsidRDefault="00CF60A8" w:rsidP="009142E2">
      <w:pPr>
        <w:pStyle w:val="ParagraphNumbering"/>
        <w:numPr>
          <w:ilvl w:val="0"/>
          <w:numId w:val="13"/>
        </w:numPr>
        <w:spacing w:after="120" w:line="300" w:lineRule="exact"/>
        <w:ind w:left="0" w:firstLine="0"/>
        <w:jc w:val="both"/>
      </w:pPr>
      <w:r w:rsidRPr="00CF60A8">
        <w:rPr>
          <w:b/>
        </w:rPr>
        <w:t>Romania made important progress in addressing economic imbalances and restoring growth after the global financial crisis, but macroeconomic imbalances are rebuilding.</w:t>
      </w:r>
      <w:r w:rsidRPr="00CF60A8">
        <w:t xml:space="preserve"> Partly in the context of successive EU and International Monetary Fund (IMF)-supported programs in the period to 2015, macroeconomic stability was restored. Growth more recently accelerated on the back of procyclical fiscal policies, and Romania’s real GDP surged to 7 percent in 2017 (Figure 1, Table 2). Low imported inflation and indirect tax cuts kept inflation subdued, but inflationary pressures are increasing on account of sharp wage increases and increases in consumption, leading monetary policy to tighten after a long period of accommodation. The perception of weakening fiscal prudence could adversely affect market confidence, leading to a sharp drop in consumption and investment, while increasing the cost of government borrowing, and putting pressure on the exchange rate. </w:t>
      </w:r>
    </w:p>
    <w:p w14:paraId="12A94219" w14:textId="77777777" w:rsidR="00CF60A8" w:rsidRPr="00CF60A8" w:rsidRDefault="00CF60A8" w:rsidP="009142E2">
      <w:pPr>
        <w:pStyle w:val="ParagraphNumbering"/>
        <w:numPr>
          <w:ilvl w:val="0"/>
          <w:numId w:val="13"/>
        </w:numPr>
        <w:spacing w:after="120" w:line="300" w:lineRule="exact"/>
        <w:ind w:left="0" w:firstLine="0"/>
        <w:jc w:val="both"/>
      </w:pPr>
      <w:r w:rsidRPr="00CF60A8">
        <w:rPr>
          <w:b/>
        </w:rPr>
        <w:t>Romania’s financial sector remains dominated by banks, a large share of which is foreign-owned, but the importance of NBFLs is growing.</w:t>
      </w:r>
      <w:r w:rsidRPr="00CF60A8">
        <w:t xml:space="preserve"> </w:t>
      </w:r>
      <w:r w:rsidR="009E380E">
        <w:t>T</w:t>
      </w:r>
      <w:r w:rsidRPr="00CF60A8">
        <w:t xml:space="preserve">here </w:t>
      </w:r>
      <w:r w:rsidR="009E380E">
        <w:t>a</w:t>
      </w:r>
      <w:r w:rsidRPr="00CF60A8">
        <w:t>re 3</w:t>
      </w:r>
      <w:r w:rsidR="009E380E">
        <w:t>5</w:t>
      </w:r>
      <w:r w:rsidRPr="00CF60A8">
        <w:t xml:space="preserve"> banks in Romania, 2</w:t>
      </w:r>
      <w:r w:rsidR="009E380E">
        <w:t>9</w:t>
      </w:r>
      <w:r w:rsidRPr="00CF60A8">
        <w:t xml:space="preserve"> of which are foreign-owned (</w:t>
      </w:r>
      <w:r w:rsidR="009E380E">
        <w:t>22</w:t>
      </w:r>
      <w:r w:rsidRPr="00CF60A8">
        <w:t xml:space="preserve"> subsidiaries and </w:t>
      </w:r>
      <w:r w:rsidR="009E380E">
        <w:t>7</w:t>
      </w:r>
      <w:r w:rsidRPr="00CF60A8">
        <w:t xml:space="preserve"> branches). The banking system as a whole holds around 80 percent of financial sector assets (Figure 2). Concentration is moderate, with the largest five banks accounting for about 60 percent of total deposits in the system (and 57 percent of all loans). Loans granted by NBFLs, a majority of which are owned by banks, accounted for just over 10 percent of total loans, but the share is increasing. Furthermore, NPL reduction has led to a sizable sector of debt collection companies.</w:t>
      </w:r>
    </w:p>
    <w:p w14:paraId="025968BE" w14:textId="77777777" w:rsidR="00CF60A8" w:rsidRPr="00CF60A8" w:rsidRDefault="00CF60A8" w:rsidP="009142E2">
      <w:pPr>
        <w:pStyle w:val="ParagraphNumbering"/>
        <w:numPr>
          <w:ilvl w:val="0"/>
          <w:numId w:val="13"/>
        </w:numPr>
        <w:spacing w:after="120" w:line="300" w:lineRule="exact"/>
        <w:ind w:left="0" w:firstLine="0"/>
        <w:jc w:val="both"/>
      </w:pPr>
      <w:r w:rsidRPr="00CF60A8">
        <w:rPr>
          <w:b/>
        </w:rPr>
        <w:t>Bank soundness indicators strengthened over the past few years.</w:t>
      </w:r>
      <w:r w:rsidRPr="00CF60A8">
        <w:t xml:space="preserve"> NPLs reached 21.5 percent of total loans in 2013, but have been brought down to 6.4 percent in December 2017, and the provisioning ratio (including general provisions) is high at around 65 percent. Following the balance sheet clean-up that started in 2014, banking sector profitability rebounded to positive territory in 2015 and further improved in 2017, with average sector return on assets increasing to 1.3 percent (Table 3). Banks’ liquidity positions also strengthened markedly, as the systemwide loan-to-deposit ratio fell to around 75 percent in 2017, from 131 percent in 2008. Romanian banks’ capital ratios appear at comfortable levels and banks enjoy a relatively high-risk weight density resulting in favorable leverage ratios compared to European counterparts (Figure 2). </w:t>
      </w:r>
    </w:p>
    <w:p w14:paraId="3B13E238" w14:textId="77777777" w:rsidR="00CF60A8" w:rsidRPr="00CF60A8" w:rsidRDefault="00CF60A8" w:rsidP="009142E2">
      <w:pPr>
        <w:pStyle w:val="ParagraphNumbering"/>
        <w:numPr>
          <w:ilvl w:val="0"/>
          <w:numId w:val="13"/>
        </w:numPr>
        <w:spacing w:after="120" w:line="300" w:lineRule="exact"/>
        <w:ind w:left="0" w:firstLine="0"/>
        <w:jc w:val="both"/>
      </w:pPr>
      <w:r w:rsidRPr="00CF60A8">
        <w:rPr>
          <w:b/>
        </w:rPr>
        <w:t>Foreign-owned banks’ dependence on parent funding has significantly declined.</w:t>
      </w:r>
      <w:r w:rsidRPr="00CF60A8">
        <w:t xml:space="preserve"> The share of deposits from the domestic private sector (about a third of which are demandable, and the rest at short terms of up to one year) has increased from about 48 percent of banks’ total liabilities in 2011 to about 64 percent in 2017, while parent funding has declined markedly to about EUR 7 billion, a third of the level in 2011. In the context of the Vienna initiative, debt liabilities were replaced to some extent by capital injections from parent banks, boosting capital ratios and reducing vulnerabilities.  </w:t>
      </w:r>
    </w:p>
    <w:p w14:paraId="04DA43BC" w14:textId="77777777" w:rsidR="00CF60A8" w:rsidRPr="00CF60A8" w:rsidRDefault="00CF60A8" w:rsidP="009142E2">
      <w:pPr>
        <w:pStyle w:val="ParagraphNumbering"/>
        <w:numPr>
          <w:ilvl w:val="0"/>
          <w:numId w:val="13"/>
        </w:numPr>
        <w:spacing w:after="120" w:line="300" w:lineRule="exact"/>
        <w:ind w:left="0" w:firstLine="0"/>
        <w:jc w:val="both"/>
      </w:pPr>
      <w:r w:rsidRPr="00CF60A8">
        <w:rPr>
          <w:b/>
        </w:rPr>
        <w:t>The ratio of private bank credit to GDP in Romania is among the lowest in the region.</w:t>
      </w:r>
      <w:r w:rsidRPr="00CF60A8">
        <w:t xml:space="preserve"> Measures of financial intermediation place the local banking sector last among EU countries, with bank assets at just 5</w:t>
      </w:r>
      <w:r w:rsidR="00D45175">
        <w:t>2.7</w:t>
      </w:r>
      <w:r w:rsidRPr="00CF60A8">
        <w:t xml:space="preserve"> percent of GDP in </w:t>
      </w:r>
      <w:r w:rsidR="00D45175">
        <w:t>September</w:t>
      </w:r>
      <w:r w:rsidRPr="00CF60A8">
        <w:t xml:space="preserve"> 201</w:t>
      </w:r>
      <w:r w:rsidR="00D45175">
        <w:t>7</w:t>
      </w:r>
      <w:r w:rsidRPr="00CF60A8">
        <w:t xml:space="preserve">. While large corporates do not appear to be credit-constrained, since many of them tend to borrow directly from abroad, access to and demand for financing for MSMEs appears limited. This reflects legacy issues on the supply side, </w:t>
      </w:r>
      <w:r w:rsidRPr="00CF60A8">
        <w:lastRenderedPageBreak/>
        <w:t>as the share of NPLs were highest among SMEs and their balance sheet repair is still ongoing, making banks reluctant to lend to SMEs, as well as on the demand side</w:t>
      </w:r>
      <w:r w:rsidR="0093191E">
        <w:t>.</w:t>
      </w:r>
    </w:p>
    <w:p w14:paraId="44652F0E" w14:textId="77777777" w:rsidR="00F120B8" w:rsidRPr="00CF60A8" w:rsidRDefault="00CF60A8" w:rsidP="009142E2">
      <w:pPr>
        <w:pStyle w:val="ParagraphNumbering"/>
        <w:numPr>
          <w:ilvl w:val="0"/>
          <w:numId w:val="13"/>
        </w:numPr>
        <w:spacing w:after="120" w:line="300" w:lineRule="exact"/>
        <w:ind w:left="0" w:firstLine="0"/>
        <w:jc w:val="both"/>
      </w:pPr>
      <w:r w:rsidRPr="00CF60A8">
        <w:rPr>
          <w:b/>
        </w:rPr>
        <w:t>The traditional nonbank financial sector remains underdeveloped</w:t>
      </w:r>
      <w:r w:rsidR="0093191E">
        <w:rPr>
          <w:b/>
        </w:rPr>
        <w:t xml:space="preserve"> </w:t>
      </w:r>
      <w:r w:rsidR="0093191E" w:rsidRPr="0093191E">
        <w:rPr>
          <w:b/>
        </w:rPr>
        <w:t xml:space="preserve">and is subject to oversight by the </w:t>
      </w:r>
      <w:r w:rsidR="00954FE6">
        <w:rPr>
          <w:b/>
        </w:rPr>
        <w:t>Financial Supervisory Authority (</w:t>
      </w:r>
      <w:r w:rsidR="0093191E" w:rsidRPr="0093191E">
        <w:rPr>
          <w:b/>
        </w:rPr>
        <w:t>ASF</w:t>
      </w:r>
      <w:r w:rsidR="00954FE6">
        <w:rPr>
          <w:b/>
        </w:rPr>
        <w:t>)</w:t>
      </w:r>
      <w:r w:rsidRPr="00CF60A8">
        <w:rPr>
          <w:b/>
        </w:rPr>
        <w:t>.</w:t>
      </w:r>
      <w:r w:rsidRPr="00CF60A8">
        <w:t xml:space="preserve"> The Romanian insurance market has one of the lowest levels of insurance density and insurance penetration in Europe. The sector has recently been stagnant as several major insurance companies have come under financial strain. The Romanian stock market has a market capitalization of just 20 percent of GDP, as well as low market liquidity. The fixed-income market is also relatively small, with around 80 bonds traded at the </w:t>
      </w:r>
      <w:r w:rsidR="00333B52">
        <w:t>Bucharest Stock Exchange (</w:t>
      </w:r>
      <w:r w:rsidRPr="00CF60A8">
        <w:t>BVB</w:t>
      </w:r>
      <w:r w:rsidR="00333B52">
        <w:t>)</w:t>
      </w:r>
      <w:r w:rsidR="005513F5">
        <w:t xml:space="preserve"> -</w:t>
      </w:r>
      <w:r w:rsidRPr="00CF60A8">
        <w:t>including 16 corporate bonds</w:t>
      </w:r>
      <w:r w:rsidR="005513F5">
        <w:t xml:space="preserve">- </w:t>
      </w:r>
      <w:r w:rsidRPr="00CF60A8">
        <w:t>and a total value traded of US$403 million in 2017.</w:t>
      </w:r>
    </w:p>
    <w:p w14:paraId="78CB08EB" w14:textId="77777777" w:rsidR="00C01232" w:rsidRPr="000130F4" w:rsidRDefault="00C01232" w:rsidP="00C01232">
      <w:pPr>
        <w:pStyle w:val="ParagraphNumbering"/>
        <w:numPr>
          <w:ilvl w:val="0"/>
          <w:numId w:val="0"/>
        </w:numPr>
        <w:spacing w:after="120"/>
      </w:pPr>
    </w:p>
    <w:p w14:paraId="20222199" w14:textId="77777777" w:rsidR="00A40A8F" w:rsidRPr="000130F4" w:rsidRDefault="00687FD4" w:rsidP="00A40A8F">
      <w:pPr>
        <w:pStyle w:val="Heading1"/>
        <w:rPr>
          <w:rFonts w:cs="Times New Roman"/>
          <w:szCs w:val="24"/>
        </w:rPr>
      </w:pPr>
      <w:bookmarkStart w:id="10" w:name="_Toc494626128"/>
      <w:bookmarkStart w:id="11" w:name="_Toc496175049"/>
      <w:bookmarkStart w:id="12" w:name="_Toc496175137"/>
      <w:bookmarkStart w:id="13" w:name="_Toc496194603"/>
      <w:bookmarkStart w:id="14" w:name="_Toc496195109"/>
      <w:bookmarkStart w:id="15" w:name="_Toc501639828"/>
      <w:bookmarkStart w:id="16" w:name="_Toc518653282"/>
      <w:r>
        <w:rPr>
          <w:rFonts w:cs="Times New Roman"/>
          <w:szCs w:val="24"/>
        </w:rPr>
        <w:t xml:space="preserve">Systemic </w:t>
      </w:r>
      <w:r w:rsidR="00A40A8F" w:rsidRPr="000130F4">
        <w:rPr>
          <w:rFonts w:cs="Times New Roman"/>
          <w:szCs w:val="24"/>
        </w:rPr>
        <w:t xml:space="preserve">Risk and </w:t>
      </w:r>
      <w:bookmarkEnd w:id="10"/>
      <w:bookmarkEnd w:id="11"/>
      <w:bookmarkEnd w:id="12"/>
      <w:bookmarkEnd w:id="13"/>
      <w:bookmarkEnd w:id="14"/>
      <w:bookmarkEnd w:id="15"/>
      <w:r>
        <w:rPr>
          <w:rFonts w:cs="Times New Roman"/>
          <w:szCs w:val="24"/>
        </w:rPr>
        <w:t>Resilience</w:t>
      </w:r>
      <w:bookmarkEnd w:id="16"/>
    </w:p>
    <w:p w14:paraId="586FB8BB" w14:textId="77777777" w:rsidR="00A40A8F" w:rsidRPr="000130F4" w:rsidRDefault="00687FD4" w:rsidP="00A40A8F">
      <w:pPr>
        <w:pStyle w:val="Heading2"/>
        <w:spacing w:line="240" w:lineRule="auto"/>
        <w:ind w:left="0"/>
        <w:rPr>
          <w:rFonts w:cs="Times New Roman"/>
          <w:szCs w:val="24"/>
        </w:rPr>
      </w:pPr>
      <w:bookmarkStart w:id="17" w:name="_Toc518653283"/>
      <w:r>
        <w:rPr>
          <w:rFonts w:cs="Times New Roman"/>
          <w:szCs w:val="24"/>
        </w:rPr>
        <w:t>Key Vulnerabilities</w:t>
      </w:r>
      <w:bookmarkEnd w:id="17"/>
    </w:p>
    <w:p w14:paraId="510EC915" w14:textId="77777777" w:rsidR="00613877" w:rsidRDefault="00FF32B8" w:rsidP="009142E2">
      <w:pPr>
        <w:pStyle w:val="ParagraphNumbering"/>
        <w:numPr>
          <w:ilvl w:val="0"/>
          <w:numId w:val="13"/>
        </w:numPr>
        <w:spacing w:after="120" w:line="300" w:lineRule="exact"/>
        <w:ind w:left="0" w:firstLine="0"/>
        <w:jc w:val="both"/>
      </w:pPr>
      <w:r w:rsidRPr="00FF32B8">
        <w:rPr>
          <w:b/>
        </w:rPr>
        <w:t xml:space="preserve">Concerns about the stability of Romania’s financial system can be organized around four main issues: </w:t>
      </w:r>
      <w:r>
        <w:t>i) banks’ exposure to the government through large positions in domestic sovereign debt and guarantees for Prima Casa loans; ii) growing exposures of banks to the real estate market at variable interest rates; iii) exposures of banks and NBFLs to an increase in NPLs, both on domestic and foreign currency loans; and iv) growing lending by NBFL’s leading to vulnerabilities and reputational risks for the banking sector.</w:t>
      </w:r>
    </w:p>
    <w:p w14:paraId="3F44FABA" w14:textId="77777777" w:rsidR="00FF32B8" w:rsidRDefault="00FF32B8" w:rsidP="009142E2">
      <w:pPr>
        <w:pStyle w:val="ParagraphNumbering"/>
        <w:numPr>
          <w:ilvl w:val="0"/>
          <w:numId w:val="13"/>
        </w:numPr>
        <w:spacing w:after="120" w:line="300" w:lineRule="exact"/>
        <w:ind w:left="0" w:firstLine="0"/>
        <w:jc w:val="both"/>
      </w:pPr>
      <w:r w:rsidRPr="00FF32B8">
        <w:rPr>
          <w:b/>
        </w:rPr>
        <w:t>The exposure of banks towards sovereign risk is increasing, creating potential adverse bank-sovereign feedback loops.</w:t>
      </w:r>
      <w:r w:rsidRPr="00FF32B8">
        <w:t xml:space="preserve"> As of December 2017, the debt exposure of banks to the Romanian sovereign was around </w:t>
      </w:r>
      <w:r w:rsidR="005735FB" w:rsidRPr="00FF32B8">
        <w:t>2</w:t>
      </w:r>
      <w:r w:rsidR="005735FB">
        <w:t>2</w:t>
      </w:r>
      <w:r w:rsidR="005735FB" w:rsidRPr="00FF32B8">
        <w:t xml:space="preserve"> </w:t>
      </w:r>
      <w:r w:rsidRPr="00FF32B8">
        <w:t xml:space="preserve">percent of assets, increasing steadily from below 5 percent in 2008 to one of the highest in the EU. </w:t>
      </w:r>
      <w:r>
        <w:t>I</w:t>
      </w:r>
      <w:r w:rsidRPr="00FF32B8">
        <w:t>n 2008</w:t>
      </w:r>
      <w:r>
        <w:t>,</w:t>
      </w:r>
      <w:r w:rsidRPr="00FF32B8">
        <w:t xml:space="preserve"> the government was still a net lender, </w:t>
      </w:r>
      <w:r>
        <w:t xml:space="preserve">but by 2012 </w:t>
      </w:r>
      <w:r w:rsidRPr="00FF32B8">
        <w:t>it became a net borrower, and has placed increasing amounts of securities with the banking system. This appears to have crowded out lending to the real sector to some extent. More importantly, in an environment of very short-term funding, the relatively long duration of domestic sovereign debt means that banks are heavily exposed to losses from increases in interest rates. The government guarantees issued in the context of the Prima Casa loan program create an additional indirect exposure of the banking sector to the sovereign.</w:t>
      </w:r>
    </w:p>
    <w:p w14:paraId="54539214" w14:textId="77777777" w:rsidR="00FF32B8" w:rsidRDefault="00FF32B8" w:rsidP="009142E2">
      <w:pPr>
        <w:pStyle w:val="ParagraphNumbering"/>
        <w:numPr>
          <w:ilvl w:val="0"/>
          <w:numId w:val="13"/>
        </w:numPr>
        <w:spacing w:after="120" w:line="300" w:lineRule="exact"/>
        <w:ind w:left="0" w:firstLine="0"/>
        <w:jc w:val="both"/>
      </w:pPr>
      <w:r w:rsidRPr="00FF32B8">
        <w:rPr>
          <w:b/>
        </w:rPr>
        <w:t>The banking system is also becoming increasingly exposed to real estate.</w:t>
      </w:r>
      <w:r w:rsidRPr="00FF32B8">
        <w:t xml:space="preserve"> Housing loans increased from 21 percent of loans to households to more than 54 percent between 2008 and 2017. As much as 36 percent of total private sector credit reflects real estate lending to households, predominantly at variable rates, and at an average maturity of just over 24 years, with a further 33 percent accounted for by loans to corporates collateralized by real estate. As a result of increased provision of mortgages, house price appreciation has gained momentum with property prices registering an annual growth rate of 6.2 percent as of September 2017, while the effectiveness of </w:t>
      </w:r>
      <w:r w:rsidRPr="00FF32B8">
        <w:lastRenderedPageBreak/>
        <w:t xml:space="preserve">the existing </w:t>
      </w:r>
      <w:r w:rsidR="009E380E">
        <w:t>loan-to-value (</w:t>
      </w:r>
      <w:r w:rsidRPr="00FF32B8">
        <w:t>LTV</w:t>
      </w:r>
      <w:r w:rsidR="009E380E">
        <w:t>)</w:t>
      </w:r>
      <w:r w:rsidRPr="00FF32B8">
        <w:t xml:space="preserve"> limits on mortgages are undermined by the Prima Casa program</w:t>
      </w:r>
      <w:r w:rsidR="009C2B84">
        <w:rPr>
          <w:rStyle w:val="FootnoteReference"/>
        </w:rPr>
        <w:footnoteReference w:id="3"/>
      </w:r>
      <w:r w:rsidRPr="00FF32B8">
        <w:t>, which allows for LTV ratios of up to 95 percent. Moreover, since the large majority of mortgage contracts are at variable rates, loan performance and default rates could deteriorate if interest rates increase.</w:t>
      </w:r>
    </w:p>
    <w:p w14:paraId="2517E14F" w14:textId="77777777" w:rsidR="009C2B84" w:rsidRDefault="009C2B84" w:rsidP="009142E2">
      <w:pPr>
        <w:pStyle w:val="ParagraphNumbering"/>
        <w:numPr>
          <w:ilvl w:val="0"/>
          <w:numId w:val="13"/>
        </w:numPr>
        <w:spacing w:after="120" w:line="300" w:lineRule="exact"/>
        <w:ind w:left="0" w:firstLine="0"/>
        <w:jc w:val="both"/>
      </w:pPr>
      <w:r w:rsidRPr="009C2B84">
        <w:rPr>
          <w:b/>
        </w:rPr>
        <w:t>The share of FX loans has been trending downwards, but banks’ credit risk from FX loans remains a concern.</w:t>
      </w:r>
      <w:r>
        <w:t xml:space="preserve"> Loans in FX continue to have a higher NPL ratio than loans in lei (approximately 12 percent compared to 3 percent). Although the share of new loans in FX originated by local credit institutions declined</w:t>
      </w:r>
      <w:r>
        <w:rPr>
          <w:rStyle w:val="FootnoteReference"/>
        </w:rPr>
        <w:footnoteReference w:id="4"/>
      </w:r>
      <w:r>
        <w:t xml:space="preserve">, the share of FX in the stock of loans was still 43 percent for corporate loans and 38 percent for household loans in June 2017, a large share of which is unhedged. In addition, NBFL lending to the corporate sector is already predominately in FX (84 percent). The currency mismatch on banks’ balance sheets is limited, though, as the NBR has in place a strict net open position limit and households’ deposits in FX have recently been increasing. </w:t>
      </w:r>
    </w:p>
    <w:p w14:paraId="202B5796" w14:textId="77777777" w:rsidR="009C2B84" w:rsidRPr="000130F4" w:rsidRDefault="009C2B84" w:rsidP="009142E2">
      <w:pPr>
        <w:pStyle w:val="ParagraphNumbering"/>
        <w:numPr>
          <w:ilvl w:val="0"/>
          <w:numId w:val="13"/>
        </w:numPr>
        <w:spacing w:after="120" w:line="300" w:lineRule="exact"/>
        <w:ind w:left="0" w:firstLine="0"/>
        <w:jc w:val="both"/>
      </w:pPr>
      <w:r w:rsidRPr="009C2B84">
        <w:rPr>
          <w:b/>
        </w:rPr>
        <w:t>Finally, growing provision of loans by NBFLs may lead to vulnerabilities and reputational risks for the banking sector.</w:t>
      </w:r>
      <w:r>
        <w:t xml:space="preserve"> NBFLs are providing credit to SMEs, mainly in FX, and alongside a growing leasing business, as well as to households, often to those at lower income and at high interest rates and DSTI ratios. A macroeconomic downturn may negatively impact highly indebted households and increase NPLs in this sector. Debtors can also face loan traps, since borrowing from NBFLs effectively results in financial exclusion. The conduct of NBFLs can create reputational risk for the financial sector that already has a negative public reputation.</w:t>
      </w:r>
    </w:p>
    <w:p w14:paraId="39CBDEB3" w14:textId="7106811F" w:rsidR="00613877" w:rsidRDefault="00205FD8" w:rsidP="00613877">
      <w:pPr>
        <w:pStyle w:val="Heading2"/>
        <w:spacing w:line="240" w:lineRule="auto"/>
        <w:ind w:left="0"/>
        <w:rPr>
          <w:rFonts w:cs="Times New Roman"/>
          <w:szCs w:val="24"/>
        </w:rPr>
      </w:pPr>
      <w:bookmarkStart w:id="18" w:name="_Toc518653284"/>
      <w:r>
        <w:rPr>
          <w:rFonts w:cs="Times New Roman"/>
          <w:szCs w:val="24"/>
        </w:rPr>
        <w:t>Resilience</w:t>
      </w:r>
      <w:bookmarkEnd w:id="18"/>
    </w:p>
    <w:p w14:paraId="5D2B3E42" w14:textId="77777777" w:rsidR="00205FD8" w:rsidRDefault="009C2B84" w:rsidP="009142E2">
      <w:pPr>
        <w:pStyle w:val="ParagraphNumbering"/>
        <w:numPr>
          <w:ilvl w:val="0"/>
          <w:numId w:val="13"/>
        </w:numPr>
        <w:spacing w:after="120" w:line="300" w:lineRule="exact"/>
        <w:ind w:left="0" w:firstLine="0"/>
        <w:jc w:val="both"/>
      </w:pPr>
      <w:r w:rsidRPr="009C2B84">
        <w:rPr>
          <w:b/>
        </w:rPr>
        <w:t xml:space="preserve">The stability analysis conducted by the FSAP team, in cooperation with the NBR, assessed the resilience of the banking system to the vulnerabilities identified above. </w:t>
      </w:r>
      <w:r w:rsidRPr="009C2B84">
        <w:t xml:space="preserve">Scenario based solvency tests, as well as single factor sensitivity tests, assessed the resilience of the banking sector against rising interest rates and sovereign risk. These tests also assessed credit losses arising from exposures to the household and corporate sector in the event of a large contraction in GDP growth, exacerbated by an exchange rate depreciation. The resilience of banks to exchange rate movements </w:t>
      </w:r>
      <w:r>
        <w:t>wa</w:t>
      </w:r>
      <w:r w:rsidRPr="009C2B84">
        <w:t xml:space="preserve">s also tested in the context of liquidity stress tests. Finally, vulnerabilities stemming from the non-bank sector </w:t>
      </w:r>
      <w:r>
        <w:t>we</w:t>
      </w:r>
      <w:r w:rsidRPr="009C2B84">
        <w:t>re analyzed, using sensitivity analyses as well as an assessment of the contagion risk from these institutions to the banking sector.</w:t>
      </w:r>
    </w:p>
    <w:p w14:paraId="5F0063E2" w14:textId="4C6E8CE9" w:rsidR="00C24BCC" w:rsidRPr="008C0CA5" w:rsidRDefault="009C2B84" w:rsidP="009142E2">
      <w:pPr>
        <w:pStyle w:val="ParagraphNumbering"/>
        <w:numPr>
          <w:ilvl w:val="0"/>
          <w:numId w:val="13"/>
        </w:numPr>
        <w:spacing w:after="120" w:line="300" w:lineRule="exact"/>
        <w:ind w:left="0" w:firstLine="0"/>
        <w:jc w:val="both"/>
        <w:rPr>
          <w:iCs/>
        </w:rPr>
      </w:pPr>
      <w:r w:rsidRPr="00294972">
        <w:rPr>
          <w:b/>
        </w:rPr>
        <w:t>The analysis finds that these vulnerabilities are significant.</w:t>
      </w:r>
      <w:r w:rsidR="00C24BCC">
        <w:t xml:space="preserve"> </w:t>
      </w:r>
      <w:r w:rsidR="00C24BCC" w:rsidRPr="008C0CA5">
        <w:rPr>
          <w:rFonts w:cs="Segoe UI"/>
          <w:bCs/>
          <w:szCs w:val="21"/>
        </w:rPr>
        <w:t xml:space="preserve">More specifically, the stress </w:t>
      </w:r>
      <w:r w:rsidR="00C24BCC" w:rsidRPr="008C0CA5">
        <w:rPr>
          <w:lang w:val="en-GB"/>
        </w:rPr>
        <w:t>test</w:t>
      </w:r>
      <w:r w:rsidR="00C24BCC" w:rsidRPr="008C0CA5">
        <w:rPr>
          <w:rFonts w:cs="Segoe UI"/>
          <w:bCs/>
          <w:szCs w:val="21"/>
        </w:rPr>
        <w:t xml:space="preserve"> results reveal that in the adverse scenario:</w:t>
      </w:r>
    </w:p>
    <w:p w14:paraId="2D04C33F" w14:textId="213CF562" w:rsidR="00C24BCC" w:rsidRDefault="00C24BCC" w:rsidP="009530BA">
      <w:pPr>
        <w:pStyle w:val="ListBullet"/>
        <w:tabs>
          <w:tab w:val="clear" w:pos="720"/>
        </w:tabs>
        <w:spacing w:line="300" w:lineRule="exact"/>
        <w:jc w:val="both"/>
        <w:rPr>
          <w:rFonts w:cs="Segoe UI"/>
          <w:i/>
          <w:szCs w:val="21"/>
        </w:rPr>
      </w:pPr>
      <w:r w:rsidRPr="001A24F2">
        <w:rPr>
          <w:rFonts w:cs="Segoe UI"/>
          <w:i/>
          <w:szCs w:val="21"/>
        </w:rPr>
        <w:t>Credit risk is a significant driver of overall losses</w:t>
      </w:r>
      <w:r>
        <w:rPr>
          <w:rFonts w:cs="Segoe UI"/>
          <w:i/>
          <w:szCs w:val="21"/>
        </w:rPr>
        <w:t>, with a total drop of 750 bps in capital during the three-year horizon</w:t>
      </w:r>
      <w:r w:rsidRPr="001A24F2">
        <w:rPr>
          <w:rFonts w:cs="Segoe UI"/>
          <w:i/>
          <w:szCs w:val="21"/>
        </w:rPr>
        <w:t xml:space="preserve">. </w:t>
      </w:r>
      <w:r w:rsidRPr="00AF611B">
        <w:rPr>
          <w:rFonts w:cs="Segoe UI"/>
          <w:szCs w:val="21"/>
        </w:rPr>
        <w:t xml:space="preserve">As a result of the </w:t>
      </w:r>
      <w:r>
        <w:rPr>
          <w:rFonts w:cs="Segoe UI"/>
          <w:szCs w:val="21"/>
        </w:rPr>
        <w:t xml:space="preserve">severe </w:t>
      </w:r>
      <w:r w:rsidRPr="00AF611B">
        <w:rPr>
          <w:rFonts w:cs="Segoe UI"/>
          <w:szCs w:val="21"/>
        </w:rPr>
        <w:t xml:space="preserve">shock to GDP, as well as increases </w:t>
      </w:r>
      <w:r w:rsidRPr="00AF611B">
        <w:rPr>
          <w:rFonts w:cs="Segoe UI"/>
          <w:szCs w:val="21"/>
        </w:rPr>
        <w:lastRenderedPageBreak/>
        <w:t xml:space="preserve">in interest rates and depreciation of the currency, </w:t>
      </w:r>
      <w:r w:rsidRPr="00A30103">
        <w:rPr>
          <w:rFonts w:cs="Segoe UI"/>
          <w:iCs/>
          <w:szCs w:val="21"/>
        </w:rPr>
        <w:t>credit loss impairments increase from -2.2</w:t>
      </w:r>
      <w:r>
        <w:rPr>
          <w:rFonts w:cs="Segoe UI"/>
          <w:iCs/>
          <w:szCs w:val="21"/>
        </w:rPr>
        <w:t> </w:t>
      </w:r>
      <w:r w:rsidRPr="00A30103">
        <w:rPr>
          <w:rFonts w:cs="Segoe UI"/>
          <w:iCs/>
          <w:szCs w:val="21"/>
        </w:rPr>
        <w:t xml:space="preserve">percent of </w:t>
      </w:r>
      <w:r w:rsidR="003E798D">
        <w:t>risk-weighted assets (</w:t>
      </w:r>
      <w:r w:rsidRPr="00A30103">
        <w:rPr>
          <w:rFonts w:cs="Segoe UI"/>
          <w:iCs/>
          <w:szCs w:val="21"/>
        </w:rPr>
        <w:t>RWA</w:t>
      </w:r>
      <w:r w:rsidR="003E798D">
        <w:rPr>
          <w:rFonts w:cs="Segoe UI"/>
          <w:iCs/>
          <w:szCs w:val="21"/>
        </w:rPr>
        <w:t>)</w:t>
      </w:r>
      <w:r w:rsidRPr="00A30103">
        <w:rPr>
          <w:rFonts w:cs="Segoe UI"/>
          <w:iCs/>
          <w:szCs w:val="21"/>
        </w:rPr>
        <w:t xml:space="preserve"> in 201</w:t>
      </w:r>
      <w:r>
        <w:rPr>
          <w:rFonts w:cs="Segoe UI"/>
          <w:iCs/>
          <w:szCs w:val="21"/>
        </w:rPr>
        <w:t>7</w:t>
      </w:r>
      <w:r w:rsidRPr="00A30103">
        <w:rPr>
          <w:rFonts w:cs="Segoe UI"/>
          <w:iCs/>
          <w:szCs w:val="21"/>
        </w:rPr>
        <w:t xml:space="preserve"> </w:t>
      </w:r>
      <w:r>
        <w:rPr>
          <w:rFonts w:cs="Segoe UI"/>
          <w:iCs/>
          <w:szCs w:val="21"/>
        </w:rPr>
        <w:t>to -3.5 </w:t>
      </w:r>
      <w:r w:rsidRPr="00A30103">
        <w:rPr>
          <w:rFonts w:cs="Segoe UI"/>
          <w:iCs/>
          <w:szCs w:val="21"/>
        </w:rPr>
        <w:t>pe</w:t>
      </w:r>
      <w:r w:rsidRPr="001A24F2">
        <w:rPr>
          <w:rFonts w:cs="Segoe UI"/>
          <w:iCs/>
          <w:szCs w:val="21"/>
        </w:rPr>
        <w:t>rcent of RWA in 2019, which is the peak in terms of provisioning.</w:t>
      </w:r>
      <w:r w:rsidRPr="00941F33">
        <w:rPr>
          <w:iCs/>
          <w:vertAlign w:val="superscript"/>
        </w:rPr>
        <w:footnoteReference w:id="5"/>
      </w:r>
      <w:r w:rsidRPr="001A24F2">
        <w:rPr>
          <w:rFonts w:cs="Segoe UI"/>
          <w:iCs/>
          <w:szCs w:val="21"/>
        </w:rPr>
        <w:t xml:space="preserve"> In terms of composition, real estate mortgages </w:t>
      </w:r>
      <w:r>
        <w:rPr>
          <w:rFonts w:cs="Segoe UI"/>
          <w:iCs/>
          <w:szCs w:val="21"/>
        </w:rPr>
        <w:t>account for</w:t>
      </w:r>
      <w:r w:rsidRPr="001A24F2">
        <w:rPr>
          <w:rFonts w:cs="Segoe UI"/>
          <w:iCs/>
          <w:szCs w:val="21"/>
        </w:rPr>
        <w:t xml:space="preserve"> th</w:t>
      </w:r>
      <w:r>
        <w:rPr>
          <w:rFonts w:cs="Segoe UI"/>
          <w:iCs/>
          <w:szCs w:val="21"/>
        </w:rPr>
        <w:t>e majority of credit losses (54 </w:t>
      </w:r>
      <w:r w:rsidRPr="007E4295">
        <w:rPr>
          <w:rFonts w:cs="Segoe UI"/>
          <w:iCs/>
          <w:szCs w:val="21"/>
        </w:rPr>
        <w:t>percent of total), followed by SME backed by real estate (20 percent of total).</w:t>
      </w:r>
      <w:r w:rsidRPr="007E4295">
        <w:rPr>
          <w:rFonts w:cs="Segoe UI"/>
          <w:i/>
          <w:szCs w:val="21"/>
        </w:rPr>
        <w:t xml:space="preserve"> </w:t>
      </w:r>
    </w:p>
    <w:p w14:paraId="2AC3222D" w14:textId="4432B563" w:rsidR="00C24BCC" w:rsidRPr="00DA65B0" w:rsidRDefault="00C24BCC" w:rsidP="009530BA">
      <w:pPr>
        <w:pStyle w:val="ListBullet"/>
        <w:tabs>
          <w:tab w:val="clear" w:pos="720"/>
        </w:tabs>
        <w:spacing w:line="300" w:lineRule="exact"/>
        <w:jc w:val="both"/>
        <w:rPr>
          <w:iCs/>
        </w:rPr>
      </w:pPr>
      <w:r w:rsidRPr="0065605F">
        <w:rPr>
          <w:i/>
        </w:rPr>
        <w:t xml:space="preserve">Banks face significant trading losses on their sovereign securities portfolios, with a total drop of 300 bps in capital over the three-year </w:t>
      </w:r>
      <w:r w:rsidRPr="0065605F">
        <w:rPr>
          <w:i/>
          <w:iCs/>
        </w:rPr>
        <w:t>horizon</w:t>
      </w:r>
      <w:r w:rsidRPr="0065605F">
        <w:rPr>
          <w:i/>
        </w:rPr>
        <w:t>.</w:t>
      </w:r>
      <w:r>
        <w:t xml:space="preserve"> Banks suffer from declining valuations in their trading book as sovereign yields rise significantly (due to both an increase in the risk-free rate as well as risk premia). As a result of the stress, trading gains on these positions of 0.6 percent of RWA in 2017 turn to a market loss of 3.6 percent in 2018. In addition, some banks incur provisions for securities in their hold-to-maturity portfolios, in line with the increase in sovereign credit spreads. Importantly, the large securities portfolios incur losses even in the baseline scenario, where interest rates rise to counter inflationary pressures.</w:t>
      </w:r>
      <w:r>
        <w:rPr>
          <w:rStyle w:val="FootnoteReference"/>
          <w:rFonts w:cs="Segoe UI"/>
          <w:szCs w:val="21"/>
        </w:rPr>
        <w:footnoteReference w:id="6"/>
      </w:r>
      <w:r>
        <w:t xml:space="preserve"> </w:t>
      </w:r>
    </w:p>
    <w:p w14:paraId="1B02ED78" w14:textId="77777777" w:rsidR="00C24BCC" w:rsidRPr="00594426" w:rsidRDefault="00C24BCC" w:rsidP="009530BA">
      <w:pPr>
        <w:pStyle w:val="ListBullet"/>
        <w:tabs>
          <w:tab w:val="clear" w:pos="720"/>
        </w:tabs>
        <w:spacing w:line="300" w:lineRule="exact"/>
        <w:jc w:val="both"/>
        <w:rPr>
          <w:rFonts w:cs="Segoe UI"/>
          <w:szCs w:val="21"/>
        </w:rPr>
      </w:pPr>
      <w:r>
        <w:rPr>
          <w:rFonts w:cs="Segoe UI"/>
          <w:i/>
          <w:iCs/>
          <w:szCs w:val="21"/>
        </w:rPr>
        <w:t>The e</w:t>
      </w:r>
      <w:r w:rsidRPr="00594426">
        <w:rPr>
          <w:rFonts w:cs="Segoe UI"/>
          <w:i/>
          <w:iCs/>
          <w:szCs w:val="21"/>
        </w:rPr>
        <w:t xml:space="preserve">xchange rate depreciation </w:t>
      </w:r>
      <w:r>
        <w:rPr>
          <w:rFonts w:cs="Segoe UI"/>
          <w:i/>
          <w:iCs/>
          <w:szCs w:val="21"/>
        </w:rPr>
        <w:t xml:space="preserve">plays an important role in driving </w:t>
      </w:r>
      <w:r w:rsidRPr="00594426">
        <w:rPr>
          <w:rFonts w:cs="Segoe UI"/>
          <w:i/>
          <w:iCs/>
          <w:szCs w:val="21"/>
        </w:rPr>
        <w:t>credit losses</w:t>
      </w:r>
      <w:r>
        <w:rPr>
          <w:rFonts w:cs="Segoe UI"/>
          <w:i/>
          <w:iCs/>
          <w:szCs w:val="21"/>
        </w:rPr>
        <w:t xml:space="preserve"> on FX loans</w:t>
      </w:r>
      <w:r w:rsidRPr="00594426">
        <w:rPr>
          <w:rFonts w:cs="Segoe UI"/>
          <w:i/>
          <w:iCs/>
          <w:szCs w:val="21"/>
        </w:rPr>
        <w:t>.</w:t>
      </w:r>
      <w:r w:rsidRPr="00594426">
        <w:rPr>
          <w:rFonts w:cs="Segoe UI"/>
          <w:szCs w:val="21"/>
        </w:rPr>
        <w:t xml:space="preserve"> </w:t>
      </w:r>
      <w:r>
        <w:rPr>
          <w:rFonts w:cs="Segoe UI"/>
          <w:szCs w:val="21"/>
        </w:rPr>
        <w:t>The team</w:t>
      </w:r>
      <w:r w:rsidRPr="00594426">
        <w:rPr>
          <w:rFonts w:cs="Segoe UI"/>
          <w:szCs w:val="21"/>
        </w:rPr>
        <w:t xml:space="preserve"> estimated the importance of exchange rate depreciation by comparing credit losses under the </w:t>
      </w:r>
      <w:r>
        <w:rPr>
          <w:rFonts w:cs="Segoe UI"/>
          <w:szCs w:val="21"/>
        </w:rPr>
        <w:t xml:space="preserve">adverse </w:t>
      </w:r>
      <w:r w:rsidRPr="00594426">
        <w:rPr>
          <w:rFonts w:cs="Segoe UI"/>
          <w:szCs w:val="21"/>
        </w:rPr>
        <w:t>scenario wit</w:t>
      </w:r>
      <w:r>
        <w:rPr>
          <w:rFonts w:cs="Segoe UI"/>
          <w:szCs w:val="21"/>
        </w:rPr>
        <w:t xml:space="preserve">h </w:t>
      </w:r>
      <w:r w:rsidRPr="00E813A1">
        <w:rPr>
          <w:rFonts w:cs="Segoe UI"/>
          <w:szCs w:val="21"/>
        </w:rPr>
        <w:t>those under a hypothetical scenario which is identical in all aspects but assumes a constant exchange rate relative to the reference date. This analysis suggests that roughly 15</w:t>
      </w:r>
      <w:r>
        <w:rPr>
          <w:rFonts w:cs="Segoe UI"/>
          <w:szCs w:val="21"/>
        </w:rPr>
        <w:t> </w:t>
      </w:r>
      <w:r w:rsidRPr="00E813A1">
        <w:rPr>
          <w:rFonts w:cs="Segoe UI"/>
          <w:szCs w:val="21"/>
        </w:rPr>
        <w:t>percent of total</w:t>
      </w:r>
      <w:r>
        <w:rPr>
          <w:rFonts w:cs="Segoe UI"/>
          <w:szCs w:val="21"/>
        </w:rPr>
        <w:t xml:space="preserve"> credit losses can be attributed to the exchange rate depreciation. </w:t>
      </w:r>
    </w:p>
    <w:p w14:paraId="5A5CD541" w14:textId="77777777" w:rsidR="00C24BCC" w:rsidRPr="001F3C4E" w:rsidRDefault="00C24BCC" w:rsidP="009530BA">
      <w:pPr>
        <w:pStyle w:val="ListBullet"/>
        <w:tabs>
          <w:tab w:val="clear" w:pos="720"/>
        </w:tabs>
        <w:spacing w:line="300" w:lineRule="exact"/>
        <w:jc w:val="both"/>
        <w:rPr>
          <w:rFonts w:cs="Segoe UI"/>
          <w:szCs w:val="21"/>
        </w:rPr>
      </w:pPr>
      <w:r>
        <w:rPr>
          <w:rFonts w:cs="Segoe UI"/>
          <w:i/>
          <w:szCs w:val="21"/>
        </w:rPr>
        <w:t>Banks’ net interest income decreases</w:t>
      </w:r>
      <w:r w:rsidRPr="001F3C4E">
        <w:rPr>
          <w:rFonts w:cs="Segoe UI"/>
          <w:i/>
          <w:szCs w:val="21"/>
        </w:rPr>
        <w:t xml:space="preserve"> </w:t>
      </w:r>
      <w:r>
        <w:rPr>
          <w:rFonts w:cs="Segoe UI"/>
          <w:i/>
          <w:szCs w:val="21"/>
        </w:rPr>
        <w:t>by almost 40 percent</w:t>
      </w:r>
      <w:r w:rsidRPr="001F3C4E">
        <w:rPr>
          <w:rFonts w:cs="Segoe UI"/>
          <w:i/>
          <w:szCs w:val="21"/>
        </w:rPr>
        <w:t xml:space="preserve"> </w:t>
      </w:r>
      <w:r>
        <w:rPr>
          <w:rFonts w:cs="Segoe UI"/>
          <w:i/>
          <w:szCs w:val="21"/>
        </w:rPr>
        <w:t xml:space="preserve">through the stress test horizon. </w:t>
      </w:r>
      <w:r w:rsidRPr="004D75B9">
        <w:rPr>
          <w:rFonts w:cs="Segoe UI"/>
          <w:iCs/>
          <w:szCs w:val="21"/>
        </w:rPr>
        <w:t xml:space="preserve">The contribution of </w:t>
      </w:r>
      <w:r>
        <w:rPr>
          <w:rFonts w:cs="Segoe UI"/>
          <w:iCs/>
          <w:szCs w:val="21"/>
        </w:rPr>
        <w:t>net interest income</w:t>
      </w:r>
      <w:r w:rsidRPr="004D75B9">
        <w:rPr>
          <w:rFonts w:cs="Segoe UI"/>
          <w:iCs/>
          <w:szCs w:val="21"/>
        </w:rPr>
        <w:t xml:space="preserve"> to CET1 is</w:t>
      </w:r>
      <w:r>
        <w:rPr>
          <w:rFonts w:cs="Segoe UI"/>
          <w:iCs/>
          <w:szCs w:val="21"/>
        </w:rPr>
        <w:t>, on average,</w:t>
      </w:r>
      <w:r w:rsidRPr="001B22A1">
        <w:rPr>
          <w:rFonts w:cs="Segoe UI"/>
          <w:iCs/>
          <w:szCs w:val="21"/>
        </w:rPr>
        <w:t xml:space="preserve"> 280</w:t>
      </w:r>
      <w:r>
        <w:rPr>
          <w:rFonts w:cs="Segoe UI"/>
          <w:iCs/>
          <w:szCs w:val="21"/>
        </w:rPr>
        <w:t> </w:t>
      </w:r>
      <w:r w:rsidRPr="001B22A1">
        <w:rPr>
          <w:rFonts w:cs="Segoe UI"/>
          <w:iCs/>
          <w:szCs w:val="21"/>
        </w:rPr>
        <w:t>bps per year</w:t>
      </w:r>
      <w:r w:rsidRPr="004D75B9">
        <w:rPr>
          <w:rFonts w:cs="Segoe UI"/>
          <w:iCs/>
          <w:szCs w:val="21"/>
        </w:rPr>
        <w:t xml:space="preserve"> throughout the horiz</w:t>
      </w:r>
      <w:r>
        <w:rPr>
          <w:rFonts w:cs="Segoe UI"/>
          <w:iCs/>
          <w:szCs w:val="21"/>
        </w:rPr>
        <w:t>on, compared to 525 bps in 2017.</w:t>
      </w:r>
      <w:r w:rsidRPr="001F3C4E">
        <w:rPr>
          <w:rFonts w:cs="Segoe UI"/>
          <w:szCs w:val="21"/>
        </w:rPr>
        <w:t xml:space="preserve"> </w:t>
      </w:r>
      <w:r>
        <w:rPr>
          <w:rFonts w:cs="Segoe UI"/>
          <w:szCs w:val="21"/>
        </w:rPr>
        <w:t xml:space="preserve">Three </w:t>
      </w:r>
      <w:r w:rsidRPr="001F3C4E">
        <w:rPr>
          <w:rFonts w:cs="Segoe UI"/>
          <w:szCs w:val="21"/>
        </w:rPr>
        <w:t>factors contribute to this decline. First,</w:t>
      </w:r>
      <w:r>
        <w:rPr>
          <w:rFonts w:cs="Segoe UI"/>
          <w:szCs w:val="21"/>
        </w:rPr>
        <w:t xml:space="preserve"> the large NPL formation compresses interest income. Second, </w:t>
      </w:r>
      <w:r w:rsidRPr="001F3C4E">
        <w:rPr>
          <w:rFonts w:cs="Segoe UI"/>
          <w:szCs w:val="21"/>
        </w:rPr>
        <w:t xml:space="preserve">the net interest margin is adversely affected due to a rise in funding costs, </w:t>
      </w:r>
      <w:r>
        <w:rPr>
          <w:rFonts w:cs="Segoe UI"/>
          <w:szCs w:val="21"/>
        </w:rPr>
        <w:t>not matched by a rise in</w:t>
      </w:r>
      <w:r w:rsidRPr="001F3C4E">
        <w:rPr>
          <w:rFonts w:cs="Segoe UI"/>
          <w:szCs w:val="21"/>
        </w:rPr>
        <w:t xml:space="preserve"> lending </w:t>
      </w:r>
      <w:r>
        <w:rPr>
          <w:rFonts w:cs="Segoe UI"/>
          <w:szCs w:val="21"/>
        </w:rPr>
        <w:t>rates that are tied to the Lombard rate</w:t>
      </w:r>
      <w:r w:rsidRPr="001F3C4E">
        <w:rPr>
          <w:rFonts w:cs="Segoe UI"/>
          <w:szCs w:val="21"/>
        </w:rPr>
        <w:t xml:space="preserve">. </w:t>
      </w:r>
      <w:r>
        <w:rPr>
          <w:rFonts w:cs="Segoe UI"/>
          <w:szCs w:val="21"/>
        </w:rPr>
        <w:t>Finally</w:t>
      </w:r>
      <w:r w:rsidRPr="001F3C4E">
        <w:rPr>
          <w:rFonts w:cs="Segoe UI"/>
          <w:szCs w:val="21"/>
        </w:rPr>
        <w:t xml:space="preserve">, the banks have </w:t>
      </w:r>
      <w:r>
        <w:rPr>
          <w:rFonts w:cs="Segoe UI"/>
          <w:szCs w:val="21"/>
        </w:rPr>
        <w:t>a non-negligible</w:t>
      </w:r>
      <w:r w:rsidRPr="001F3C4E">
        <w:rPr>
          <w:rFonts w:cs="Segoe UI"/>
          <w:szCs w:val="21"/>
        </w:rPr>
        <w:t xml:space="preserve"> positive interest</w:t>
      </w:r>
      <w:r>
        <w:rPr>
          <w:rFonts w:cs="Segoe UI"/>
          <w:szCs w:val="21"/>
        </w:rPr>
        <w:t xml:space="preserve"> rate</w:t>
      </w:r>
      <w:r w:rsidRPr="001F3C4E">
        <w:rPr>
          <w:rFonts w:cs="Segoe UI"/>
          <w:szCs w:val="21"/>
        </w:rPr>
        <w:t xml:space="preserve"> risk, w</w:t>
      </w:r>
      <w:r>
        <w:rPr>
          <w:rFonts w:cs="Segoe UI"/>
          <w:szCs w:val="21"/>
        </w:rPr>
        <w:t xml:space="preserve">hich exposes them to losses as ROBOR </w:t>
      </w:r>
      <w:r w:rsidRPr="001F3C4E">
        <w:rPr>
          <w:rFonts w:cs="Segoe UI"/>
          <w:szCs w:val="21"/>
        </w:rPr>
        <w:t>increases thr</w:t>
      </w:r>
      <w:r>
        <w:rPr>
          <w:rFonts w:cs="Segoe UI"/>
          <w:szCs w:val="21"/>
        </w:rPr>
        <w:t>oughout the stress test horizon</w:t>
      </w:r>
      <w:r w:rsidRPr="001F3C4E">
        <w:rPr>
          <w:rFonts w:cs="Segoe UI"/>
          <w:szCs w:val="21"/>
        </w:rPr>
        <w:t>.</w:t>
      </w:r>
    </w:p>
    <w:p w14:paraId="3839B9C4" w14:textId="43B7D2B4" w:rsidR="00C24BCC" w:rsidRPr="00C24BCC" w:rsidRDefault="00C24BCC" w:rsidP="009142E2">
      <w:pPr>
        <w:pStyle w:val="ParagraphNumbering"/>
        <w:numPr>
          <w:ilvl w:val="0"/>
          <w:numId w:val="13"/>
        </w:numPr>
        <w:spacing w:after="120" w:line="300" w:lineRule="exact"/>
        <w:ind w:left="0" w:firstLine="0"/>
        <w:jc w:val="both"/>
      </w:pPr>
      <w:r w:rsidRPr="00C24BCC">
        <w:rPr>
          <w:b/>
        </w:rPr>
        <w:t xml:space="preserve">While the aggregate liquidity level is more than comfortable, the </w:t>
      </w:r>
      <w:r w:rsidR="003E798D">
        <w:rPr>
          <w:b/>
        </w:rPr>
        <w:t xml:space="preserve">stress test </w:t>
      </w:r>
      <w:r w:rsidRPr="00C24BCC">
        <w:rPr>
          <w:b/>
        </w:rPr>
        <w:t>results suggest the need for currency differentiated liquidity requirements</w:t>
      </w:r>
      <w:r w:rsidRPr="00C24BCC">
        <w:t xml:space="preserve">. In addition to the Basel III prescribed scenario, the FSAP </w:t>
      </w:r>
      <w:r>
        <w:t xml:space="preserve">team </w:t>
      </w:r>
      <w:r w:rsidRPr="00C24BCC">
        <w:t xml:space="preserve">implemented two tests to assess the short-term resilience of banks to an abrupt withdrawal of funding: (1) a retail stress scenario aimed at replicating a deposit run, and (2) a wholesale funding stress scenario. A 15 percent haircut is applied to </w:t>
      </w:r>
      <w:r w:rsidRPr="00C24BCC">
        <w:lastRenderedPageBreak/>
        <w:t xml:space="preserve">government debt securities in both scenarios, to simulate a fire sale or an illiquid market for these securities. The results suggest that a number of banks can meet either their lei LCR or their euro LCR but not both. Almost all banks meet the 100 percent NSFR ratio, though, both in lei and in euro. </w:t>
      </w:r>
    </w:p>
    <w:p w14:paraId="0466F457" w14:textId="77777777" w:rsidR="001B1257" w:rsidRPr="00205FD8" w:rsidRDefault="001B1257" w:rsidP="001B1257">
      <w:pPr>
        <w:pStyle w:val="ParagraphNumbering"/>
        <w:numPr>
          <w:ilvl w:val="0"/>
          <w:numId w:val="0"/>
        </w:numPr>
        <w:spacing w:after="120" w:line="300" w:lineRule="exact"/>
        <w:jc w:val="both"/>
      </w:pPr>
    </w:p>
    <w:p w14:paraId="7CB86533" w14:textId="77777777" w:rsidR="00C01232" w:rsidRPr="00C01232" w:rsidRDefault="00205FD8" w:rsidP="00C01232">
      <w:pPr>
        <w:pStyle w:val="Heading1"/>
        <w:spacing w:line="240" w:lineRule="auto"/>
      </w:pPr>
      <w:bookmarkStart w:id="19" w:name="_Toc518653285"/>
      <w:r>
        <w:t>Macroprudential Framework and Policies</w:t>
      </w:r>
      <w:bookmarkEnd w:id="19"/>
    </w:p>
    <w:p w14:paraId="490F4D30" w14:textId="77777777" w:rsidR="00CD6A65" w:rsidRDefault="00205FD8" w:rsidP="00CD6A65">
      <w:pPr>
        <w:pStyle w:val="Heading2"/>
        <w:spacing w:line="240" w:lineRule="auto"/>
        <w:ind w:left="0"/>
      </w:pPr>
      <w:bookmarkStart w:id="20" w:name="_Toc518653286"/>
      <w:r>
        <w:t>Macroprudential Framework</w:t>
      </w:r>
      <w:bookmarkEnd w:id="20"/>
    </w:p>
    <w:p w14:paraId="6B11076C" w14:textId="77777777" w:rsidR="00954FE6" w:rsidRDefault="00954FE6" w:rsidP="009142E2">
      <w:pPr>
        <w:pStyle w:val="ParagraphNumbering"/>
        <w:numPr>
          <w:ilvl w:val="0"/>
          <w:numId w:val="13"/>
        </w:numPr>
        <w:spacing w:after="120" w:line="300" w:lineRule="exact"/>
        <w:ind w:left="0" w:firstLine="0"/>
        <w:jc w:val="both"/>
      </w:pPr>
      <w:r w:rsidRPr="00954FE6">
        <w:rPr>
          <w:b/>
        </w:rPr>
        <w:t>The NBR has a long experience in implementing macroprudential policy measures and as a result, a relatively sophisticated systemic risk monitoring framework.</w:t>
      </w:r>
      <w:r>
        <w:t xml:space="preserve"> The NBR monitors several indicators to assess the build-up of systemic risk and constructs summary indicators to facilitate overall risk assessment. The NBR also has various economic models to assess macro-financial developments and the effects of various shocks, and to assess policy actions. The NBR also subjects banks to regular solvency and liquidity stress tests. Nevertheless, data and information gaps remain, for instance, due to extensive NPL exposures being sold to asset management companies, which do not have to report to the credit registry. </w:t>
      </w:r>
    </w:p>
    <w:p w14:paraId="0756A409" w14:textId="77777777" w:rsidR="00954FE6" w:rsidRDefault="00954FE6" w:rsidP="009142E2">
      <w:pPr>
        <w:pStyle w:val="ParagraphNumbering"/>
        <w:numPr>
          <w:ilvl w:val="0"/>
          <w:numId w:val="13"/>
        </w:numPr>
        <w:spacing w:after="120" w:line="300" w:lineRule="exact"/>
        <w:ind w:left="0" w:firstLine="0"/>
        <w:jc w:val="both"/>
      </w:pPr>
      <w:r w:rsidRPr="00954FE6">
        <w:rPr>
          <w:b/>
        </w:rPr>
        <w:t>The institutional framework for macroprudential policymaking has recently been revised and contains a clear mandate and well-defined objectives.</w:t>
      </w:r>
      <w:r>
        <w:t xml:space="preserve"> A new National Committee for Macroprudential Oversight (NCMO) was established in April 2017. By law, the NCMO is the national macroprudential authority with a clear mandate to set macroprudential policies. It is chaired by the Governor of the NBR and its Secretariat also resides within the NBR. However, after a long parliamentary process, the number of NBR representatives in the nine-member NCMO was reduced from the proposed five members to three, giving the </w:t>
      </w:r>
      <w:r w:rsidR="005735FB">
        <w:t xml:space="preserve">NBR </w:t>
      </w:r>
      <w:r>
        <w:t xml:space="preserve">the same number of representatives as the ASF and the Ministry of Public Finance (MoPF). </w:t>
      </w:r>
    </w:p>
    <w:p w14:paraId="21DFB308" w14:textId="77777777" w:rsidR="00954FE6" w:rsidRDefault="00954FE6" w:rsidP="009142E2">
      <w:pPr>
        <w:pStyle w:val="ParagraphNumbering"/>
        <w:numPr>
          <w:ilvl w:val="0"/>
          <w:numId w:val="13"/>
        </w:numPr>
        <w:spacing w:after="120" w:line="300" w:lineRule="exact"/>
        <w:ind w:left="0" w:firstLine="0"/>
        <w:jc w:val="both"/>
      </w:pPr>
      <w:r w:rsidRPr="00876241">
        <w:rPr>
          <w:b/>
        </w:rPr>
        <w:t>The institutional arrangements seem to guarantee adequate powers to ensure NCMO’s ability to act.</w:t>
      </w:r>
      <w:r>
        <w:t xml:space="preserve"> The NCMO has direct (hard) powers over a wide-range of macroprudential tools</w:t>
      </w:r>
      <w:r w:rsidR="00876241">
        <w:t>,</w:t>
      </w:r>
      <w:r>
        <w:t xml:space="preserve"> it is empowered to recommend actions to be taken by other supervisory authorities or the Government, coupled with a “comply or explain” mechanism, and to issue warnings and opinions. However, the functioning of the NCMO is still being established. It has</w:t>
      </w:r>
      <w:r w:rsidR="005735FB">
        <w:t>, as of April 2017,</w:t>
      </w:r>
      <w:r>
        <w:t xml:space="preserve"> only held </w:t>
      </w:r>
      <w:r w:rsidR="005735FB">
        <w:t xml:space="preserve">five </w:t>
      </w:r>
      <w:r>
        <w:t>meetings and issued ten recommendations, including the required quarterly recommendations on the countercyclical capital buffer. The Technical Commissions on Systemic Risk and Financial Crisis Management, respectively, who should support the NCMO’s work are still to become operational.</w:t>
      </w:r>
    </w:p>
    <w:p w14:paraId="1DE3F181" w14:textId="77777777" w:rsidR="00205FD8" w:rsidRPr="00205FD8" w:rsidRDefault="00954FE6" w:rsidP="009142E2">
      <w:pPr>
        <w:pStyle w:val="ParagraphNumbering"/>
        <w:numPr>
          <w:ilvl w:val="0"/>
          <w:numId w:val="13"/>
        </w:numPr>
        <w:spacing w:after="120" w:line="300" w:lineRule="exact"/>
        <w:ind w:left="0" w:firstLine="0"/>
        <w:jc w:val="both"/>
      </w:pPr>
      <w:r w:rsidRPr="00876241">
        <w:rPr>
          <w:b/>
        </w:rPr>
        <w:t>The NCMO</w:t>
      </w:r>
      <w:r w:rsidR="00372C89">
        <w:rPr>
          <w:b/>
        </w:rPr>
        <w:t>’</w:t>
      </w:r>
      <w:r w:rsidRPr="00876241">
        <w:rPr>
          <w:b/>
        </w:rPr>
        <w:t>s accountability, transparency, and coordination frameworks need to be strengthened to help counteract the underlying inaction bias.</w:t>
      </w:r>
      <w:r>
        <w:t xml:space="preserve"> Generally, macroprudential policymaking is challenged by the so-called policy inaction bias, resulting from the cost of policy actions being sooner and more easily observable than their potential benefits. Given the set-up of the NCMO and concerns regarding the independence of the ASF, overcoming the inaction bias may prove particularly challenging. Currently, the NBR can recommend policy action and be outvoted without the need for the decision to be disclosed or related to a common overall risk assessment. The framework should be strengthened by requiring proposed policy actions and </w:t>
      </w:r>
      <w:r>
        <w:lastRenderedPageBreak/>
        <w:t>distribution of votes to be publicly disclosed in the summary of meetings. A common assessment of systemic risk should also be developed at each NCMO meeting to foster consensus and common ownership of actions, notwithstanding on risks stemming from large and concentrated sovereign exposures.</w:t>
      </w:r>
    </w:p>
    <w:p w14:paraId="4CB4B329" w14:textId="77777777" w:rsidR="00C905CE" w:rsidRPr="00C905CE" w:rsidRDefault="00205FD8" w:rsidP="00205FD8">
      <w:pPr>
        <w:pStyle w:val="Heading2"/>
        <w:spacing w:line="240" w:lineRule="auto"/>
        <w:ind w:left="0"/>
      </w:pPr>
      <w:bookmarkStart w:id="21" w:name="_Toc518653287"/>
      <w:bookmarkStart w:id="22" w:name="_Toc489314818"/>
      <w:r>
        <w:t>Macroprudential Policies</w:t>
      </w:r>
      <w:bookmarkEnd w:id="21"/>
    </w:p>
    <w:bookmarkEnd w:id="22"/>
    <w:p w14:paraId="4B4A08CE" w14:textId="77777777" w:rsidR="00F80680" w:rsidRDefault="00F80680" w:rsidP="009142E2">
      <w:pPr>
        <w:pStyle w:val="ParagraphNumbering"/>
        <w:numPr>
          <w:ilvl w:val="0"/>
          <w:numId w:val="13"/>
        </w:numPr>
        <w:spacing w:after="120" w:line="300" w:lineRule="exact"/>
        <w:ind w:left="0" w:firstLine="0"/>
        <w:jc w:val="both"/>
      </w:pPr>
      <w:r w:rsidRPr="00F80680">
        <w:rPr>
          <w:b/>
        </w:rPr>
        <w:t>The macroprudential policy toolkit was recently expanded with the EU Capital Requirements Directive and Regulation (CRD/CRR) framework becoming operational in Romania.</w:t>
      </w:r>
      <w:r>
        <w:t xml:space="preserve"> In particular, the authorities have implemented, or are phasing-in, a number of capital buffers and the </w:t>
      </w:r>
      <w:r w:rsidR="009E380E">
        <w:t>Liquidity Coverage Ratio (</w:t>
      </w:r>
      <w:r>
        <w:t>LCR</w:t>
      </w:r>
      <w:r w:rsidR="009E380E">
        <w:t>)</w:t>
      </w:r>
      <w:r>
        <w:t xml:space="preserve"> based on this framework. Longer-standing borrower tools also remain in place, but their scope is narrow. Banks currently only apply stressed DSTI limits to consumer loans and the maximum LTV ratios on mortgages </w:t>
      </w:r>
      <w:r w:rsidR="009E380E">
        <w:t>are not applied to mortgages under</w:t>
      </w:r>
      <w:r>
        <w:t xml:space="preserve"> the Prima Casa program.</w:t>
      </w:r>
    </w:p>
    <w:p w14:paraId="7240A9AA" w14:textId="77777777" w:rsidR="00F80680" w:rsidRPr="00F80680" w:rsidRDefault="00F80680" w:rsidP="009142E2">
      <w:pPr>
        <w:pStyle w:val="ParagraphNumbering"/>
        <w:numPr>
          <w:ilvl w:val="0"/>
          <w:numId w:val="13"/>
        </w:numPr>
        <w:spacing w:after="120" w:line="300" w:lineRule="exact"/>
        <w:ind w:left="0" w:firstLine="0"/>
        <w:jc w:val="both"/>
      </w:pPr>
      <w:r w:rsidRPr="00F80680">
        <w:rPr>
          <w:b/>
        </w:rPr>
        <w:t>The scope for regulatory arbitrage of macroprudential measures due to direct external borrowing and lending from NBFLs remain a concern.</w:t>
      </w:r>
      <w:r>
        <w:t xml:space="preserve"> The authorities need to continue their vigilance regarding regulatory arbitrage. The NBR recently introduced measures to strengthen oversight over the NBFL sector, where lending to SMEs and low-income households was increasing rather rapidly. The NBR should align the sector’s provisioning regime with that of the banks to limit possibilities to benefit from different requirements for banks and NBFLs. In addition, overall corporate sector leverage has been increasing despite contracting bank credit extension, as corporates increasingly borrow from abroad. Further analysis is needed to detect possible vulnerabilities and develop policy measures if needed. Debt collecting agencies, specializing in NPL exposure purchases, should be required to report to the credit registry to close data gaps.</w:t>
      </w:r>
    </w:p>
    <w:p w14:paraId="35B9CF00" w14:textId="77777777" w:rsidR="009C55AE" w:rsidRDefault="00F80680" w:rsidP="009142E2">
      <w:pPr>
        <w:pStyle w:val="ParagraphNumbering"/>
        <w:numPr>
          <w:ilvl w:val="0"/>
          <w:numId w:val="13"/>
        </w:numPr>
        <w:spacing w:after="120" w:line="300" w:lineRule="exact"/>
        <w:ind w:left="0" w:firstLine="0"/>
        <w:jc w:val="both"/>
      </w:pPr>
      <w:r w:rsidRPr="00F80680">
        <w:rPr>
          <w:b/>
        </w:rPr>
        <w:t xml:space="preserve">The macroprudential policy toolkit should be strengthened further to </w:t>
      </w:r>
      <w:r>
        <w:rPr>
          <w:b/>
        </w:rPr>
        <w:t>address identified risks</w:t>
      </w:r>
      <w:r w:rsidRPr="00F80680">
        <w:rPr>
          <w:b/>
        </w:rPr>
        <w:t>.</w:t>
      </w:r>
      <w:r w:rsidRPr="00F80680">
        <w:t xml:space="preserve"> The authorities are already contemplating a debt-service-to-income (DSTI) limit on mortgages and calibration of this limit could draw on the mission’s analysis of loan-level information from the Romanian credit register. The Prima Casa program should be gradually scaled back to mitigate risks of housing sector imbalances and to support the effectiveness of the existing LTV limits. In addition, the team recommends a currency-differentiated LCR, and the monitoring of a currency-differentiated Net Stable Funding Ratio (NSFR), to limit FX liquidity risks. Strengthened monitoring of NBFLs is warranted to avoid reputational risks and regulatory arbitrage. The mission also recommends introducing capital buffers to increase resilience and guard against risks from large sovereign exposures. Open and transparent discussion in the newly created macroprudential committee should link policy action to identified risks</w:t>
      </w:r>
      <w:r>
        <w:t>.</w:t>
      </w:r>
    </w:p>
    <w:p w14:paraId="344710BD" w14:textId="36729B92" w:rsidR="00461303" w:rsidRDefault="00461303">
      <w:pPr>
        <w:spacing w:line="240" w:lineRule="auto"/>
      </w:pPr>
      <w:r>
        <w:br w:type="page"/>
      </w:r>
    </w:p>
    <w:p w14:paraId="2559DF0E" w14:textId="77777777" w:rsidR="003E4F35" w:rsidRPr="003E4F35" w:rsidRDefault="00205FD8" w:rsidP="003E4F35">
      <w:pPr>
        <w:pStyle w:val="Heading1"/>
        <w:spacing w:line="240" w:lineRule="auto"/>
      </w:pPr>
      <w:bookmarkStart w:id="23" w:name="_Toc518653288"/>
      <w:r>
        <w:lastRenderedPageBreak/>
        <w:t>Sectoral Supervision</w:t>
      </w:r>
      <w:bookmarkEnd w:id="23"/>
    </w:p>
    <w:p w14:paraId="03CEDF00" w14:textId="77777777" w:rsidR="003E4F35" w:rsidRDefault="00205FD8" w:rsidP="003E4F35">
      <w:pPr>
        <w:pStyle w:val="Heading2"/>
        <w:spacing w:before="240" w:line="240" w:lineRule="auto"/>
        <w:ind w:left="0"/>
      </w:pPr>
      <w:bookmarkStart w:id="24" w:name="_Toc518653289"/>
      <w:r>
        <w:t>Bank Supervision and Regulation</w:t>
      </w:r>
      <w:bookmarkEnd w:id="24"/>
    </w:p>
    <w:p w14:paraId="324DBE58" w14:textId="77777777" w:rsidR="00433639" w:rsidRDefault="00433639" w:rsidP="009142E2">
      <w:pPr>
        <w:pStyle w:val="ParagraphNumbering"/>
        <w:numPr>
          <w:ilvl w:val="0"/>
          <w:numId w:val="13"/>
        </w:numPr>
        <w:spacing w:after="120" w:line="300" w:lineRule="exact"/>
        <w:ind w:left="0" w:firstLine="0"/>
        <w:jc w:val="both"/>
      </w:pPr>
      <w:r w:rsidRPr="00AA5F65">
        <w:rPr>
          <w:b/>
        </w:rPr>
        <w:t>As an EU Member State, Romania is subject to and aligned with the common EU regulatory framework for banking supervision.</w:t>
      </w:r>
      <w:r>
        <w:t xml:space="preserve"> Given that a large part of Romania’s banking system is owned by Eurozone banks, the Single Supervisory mechanism (SSM), as the home supervisor for Eurozone banks, is a key partner of the NBR. As of 2017, the NBR has identified 11 banks as systemically important, of which 8 are supervised at group level by the SSM. </w:t>
      </w:r>
    </w:p>
    <w:p w14:paraId="6B8C0A69" w14:textId="77777777" w:rsidR="00433639" w:rsidRDefault="00433639" w:rsidP="009142E2">
      <w:pPr>
        <w:pStyle w:val="ParagraphNumbering"/>
        <w:numPr>
          <w:ilvl w:val="0"/>
          <w:numId w:val="13"/>
        </w:numPr>
        <w:spacing w:after="120" w:line="300" w:lineRule="exact"/>
        <w:ind w:left="0" w:firstLine="0"/>
        <w:jc w:val="both"/>
      </w:pPr>
      <w:r w:rsidRPr="00AA5F65">
        <w:rPr>
          <w:b/>
        </w:rPr>
        <w:t>The supervisory approach of the NBR has been changed toward a more risk based approach since the previous BCP assessment, but more needs to be done.</w:t>
      </w:r>
      <w:r>
        <w:t xml:space="preserve"> The NBR Board approved the adoption of the EBA SREP Guidelines into national supervisory practices in January 2016, making the SREP the core supervisory tool for banking supervision. Nevertheless, the new SREP methodology is still in the early stages of implementation. The processes for ensuring consistency and accuracy of scoring, findings, and supervisory measures across different banks have yet to be formalized and documented, and need to be improved. The NBR needs to further enhance off-site monitoring tools by incorporating a more forward-looking perspective (e.g., through bottom up stress testing tools). More risk-focused and thematic banking industry-wide analyses and examinations triggered by recent trends or events are also warranted.</w:t>
      </w:r>
    </w:p>
    <w:p w14:paraId="7678532E" w14:textId="77777777" w:rsidR="00433639" w:rsidRDefault="00433639" w:rsidP="009142E2">
      <w:pPr>
        <w:pStyle w:val="ParagraphNumbering"/>
        <w:numPr>
          <w:ilvl w:val="0"/>
          <w:numId w:val="13"/>
        </w:numPr>
        <w:spacing w:after="120" w:line="300" w:lineRule="exact"/>
        <w:ind w:left="0" w:firstLine="0"/>
        <w:jc w:val="both"/>
      </w:pPr>
      <w:r w:rsidRPr="00AA5F65">
        <w:rPr>
          <w:b/>
        </w:rPr>
        <w:t>Further development of the NBR’s supervisory approach will make supervision more effective and in line with the requirements of the 2012 Basel Core Principles (BCPs).</w:t>
      </w:r>
      <w:r>
        <w:t xml:space="preserve"> The NBR may need to devote more supervisory attention to banks’ risk models and building up further expertise in specialized areas such as IT and market risk. In the area of corrective actions and sanctions, the NBR should review its framework to ensure it is protected from undue legal challenges, and strengthen internal procedures to ascertain that enforcement measures are more consistently applied across the banking system. Post examination processes should be enhanced for banks to implement supervisory measures in a prompt manner. Intensified engagement with non-executive/independent board members is warranted for a more proactive supervisory practice.  </w:t>
      </w:r>
    </w:p>
    <w:p w14:paraId="011C016D" w14:textId="77777777" w:rsidR="00433639" w:rsidRDefault="00433639" w:rsidP="009142E2">
      <w:pPr>
        <w:pStyle w:val="ParagraphNumbering"/>
        <w:numPr>
          <w:ilvl w:val="0"/>
          <w:numId w:val="13"/>
        </w:numPr>
        <w:spacing w:after="120" w:line="300" w:lineRule="exact"/>
        <w:ind w:left="0" w:firstLine="0"/>
        <w:jc w:val="both"/>
      </w:pPr>
      <w:r w:rsidRPr="00AA5F65">
        <w:rPr>
          <w:b/>
        </w:rPr>
        <w:t>Some weaknesses were observed concerning regulations not governed by the harmonized EU framework.</w:t>
      </w:r>
      <w:r>
        <w:t xml:space="preserve"> Prudential regulations of NBR are broadly aligned with the requirements of the BCP. However, the regulations on related party transactions and country/transfer risk only include high-level principles, and lack sufficient specificity. The NBR should consider giving more clear guidance to banks and supervisors to avoid divergence of practices. This should be done through amending regulation, issuing instruction, and/or developing the on-site handbook. The NBR also needs to enhance its oversight of concentration risk and intra-group transactions, even if the exposures comply with the regulatory limits. </w:t>
      </w:r>
    </w:p>
    <w:p w14:paraId="2A6F73DD" w14:textId="77777777" w:rsidR="00205FD8" w:rsidRPr="00205FD8" w:rsidRDefault="00433639" w:rsidP="009142E2">
      <w:pPr>
        <w:pStyle w:val="ParagraphNumbering"/>
        <w:numPr>
          <w:ilvl w:val="0"/>
          <w:numId w:val="13"/>
        </w:numPr>
        <w:spacing w:after="120" w:line="300" w:lineRule="exact"/>
        <w:ind w:left="0" w:firstLine="0"/>
        <w:jc w:val="both"/>
      </w:pPr>
      <w:r w:rsidRPr="00AA5F65">
        <w:rPr>
          <w:b/>
        </w:rPr>
        <w:t>The NBR should better ensure banks’ boards effectively exercise their responsibilities.</w:t>
      </w:r>
      <w:r>
        <w:t xml:space="preserve"> Corporate governance requirements were appropriately strengthened in recent years and now constitute a cornerstone of the NBR’s supervisory approach. Attention is paid to effective implementation during on-site full-scope examinations and when approving key persons. However, the NBR only requires some banks (i.e., subsidiaries) to have an “adequate” number of </w:t>
      </w:r>
      <w:r>
        <w:lastRenderedPageBreak/>
        <w:t>independent board members. Banks usually only have one or two independent board member(s), which is insufficient. Although the NBR places a lot of responsibilities on the board, it does not yet organize regular exchanges with non-executive and independent members.</w:t>
      </w:r>
    </w:p>
    <w:p w14:paraId="10BCA0C8" w14:textId="10360430" w:rsidR="003E4F35" w:rsidRDefault="00205FD8" w:rsidP="003E4F35">
      <w:pPr>
        <w:pStyle w:val="Heading2"/>
        <w:spacing w:before="240" w:line="240" w:lineRule="auto"/>
        <w:ind w:left="0"/>
      </w:pPr>
      <w:bookmarkStart w:id="25" w:name="_Toc518653290"/>
      <w:r>
        <w:t>Financial Market Infrastructures</w:t>
      </w:r>
      <w:bookmarkEnd w:id="25"/>
    </w:p>
    <w:p w14:paraId="2F70E02D" w14:textId="77777777" w:rsidR="00333B52" w:rsidRDefault="00333B52" w:rsidP="009142E2">
      <w:pPr>
        <w:pStyle w:val="ParagraphNumbering"/>
        <w:numPr>
          <w:ilvl w:val="0"/>
          <w:numId w:val="13"/>
        </w:numPr>
        <w:spacing w:after="120" w:line="300" w:lineRule="exact"/>
        <w:ind w:left="0" w:firstLine="0"/>
        <w:jc w:val="both"/>
      </w:pPr>
      <w:r w:rsidRPr="00333B52">
        <w:rPr>
          <w:b/>
        </w:rPr>
        <w:t>Both the NBR and the ASF have taken important steps to strengthen the oversight of systemically important financial market infrastructures (FMIs).</w:t>
      </w:r>
      <w:r>
        <w:t xml:space="preserve"> The NBR oversees the real time gross settlement (RTGS) payment system and SaFIR, the central securities depository (CSD) for government securities and NBR securities. The ASF supervises the clearing and settlement systems of the BVB. The legal framework for FMIs has been strengthened through the adoption of EU legislation. The NBR has formally adopted the CPSS-IOSCO Principles for Financial Market Infrastructures (PFMI) and has assessed the FMIs under its purview against these principles. It is recommended that the NBR and ASF increase cooperation in the oversight and supervision of the CSD of the BVB to avoid overlap and inconsistent requirements. Also, the ASF should adopt the PFMI.</w:t>
      </w:r>
    </w:p>
    <w:p w14:paraId="1854F36E" w14:textId="77777777" w:rsidR="00205FD8" w:rsidRPr="00205FD8" w:rsidRDefault="00333B52" w:rsidP="009142E2">
      <w:pPr>
        <w:pStyle w:val="ParagraphNumbering"/>
        <w:numPr>
          <w:ilvl w:val="0"/>
          <w:numId w:val="13"/>
        </w:numPr>
        <w:spacing w:after="120" w:line="300" w:lineRule="exact"/>
        <w:ind w:left="0" w:firstLine="0"/>
        <w:jc w:val="both"/>
      </w:pPr>
      <w:r w:rsidRPr="00333B52">
        <w:rPr>
          <w:b/>
        </w:rPr>
        <w:t>The NBR’s project to internalize the payment and settlement infrastructure within the central bank has a strong rationale, but implementation also poses risks.</w:t>
      </w:r>
      <w:r>
        <w:t xml:space="preserve"> Currently, the RTGS and CSD systems are technically operated by Transfond S.A., a private company jointly owned by the NBR (33.3 percent) and Romanian banks. A project to internalize these systems within the NBR is scheduled to be finished in the first half of 2018 and will mitigate NBR’s dependencies of and exposures towards Transfond S.A. Although the internalization project is generally well managed, additional measures were recommended by the FSAP team to reduce migration risks. </w:t>
      </w:r>
    </w:p>
    <w:p w14:paraId="0E0B9353" w14:textId="3E412DC2" w:rsidR="003E4F35" w:rsidRDefault="00205FD8" w:rsidP="003E4F35">
      <w:pPr>
        <w:pStyle w:val="Heading2"/>
        <w:spacing w:before="240" w:line="240" w:lineRule="auto"/>
        <w:ind w:left="0"/>
      </w:pPr>
      <w:bookmarkStart w:id="26" w:name="_Toc518653291"/>
      <w:r>
        <w:t>AML/CFT</w:t>
      </w:r>
      <w:bookmarkEnd w:id="26"/>
    </w:p>
    <w:p w14:paraId="6D1F9680" w14:textId="77777777" w:rsidR="00205FD8" w:rsidRDefault="00FC25A6" w:rsidP="009142E2">
      <w:pPr>
        <w:pStyle w:val="ParagraphNumbering"/>
        <w:numPr>
          <w:ilvl w:val="0"/>
          <w:numId w:val="13"/>
        </w:numPr>
        <w:spacing w:after="120" w:line="300" w:lineRule="exact"/>
        <w:ind w:left="0" w:firstLine="0"/>
        <w:jc w:val="both"/>
      </w:pPr>
      <w:r w:rsidRPr="00FC25A6">
        <w:rPr>
          <w:b/>
        </w:rPr>
        <w:t>Romania made good progress in strengthening its AML/CFT framework since it was last assessed, but deficiencies remain.</w:t>
      </w:r>
      <w:r>
        <w:t xml:space="preserve"> Since the MONEYVAL 2008 assessment and 2013 targeted reassessment against the Financial Action Task Force (FATF) Recommendations, the AML/CFT law has been amended with a view to strengthen the independence of the FIU and the CFT framework, and a draft law aimed at transposing the EU 4</w:t>
      </w:r>
      <w:r w:rsidRPr="00FC25A6">
        <w:rPr>
          <w:vertAlign w:val="superscript"/>
        </w:rPr>
        <w:t>th</w:t>
      </w:r>
      <w:r>
        <w:t xml:space="preserve"> AML/CFT Directive </w:t>
      </w:r>
      <w:r w:rsidR="00333B52">
        <w:t>has been</w:t>
      </w:r>
      <w:r>
        <w:t xml:space="preserve"> prepared. Some measures were taken to assess the ML/TF risks in the banking sector, and a National Risk Assessment (NRA) is scheduled to start this year. Training on AML/CFT is being provided to a range of reporting entities, and supervision by the NBR and the FIU was strengthened. The reporting of suspicious transactions has increased, in particular by banks, exchanges, transfer services, and notaries, and the FIU was provided with additional resources and updated analytical tools.  However, the preventive framework, notably with respect to Politically Exposed Persons (PEPs) and to the intra-EU correspondent banking system, is still not fully in line with the standard. Insufficient measures are in place to ensure adequate transparency of beneficial ownership of legal persons and arrangements. </w:t>
      </w:r>
      <w:r w:rsidR="00882932" w:rsidRPr="00263D77">
        <w:t>Romania should also assess its ML/TF risks, take appropriate mitigating action, and ensure that ML is pursued and sanctioned in line with those risks.</w:t>
      </w:r>
    </w:p>
    <w:p w14:paraId="26A8D212" w14:textId="77777777" w:rsidR="003E4F35" w:rsidRPr="003E4F35" w:rsidRDefault="00205FD8" w:rsidP="003E4F35">
      <w:pPr>
        <w:pStyle w:val="Heading1"/>
        <w:spacing w:line="240" w:lineRule="auto"/>
      </w:pPr>
      <w:bookmarkStart w:id="27" w:name="_Toc518653292"/>
      <w:r>
        <w:lastRenderedPageBreak/>
        <w:t>Financial Safety Net and Crisis Management</w:t>
      </w:r>
      <w:bookmarkEnd w:id="27"/>
    </w:p>
    <w:p w14:paraId="358FB0C4" w14:textId="77777777" w:rsidR="003E4F35" w:rsidRDefault="00333B52" w:rsidP="009142E2">
      <w:pPr>
        <w:pStyle w:val="ParagraphNumbering"/>
        <w:numPr>
          <w:ilvl w:val="0"/>
          <w:numId w:val="13"/>
        </w:numPr>
        <w:spacing w:after="120" w:line="300" w:lineRule="exact"/>
        <w:ind w:left="0" w:firstLine="0"/>
        <w:jc w:val="both"/>
      </w:pPr>
      <w:r w:rsidRPr="00333B52">
        <w:rPr>
          <w:b/>
        </w:rPr>
        <w:t>The bank resolution and crisis management framework has been significantly revamped since the last FSAP</w:t>
      </w:r>
      <w:r>
        <w:rPr>
          <w:b/>
        </w:rPr>
        <w:t>, but t</w:t>
      </w:r>
      <w:r w:rsidRPr="00333B52">
        <w:rPr>
          <w:b/>
        </w:rPr>
        <w:t>he efforts to consolidate institutional coordination must continue.</w:t>
      </w:r>
      <w:r w:rsidRPr="00333B52">
        <w:t xml:space="preserve"> Important progress has been made, in particular through the adoption and the implementation of the Bank Recovery and Resolution Directive (BRRD), which strengthened significantly the crisis preparedness of the NBR, the Ministry of Public Finance (MoPF), as well as the Bank Deposit Guarantee Fund (FGDB). Further coordination, through inter-agency simulation exercises will help crisis preparedness. The NBR is also encouraged to ensure that Romanian interests are sufficiently addressed in the recovery and resolution plans for foreign banks with subsidiaries in Romania. The NBR should develop an Emergency Liquidity Assistance (ELA) policy that accepts a more diverse asset pool as collateral, including FX securities, and provide liquidity facilities for the FGDB. The FDGB, in turn should diversify its investment policy away from domestic sovereign bonds and bank deposits</w:t>
      </w:r>
      <w:r w:rsidR="00882932">
        <w:t>.</w:t>
      </w:r>
      <w:r w:rsidR="009E380E">
        <w:t xml:space="preserve"> Finally, authorities should seek </w:t>
      </w:r>
      <w:r w:rsidR="009E380E" w:rsidRPr="009E380E">
        <w:t>a comprehensive solution that exempts bank resolution from the scope of the procurement law</w:t>
      </w:r>
      <w:r w:rsidR="009E380E">
        <w:t>, to allow the authorities to act swiftly and not be constrained on viable resolution options.</w:t>
      </w:r>
    </w:p>
    <w:p w14:paraId="2E54D6EC" w14:textId="4906E41F" w:rsidR="001B1257" w:rsidRDefault="001B1257">
      <w:pPr>
        <w:spacing w:line="240" w:lineRule="auto"/>
        <w:rPr>
          <w:rFonts w:cs="Arial"/>
          <w:b/>
          <w:bCs/>
          <w:smallCaps/>
          <w:kern w:val="28"/>
          <w:szCs w:val="32"/>
        </w:rPr>
      </w:pPr>
    </w:p>
    <w:p w14:paraId="07C5EDB6" w14:textId="77777777" w:rsidR="00755599" w:rsidRPr="00755599" w:rsidRDefault="00205FD8" w:rsidP="00755599">
      <w:pPr>
        <w:pStyle w:val="Heading1"/>
        <w:spacing w:line="240" w:lineRule="auto"/>
      </w:pPr>
      <w:bookmarkStart w:id="28" w:name="_Toc518653293"/>
      <w:r>
        <w:t>Financial Sector Development</w:t>
      </w:r>
      <w:bookmarkEnd w:id="28"/>
    </w:p>
    <w:p w14:paraId="4F3D07A7" w14:textId="77777777" w:rsidR="00755599" w:rsidRPr="00755599" w:rsidRDefault="00205FD8" w:rsidP="00755599">
      <w:pPr>
        <w:pStyle w:val="Heading2"/>
        <w:spacing w:before="240" w:line="240" w:lineRule="auto"/>
        <w:ind w:left="0"/>
      </w:pPr>
      <w:bookmarkStart w:id="29" w:name="_Toc518653294"/>
      <w:r>
        <w:t>Financial Intermediation</w:t>
      </w:r>
      <w:bookmarkEnd w:id="29"/>
    </w:p>
    <w:p w14:paraId="735B75C5" w14:textId="77777777" w:rsidR="001F2587" w:rsidRPr="001F2587" w:rsidRDefault="001F2587" w:rsidP="001F2587">
      <w:pPr>
        <w:spacing w:after="120" w:line="400" w:lineRule="exact"/>
        <w:jc w:val="both"/>
        <w:rPr>
          <w:rFonts w:cs="Segoe UI"/>
          <w:b/>
          <w:szCs w:val="22"/>
        </w:rPr>
      </w:pPr>
      <w:r w:rsidRPr="001F2587">
        <w:rPr>
          <w:rFonts w:cs="Segoe UI"/>
          <w:b/>
          <w:szCs w:val="22"/>
        </w:rPr>
        <w:t>Background</w:t>
      </w:r>
    </w:p>
    <w:p w14:paraId="16C1FA2F" w14:textId="686563D7" w:rsidR="001F2587" w:rsidRPr="001F2587" w:rsidRDefault="001F2587" w:rsidP="009142E2">
      <w:pPr>
        <w:pStyle w:val="ParagraphNumbering"/>
        <w:numPr>
          <w:ilvl w:val="0"/>
          <w:numId w:val="13"/>
        </w:numPr>
        <w:spacing w:after="120" w:line="300" w:lineRule="exact"/>
        <w:ind w:left="0" w:firstLine="0"/>
        <w:jc w:val="both"/>
        <w:rPr>
          <w:rFonts w:cs="Segoe UI"/>
          <w:szCs w:val="22"/>
        </w:rPr>
      </w:pPr>
      <w:r w:rsidRPr="001F2587">
        <w:rPr>
          <w:rFonts w:cs="Segoe UI"/>
          <w:b/>
          <w:szCs w:val="22"/>
        </w:rPr>
        <w:t>The analysis has focused on the key factors negatively affecting financial intermediation and areas for policy recommendations for sustainable enhancement.</w:t>
      </w:r>
      <w:r w:rsidRPr="001F2587">
        <w:rPr>
          <w:rFonts w:cs="Segoe UI"/>
          <w:szCs w:val="22"/>
        </w:rPr>
        <w:t xml:space="preserve"> The depth of financial intermediation is an equilibrium of two functions – the acquisition of funds by intermediaries, primarily deposits, and the placement of these funds as loans to the real sector. The focus of this analysis is the banking sector as the major intermediary. The analysis is based on </w:t>
      </w:r>
      <w:r w:rsidR="00BF74E6">
        <w:rPr>
          <w:rFonts w:cs="Segoe UI"/>
          <w:szCs w:val="22"/>
        </w:rPr>
        <w:t xml:space="preserve">historical </w:t>
      </w:r>
      <w:r w:rsidR="00705639">
        <w:rPr>
          <w:rFonts w:cs="Segoe UI"/>
          <w:szCs w:val="22"/>
        </w:rPr>
        <w:t xml:space="preserve">information </w:t>
      </w:r>
      <w:r w:rsidR="00BF74E6">
        <w:rPr>
          <w:rFonts w:cs="Segoe UI"/>
          <w:szCs w:val="22"/>
        </w:rPr>
        <w:t xml:space="preserve">of the level of intermediation compared to peer countries, </w:t>
      </w:r>
      <w:r w:rsidRPr="001F2587">
        <w:rPr>
          <w:rFonts w:cs="Segoe UI"/>
          <w:szCs w:val="22"/>
        </w:rPr>
        <w:t xml:space="preserve">interviews, data received from NBR and other sources, as well as two bank questionnaires. Bank views on financial intermediation were explored with a survey with a high response rate, representing 96.0 percent of banking sector assets. </w:t>
      </w:r>
    </w:p>
    <w:p w14:paraId="2AA79B0B" w14:textId="77777777" w:rsidR="001F2587" w:rsidRPr="001F2587" w:rsidRDefault="001F2587" w:rsidP="009142E2">
      <w:pPr>
        <w:pStyle w:val="ParagraphNumbering"/>
        <w:numPr>
          <w:ilvl w:val="0"/>
          <w:numId w:val="13"/>
        </w:numPr>
        <w:spacing w:after="120" w:line="300" w:lineRule="exact"/>
        <w:ind w:left="0" w:firstLine="0"/>
        <w:jc w:val="both"/>
        <w:rPr>
          <w:rFonts w:cs="Segoe UI"/>
          <w:szCs w:val="22"/>
        </w:rPr>
      </w:pPr>
      <w:r w:rsidRPr="001F2587">
        <w:rPr>
          <w:rFonts w:cs="Segoe UI"/>
          <w:b/>
          <w:szCs w:val="22"/>
        </w:rPr>
        <w:t>The banking sector in Romania is shallow and has been declining relative to the economy; low intermediation is reflected on both sides of the banking balance sheet.</w:t>
      </w:r>
      <w:r w:rsidRPr="001F2587">
        <w:rPr>
          <w:rFonts w:cs="Segoe UI"/>
          <w:szCs w:val="22"/>
        </w:rPr>
        <w:t xml:space="preserve"> Banking sector assets amounted to 52.7 percent of GDP in September 2017, down from a high of 72.5 percent in 2010 as evolution of bank assets post 2008 (CAGR of 2.5 percent between 2009 and 2016) fell behind GDP (CAGR of 6.2 percent). The relative size of the sector is one of the lowest in the region (peer</w:t>
      </w:r>
      <w:r w:rsidRPr="001F2587">
        <w:rPr>
          <w:rStyle w:val="FootnoteReference"/>
          <w:rFonts w:cs="Segoe UI"/>
          <w:sz w:val="24"/>
          <w:szCs w:val="22"/>
        </w:rPr>
        <w:footnoteReference w:id="7"/>
      </w:r>
      <w:r w:rsidRPr="001F2587">
        <w:rPr>
          <w:rFonts w:cs="Segoe UI"/>
          <w:szCs w:val="22"/>
        </w:rPr>
        <w:t xml:space="preserve"> average: 104.9 percent of GDP) and Romania is lagging both in terms of deposit and</w:t>
      </w:r>
      <w:r w:rsidRPr="001F2587">
        <w:rPr>
          <w:rFonts w:cs="Segoe UI"/>
          <w:b/>
          <w:szCs w:val="22"/>
        </w:rPr>
        <w:t xml:space="preserve"> </w:t>
      </w:r>
      <w:r w:rsidRPr="001F2587">
        <w:rPr>
          <w:rFonts w:cs="Segoe UI"/>
          <w:szCs w:val="22"/>
        </w:rPr>
        <w:t>loan penetration.</w:t>
      </w:r>
      <w:r w:rsidRPr="001F2587">
        <w:rPr>
          <w:rFonts w:cs="Segoe UI"/>
          <w:b/>
          <w:szCs w:val="22"/>
        </w:rPr>
        <w:t xml:space="preserve"> </w:t>
      </w:r>
      <w:r w:rsidRPr="001F2587">
        <w:rPr>
          <w:rFonts w:cs="Segoe UI"/>
          <w:szCs w:val="22"/>
        </w:rPr>
        <w:t xml:space="preserve">The deposit base stood at 36.3 percent of GDP in September 2017 vs. peer average of 71.4 percent and bank loans reached 33.4 percent of GDP vs. peer average of 68.0 percent. This gap is observed in both major segments of the market: households and enterprises. </w:t>
      </w:r>
    </w:p>
    <w:p w14:paraId="7AF3B0C9" w14:textId="77777777" w:rsidR="001F2587" w:rsidRPr="001F2587" w:rsidRDefault="001F2587" w:rsidP="009142E2">
      <w:pPr>
        <w:pStyle w:val="ParagraphNumbering"/>
        <w:numPr>
          <w:ilvl w:val="0"/>
          <w:numId w:val="13"/>
        </w:numPr>
        <w:spacing w:after="120" w:line="300" w:lineRule="exact"/>
        <w:ind w:left="0" w:firstLine="0"/>
        <w:jc w:val="both"/>
        <w:rPr>
          <w:rFonts w:cs="Segoe UI"/>
          <w:szCs w:val="22"/>
        </w:rPr>
      </w:pPr>
      <w:r w:rsidRPr="001F2587">
        <w:rPr>
          <w:rFonts w:cs="Segoe UI"/>
          <w:b/>
          <w:szCs w:val="22"/>
        </w:rPr>
        <w:lastRenderedPageBreak/>
        <w:t>Historical factors explain the low credit intermediation and while it has picked up after 2000, it decelerated in the context of the financial crisis.</w:t>
      </w:r>
      <w:r w:rsidRPr="001F2587">
        <w:rPr>
          <w:rFonts w:cs="Segoe UI"/>
          <w:szCs w:val="22"/>
        </w:rPr>
        <w:t xml:space="preserve"> Similar to other countries in the region, the low credit intermediation in Romania is rooted in the origins of the country’s transition to a </w:t>
      </w:r>
      <w:r w:rsidRPr="001F2587">
        <w:rPr>
          <w:szCs w:val="22"/>
        </w:rPr>
        <w:t>market</w:t>
      </w:r>
      <w:r w:rsidRPr="001F2587">
        <w:rPr>
          <w:rFonts w:cs="Segoe UI"/>
          <w:szCs w:val="22"/>
        </w:rPr>
        <w:t xml:space="preserve"> economy, which was marked by an embryonic private sector, high inflation, and several state-owned bank failures. In 1996, domestic credit to private sector was 10.9 percent of GDP, 20.7 percentage points lower than the average of the four peer countries. While the gap began to close in the period leading to the crisis, credit growth decelerated in 2010 as a result of both shrinking credit supply and lower demand for credit, and the gap with peers began to widen.</w:t>
      </w:r>
    </w:p>
    <w:p w14:paraId="71D20D45" w14:textId="77777777" w:rsidR="001F2587" w:rsidRPr="001F2587" w:rsidRDefault="001F2587" w:rsidP="009142E2">
      <w:pPr>
        <w:pStyle w:val="ParagraphNumbering"/>
        <w:numPr>
          <w:ilvl w:val="0"/>
          <w:numId w:val="13"/>
        </w:numPr>
        <w:spacing w:after="120" w:line="300" w:lineRule="exact"/>
        <w:ind w:left="0" w:firstLine="0"/>
        <w:jc w:val="both"/>
        <w:rPr>
          <w:rFonts w:cs="Segoe UI"/>
          <w:szCs w:val="22"/>
        </w:rPr>
      </w:pPr>
      <w:r w:rsidRPr="001F2587">
        <w:rPr>
          <w:rFonts w:cs="Segoe UI"/>
          <w:b/>
          <w:szCs w:val="22"/>
        </w:rPr>
        <w:t>Cross-cutting constraints affect both deposits and credit and explain structural low levels of intermediation: poverty, rurality, and informality.</w:t>
      </w:r>
      <w:r w:rsidRPr="001F2587">
        <w:rPr>
          <w:rFonts w:cs="Segoe UI"/>
          <w:szCs w:val="22"/>
        </w:rPr>
        <w:t xml:space="preserve"> Poverty remains distinctively high for Romania’s income </w:t>
      </w:r>
      <w:r w:rsidRPr="001F2587">
        <w:rPr>
          <w:szCs w:val="22"/>
        </w:rPr>
        <w:t>level</w:t>
      </w:r>
      <w:r w:rsidRPr="001F2587">
        <w:rPr>
          <w:rFonts w:cs="Segoe UI"/>
          <w:szCs w:val="22"/>
        </w:rPr>
        <w:t xml:space="preserve"> with 38.8 percent of the population at risk of poverty or social exclusion in 2016. Poverty is related to the high share of rural population (45.3 percent) one the highest in Europe, whose main occupation is agriculture and for which insufficient access to finance is a significant constraint. Finally, informal employment represents about 20-50 percent of employment in Romania depending on the definition used, while the shadow economy was estimated at 27.6 percent of GDP in 2016, the second highest in the EU after Bulgaria.</w:t>
      </w:r>
      <w:r w:rsidRPr="001F2587">
        <w:rPr>
          <w:rStyle w:val="FootnoteReference"/>
          <w:rFonts w:cs="Segoe UI"/>
          <w:sz w:val="24"/>
          <w:szCs w:val="22"/>
        </w:rPr>
        <w:footnoteReference w:id="8"/>
      </w:r>
      <w:r w:rsidRPr="001F2587">
        <w:rPr>
          <w:rFonts w:cs="Segoe UI"/>
          <w:szCs w:val="22"/>
        </w:rPr>
        <w:t xml:space="preserve"> </w:t>
      </w:r>
    </w:p>
    <w:p w14:paraId="225412D2" w14:textId="77777777" w:rsidR="001F2587" w:rsidRPr="001F2587" w:rsidRDefault="001F2587" w:rsidP="001F2587">
      <w:pPr>
        <w:spacing w:after="120" w:line="400" w:lineRule="exact"/>
        <w:jc w:val="both"/>
        <w:rPr>
          <w:rFonts w:cs="Segoe UI"/>
          <w:b/>
          <w:szCs w:val="22"/>
        </w:rPr>
      </w:pPr>
      <w:r w:rsidRPr="001F2587">
        <w:rPr>
          <w:rFonts w:cs="Segoe UI"/>
          <w:b/>
          <w:szCs w:val="22"/>
        </w:rPr>
        <w:t>Access to finance for the enterprise sector</w:t>
      </w:r>
    </w:p>
    <w:p w14:paraId="0E62B46B" w14:textId="77777777" w:rsidR="001F2587" w:rsidRPr="001F2587" w:rsidRDefault="001F2587" w:rsidP="009142E2">
      <w:pPr>
        <w:pStyle w:val="ParagraphNumbering"/>
        <w:numPr>
          <w:ilvl w:val="0"/>
          <w:numId w:val="13"/>
        </w:numPr>
        <w:spacing w:after="120" w:line="300" w:lineRule="exact"/>
        <w:ind w:left="0" w:firstLine="0"/>
        <w:jc w:val="both"/>
        <w:rPr>
          <w:rFonts w:cs="Segoe UI"/>
          <w:szCs w:val="22"/>
        </w:rPr>
      </w:pPr>
      <w:r w:rsidRPr="001F2587">
        <w:rPr>
          <w:rFonts w:cs="Segoe UI"/>
          <w:b/>
          <w:szCs w:val="22"/>
        </w:rPr>
        <w:t>Low access to finance for enterprises is a result of multiple factors affecting supply and demand.</w:t>
      </w:r>
      <w:r w:rsidRPr="001F2587">
        <w:rPr>
          <w:rFonts w:cs="Segoe UI"/>
          <w:szCs w:val="22"/>
        </w:rPr>
        <w:t xml:space="preserve"> The demand for credit is affected by: the size and composition of the Romanian enterprise sector, the level of investment activity and the constraints businesses face, and corporate finance options, among others. The supply of credit to the enterprises is affected by the degree of competition in the banking sector, the performance, the business model of the banks, and the quality of loan portfolio, among others.</w:t>
      </w:r>
    </w:p>
    <w:p w14:paraId="7BB03433" w14:textId="77777777" w:rsidR="001F2587" w:rsidRPr="001F2587" w:rsidRDefault="001F2587" w:rsidP="001F2587">
      <w:pPr>
        <w:spacing w:after="120" w:line="400" w:lineRule="exact"/>
        <w:jc w:val="both"/>
        <w:rPr>
          <w:rFonts w:cs="Segoe UI"/>
          <w:b/>
          <w:szCs w:val="22"/>
        </w:rPr>
      </w:pPr>
      <w:r w:rsidRPr="001F2587">
        <w:rPr>
          <w:rFonts w:cs="Segoe UI"/>
          <w:b/>
          <w:szCs w:val="22"/>
        </w:rPr>
        <w:t>Credit Demand</w:t>
      </w:r>
    </w:p>
    <w:p w14:paraId="31CF85BC" w14:textId="7B5E5305" w:rsidR="001F2587" w:rsidRPr="001F2587" w:rsidRDefault="001F2587" w:rsidP="009142E2">
      <w:pPr>
        <w:pStyle w:val="ParagraphNumbering"/>
        <w:numPr>
          <w:ilvl w:val="0"/>
          <w:numId w:val="13"/>
        </w:numPr>
        <w:spacing w:after="120" w:line="300" w:lineRule="exact"/>
        <w:ind w:left="0" w:firstLine="0"/>
        <w:jc w:val="both"/>
        <w:rPr>
          <w:rFonts w:cs="Segoe UI"/>
          <w:szCs w:val="22"/>
        </w:rPr>
      </w:pPr>
      <w:r w:rsidRPr="001F2587">
        <w:rPr>
          <w:rFonts w:cs="Segoe UI"/>
          <w:b/>
          <w:bCs/>
          <w:szCs w:val="22"/>
        </w:rPr>
        <w:t xml:space="preserve">Low enterprise density and poor financial condition of enterprises negatively affect the demand </w:t>
      </w:r>
      <w:r w:rsidR="00FC673D">
        <w:rPr>
          <w:rFonts w:cs="Segoe UI"/>
          <w:b/>
          <w:bCs/>
          <w:szCs w:val="22"/>
        </w:rPr>
        <w:t>for</w:t>
      </w:r>
      <w:r w:rsidR="00FC673D" w:rsidRPr="001F2587">
        <w:rPr>
          <w:rFonts w:cs="Segoe UI"/>
          <w:b/>
          <w:bCs/>
          <w:szCs w:val="22"/>
        </w:rPr>
        <w:t xml:space="preserve"> </w:t>
      </w:r>
      <w:r w:rsidRPr="001F2587">
        <w:rPr>
          <w:rFonts w:cs="Segoe UI"/>
          <w:b/>
          <w:bCs/>
          <w:szCs w:val="22"/>
        </w:rPr>
        <w:t xml:space="preserve">credit, while foreign-owned firms have access to credit from abroad. </w:t>
      </w:r>
      <w:r w:rsidRPr="001F2587">
        <w:rPr>
          <w:rFonts w:cs="Segoe UI"/>
          <w:bCs/>
          <w:szCs w:val="22"/>
        </w:rPr>
        <w:t xml:space="preserve">With </w:t>
      </w:r>
      <w:r w:rsidRPr="001F2587">
        <w:rPr>
          <w:rFonts w:cs="Segoe UI"/>
          <w:szCs w:val="22"/>
        </w:rPr>
        <w:t>about</w:t>
      </w:r>
      <w:r w:rsidRPr="001F2587">
        <w:rPr>
          <w:rFonts w:cs="Segoe UI"/>
          <w:bCs/>
          <w:szCs w:val="22"/>
        </w:rPr>
        <w:t xml:space="preserve"> 4</w:t>
      </w:r>
      <w:r w:rsidRPr="001F2587">
        <w:rPr>
          <w:rFonts w:cs="Segoe UI"/>
          <w:szCs w:val="22"/>
        </w:rPr>
        <w:t>60,000 enterprises operating in the secondary and tertiary sectors,</w:t>
      </w:r>
      <w:r w:rsidRPr="001F2587">
        <w:rPr>
          <w:rStyle w:val="FootnoteReference"/>
          <w:rFonts w:cs="Segoe UI"/>
          <w:sz w:val="24"/>
          <w:szCs w:val="22"/>
        </w:rPr>
        <w:footnoteReference w:id="9"/>
      </w:r>
      <w:r w:rsidRPr="001F2587">
        <w:rPr>
          <w:rFonts w:cs="Segoe UI"/>
          <w:szCs w:val="22"/>
        </w:rPr>
        <w:t xml:space="preserve"> 88.5 percent of which microenterprises, 11.1 percent SMEs and 0.4 percent large firms, Romania has only </w:t>
      </w:r>
      <w:r w:rsidRPr="001F2587">
        <w:rPr>
          <w:rFonts w:cs="Segoe UI"/>
          <w:bCs/>
          <w:szCs w:val="22"/>
        </w:rPr>
        <w:t xml:space="preserve">23 enterprises per 1,000 people, </w:t>
      </w:r>
      <w:r w:rsidRPr="001F2587">
        <w:rPr>
          <w:rFonts w:cs="Segoe UI"/>
          <w:szCs w:val="22"/>
        </w:rPr>
        <w:t xml:space="preserve">which is 56 percent lower than the rest of the EU and 21 percent lower than the four </w:t>
      </w:r>
      <w:r w:rsidRPr="001F2587">
        <w:rPr>
          <w:szCs w:val="22"/>
        </w:rPr>
        <w:t>peer</w:t>
      </w:r>
      <w:r w:rsidRPr="001F2587">
        <w:rPr>
          <w:rFonts w:cs="Segoe UI"/>
          <w:szCs w:val="22"/>
        </w:rPr>
        <w:t xml:space="preserve"> countries. This divergence exists across all size segments (although it is largest for microenterprises). At the same time, banks only consider 128,000 of these companies on average to be within their minimum financial criteria. Romania has also attracted many foreign-owned firms, which now account for 5.9 percent of total enterprises, more than peers, and 44 percent of total value added in 2015. These companies benefit from parent companies’ centralized treasuries, which often borrow from bank or bond markets outside of Romania at a lower cost than the local subsidiaries can. </w:t>
      </w:r>
      <w:r w:rsidR="00BF74E6">
        <w:rPr>
          <w:rFonts w:cs="Segoe UI"/>
          <w:szCs w:val="22"/>
        </w:rPr>
        <w:t>Such financing is not included in the domestic aggregate banking balance sheet.</w:t>
      </w:r>
      <w:r w:rsidRPr="001F2587">
        <w:rPr>
          <w:rFonts w:cs="Segoe UI"/>
          <w:szCs w:val="22"/>
        </w:rPr>
        <w:t xml:space="preserve"> </w:t>
      </w:r>
    </w:p>
    <w:p w14:paraId="014A44DC" w14:textId="77777777" w:rsidR="001F2587" w:rsidRPr="001F2587" w:rsidRDefault="001F2587" w:rsidP="009142E2">
      <w:pPr>
        <w:pStyle w:val="ParagraphNumbering"/>
        <w:numPr>
          <w:ilvl w:val="0"/>
          <w:numId w:val="13"/>
        </w:numPr>
        <w:spacing w:after="120" w:line="300" w:lineRule="exact"/>
        <w:ind w:left="0" w:firstLine="0"/>
        <w:jc w:val="both"/>
        <w:rPr>
          <w:rFonts w:cs="Segoe UI"/>
          <w:szCs w:val="22"/>
        </w:rPr>
      </w:pPr>
      <w:r w:rsidRPr="001F2587">
        <w:rPr>
          <w:rFonts w:cs="Segoe UI"/>
          <w:b/>
          <w:szCs w:val="22"/>
        </w:rPr>
        <w:t xml:space="preserve">Lower credit demand was also driven by lagging business investment, despite a period of intense economic growth. </w:t>
      </w:r>
      <w:r w:rsidRPr="001F2587">
        <w:rPr>
          <w:rFonts w:cs="Segoe UI"/>
          <w:szCs w:val="22"/>
        </w:rPr>
        <w:t xml:space="preserve">The economic growth had a positive spillover in the </w:t>
      </w:r>
      <w:r w:rsidRPr="001F2587">
        <w:rPr>
          <w:rFonts w:cs="Segoe UI"/>
          <w:szCs w:val="22"/>
        </w:rPr>
        <w:lastRenderedPageBreak/>
        <w:t xml:space="preserve">enterprise sector, with more than 30 percent of businesses reporting an increase in turnover of more than 20 percent over the last 3 years, a share significantly higher than peer countries. However, this improved performance was not accompanied by an increase in investment activity. Top three obstacles cited for lagging investment are availability of transport infrastructure, </w:t>
      </w:r>
      <w:r w:rsidRPr="001F2587">
        <w:rPr>
          <w:szCs w:val="22"/>
        </w:rPr>
        <w:t>availability</w:t>
      </w:r>
      <w:r w:rsidRPr="001F2587">
        <w:rPr>
          <w:rFonts w:cs="Segoe UI"/>
          <w:szCs w:val="22"/>
        </w:rPr>
        <w:t xml:space="preserve"> of staff, and uncertainty about the future. While a static analysis of the business environment does not portray a negative picture (Romania is ranked 45 in Doing Business out of 190 economies), over the past couple of years, businesses have been faced with a number of legal measures which severely impacted their ability to plan investment. Banks surveyed, as well as other market participants, cited legal uncertainty e.g. in the fiscal code as the most significant factor affecting financial intermediation.</w:t>
      </w:r>
    </w:p>
    <w:p w14:paraId="19404AF2" w14:textId="77777777" w:rsidR="001F2587" w:rsidRPr="001F2587" w:rsidRDefault="001F2587" w:rsidP="009142E2">
      <w:pPr>
        <w:pStyle w:val="ParagraphNumbering"/>
        <w:numPr>
          <w:ilvl w:val="0"/>
          <w:numId w:val="13"/>
        </w:numPr>
        <w:spacing w:after="120" w:line="300" w:lineRule="exact"/>
        <w:ind w:left="0" w:firstLine="0"/>
        <w:jc w:val="both"/>
        <w:rPr>
          <w:rFonts w:cs="Segoe UI"/>
          <w:szCs w:val="22"/>
        </w:rPr>
      </w:pPr>
      <w:r w:rsidRPr="001F2587">
        <w:rPr>
          <w:rFonts w:cs="Segoe UI"/>
          <w:b/>
          <w:szCs w:val="22"/>
        </w:rPr>
        <w:t xml:space="preserve">There is high reliance on internal financing and trade credit. </w:t>
      </w:r>
      <w:r w:rsidRPr="001F2587">
        <w:rPr>
          <w:rFonts w:cs="Segoe UI"/>
          <w:szCs w:val="22"/>
        </w:rPr>
        <w:t>The sudden loss of access to credit experienced by some firms during and after the crisis resulted in a loss of confidence in the banking system as a reliable form of financing. Many SMEs, despite needs, tend to rely on internal sources of financing.</w:t>
      </w:r>
      <w:r w:rsidRPr="001F2587">
        <w:rPr>
          <w:rStyle w:val="FootnoteReference"/>
          <w:rFonts w:cs="Segoe UI"/>
          <w:sz w:val="24"/>
          <w:szCs w:val="22"/>
        </w:rPr>
        <w:t xml:space="preserve"> </w:t>
      </w:r>
      <w:r w:rsidRPr="001F2587">
        <w:rPr>
          <w:rFonts w:cs="Segoe UI"/>
          <w:szCs w:val="22"/>
        </w:rPr>
        <w:t xml:space="preserve">Furthermore, trade credit accounts for 25.0 percent of financial liabilities for non-financial corporations, much more than peers (average 10.0 percent) and the EU (6.4 percent). Trade credit has -to some extent- replaced bank loans since the crisis, with CAGR 2009-2016 of 4.8 percent while loans balances on corporate balance sheets have registered a very small growth of 0.4 percent. </w:t>
      </w:r>
    </w:p>
    <w:p w14:paraId="5287E108" w14:textId="77777777" w:rsidR="001F2587" w:rsidRPr="001F2587" w:rsidRDefault="001F2587" w:rsidP="001F2587">
      <w:pPr>
        <w:spacing w:after="120" w:line="400" w:lineRule="exact"/>
        <w:jc w:val="both"/>
        <w:rPr>
          <w:rFonts w:cs="Segoe UI"/>
          <w:b/>
          <w:szCs w:val="22"/>
        </w:rPr>
      </w:pPr>
      <w:r w:rsidRPr="001F2587">
        <w:rPr>
          <w:rFonts w:cs="Segoe UI"/>
          <w:b/>
          <w:szCs w:val="22"/>
        </w:rPr>
        <w:t>Credit Supply</w:t>
      </w:r>
    </w:p>
    <w:p w14:paraId="41D0E14F" w14:textId="77777777" w:rsidR="001F2587" w:rsidRPr="001F2587" w:rsidRDefault="001F2587" w:rsidP="009142E2">
      <w:pPr>
        <w:pStyle w:val="ParagraphNumbering"/>
        <w:numPr>
          <w:ilvl w:val="0"/>
          <w:numId w:val="13"/>
        </w:numPr>
        <w:spacing w:after="120" w:line="300" w:lineRule="exact"/>
        <w:ind w:left="0" w:firstLine="0"/>
        <w:jc w:val="both"/>
        <w:rPr>
          <w:rFonts w:cs="Segoe UI"/>
          <w:szCs w:val="22"/>
        </w:rPr>
      </w:pPr>
      <w:r w:rsidRPr="001F2587">
        <w:rPr>
          <w:rFonts w:cs="Segoe UI"/>
          <w:b/>
          <w:szCs w:val="22"/>
        </w:rPr>
        <w:t>The banking sector, as the biggest financial intermediary, seems competitive and enjoys profitability and liquidity.</w:t>
      </w:r>
      <w:r w:rsidRPr="001F2587">
        <w:rPr>
          <w:rFonts w:cs="Segoe UI"/>
          <w:szCs w:val="22"/>
        </w:rPr>
        <w:t xml:space="preserve"> The sector consists of 2</w:t>
      </w:r>
      <w:r w:rsidR="002F3580">
        <w:rPr>
          <w:rFonts w:cs="Segoe UI"/>
          <w:szCs w:val="22"/>
        </w:rPr>
        <w:t>8</w:t>
      </w:r>
      <w:r w:rsidRPr="001F2587">
        <w:rPr>
          <w:rFonts w:cs="Segoe UI"/>
          <w:szCs w:val="22"/>
        </w:rPr>
        <w:t xml:space="preserve"> banks and </w:t>
      </w:r>
      <w:r w:rsidR="002F3580">
        <w:rPr>
          <w:rFonts w:cs="Segoe UI"/>
          <w:szCs w:val="22"/>
        </w:rPr>
        <w:t>7</w:t>
      </w:r>
      <w:r w:rsidRPr="001F2587">
        <w:rPr>
          <w:rFonts w:cs="Segoe UI"/>
          <w:szCs w:val="22"/>
        </w:rPr>
        <w:t xml:space="preserve"> branches. The Herfindahl-Hirschman (895) and asset concentration for the top five banks (58.1 percent) point to sufficient room for competition given the size of the real economy. In the latest CESEE Lending survey, 73 </w:t>
      </w:r>
      <w:r w:rsidRPr="001F2587">
        <w:rPr>
          <w:szCs w:val="22"/>
        </w:rPr>
        <w:t>percent</w:t>
      </w:r>
      <w:r w:rsidRPr="001F2587">
        <w:rPr>
          <w:rFonts w:cs="Segoe UI"/>
          <w:szCs w:val="22"/>
        </w:rPr>
        <w:t xml:space="preserve"> of foreign parent banks consider Romania a high-potential market and a large majority report higher RoA from Romania compared to the overall group. Banks currently have a low LTD </w:t>
      </w:r>
      <w:r w:rsidR="00DF713F">
        <w:rPr>
          <w:rFonts w:cs="Segoe UI"/>
          <w:szCs w:val="22"/>
        </w:rPr>
        <w:t xml:space="preserve">ratio </w:t>
      </w:r>
      <w:r w:rsidRPr="001F2587">
        <w:rPr>
          <w:rFonts w:cs="Segoe UI"/>
          <w:szCs w:val="22"/>
        </w:rPr>
        <w:t xml:space="preserve">of 71 percent as of mid-2017, indicating excessive liquidity.  </w:t>
      </w:r>
    </w:p>
    <w:p w14:paraId="05607D5A" w14:textId="4CAE651C" w:rsidR="001F2587" w:rsidRPr="001F2587" w:rsidRDefault="001F2587" w:rsidP="009142E2">
      <w:pPr>
        <w:pStyle w:val="ParagraphNumbering"/>
        <w:numPr>
          <w:ilvl w:val="0"/>
          <w:numId w:val="13"/>
        </w:numPr>
        <w:spacing w:after="120" w:line="300" w:lineRule="exact"/>
        <w:ind w:left="0" w:firstLine="0"/>
        <w:jc w:val="both"/>
        <w:rPr>
          <w:rFonts w:cs="Segoe UI"/>
          <w:szCs w:val="22"/>
        </w:rPr>
      </w:pPr>
      <w:r w:rsidRPr="001F2587">
        <w:rPr>
          <w:rFonts w:cs="Segoe UI"/>
          <w:b/>
          <w:szCs w:val="22"/>
        </w:rPr>
        <w:t xml:space="preserve">After the crisis, credit supply was restricted, especially to MSMEs and in rural areas. </w:t>
      </w:r>
      <w:r w:rsidR="00EE7A88">
        <w:rPr>
          <w:rFonts w:cs="Segoe UI"/>
          <w:szCs w:val="22"/>
        </w:rPr>
        <w:t xml:space="preserve">The banking </w:t>
      </w:r>
      <w:r w:rsidR="00EE7A88" w:rsidRPr="00EE7A88">
        <w:rPr>
          <w:rFonts w:cs="Segoe UI"/>
          <w:szCs w:val="22"/>
        </w:rPr>
        <w:t>sector</w:t>
      </w:r>
      <w:r w:rsidR="00EE7A88">
        <w:rPr>
          <w:rFonts w:cs="Segoe UI"/>
          <w:szCs w:val="22"/>
        </w:rPr>
        <w:t xml:space="preserve">, being mostly </w:t>
      </w:r>
      <w:r w:rsidR="00EE7A88" w:rsidRPr="00EE7A88">
        <w:rPr>
          <w:rFonts w:cs="Segoe UI"/>
          <w:szCs w:val="22"/>
        </w:rPr>
        <w:t>foreign-owned, experienced persistent deleveraging after the crisis</w:t>
      </w:r>
      <w:r w:rsidR="00EE7A88" w:rsidRPr="00D413A7">
        <w:rPr>
          <w:rFonts w:cs="Segoe UI"/>
          <w:szCs w:val="22"/>
        </w:rPr>
        <w:t xml:space="preserve"> with external exposures to Romanian banks declining</w:t>
      </w:r>
      <w:r w:rsidR="00EE7A88" w:rsidRPr="00C04385">
        <w:rPr>
          <w:rFonts w:cs="Segoe UI"/>
          <w:szCs w:val="22"/>
        </w:rPr>
        <w:t xml:space="preserve"> </w:t>
      </w:r>
      <w:r w:rsidR="00EE7A88" w:rsidRPr="00EE7A88">
        <w:rPr>
          <w:rFonts w:cs="Segoe UI"/>
          <w:szCs w:val="22"/>
        </w:rPr>
        <w:t>to 7.7 percent of GDP in the second quarter of 2017</w:t>
      </w:r>
      <w:r w:rsidR="005351BB">
        <w:rPr>
          <w:rFonts w:cs="Segoe UI"/>
          <w:szCs w:val="22"/>
        </w:rPr>
        <w:t>, down</w:t>
      </w:r>
      <w:r w:rsidR="00EE7A88">
        <w:rPr>
          <w:rFonts w:cs="Segoe UI"/>
          <w:szCs w:val="22"/>
        </w:rPr>
        <w:t xml:space="preserve"> </w:t>
      </w:r>
      <w:r w:rsidR="00EE7A88" w:rsidRPr="009666E9">
        <w:rPr>
          <w:rFonts w:cs="Segoe UI"/>
          <w:szCs w:val="22"/>
        </w:rPr>
        <w:t>from 21.4 percent at the end of 2008</w:t>
      </w:r>
      <w:r w:rsidR="00EE7A88" w:rsidRPr="00EE7A88">
        <w:rPr>
          <w:rFonts w:cs="Segoe UI"/>
          <w:szCs w:val="22"/>
        </w:rPr>
        <w:t xml:space="preserve">. </w:t>
      </w:r>
      <w:r w:rsidR="00EE7A88">
        <w:rPr>
          <w:rFonts w:cs="Segoe UI"/>
          <w:szCs w:val="22"/>
        </w:rPr>
        <w:t xml:space="preserve">While </w:t>
      </w:r>
      <w:r w:rsidR="00EE7A88" w:rsidRPr="00EE7A88">
        <w:rPr>
          <w:rFonts w:cs="Segoe UI"/>
          <w:szCs w:val="22"/>
        </w:rPr>
        <w:t xml:space="preserve">the deleveraging process did not generate liquidity pressures, </w:t>
      </w:r>
      <w:r w:rsidR="00EE7A88">
        <w:rPr>
          <w:rFonts w:cs="Segoe UI"/>
          <w:szCs w:val="22"/>
        </w:rPr>
        <w:t xml:space="preserve">it </w:t>
      </w:r>
      <w:r w:rsidR="00EE7A88" w:rsidRPr="00EE7A88">
        <w:rPr>
          <w:rFonts w:cs="Segoe UI"/>
          <w:szCs w:val="22"/>
        </w:rPr>
        <w:t>led to a re-definition of banks’ business models.</w:t>
      </w:r>
      <w:r w:rsidR="00EE7A88">
        <w:rPr>
          <w:rFonts w:cs="Segoe UI"/>
          <w:szCs w:val="22"/>
        </w:rPr>
        <w:t xml:space="preserve"> Specifically, f</w:t>
      </w:r>
      <w:r w:rsidRPr="001F2587">
        <w:rPr>
          <w:rFonts w:cs="Segoe UI"/>
          <w:szCs w:val="22"/>
        </w:rPr>
        <w:t>ollowing the rapid deterioration of asset quality (corporate NPL ratios peaked in 2013</w:t>
      </w:r>
      <w:r w:rsidRPr="001F2587">
        <w:rPr>
          <w:rStyle w:val="FootnoteReference"/>
          <w:rFonts w:cs="Segoe UI"/>
          <w:sz w:val="24"/>
          <w:szCs w:val="22"/>
        </w:rPr>
        <w:footnoteReference w:id="10"/>
      </w:r>
      <w:r w:rsidRPr="001F2587">
        <w:rPr>
          <w:rFonts w:cs="Segoe UI"/>
          <w:szCs w:val="22"/>
        </w:rPr>
        <w:t xml:space="preserve">), lending to MSMEs decelerated sharply </w:t>
      </w:r>
      <w:r w:rsidR="005351BB">
        <w:rPr>
          <w:rFonts w:cs="Segoe UI"/>
          <w:szCs w:val="22"/>
        </w:rPr>
        <w:t xml:space="preserve">and </w:t>
      </w:r>
      <w:r w:rsidRPr="001F2587">
        <w:rPr>
          <w:rFonts w:cs="Segoe UI"/>
          <w:szCs w:val="22"/>
        </w:rPr>
        <w:t>several banks retrenched from entire segments. Loans to micro-enterprises experienced a CAGR of -8.4 percent in the period 2008-2016 while loans to SMEs grew more slowly than GDP</w:t>
      </w:r>
      <w:r w:rsidR="005351BB">
        <w:rPr>
          <w:rFonts w:cs="Segoe UI"/>
          <w:szCs w:val="22"/>
        </w:rPr>
        <w:t>, despite unprecedented low interest rates</w:t>
      </w:r>
      <w:r w:rsidRPr="005351BB">
        <w:rPr>
          <w:rFonts w:cs="Segoe UI"/>
          <w:szCs w:val="22"/>
        </w:rPr>
        <w:t xml:space="preserve">. </w:t>
      </w:r>
      <w:r w:rsidR="005351BB">
        <w:rPr>
          <w:rFonts w:cs="Segoe UI"/>
          <w:szCs w:val="22"/>
        </w:rPr>
        <w:t>Lending activity increasingly shifted to the household segment, both consumer and housing loans, aided by the Prima Casa program. In the meantime, s</w:t>
      </w:r>
      <w:r w:rsidRPr="001F2587">
        <w:rPr>
          <w:rFonts w:cs="Segoe UI"/>
          <w:szCs w:val="22"/>
        </w:rPr>
        <w:t xml:space="preserve">upply conditions for enterprises have tightened or remained the same in the last several years. Access to finance remains even more difficult in </w:t>
      </w:r>
      <w:r w:rsidRPr="001F2587">
        <w:rPr>
          <w:szCs w:val="22"/>
        </w:rPr>
        <w:t>rural</w:t>
      </w:r>
      <w:r w:rsidRPr="001F2587">
        <w:rPr>
          <w:rFonts w:cs="Segoe UI"/>
          <w:szCs w:val="22"/>
        </w:rPr>
        <w:t xml:space="preserve"> areas, where operating branches is less profitable. While</w:t>
      </w:r>
      <w:r w:rsidRPr="005351BB">
        <w:rPr>
          <w:rFonts w:cs="Segoe UI"/>
          <w:szCs w:val="22"/>
        </w:rPr>
        <w:t xml:space="preserve"> </w:t>
      </w:r>
      <w:r w:rsidR="005351BB">
        <w:rPr>
          <w:rFonts w:cs="Segoe UI"/>
          <w:szCs w:val="22"/>
        </w:rPr>
        <w:t>public</w:t>
      </w:r>
      <w:r w:rsidRPr="001F2587">
        <w:rPr>
          <w:rFonts w:cs="Segoe UI"/>
          <w:szCs w:val="22"/>
        </w:rPr>
        <w:t xml:space="preserve"> credit guarantees through the </w:t>
      </w:r>
      <w:r w:rsidRPr="001F2587">
        <w:rPr>
          <w:rFonts w:cs="Segoe UI"/>
          <w:szCs w:val="22"/>
        </w:rPr>
        <w:lastRenderedPageBreak/>
        <w:t>National Credit Guarantee Fund for SMEs (FNGCIMM), had a counter-cyclical effect in 2008-2012 with guaranteed loans to MSMEs reaching 7.4 percent of total loans to MSMEs in 2012, operational problems contributed to a declining use of the instrument among banks. At the same time, banks’ sovereign exposures increased, reaching 22.6 percent of banks’ assets in 2016, one of the highest in Europe</w:t>
      </w:r>
      <w:r w:rsidR="00770B8F" w:rsidRPr="005351BB">
        <w:rPr>
          <w:rFonts w:cs="Segoe UI"/>
          <w:szCs w:val="22"/>
        </w:rPr>
        <w:t>, potentially contributing to a crowding out effect</w:t>
      </w:r>
      <w:r w:rsidR="005214DE">
        <w:rPr>
          <w:rFonts w:cs="Segoe UI"/>
          <w:szCs w:val="22"/>
        </w:rPr>
        <w:t>.</w:t>
      </w:r>
      <w:r w:rsidR="005351BB">
        <w:rPr>
          <w:rFonts w:cs="Segoe UI"/>
          <w:szCs w:val="22"/>
        </w:rPr>
        <w:t xml:space="preserve"> The gap left in banking intermediation could not be picked up by alternative intermediaries</w:t>
      </w:r>
      <w:r w:rsidR="00EE7A88">
        <w:rPr>
          <w:rFonts w:cs="Segoe UI"/>
          <w:szCs w:val="22"/>
        </w:rPr>
        <w:t xml:space="preserve"> as the NBFI sector, </w:t>
      </w:r>
      <w:r w:rsidR="00770B8F" w:rsidRPr="00EE7A88">
        <w:rPr>
          <w:rFonts w:cs="Segoe UI"/>
          <w:szCs w:val="22"/>
        </w:rPr>
        <w:t xml:space="preserve">especially leasing, </w:t>
      </w:r>
      <w:r w:rsidR="005351BB">
        <w:rPr>
          <w:rFonts w:cs="Segoe UI"/>
          <w:szCs w:val="22"/>
        </w:rPr>
        <w:t xml:space="preserve">is underdeveloped and </w:t>
      </w:r>
      <w:r w:rsidR="00770B8F" w:rsidRPr="00EE7A88">
        <w:rPr>
          <w:rFonts w:cs="Segoe UI"/>
          <w:szCs w:val="22"/>
        </w:rPr>
        <w:t>was severely affected by the crisis.</w:t>
      </w:r>
      <w:r w:rsidRPr="001F2587">
        <w:rPr>
          <w:rFonts w:cs="Segoe UI"/>
          <w:szCs w:val="22"/>
        </w:rPr>
        <w:t xml:space="preserve"> </w:t>
      </w:r>
    </w:p>
    <w:p w14:paraId="61B59D84" w14:textId="2952A4A3" w:rsidR="00755599" w:rsidRPr="00F70548" w:rsidRDefault="001F2587" w:rsidP="009142E2">
      <w:pPr>
        <w:pStyle w:val="ParagraphNumbering"/>
        <w:numPr>
          <w:ilvl w:val="0"/>
          <w:numId w:val="13"/>
        </w:numPr>
        <w:spacing w:after="120" w:line="300" w:lineRule="exact"/>
        <w:ind w:left="0" w:firstLine="0"/>
        <w:jc w:val="both"/>
        <w:rPr>
          <w:rFonts w:cs="Segoe UI"/>
          <w:szCs w:val="22"/>
        </w:rPr>
      </w:pPr>
      <w:r w:rsidRPr="001F2587">
        <w:rPr>
          <w:rFonts w:cs="Segoe UI"/>
          <w:b/>
          <w:szCs w:val="22"/>
        </w:rPr>
        <w:t>While financial infrastructure supporting credit intermediation is generally effective, there are much needed improvements</w:t>
      </w:r>
      <w:r w:rsidRPr="001F2587">
        <w:rPr>
          <w:rFonts w:cs="Segoe UI"/>
          <w:szCs w:val="22"/>
        </w:rPr>
        <w:t xml:space="preserve"> (see Box 1). The legal framework for insolvency and secured collateral registry is considered best practice </w:t>
      </w:r>
      <w:r w:rsidRPr="001F2587">
        <w:rPr>
          <w:rFonts w:cs="Segoe UI"/>
          <w:bCs/>
          <w:szCs w:val="22"/>
        </w:rPr>
        <w:t xml:space="preserve">although enforcement of secured claims could be streamlined and the regulatory framework for commodity collateralized lending should be strengthened. The credit information system, based on the NBR’s Central Credit Registry (CCR) and a private Credit Bureau (CB) is effective but </w:t>
      </w:r>
      <w:r w:rsidR="00770B8F">
        <w:rPr>
          <w:rFonts w:cs="Segoe UI"/>
          <w:bCs/>
          <w:szCs w:val="22"/>
        </w:rPr>
        <w:t>there are significant gaps in the coverage. A</w:t>
      </w:r>
      <w:r w:rsidRPr="001F2587">
        <w:rPr>
          <w:rFonts w:cs="Segoe UI"/>
          <w:bCs/>
          <w:szCs w:val="22"/>
        </w:rPr>
        <w:t>dditional reporting entities should be included, especially in the CB, such as collection agencies and non-traditional data providers, which would support both access to finance for enterprises and financial inclusion for underserved segments (see below).</w:t>
      </w:r>
    </w:p>
    <w:p w14:paraId="0F68B729" w14:textId="77777777" w:rsidR="00F70548" w:rsidRPr="00F70548" w:rsidRDefault="00F70548" w:rsidP="00F70548">
      <w:pPr>
        <w:pStyle w:val="ParagraphNumbering"/>
        <w:numPr>
          <w:ilvl w:val="0"/>
          <w:numId w:val="0"/>
        </w:numPr>
        <w:spacing w:after="120" w:line="300" w:lineRule="exact"/>
        <w:jc w:val="both"/>
        <w:rPr>
          <w:rFonts w:cs="Segoe UI"/>
          <w:szCs w:val="22"/>
        </w:rPr>
      </w:pPr>
    </w:p>
    <w:tbl>
      <w:tblPr>
        <w:tblStyle w:val="TableGrid"/>
        <w:tblW w:w="0" w:type="auto"/>
        <w:tblLook w:val="04A0" w:firstRow="1" w:lastRow="0" w:firstColumn="1" w:lastColumn="0" w:noHBand="0" w:noVBand="1"/>
      </w:tblPr>
      <w:tblGrid>
        <w:gridCol w:w="8990"/>
      </w:tblGrid>
      <w:tr w:rsidR="00F70548" w14:paraId="186C92BD" w14:textId="77777777" w:rsidTr="005A26ED">
        <w:tc>
          <w:tcPr>
            <w:tcW w:w="8990" w:type="dxa"/>
          </w:tcPr>
          <w:p w14:paraId="3F474A14" w14:textId="3E48C55F" w:rsidR="00F70548" w:rsidRPr="00461303" w:rsidRDefault="00F70548" w:rsidP="00F70548">
            <w:pPr>
              <w:pStyle w:val="ParagraphNumbering"/>
              <w:numPr>
                <w:ilvl w:val="0"/>
                <w:numId w:val="0"/>
              </w:numPr>
              <w:jc w:val="center"/>
              <w:rPr>
                <w:b/>
                <w:sz w:val="22"/>
                <w:szCs w:val="22"/>
              </w:rPr>
            </w:pPr>
            <w:bookmarkStart w:id="30" w:name="_Toc504298152"/>
            <w:bookmarkStart w:id="31" w:name="_Toc518653300"/>
            <w:r w:rsidRPr="00461303">
              <w:rPr>
                <w:b/>
                <w:sz w:val="22"/>
                <w:szCs w:val="22"/>
              </w:rPr>
              <w:t xml:space="preserve">Box </w:t>
            </w:r>
            <w:r w:rsidRPr="00461303">
              <w:rPr>
                <w:b/>
                <w:sz w:val="22"/>
                <w:szCs w:val="22"/>
              </w:rPr>
              <w:fldChar w:fldCharType="begin"/>
            </w:r>
            <w:r w:rsidRPr="00461303">
              <w:rPr>
                <w:b/>
                <w:sz w:val="22"/>
                <w:szCs w:val="22"/>
              </w:rPr>
              <w:instrText xml:space="preserve"> SEQ Box \* ARABIC </w:instrText>
            </w:r>
            <w:r w:rsidRPr="00461303">
              <w:rPr>
                <w:b/>
                <w:sz w:val="22"/>
                <w:szCs w:val="22"/>
              </w:rPr>
              <w:fldChar w:fldCharType="separate"/>
            </w:r>
            <w:r w:rsidR="006D0059">
              <w:rPr>
                <w:b/>
                <w:noProof/>
                <w:sz w:val="22"/>
                <w:szCs w:val="22"/>
              </w:rPr>
              <w:t>1</w:t>
            </w:r>
            <w:r w:rsidRPr="00461303">
              <w:rPr>
                <w:b/>
                <w:sz w:val="22"/>
                <w:szCs w:val="22"/>
              </w:rPr>
              <w:fldChar w:fldCharType="end"/>
            </w:r>
            <w:r w:rsidRPr="00461303">
              <w:rPr>
                <w:b/>
                <w:sz w:val="22"/>
                <w:szCs w:val="22"/>
              </w:rPr>
              <w:t>. Romania: Financial Infrastructure</w:t>
            </w:r>
            <w:bookmarkEnd w:id="30"/>
            <w:bookmarkEnd w:id="31"/>
          </w:p>
          <w:p w14:paraId="2CF1C539" w14:textId="77777777" w:rsidR="00F70548" w:rsidRPr="00461303" w:rsidRDefault="00F70548" w:rsidP="00F70548">
            <w:pPr>
              <w:pStyle w:val="ParagraphNumbering"/>
              <w:numPr>
                <w:ilvl w:val="0"/>
                <w:numId w:val="0"/>
              </w:numPr>
              <w:jc w:val="both"/>
              <w:rPr>
                <w:b/>
                <w:sz w:val="22"/>
                <w:szCs w:val="22"/>
              </w:rPr>
            </w:pPr>
            <w:r w:rsidRPr="00461303">
              <w:rPr>
                <w:b/>
                <w:sz w:val="22"/>
                <w:szCs w:val="22"/>
              </w:rPr>
              <w:t>Insolvency &amp; Secured Transactions</w:t>
            </w:r>
          </w:p>
          <w:p w14:paraId="5227DB05" w14:textId="77777777" w:rsidR="00F70548" w:rsidRPr="00461303" w:rsidRDefault="00F70548" w:rsidP="00F70548">
            <w:pPr>
              <w:pStyle w:val="ParagraphNumbering"/>
              <w:numPr>
                <w:ilvl w:val="0"/>
                <w:numId w:val="0"/>
              </w:numPr>
              <w:jc w:val="both"/>
              <w:rPr>
                <w:sz w:val="22"/>
                <w:szCs w:val="22"/>
              </w:rPr>
            </w:pPr>
            <w:r w:rsidRPr="00461303">
              <w:rPr>
                <w:b/>
                <w:bCs/>
                <w:sz w:val="22"/>
                <w:szCs w:val="22"/>
              </w:rPr>
              <w:t>The corporate insolvency law includes modern provisions based on best practices, but implementation remains a challenge.</w:t>
            </w:r>
            <w:r w:rsidRPr="00461303">
              <w:rPr>
                <w:sz w:val="22"/>
                <w:szCs w:val="22"/>
              </w:rPr>
              <w:t xml:space="preserve"> Romanian corporate insolvency law was updated in 2015 and contains many provisions considered best international practices. However, the law has not been uniformly applied by judges, who lack sufficient resources to deal with the cases in a timely manner. Stakeholders report repeated delays, especially during the observation period in the process of compiling and confirming a table of creditors. Reorganization culture is not well established, with most reorganization plans focusing on debt restructuring rather than updating business operations, and banks prefer to negotiate with borrowers informally on a bilateral basis. The fiscal authorities have also blocked a number of reorganizations due to unwillingness to accept haircuts on nominal claims. While the profession of insolvency practitioners is regulated, in practice, administrators are rarely held accountable for ethical violations. The personal bankruptcy law entered into effect on January 1, 2018, however, the institutional framework for it is not yet fully established, as the list of receivers and liquidators has not been finalized and, outside of Bucharest, insolvency commissions intended to administer debt rescheduling cases have not been set up.  </w:t>
            </w:r>
          </w:p>
          <w:p w14:paraId="5E0A3B50" w14:textId="77777777" w:rsidR="00F70548" w:rsidRPr="00461303" w:rsidRDefault="00F70548" w:rsidP="00F70548">
            <w:pPr>
              <w:pStyle w:val="ParagraphNumbering"/>
              <w:numPr>
                <w:ilvl w:val="0"/>
                <w:numId w:val="0"/>
              </w:numPr>
              <w:jc w:val="both"/>
              <w:rPr>
                <w:sz w:val="22"/>
                <w:szCs w:val="22"/>
              </w:rPr>
            </w:pPr>
            <w:r w:rsidRPr="00461303">
              <w:rPr>
                <w:b/>
                <w:bCs/>
                <w:sz w:val="22"/>
                <w:szCs w:val="22"/>
              </w:rPr>
              <w:t>The secured transactions framework can be strengthened, especially in relation to enforcement of secured claims</w:t>
            </w:r>
            <w:r w:rsidRPr="00461303">
              <w:rPr>
                <w:sz w:val="22"/>
                <w:szCs w:val="22"/>
              </w:rPr>
              <w:t xml:space="preserve">. Romania has an adequate secured transactions framework, which provides for a variety of lending tools using different movable assets (tangible and intangible) as collateral. However, stakeholders report that banks still prefer real estate as the main collateral base. Enforcement proceedings are lengthy with the borrower being able to appeal every decision during the process and few effective mechanisms to guarantee that movable assets are preserved, especially with regards to inventory and accounts receivable. The legal framework for collateral registry can benefit from alignment with best practices and technical capabilities of the registry should be improved. Furthermore, although commodity collateralized lending exists, the regulatory and </w:t>
            </w:r>
            <w:r w:rsidRPr="00461303">
              <w:rPr>
                <w:sz w:val="22"/>
                <w:szCs w:val="22"/>
              </w:rPr>
              <w:lastRenderedPageBreak/>
              <w:t>oversight framework should be strengthened to support use of this financing, which would support access to credit for agriculture.</w:t>
            </w:r>
          </w:p>
          <w:p w14:paraId="49924680" w14:textId="77777777" w:rsidR="00F70548" w:rsidRPr="00461303" w:rsidRDefault="00F70548" w:rsidP="00F70548">
            <w:pPr>
              <w:pStyle w:val="ParagraphNumbering"/>
              <w:numPr>
                <w:ilvl w:val="0"/>
                <w:numId w:val="0"/>
              </w:numPr>
              <w:jc w:val="both"/>
              <w:rPr>
                <w:b/>
                <w:sz w:val="22"/>
                <w:szCs w:val="22"/>
              </w:rPr>
            </w:pPr>
            <w:r w:rsidRPr="00461303">
              <w:rPr>
                <w:b/>
                <w:sz w:val="22"/>
                <w:szCs w:val="22"/>
              </w:rPr>
              <w:t xml:space="preserve">Credit </w:t>
            </w:r>
            <w:r w:rsidRPr="00461303">
              <w:rPr>
                <w:b/>
                <w:bCs/>
                <w:sz w:val="22"/>
                <w:szCs w:val="22"/>
              </w:rPr>
              <w:t>Information</w:t>
            </w:r>
            <w:r w:rsidRPr="00461303">
              <w:rPr>
                <w:b/>
                <w:sz w:val="22"/>
                <w:szCs w:val="22"/>
              </w:rPr>
              <w:t xml:space="preserve"> system</w:t>
            </w:r>
          </w:p>
          <w:p w14:paraId="0BA77F8F" w14:textId="77777777" w:rsidR="00F70548" w:rsidRPr="00461303" w:rsidRDefault="00F70548" w:rsidP="00F70548">
            <w:pPr>
              <w:pStyle w:val="ParagraphNumbering"/>
              <w:numPr>
                <w:ilvl w:val="0"/>
                <w:numId w:val="0"/>
              </w:numPr>
              <w:jc w:val="both"/>
              <w:rPr>
                <w:b/>
                <w:sz w:val="22"/>
                <w:szCs w:val="22"/>
              </w:rPr>
            </w:pPr>
            <w:r w:rsidRPr="00461303">
              <w:rPr>
                <w:b/>
                <w:sz w:val="22"/>
                <w:szCs w:val="22"/>
              </w:rPr>
              <w:t>The Romanian credit information system, consisting of the Central Credit Registry and the private Credit Bureau, is generally effective and bank satisfaction is high.</w:t>
            </w:r>
            <w:r w:rsidRPr="00461303">
              <w:rPr>
                <w:sz w:val="22"/>
                <w:szCs w:val="22"/>
              </w:rPr>
              <w:t xml:space="preserve"> The credit information sharing system consists of the CCR, established in 2000 and operated by the NBR, and the CB, a joint stock company established in 2004 with 25 banks as shareholders. According to NBR Regulation no.2/2012, institutions reporting to the CCR are credit institutions and non-bank financing </w:t>
            </w:r>
            <w:r w:rsidRPr="00461303">
              <w:rPr>
                <w:rFonts w:cs="Segoe UI"/>
                <w:sz w:val="22"/>
                <w:szCs w:val="22"/>
              </w:rPr>
              <w:t xml:space="preserve">institutions registered with the Special Register. Registered entities include individuals and non-bank legal entities, with a reporting threshold of 20,000 RON. The CCR coverage for the household sector is 89 percent of the total loan amount and 30 percent of the total number of debtors. </w:t>
            </w:r>
            <w:r w:rsidRPr="00461303">
              <w:rPr>
                <w:rFonts w:eastAsia="Times New Roman" w:cs="Segoe UI"/>
                <w:sz w:val="22"/>
                <w:szCs w:val="22"/>
              </w:rPr>
              <w:t xml:space="preserve">According to </w:t>
            </w:r>
            <w:r w:rsidRPr="00461303">
              <w:rPr>
                <w:sz w:val="22"/>
                <w:szCs w:val="22"/>
              </w:rPr>
              <w:t>Decision</w:t>
            </w:r>
            <w:r w:rsidRPr="00461303">
              <w:rPr>
                <w:rFonts w:eastAsia="Times New Roman" w:cs="Segoe UI"/>
                <w:sz w:val="22"/>
                <w:szCs w:val="22"/>
              </w:rPr>
              <w:t xml:space="preserve"> no.105/2007 of the Data Protection Authority, participants in the CB may be banks, consumer credit companies, leasing companies and insurance companies. The CB coverage for the household sector is 90 percent of the total loan amount and 9</w:t>
            </w:r>
            <w:r w:rsidR="0089614A" w:rsidRPr="00461303">
              <w:rPr>
                <w:rFonts w:eastAsia="Times New Roman" w:cs="Segoe UI"/>
                <w:sz w:val="22"/>
                <w:szCs w:val="22"/>
              </w:rPr>
              <w:t>9</w:t>
            </w:r>
            <w:r w:rsidRPr="00461303">
              <w:rPr>
                <w:rFonts w:eastAsia="Times New Roman" w:cs="Segoe UI"/>
                <w:sz w:val="22"/>
                <w:szCs w:val="22"/>
              </w:rPr>
              <w:t xml:space="preserve"> percent of the total number of debtors. in the survey conducted in the context of the FSAP, banks</w:t>
            </w:r>
            <w:r w:rsidRPr="00461303">
              <w:rPr>
                <w:rStyle w:val="FootnoteReference"/>
                <w:rFonts w:cs="Segoe UI"/>
                <w:sz w:val="22"/>
                <w:szCs w:val="22"/>
              </w:rPr>
              <w:footnoteRef/>
            </w:r>
            <w:r w:rsidRPr="00461303">
              <w:rPr>
                <w:rFonts w:eastAsia="Times New Roman" w:cs="Segoe UI"/>
                <w:sz w:val="22"/>
                <w:szCs w:val="22"/>
              </w:rPr>
              <w:t xml:space="preserve"> are broadly satisfied with the two entities in terms of: data accuracy (average rating of 4.2 for the CCR and 4.3 for the CB out of maximum 5), data coverage (average 3.9 and 4.3 respectively), and range of services provided (average 4.0 and 3.9 respectively).</w:t>
            </w:r>
          </w:p>
          <w:p w14:paraId="33D5495F" w14:textId="77777777" w:rsidR="00F70548" w:rsidRDefault="00F70548" w:rsidP="00F70548">
            <w:pPr>
              <w:pStyle w:val="ParagraphNumbering"/>
              <w:numPr>
                <w:ilvl w:val="0"/>
                <w:numId w:val="0"/>
              </w:numPr>
              <w:jc w:val="both"/>
            </w:pPr>
            <w:r w:rsidRPr="00461303">
              <w:rPr>
                <w:rFonts w:eastAsia="Times New Roman" w:cs="Segoe UI"/>
                <w:b/>
                <w:sz w:val="22"/>
                <w:szCs w:val="22"/>
              </w:rPr>
              <w:t xml:space="preserve">The reach of the credit information system could be significantly enhanced by including additional reporting entities, especially to the CB. </w:t>
            </w:r>
            <w:r w:rsidRPr="00461303">
              <w:rPr>
                <w:rFonts w:eastAsia="Times New Roman" w:cs="Segoe UI"/>
                <w:sz w:val="22"/>
                <w:szCs w:val="22"/>
              </w:rPr>
              <w:t>Enabling collection agencies with NPL portfolios to consult and share data with the CCR and the CB, would facilitate the collection process on one hand and on the other hand facilitate the resumption of credit for borrowers who have repaid their debts to the collection agency. The inclusion of non-traditional data providers in the CB system, such as mobile network operators, would also enhance access to credit and can also have a significant effect on financial inclusion, given the high mobile penetration in Romania.</w:t>
            </w:r>
            <w:r w:rsidRPr="00461303">
              <w:rPr>
                <w:rStyle w:val="FootnoteReference"/>
                <w:rFonts w:cs="Segoe UI"/>
                <w:sz w:val="22"/>
                <w:szCs w:val="22"/>
              </w:rPr>
              <w:footnoteReference w:id="11"/>
            </w:r>
            <w:r w:rsidRPr="00461303">
              <w:rPr>
                <w:rFonts w:eastAsia="Times New Roman" w:cs="Segoe UI"/>
                <w:sz w:val="22"/>
                <w:szCs w:val="22"/>
              </w:rPr>
              <w:t xml:space="preserve"> It is also recommended that the CB initiate information sharing on legal entities and to evaluate the integration of additional external data from other sources. In the survey, about 80 percent of respondent banks stated they would be interested in receiving and providing information on legal entities to the CB. Finally, it is also recommended that the CB receive and share data with the credit unions given the significant role they plan on financial inclusion.</w:t>
            </w:r>
          </w:p>
        </w:tc>
      </w:tr>
    </w:tbl>
    <w:p w14:paraId="555706DB" w14:textId="77777777" w:rsidR="00461303" w:rsidRDefault="00461303" w:rsidP="00D06381">
      <w:pPr>
        <w:pStyle w:val="ParagraphNumbering"/>
        <w:numPr>
          <w:ilvl w:val="0"/>
          <w:numId w:val="0"/>
        </w:numPr>
        <w:jc w:val="both"/>
        <w:rPr>
          <w:b/>
          <w:bCs/>
        </w:rPr>
      </w:pPr>
    </w:p>
    <w:p w14:paraId="7E805C95" w14:textId="77777777" w:rsidR="00461303" w:rsidRDefault="00461303">
      <w:pPr>
        <w:spacing w:line="240" w:lineRule="auto"/>
        <w:rPr>
          <w:b/>
          <w:bCs/>
        </w:rPr>
      </w:pPr>
      <w:r>
        <w:rPr>
          <w:b/>
          <w:bCs/>
        </w:rPr>
        <w:br w:type="page"/>
      </w:r>
    </w:p>
    <w:p w14:paraId="5250671C" w14:textId="06AEE47E" w:rsidR="00D06381" w:rsidRPr="00D06381" w:rsidRDefault="00D06381" w:rsidP="00D06381">
      <w:pPr>
        <w:pStyle w:val="ParagraphNumbering"/>
        <w:numPr>
          <w:ilvl w:val="0"/>
          <w:numId w:val="0"/>
        </w:numPr>
        <w:jc w:val="both"/>
        <w:rPr>
          <w:b/>
        </w:rPr>
      </w:pPr>
      <w:r w:rsidRPr="00D06381">
        <w:rPr>
          <w:b/>
          <w:bCs/>
        </w:rPr>
        <w:lastRenderedPageBreak/>
        <w:t>Financial Inclusion, Financial Literacy</w:t>
      </w:r>
      <w:r w:rsidRPr="00D06381">
        <w:rPr>
          <w:b/>
        </w:rPr>
        <w:t xml:space="preserve"> </w:t>
      </w:r>
      <w:r w:rsidRPr="00D06381">
        <w:rPr>
          <w:b/>
          <w:bCs/>
        </w:rPr>
        <w:t>and Consumer Protection</w:t>
      </w:r>
    </w:p>
    <w:p w14:paraId="71908D0A" w14:textId="77777777" w:rsidR="00D06381" w:rsidRPr="00D06381" w:rsidRDefault="00D06381" w:rsidP="009142E2">
      <w:pPr>
        <w:pStyle w:val="ParagraphNumbering"/>
        <w:numPr>
          <w:ilvl w:val="0"/>
          <w:numId w:val="13"/>
        </w:numPr>
        <w:spacing w:after="120" w:line="300" w:lineRule="exact"/>
        <w:ind w:left="0" w:firstLine="0"/>
        <w:jc w:val="both"/>
      </w:pPr>
      <w:r w:rsidRPr="00D06381">
        <w:rPr>
          <w:b/>
        </w:rPr>
        <w:t>Account ownership is lacking, particularly for the poorest 40 percent; while recent legislation may enhance inclusion, it may lead to unintended consequences.</w:t>
      </w:r>
      <w:r w:rsidRPr="00D06381">
        <w:t xml:space="preserve"> Only 60.8 percent of adults have an account in financial institutions, below the average for peers (74.8 percent) and upper middle-income countries (70.4). The Law on Comparability of Payment Account Fees, Change of Payments Accounts and Access to Basic Payments Accounts of 2017 (transposing EU Directive 92/2014) introduces zero fee accounts for vulnerable consumers, which in Romanian legislation was defined as those with under 60 percent of average salary (about 50 percent of consumers), may enhance inclusion although it may also have adverse effects such as higher interest / fees for other clients, or the acceleration of banks’ retrenchment from rural areas (see below).</w:t>
      </w:r>
    </w:p>
    <w:p w14:paraId="517F99BD" w14:textId="77777777" w:rsidR="00D06381" w:rsidRPr="00D06381" w:rsidRDefault="00D06381" w:rsidP="009142E2">
      <w:pPr>
        <w:pStyle w:val="ParagraphNumbering"/>
        <w:numPr>
          <w:ilvl w:val="0"/>
          <w:numId w:val="13"/>
        </w:numPr>
        <w:spacing w:after="120" w:line="300" w:lineRule="exact"/>
        <w:ind w:left="0" w:firstLine="0"/>
        <w:jc w:val="both"/>
        <w:rPr>
          <w:rStyle w:val="display-inline-block"/>
        </w:rPr>
      </w:pPr>
      <w:r w:rsidRPr="00D06381">
        <w:rPr>
          <w:rStyle w:val="display-inline-block"/>
          <w:b/>
          <w:bCs/>
          <w:lang w:val="en"/>
        </w:rPr>
        <w:t>While the usage of digital payments is progressing, it is still lagging by regional and peer comparisons.</w:t>
      </w:r>
      <w:r w:rsidRPr="00D06381">
        <w:rPr>
          <w:rStyle w:val="display-inline-block"/>
          <w:lang w:val="en"/>
        </w:rPr>
        <w:t xml:space="preserve"> While total number of payment cards, POS terminals, and ATMs have all grown since 2010, penetration of all three is lagging relative to the EU. There are 0.65 payment cards per inhabitant versus 1.57 in the EU, </w:t>
      </w:r>
      <w:r w:rsidRPr="00D06381">
        <w:rPr>
          <w:rStyle w:val="display-inline-block"/>
        </w:rPr>
        <w:t xml:space="preserve">8.2 POS terminals per 1,000 inhabitants, </w:t>
      </w:r>
      <w:r w:rsidRPr="00D06381">
        <w:rPr>
          <w:rStyle w:val="display-inline-block"/>
          <w:lang w:val="en"/>
        </w:rPr>
        <w:t xml:space="preserve">well below the EU average of </w:t>
      </w:r>
      <w:r w:rsidRPr="00D06381">
        <w:rPr>
          <w:rStyle w:val="display-inline-block"/>
        </w:rPr>
        <w:t xml:space="preserve">24.2, </w:t>
      </w:r>
      <w:r w:rsidRPr="00D06381">
        <w:t>and</w:t>
      </w:r>
      <w:r w:rsidRPr="00D06381">
        <w:rPr>
          <w:rStyle w:val="display-inline-block"/>
        </w:rPr>
        <w:t xml:space="preserve"> </w:t>
      </w:r>
      <w:r w:rsidRPr="00D06381">
        <w:t xml:space="preserve">0.56 ATMs per 1,000 inhabitants vs. 0.84 ATMs in the EU. </w:t>
      </w:r>
      <w:r w:rsidRPr="00D06381">
        <w:rPr>
          <w:rStyle w:val="display-inline-block"/>
        </w:rPr>
        <w:t>M</w:t>
      </w:r>
      <w:r w:rsidRPr="00D06381">
        <w:rPr>
          <w:rStyle w:val="display-inline-block"/>
          <w:lang w:val="en"/>
        </w:rPr>
        <w:t xml:space="preserve">ore diversified digital finance services have been introduced in 2014 and 2016, with the launch of two e-wallet initiatives (only one successful as of today). The authorities have recently supported digital payments through several measures, including obliging public utility companies and public institutions to accept card payments, as well as providing incentives for the use of fiscal receipts. The government could further incentivize the usage of digital payment solutions e.g. by awards to buyers and merchants, or merchants’ tax cuts based on the volume of card and mobile phone transactions. Also, the transposition of PSD2 would facilitate the development of Fintechs as payment initiators and payment aggregators, which would benefit the expansion of digital payments instruments. </w:t>
      </w:r>
    </w:p>
    <w:p w14:paraId="2739D116" w14:textId="77777777" w:rsidR="00D06381" w:rsidRPr="00D06381" w:rsidRDefault="00D06381" w:rsidP="009142E2">
      <w:pPr>
        <w:pStyle w:val="ParagraphNumbering"/>
        <w:numPr>
          <w:ilvl w:val="0"/>
          <w:numId w:val="13"/>
        </w:numPr>
        <w:spacing w:after="120" w:line="300" w:lineRule="exact"/>
        <w:ind w:left="0" w:firstLine="0"/>
        <w:jc w:val="both"/>
      </w:pPr>
      <w:r w:rsidRPr="00D06381">
        <w:rPr>
          <w:b/>
        </w:rPr>
        <w:t>Banks branch network has been declining, especially in rural areas, but new initiatives could mitigate the impact on financial inclusion.</w:t>
      </w:r>
      <w:r w:rsidRPr="00D06381">
        <w:t xml:space="preserve"> In 2016 there were 4,804 bank branches (27.9 branches per 100,000 adults), lower than that of peer countries. The commercial bank branch network has been declining since the crisis, in line with the region, with CAGR 2008-2016 of -3.9 percent, especially in rural areas (-5.9 percent). New banking services delivery mechanisms are taking place, thanks to the expansion of agent networks (40 percent of banks are already using bank agents). The majority of banks plan to invest substantially in branchless services in the medium-term, including agents, mobile banking vehicles, and virtual branches. In light of this trend, NBR could strengthen the monitoring of agents (e.g. via a register), which would also highlight areas of regulatory focus for the future. To improve financial inclusion, authorities should also facilitate the use of existing public infrastructures, e.g. through the 5,100 post office outlets, which currently offer limited financial services payments (pension payments, money transfers). </w:t>
      </w:r>
    </w:p>
    <w:p w14:paraId="70170245" w14:textId="5AD3F54B" w:rsidR="00D06381" w:rsidRPr="00D06381" w:rsidRDefault="00D06381" w:rsidP="009142E2">
      <w:pPr>
        <w:pStyle w:val="ParagraphNumbering"/>
        <w:numPr>
          <w:ilvl w:val="0"/>
          <w:numId w:val="13"/>
        </w:numPr>
        <w:spacing w:after="120" w:line="300" w:lineRule="exact"/>
        <w:ind w:left="0" w:firstLine="0"/>
        <w:jc w:val="both"/>
        <w:rPr>
          <w:b/>
        </w:rPr>
      </w:pPr>
      <w:r w:rsidRPr="00D06381">
        <w:rPr>
          <w:b/>
        </w:rPr>
        <w:t xml:space="preserve">Credit unions play an important financial inclusion role, which could be further enhanced albeit with stronger supervision. </w:t>
      </w:r>
      <w:r w:rsidRPr="00D06381">
        <w:t xml:space="preserve">Access to financial services is supported by 3,000 credit unions serving employees (about 1.2 million members out of a total estimated of 4-5 </w:t>
      </w:r>
      <w:r w:rsidRPr="00D06381">
        <w:lastRenderedPageBreak/>
        <w:t>million) and pensioners (about 1.4 million members out of a total estimated 5 million). They are non-deposit taking institutions funded through the members’ social funds (member’s monthly contributions, which cannot be withdrawn in the case of the employees’ credit unions) and mainly provide short-term small loans to individuals. In contrast to other East-European countries (e.g. Poland), in which credit unions are allowed to mobilize deposits from their members, credit unions in Romania are not supervised by the NBR (in fact, they are not supervised by any external authority). Legal limitations on funding sources, scope of financial services and type of members reduce significantly their operations. Removing these constraints could develop significantly expand their outreach</w:t>
      </w:r>
      <w:r w:rsidRPr="00D06381">
        <w:rPr>
          <w:rStyle w:val="FootnoteReference"/>
          <w:sz w:val="24"/>
        </w:rPr>
        <w:footnoteReference w:id="12"/>
      </w:r>
      <w:r w:rsidRPr="00D06381">
        <w:t xml:space="preserve"> but for this to happen on a sustainable manner, a stronger supervision, ideally exerted by NBR, would be needed. This change would however entail the mobilization of a significant amount of additional resources</w:t>
      </w:r>
      <w:r w:rsidR="00BF74E6">
        <w:t xml:space="preserve"> as well as fundamental reforms in the oversight architecture including apex organizations</w:t>
      </w:r>
      <w:r w:rsidR="000D7126">
        <w:rPr>
          <w:rStyle w:val="FootnoteReference"/>
        </w:rPr>
        <w:footnoteReference w:id="13"/>
      </w:r>
      <w:r w:rsidR="00BF74E6">
        <w:t>, safety nets, and access to national payment networks</w:t>
      </w:r>
      <w:r w:rsidR="000D7126">
        <w:t>.</w:t>
      </w:r>
      <w:r w:rsidRPr="00D06381">
        <w:t xml:space="preserve"> </w:t>
      </w:r>
    </w:p>
    <w:p w14:paraId="3DBF03A2" w14:textId="77777777" w:rsidR="00D06381" w:rsidRPr="00D06381" w:rsidRDefault="00D06381" w:rsidP="009142E2">
      <w:pPr>
        <w:pStyle w:val="ParagraphNumbering"/>
        <w:numPr>
          <w:ilvl w:val="0"/>
          <w:numId w:val="13"/>
        </w:numPr>
        <w:spacing w:after="120" w:line="300" w:lineRule="exact"/>
        <w:ind w:left="0" w:firstLine="0"/>
        <w:jc w:val="both"/>
      </w:pPr>
      <w:r w:rsidRPr="00D06381">
        <w:rPr>
          <w:b/>
        </w:rPr>
        <w:t xml:space="preserve">Targeted financial literacy programs could help address illiteracy. </w:t>
      </w:r>
      <w:r w:rsidRPr="00D06381">
        <w:t>Only</w:t>
      </w:r>
      <w:r w:rsidRPr="00D06381">
        <w:rPr>
          <w:b/>
        </w:rPr>
        <w:t xml:space="preserve"> </w:t>
      </w:r>
      <w:r w:rsidRPr="00D06381">
        <w:t>22 percent of adults are financially literate, significantly lower than peers. Banks consider financial illiteracy the second most important factor affecting financial intermediation. Furthermore, 48 percent of adults mistrust the financial system, higher than in the region.</w:t>
      </w:r>
      <w:r w:rsidRPr="00D06381">
        <w:rPr>
          <w:rStyle w:val="FootnoteReference"/>
          <w:sz w:val="24"/>
        </w:rPr>
        <w:footnoteReference w:id="14"/>
      </w:r>
      <w:r w:rsidRPr="00D06381">
        <w:t xml:space="preserve"> Trust dropped dramatically during the financial crisis and has not fully recovered yet. While the financial education agenda has been promoted by the NBR, Romanian Banking Association, commercial banks, ASF and others, NBR has recently established a Financial Education department and plans to prepare a National Economic Education Strategy. Such a strategy is a welcome initiative and should be complementary to other priorities (e.g. enhancing inclusion through digital means) and hence should be targeted to appropriate segments, which also requires a baseline survey.</w:t>
      </w:r>
    </w:p>
    <w:p w14:paraId="63FB2D59" w14:textId="77777777" w:rsidR="00D06381" w:rsidRPr="00D06381" w:rsidRDefault="00D06381" w:rsidP="009142E2">
      <w:pPr>
        <w:pStyle w:val="ParagraphNumbering"/>
        <w:numPr>
          <w:ilvl w:val="0"/>
          <w:numId w:val="13"/>
        </w:numPr>
        <w:spacing w:after="120" w:line="300" w:lineRule="exact"/>
        <w:ind w:left="0" w:firstLine="0"/>
        <w:jc w:val="both"/>
      </w:pPr>
      <w:bookmarkStart w:id="32" w:name="_Hlk508274801"/>
      <w:r w:rsidRPr="00D06381">
        <w:rPr>
          <w:b/>
        </w:rPr>
        <w:t xml:space="preserve">Strengthening the consumers protection framework would help reduce the mistrust in financial institutions. </w:t>
      </w:r>
      <w:r w:rsidRPr="00D06381">
        <w:t>Romania transposed</w:t>
      </w:r>
      <w:r w:rsidRPr="00D06381">
        <w:rPr>
          <w:b/>
        </w:rPr>
        <w:t xml:space="preserve"> </w:t>
      </w:r>
      <w:r w:rsidRPr="00D06381">
        <w:t>the EU Directive 2013/11 on alternative dispute resolution for consumer disputes by Government Ordinance 38/2015. The Directive lays down minimum standards but member states can go beyond these.</w:t>
      </w:r>
      <w:r w:rsidRPr="00D06381">
        <w:rPr>
          <w:rStyle w:val="FootnoteReference"/>
          <w:sz w:val="24"/>
        </w:rPr>
        <w:footnoteReference w:id="15"/>
      </w:r>
      <w:r w:rsidRPr="00D06381">
        <w:t xml:space="preserve"> There are two alternative dispute resolution mechanisms: one for the banking sector (CSALB) and one for the non-banking institutions (SAL-FIN). In the case of the CSALB, the financial services providers can decide unilaterally to opt out. CSALB should amend this rule to make the participation of providers mandatory. </w:t>
      </w:r>
    </w:p>
    <w:bookmarkEnd w:id="32"/>
    <w:p w14:paraId="22BB5A60" w14:textId="77777777" w:rsidR="00461303" w:rsidRDefault="00461303">
      <w:pPr>
        <w:spacing w:line="240" w:lineRule="auto"/>
        <w:rPr>
          <w:b/>
          <w:bCs/>
        </w:rPr>
      </w:pPr>
      <w:r>
        <w:rPr>
          <w:b/>
          <w:bCs/>
        </w:rPr>
        <w:br w:type="page"/>
      </w:r>
    </w:p>
    <w:p w14:paraId="3607A4D2" w14:textId="5B81EF04" w:rsidR="00D06381" w:rsidRPr="00D06381" w:rsidRDefault="00D06381" w:rsidP="00D06381">
      <w:pPr>
        <w:spacing w:after="120" w:line="400" w:lineRule="exact"/>
        <w:jc w:val="both"/>
        <w:rPr>
          <w:b/>
          <w:bCs/>
          <w:caps/>
        </w:rPr>
      </w:pPr>
      <w:r w:rsidRPr="00D06381">
        <w:rPr>
          <w:b/>
          <w:bCs/>
        </w:rPr>
        <w:lastRenderedPageBreak/>
        <w:t>Role of the State</w:t>
      </w:r>
    </w:p>
    <w:p w14:paraId="5E4ADEEF" w14:textId="14B416E2" w:rsidR="00D06381" w:rsidRPr="00D06381" w:rsidRDefault="00D06381" w:rsidP="009142E2">
      <w:pPr>
        <w:pStyle w:val="ParagraphNumbering"/>
        <w:numPr>
          <w:ilvl w:val="0"/>
          <w:numId w:val="13"/>
        </w:numPr>
        <w:spacing w:after="120" w:line="300" w:lineRule="exact"/>
        <w:ind w:left="0" w:firstLine="0"/>
        <w:jc w:val="both"/>
      </w:pPr>
      <w:r w:rsidRPr="00D06381">
        <w:rPr>
          <w:b/>
        </w:rPr>
        <w:t>Current public initiatives are too fragmented and inefficient.</w:t>
      </w:r>
      <w:r w:rsidRPr="00D06381">
        <w:t xml:space="preserve"> </w:t>
      </w:r>
      <w:r w:rsidR="00C04385" w:rsidRPr="00C04385">
        <w:t>Despite a big overall state footprint in the financial sector</w:t>
      </w:r>
      <w:r w:rsidR="00C04385">
        <w:t xml:space="preserve"> (</w:t>
      </w:r>
      <w:r w:rsidR="00C04385" w:rsidRPr="00C04385">
        <w:t xml:space="preserve">state ownership of two commercial banks and financial support programs amounting to 1.7 percent of </w:t>
      </w:r>
      <w:r w:rsidR="000E144B">
        <w:t xml:space="preserve">the </w:t>
      </w:r>
      <w:r w:rsidR="00C04385" w:rsidRPr="00C04385">
        <w:t>state budget</w:t>
      </w:r>
      <w:r w:rsidR="00C04385">
        <w:t>)</w:t>
      </w:r>
      <w:r w:rsidR="00C04385" w:rsidRPr="00C04385">
        <w:t>, the role of the Romanian state is fragmented with suboptimal coordination and monitoring.</w:t>
      </w:r>
      <w:r w:rsidR="00C04385">
        <w:t xml:space="preserve"> </w:t>
      </w:r>
      <w:r w:rsidR="00C04385" w:rsidRPr="00C04385">
        <w:t xml:space="preserve">There is no clear strategy encompassing all state institutions and initiatives, and existing programs are fraught with duplications, and overlapping and unclear mandates. </w:t>
      </w:r>
      <w:r w:rsidRPr="00D06381">
        <w:t>These initiatives include inter alia the following:</w:t>
      </w:r>
    </w:p>
    <w:p w14:paraId="79575E12" w14:textId="77777777" w:rsidR="00D06381" w:rsidRPr="00D06381" w:rsidRDefault="00D06381" w:rsidP="00D97970">
      <w:pPr>
        <w:pStyle w:val="ListParagraph"/>
        <w:numPr>
          <w:ilvl w:val="0"/>
          <w:numId w:val="5"/>
        </w:numPr>
        <w:spacing w:after="120"/>
        <w:contextualSpacing w:val="0"/>
        <w:jc w:val="both"/>
        <w:rPr>
          <w:rFonts w:ascii="Times New Roman" w:hAnsi="Times New Roman"/>
          <w:sz w:val="24"/>
        </w:rPr>
      </w:pPr>
      <w:r w:rsidRPr="00D06381">
        <w:rPr>
          <w:rFonts w:ascii="Times New Roman" w:eastAsia="Times New Roman" w:hAnsi="Times New Roman"/>
          <w:sz w:val="24"/>
        </w:rPr>
        <w:t>Posta Romana currently offers limited financial services to individuals (payment of pensions, which provides approximately 55 percent of its revenues, money transfers -through postal mandates and Western Union for international transfers- and location rent for several banks’ ATMs. Increasing the diversity of these services (through the status of agent of an existing bank for example) would require the implementation of a comprehensive restructuring plan.</w:t>
      </w:r>
    </w:p>
    <w:p w14:paraId="27C0E448" w14:textId="77777777" w:rsidR="00D06381" w:rsidRPr="00D06381" w:rsidRDefault="00D06381" w:rsidP="00D97970">
      <w:pPr>
        <w:pStyle w:val="ListParagraph"/>
        <w:numPr>
          <w:ilvl w:val="0"/>
          <w:numId w:val="5"/>
        </w:numPr>
        <w:spacing w:after="120"/>
        <w:contextualSpacing w:val="0"/>
        <w:jc w:val="both"/>
        <w:rPr>
          <w:rFonts w:ascii="Times New Roman" w:hAnsi="Times New Roman"/>
          <w:sz w:val="24"/>
        </w:rPr>
      </w:pPr>
      <w:r w:rsidRPr="00D06381">
        <w:rPr>
          <w:rFonts w:ascii="Times New Roman" w:eastAsia="Times New Roman" w:hAnsi="Times New Roman"/>
          <w:sz w:val="24"/>
        </w:rPr>
        <w:t xml:space="preserve">The Start Up Nation program, launched in 2016 with initial budget of RON 1.7 billion and administered by the Ministry of Business Environment, SMEs and Entrepreneurship, aims at providing grants (200,000 RON) to start-ups. So far, about 8,000 start-ups have been selected. The program’s design and implementation has several weaknesses, hindering its sustainability and impact and without achieving complementarity with the entrepreneurial ecosystem. </w:t>
      </w:r>
    </w:p>
    <w:p w14:paraId="2E026EDB" w14:textId="07BE7D43" w:rsidR="00D06381" w:rsidRPr="00D06381" w:rsidRDefault="00D06381" w:rsidP="00D97970">
      <w:pPr>
        <w:pStyle w:val="ListParagraph"/>
        <w:numPr>
          <w:ilvl w:val="0"/>
          <w:numId w:val="5"/>
        </w:numPr>
        <w:spacing w:after="120"/>
        <w:contextualSpacing w:val="0"/>
        <w:jc w:val="both"/>
        <w:rPr>
          <w:rFonts w:ascii="Times New Roman" w:hAnsi="Times New Roman"/>
          <w:sz w:val="24"/>
        </w:rPr>
      </w:pPr>
      <w:r w:rsidRPr="00D06381">
        <w:rPr>
          <w:rFonts w:ascii="Times New Roman" w:eastAsia="Times New Roman" w:hAnsi="Times New Roman"/>
          <w:sz w:val="24"/>
        </w:rPr>
        <w:t xml:space="preserve">There are two guarantee funds that support SMEs: FNGCIMM, whose guarantees cover about 2.2 percent of outstanding SME bank loans, and the Counter-Guarantee Fund, which provides low-fee counter-guarantees almost exclusively to FNGCIMM. </w:t>
      </w:r>
      <w:r w:rsidR="00C04385">
        <w:rPr>
          <w:rFonts w:ascii="Times New Roman" w:eastAsia="Times New Roman" w:hAnsi="Times New Roman"/>
          <w:sz w:val="24"/>
        </w:rPr>
        <w:t>B</w:t>
      </w:r>
      <w:r w:rsidR="00C04385" w:rsidRPr="00C04385">
        <w:rPr>
          <w:rFonts w:ascii="Times New Roman" w:eastAsia="Times New Roman" w:hAnsi="Times New Roman"/>
          <w:sz w:val="24"/>
        </w:rPr>
        <w:t>oth schemes deviate from best practices in several areas including the legal and regulatory framework, corporate governance and risk management, operational framework and monitoring and evaluation.</w:t>
      </w:r>
      <w:r w:rsidR="00C04385">
        <w:rPr>
          <w:rFonts w:ascii="Times New Roman" w:eastAsia="Times New Roman" w:hAnsi="Times New Roman"/>
          <w:sz w:val="24"/>
        </w:rPr>
        <w:t xml:space="preserve"> </w:t>
      </w:r>
      <w:r w:rsidRPr="00D06381">
        <w:rPr>
          <w:rFonts w:ascii="Times New Roman" w:eastAsia="Times New Roman" w:hAnsi="Times New Roman"/>
          <w:sz w:val="24"/>
        </w:rPr>
        <w:t>Both institutions’ operations have been hurt by operating problems, as identified in audits by the Court of Accounts</w:t>
      </w:r>
      <w:r w:rsidR="000E144B">
        <w:rPr>
          <w:rFonts w:ascii="Times New Roman" w:eastAsia="Times New Roman" w:hAnsi="Times New Roman"/>
          <w:sz w:val="24"/>
        </w:rPr>
        <w:t>,</w:t>
      </w:r>
      <w:r w:rsidR="00263502">
        <w:rPr>
          <w:rFonts w:ascii="Times New Roman" w:eastAsia="Times New Roman" w:hAnsi="Times New Roman"/>
          <w:sz w:val="24"/>
        </w:rPr>
        <w:t xml:space="preserve"> </w:t>
      </w:r>
      <w:r w:rsidRPr="00D06381">
        <w:rPr>
          <w:rFonts w:ascii="Times New Roman" w:eastAsia="Times New Roman" w:hAnsi="Times New Roman"/>
          <w:sz w:val="24"/>
        </w:rPr>
        <w:t xml:space="preserve">as well as </w:t>
      </w:r>
      <w:r w:rsidR="000E144B">
        <w:rPr>
          <w:rFonts w:ascii="Times New Roman" w:eastAsia="Times New Roman" w:hAnsi="Times New Roman"/>
          <w:sz w:val="24"/>
        </w:rPr>
        <w:t xml:space="preserve">by </w:t>
      </w:r>
      <w:r w:rsidRPr="00D06381">
        <w:rPr>
          <w:rFonts w:ascii="Times New Roman" w:eastAsia="Times New Roman" w:hAnsi="Times New Roman"/>
          <w:sz w:val="24"/>
        </w:rPr>
        <w:t xml:space="preserve">the growing use of more favorable guarantees by banks through the European Investment Fund (EIF). In light of the strategic priority to increase the absorption of EU funds, the </w:t>
      </w:r>
      <w:r w:rsidRPr="00D06381">
        <w:rPr>
          <w:rFonts w:ascii="Times New Roman" w:hAnsi="Times New Roman"/>
          <w:sz w:val="24"/>
        </w:rPr>
        <w:t>Romanian authorities have assigned the implementation of several EU financial instruments, including guarantees to EIF.</w:t>
      </w:r>
      <w:r w:rsidR="00D413A7">
        <w:rPr>
          <w:rFonts w:ascii="Times New Roman" w:hAnsi="Times New Roman"/>
          <w:sz w:val="24"/>
        </w:rPr>
        <w:t xml:space="preserve"> </w:t>
      </w:r>
    </w:p>
    <w:p w14:paraId="2E639316" w14:textId="77777777" w:rsidR="00D06381" w:rsidRPr="00D06381" w:rsidRDefault="00D06381" w:rsidP="00D97970">
      <w:pPr>
        <w:pStyle w:val="ListParagraph"/>
        <w:numPr>
          <w:ilvl w:val="0"/>
          <w:numId w:val="5"/>
        </w:numPr>
        <w:spacing w:after="120"/>
        <w:contextualSpacing w:val="0"/>
        <w:jc w:val="both"/>
        <w:rPr>
          <w:rFonts w:ascii="Times New Roman" w:hAnsi="Times New Roman"/>
          <w:sz w:val="24"/>
        </w:rPr>
      </w:pPr>
      <w:r w:rsidRPr="00D06381">
        <w:rPr>
          <w:rFonts w:ascii="Times New Roman" w:hAnsi="Times New Roman"/>
          <w:sz w:val="24"/>
        </w:rPr>
        <w:t xml:space="preserve">There are two commercially operating state-owned banks: i) CEC bank (7.2 percent market share) with a focus on MSMEs, the largest branch network in the country and significant presence in rural areas and ii) EximBank (1.1 percent market shares), which does not have retail operations, and also acts as a state agent, intermediating state funds through financing, guarantee and insurance products. </w:t>
      </w:r>
    </w:p>
    <w:p w14:paraId="3D0E906E" w14:textId="77777777" w:rsidR="00D06381" w:rsidRPr="00D06381" w:rsidRDefault="00D06381" w:rsidP="009142E2">
      <w:pPr>
        <w:pStyle w:val="ParagraphNumbering"/>
        <w:numPr>
          <w:ilvl w:val="0"/>
          <w:numId w:val="13"/>
        </w:numPr>
        <w:spacing w:after="120" w:line="300" w:lineRule="exact"/>
        <w:ind w:left="0" w:firstLine="0"/>
        <w:jc w:val="both"/>
      </w:pPr>
      <w:r w:rsidRPr="00D06381">
        <w:rPr>
          <w:b/>
        </w:rPr>
        <w:t xml:space="preserve">Given the financial intermediation gaps, public intervention remains needed but clear development policies and efficient coordination mechanism should first be designed. </w:t>
      </w:r>
      <w:r w:rsidRPr="00D06381">
        <w:t xml:space="preserve">The MoPF is contemplating the establishment of a development bank, either by transforming EximBank or creating a new institution. An assessment is underway to identify market gaps and design the optimal legal and operational framework. While this initiative and approach is suitable, </w:t>
      </w:r>
      <w:r w:rsidRPr="00D06381">
        <w:lastRenderedPageBreak/>
        <w:t>it is necessary to adopt a holistic view by encompassing all state institutions and initiatives (see paragraph above), eliminating duplications, identifying and taking into account all market gaps and leveraging commercial finance. To be successful, the authorities should consider establishing a steering committee with a clear financial sector development mandate (e.g. enhancing financial inclusion and intermediation), an effective monitoring and evaluation system and accountability mechanism.</w:t>
      </w:r>
    </w:p>
    <w:p w14:paraId="72C792D7" w14:textId="6465B996" w:rsidR="00755599" w:rsidRDefault="00205FD8" w:rsidP="00755599">
      <w:pPr>
        <w:pStyle w:val="Heading2"/>
        <w:spacing w:before="240" w:line="240" w:lineRule="auto"/>
        <w:ind w:left="0"/>
      </w:pPr>
      <w:bookmarkStart w:id="33" w:name="_Toc518653295"/>
      <w:r>
        <w:t>Capital Markets</w:t>
      </w:r>
      <w:bookmarkEnd w:id="33"/>
    </w:p>
    <w:p w14:paraId="6D593BDD" w14:textId="77777777" w:rsidR="007403C1" w:rsidRPr="00215D72" w:rsidRDefault="007403C1" w:rsidP="009142E2">
      <w:pPr>
        <w:pStyle w:val="ParagraphNumbering"/>
        <w:numPr>
          <w:ilvl w:val="0"/>
          <w:numId w:val="13"/>
        </w:numPr>
        <w:spacing w:after="120" w:line="300" w:lineRule="exact"/>
        <w:ind w:left="0" w:firstLine="0"/>
        <w:jc w:val="both"/>
      </w:pPr>
      <w:r w:rsidRPr="006476F0">
        <w:rPr>
          <w:rFonts w:cs="Segoe UI"/>
          <w:b/>
          <w:szCs w:val="21"/>
        </w:rPr>
        <w:t>Romania</w:t>
      </w:r>
      <w:r w:rsidRPr="00215D72">
        <w:rPr>
          <w:b/>
        </w:rPr>
        <w:t xml:space="preserve"> has made significant progress in the development of its capital markets in the past </w:t>
      </w:r>
      <w:r>
        <w:rPr>
          <w:b/>
        </w:rPr>
        <w:t xml:space="preserve">few </w:t>
      </w:r>
      <w:r w:rsidRPr="00215D72">
        <w:rPr>
          <w:b/>
        </w:rPr>
        <w:t>years, but -despite recent issuances</w:t>
      </w:r>
      <w:r>
        <w:rPr>
          <w:b/>
        </w:rPr>
        <w:t>-</w:t>
      </w:r>
      <w:r w:rsidRPr="00215D72">
        <w:rPr>
          <w:b/>
        </w:rPr>
        <w:t xml:space="preserve"> securities markets have yet to play a meaningful role in private sector financing. </w:t>
      </w:r>
      <w:r w:rsidRPr="00215D72">
        <w:t>The equity market is smaller than regional peers with a market capitalization to GDP ratio of 20 percent</w:t>
      </w:r>
      <w:r>
        <w:t xml:space="preserve"> and </w:t>
      </w:r>
      <w:r w:rsidRPr="00215D72">
        <w:t>87 listed companies on the BVB, as of end-2017. In 2017, there were four private issuances on the BVB equity market -breaking an almost ten-year drought- and nine corporate debt issuances, including the largest corporate bond issuance on the market to date.</w:t>
      </w:r>
      <w:r w:rsidRPr="00215D72">
        <w:rPr>
          <w:b/>
        </w:rPr>
        <w:t xml:space="preserve"> </w:t>
      </w:r>
      <w:r w:rsidRPr="00215D72">
        <w:t xml:space="preserve">New issuance is set to continue with several IPOs planned for 2018. </w:t>
      </w:r>
      <w:r>
        <w:t>N</w:t>
      </w:r>
      <w:r w:rsidRPr="00215D72">
        <w:t xml:space="preserve">et assets of mutual funds have grown steadily, reaching EUR 5.3 billion (3.1 percent of GDP) as of end-September 2017, </w:t>
      </w:r>
      <w:r>
        <w:t>along with</w:t>
      </w:r>
      <w:r w:rsidRPr="00215D72">
        <w:t xml:space="preserve"> pension fund assets</w:t>
      </w:r>
      <w:r>
        <w:t>, which</w:t>
      </w:r>
      <w:r w:rsidRPr="00215D72">
        <w:t xml:space="preserve"> reached EUR 8.8 billion (5.2 percent of GDP) as of end November 2017. </w:t>
      </w:r>
    </w:p>
    <w:p w14:paraId="135A6D92" w14:textId="5603FD4B" w:rsidR="007403C1" w:rsidRDefault="007403C1" w:rsidP="009142E2">
      <w:pPr>
        <w:pStyle w:val="ParagraphNumbering"/>
        <w:numPr>
          <w:ilvl w:val="0"/>
          <w:numId w:val="13"/>
        </w:numPr>
        <w:spacing w:after="120" w:line="300" w:lineRule="exact"/>
        <w:ind w:left="0" w:firstLine="0"/>
        <w:jc w:val="both"/>
      </w:pPr>
      <w:r>
        <w:rPr>
          <w:b/>
        </w:rPr>
        <w:t>A</w:t>
      </w:r>
      <w:r w:rsidRPr="00215D72">
        <w:rPr>
          <w:b/>
        </w:rPr>
        <w:t xml:space="preserve"> broad range of reforms were </w:t>
      </w:r>
      <w:r>
        <w:rPr>
          <w:b/>
        </w:rPr>
        <w:t>pursued</w:t>
      </w:r>
      <w:r w:rsidRPr="00215D72">
        <w:rPr>
          <w:b/>
        </w:rPr>
        <w:t xml:space="preserve"> </w:t>
      </w:r>
      <w:r>
        <w:rPr>
          <w:b/>
        </w:rPr>
        <w:t xml:space="preserve">to develop the non-government securities market, advancing in </w:t>
      </w:r>
      <w:r w:rsidRPr="00215D72">
        <w:rPr>
          <w:b/>
        </w:rPr>
        <w:t xml:space="preserve">the aim of moving Romania from Frontier to Emerging Market </w:t>
      </w:r>
      <w:r>
        <w:rPr>
          <w:b/>
        </w:rPr>
        <w:t xml:space="preserve">(EM) </w:t>
      </w:r>
      <w:r w:rsidRPr="00215D72">
        <w:rPr>
          <w:b/>
        </w:rPr>
        <w:t>Status.</w:t>
      </w:r>
      <w:r w:rsidRPr="00215D72">
        <w:t xml:space="preserve"> </w:t>
      </w:r>
      <w:r w:rsidR="00B122D9">
        <w:t xml:space="preserve">One of the aims was to diversify the investor base. </w:t>
      </w:r>
      <w:r w:rsidRPr="00215D72">
        <w:t>The ASF undertook comprehensive institutional and regulatory reforms, streamlining and modernizing the regulatory framework and harmonizing with EU capital market standards</w:t>
      </w:r>
      <w:r w:rsidRPr="00215D72">
        <w:rPr>
          <w:rStyle w:val="FootnoteReference"/>
        </w:rPr>
        <w:footnoteReference w:id="16"/>
      </w:r>
      <w:r>
        <w:t>, and improving engagement and communication with the market</w:t>
      </w:r>
      <w:r w:rsidRPr="00215D72">
        <w:t xml:space="preserve">. Progress was also supported by the Government, who used the BVB to privatize </w:t>
      </w:r>
      <w:r>
        <w:t>state-owned enterprises (</w:t>
      </w:r>
      <w:r w:rsidRPr="00215D72">
        <w:t>SOEs</w:t>
      </w:r>
      <w:r>
        <w:t>)</w:t>
      </w:r>
      <w:r w:rsidRPr="00215D72">
        <w:t xml:space="preserve"> through the partial listing of shares</w:t>
      </w:r>
      <w:r>
        <w:t>.</w:t>
      </w:r>
      <w:r w:rsidRPr="00215D72">
        <w:t xml:space="preserve"> </w:t>
      </w:r>
      <w:r>
        <w:t xml:space="preserve">These changes also contributed to </w:t>
      </w:r>
      <w:r w:rsidRPr="00215D72">
        <w:t>attract foreign investors. Pension reform, resulting in the development of mandatory Pillar 2 pension funds, deepened the domestic institutional investor base</w:t>
      </w:r>
      <w:r w:rsidR="007C7616">
        <w:t>, and supported capital market development</w:t>
      </w:r>
      <w:r w:rsidRPr="00215D72">
        <w:t xml:space="preserve">. As a result, Romania has been placed on the FTSE Emerging Market watch list and meets most MSCI EM requirements, with liquidity criteria still to be met. </w:t>
      </w:r>
    </w:p>
    <w:p w14:paraId="0F2A3D41" w14:textId="77777777" w:rsidR="007403C1" w:rsidRPr="00215D72" w:rsidRDefault="007403C1" w:rsidP="009142E2">
      <w:pPr>
        <w:pStyle w:val="ParagraphNumbering"/>
        <w:numPr>
          <w:ilvl w:val="0"/>
          <w:numId w:val="13"/>
        </w:numPr>
        <w:spacing w:after="120" w:line="300" w:lineRule="exact"/>
        <w:ind w:left="0" w:firstLine="0"/>
        <w:jc w:val="both"/>
      </w:pPr>
      <w:r>
        <w:rPr>
          <w:b/>
        </w:rPr>
        <w:t>Significant p</w:t>
      </w:r>
      <w:r w:rsidRPr="00FC4504">
        <w:rPr>
          <w:b/>
        </w:rPr>
        <w:t xml:space="preserve">rogress has </w:t>
      </w:r>
      <w:r>
        <w:rPr>
          <w:b/>
        </w:rPr>
        <w:t xml:space="preserve">also </w:t>
      </w:r>
      <w:r w:rsidRPr="00FC4504">
        <w:rPr>
          <w:b/>
        </w:rPr>
        <w:t>been made in the government bond market</w:t>
      </w:r>
      <w:r>
        <w:rPr>
          <w:b/>
        </w:rPr>
        <w:t>, particularly on the development of a yield curve</w:t>
      </w:r>
      <w:r w:rsidRPr="00FC4504">
        <w:rPr>
          <w:b/>
        </w:rPr>
        <w:t>.</w:t>
      </w:r>
      <w:r w:rsidRPr="00006E13">
        <w:t xml:space="preserve"> </w:t>
      </w:r>
      <w:r>
        <w:t>The MoPF</w:t>
      </w:r>
      <w:r w:rsidRPr="00FC4504">
        <w:t xml:space="preserve"> </w:t>
      </w:r>
      <w:r>
        <w:t xml:space="preserve">undertook </w:t>
      </w:r>
      <w:r w:rsidRPr="00FC4504">
        <w:t>reforms to extend, deepen and consolidate the yield curve</w:t>
      </w:r>
      <w:r>
        <w:t>, which now extends to 15 years</w:t>
      </w:r>
      <w:r w:rsidRPr="00006E13">
        <w:t xml:space="preserve"> </w:t>
      </w:r>
      <w:r w:rsidRPr="00215D72">
        <w:t>and is reasonably liquid for all benchmark maturities</w:t>
      </w:r>
      <w:r w:rsidRPr="00FC4504">
        <w:t xml:space="preserve">. </w:t>
      </w:r>
      <w:r w:rsidRPr="00215D72">
        <w:t xml:space="preserve">Future initiatives for yield curve development include extending </w:t>
      </w:r>
      <w:r w:rsidRPr="00215D72">
        <w:lastRenderedPageBreak/>
        <w:t>maturities, introducing buy backs and exchanges, and the introduction of floating rate notes.</w:t>
      </w:r>
      <w:r>
        <w:rPr>
          <w:rStyle w:val="FootnoteReference"/>
        </w:rPr>
        <w:footnoteReference w:id="17"/>
      </w:r>
      <w:r w:rsidRPr="00215D72">
        <w:t xml:space="preserve"> Two retail government bonds were issued on the </w:t>
      </w:r>
      <w:r>
        <w:t>BVB</w:t>
      </w:r>
      <w:r w:rsidRPr="00215D72">
        <w:t xml:space="preserve"> in 2015 and 2016, attracting approximately 22,000 retail investors</w:t>
      </w:r>
      <w:r>
        <w:t>, and f</w:t>
      </w:r>
      <w:r w:rsidRPr="00215D72">
        <w:t xml:space="preserve">urther retail issuance is planned through the </w:t>
      </w:r>
      <w:r>
        <w:t>MoPF</w:t>
      </w:r>
      <w:r w:rsidRPr="00215D72">
        <w:t xml:space="preserve">. </w:t>
      </w:r>
      <w:r>
        <w:t>The performance assessment criteria for</w:t>
      </w:r>
      <w:r w:rsidRPr="00AB20EC">
        <w:t xml:space="preserve"> primary dealer system was </w:t>
      </w:r>
      <w:r>
        <w:t>revised</w:t>
      </w:r>
      <w:r w:rsidRPr="00AB20EC">
        <w:t xml:space="preserve"> in 201</w:t>
      </w:r>
      <w:r>
        <w:t>6</w:t>
      </w:r>
      <w:r w:rsidRPr="00AB20EC">
        <w:t xml:space="preserve">, with minimum obligations for </w:t>
      </w:r>
      <w:r>
        <w:t>primary dealers</w:t>
      </w:r>
      <w:r w:rsidRPr="00AB20EC">
        <w:t xml:space="preserve"> that include size, time and spread requirements on the </w:t>
      </w:r>
      <w:r>
        <w:t>secondary trading platform.</w:t>
      </w:r>
      <w:r>
        <w:rPr>
          <w:rStyle w:val="FootnoteReference"/>
        </w:rPr>
        <w:footnoteReference w:id="18"/>
      </w:r>
      <w:r w:rsidRPr="00AB20EC">
        <w:t xml:space="preserve"> </w:t>
      </w:r>
      <w:r>
        <w:t>T</w:t>
      </w:r>
      <w:r w:rsidRPr="00AB20EC">
        <w:t>he inclusion of Romanian government bonds in the Barclays and JP Morgan indices in 201</w:t>
      </w:r>
      <w:r>
        <w:t>3</w:t>
      </w:r>
      <w:r w:rsidRPr="00FC4504">
        <w:t xml:space="preserve"> provided a significant boost for the market, increasing medium and long term foreign institutional investment.</w:t>
      </w:r>
      <w:r w:rsidRPr="00A75589">
        <w:t xml:space="preserve"> </w:t>
      </w:r>
      <w:r>
        <w:t>Although foreign investors currently</w:t>
      </w:r>
      <w:r w:rsidRPr="00AB20EC">
        <w:t xml:space="preserve"> hold approximately 1</w:t>
      </w:r>
      <w:r>
        <w:t>6</w:t>
      </w:r>
      <w:r w:rsidRPr="00AB20EC">
        <w:t xml:space="preserve"> percent of domestic </w:t>
      </w:r>
      <w:r>
        <w:t xml:space="preserve">government bond </w:t>
      </w:r>
      <w:r w:rsidRPr="00AB20EC">
        <w:t>issuance</w:t>
      </w:r>
      <w:r>
        <w:t>, there is still room to further increase the share of foreign investment in the government bond market.</w:t>
      </w:r>
    </w:p>
    <w:p w14:paraId="627C9777" w14:textId="77777777" w:rsidR="007403C1" w:rsidRPr="00215D72" w:rsidRDefault="007403C1" w:rsidP="009142E2">
      <w:pPr>
        <w:pStyle w:val="ParagraphNumbering"/>
        <w:numPr>
          <w:ilvl w:val="0"/>
          <w:numId w:val="13"/>
        </w:numPr>
        <w:spacing w:after="120" w:line="300" w:lineRule="exact"/>
        <w:ind w:left="0" w:firstLine="0"/>
        <w:jc w:val="both"/>
      </w:pPr>
      <w:r>
        <w:rPr>
          <w:b/>
        </w:rPr>
        <w:t xml:space="preserve">Pension funds should be further developed, and constraints on their investment regime relaxed. </w:t>
      </w:r>
      <w:r w:rsidRPr="00E83860">
        <w:t>After 10 years of existence, Pillar 2 pension funds are beginning to mature</w:t>
      </w:r>
      <w:r>
        <w:t xml:space="preserve">; </w:t>
      </w:r>
      <w:r w:rsidRPr="00E83860">
        <w:t xml:space="preserve">it is appropriate that ASF considers developing a strategic approach for further development of the sector. </w:t>
      </w:r>
      <w:r>
        <w:t>Currently, Pension Funds face</w:t>
      </w:r>
      <w:r w:rsidRPr="00215D72">
        <w:t xml:space="preserve"> restriction</w:t>
      </w:r>
      <w:r>
        <w:t>s</w:t>
      </w:r>
      <w:r w:rsidRPr="00215D72">
        <w:t xml:space="preserve"> on real estate investment and securities lending, and </w:t>
      </w:r>
      <w:r>
        <w:t>a</w:t>
      </w:r>
      <w:r w:rsidRPr="00215D72">
        <w:t xml:space="preserve"> five percent limit for </w:t>
      </w:r>
      <w:r>
        <w:t>mutual funds</w:t>
      </w:r>
      <w:r w:rsidRPr="00215D72">
        <w:t xml:space="preserve">. </w:t>
      </w:r>
      <w:r>
        <w:t>They</w:t>
      </w:r>
      <w:r w:rsidRPr="00215D72">
        <w:t xml:space="preserve"> </w:t>
      </w:r>
      <w:r>
        <w:t>i</w:t>
      </w:r>
      <w:r w:rsidRPr="00215D72">
        <w:t>nvest approximately 20 percent of their assets in equities</w:t>
      </w:r>
      <w:r w:rsidRPr="00215D72">
        <w:rPr>
          <w:rStyle w:val="FootnoteReference"/>
        </w:rPr>
        <w:footnoteReference w:id="19"/>
      </w:r>
      <w:r w:rsidRPr="00215D72">
        <w:t xml:space="preserve">, </w:t>
      </w:r>
      <w:r>
        <w:t>driven by t</w:t>
      </w:r>
      <w:r w:rsidRPr="00215D72">
        <w:t>he multiple layers of explicit and implicit investment requirements</w:t>
      </w:r>
      <w:r>
        <w:rPr>
          <w:rStyle w:val="FootnoteReference"/>
        </w:rPr>
        <w:footnoteReference w:id="20"/>
      </w:r>
      <w:r w:rsidRPr="00215D72">
        <w:t>, and ASF</w:t>
      </w:r>
      <w:r>
        <w:t>’s</w:t>
      </w:r>
      <w:r w:rsidRPr="00215D72">
        <w:t xml:space="preserve"> risk weightings for fund categories</w:t>
      </w:r>
      <w:r>
        <w:t xml:space="preserve"> which </w:t>
      </w:r>
      <w:r w:rsidRPr="00215D72">
        <w:t xml:space="preserve">encourage conservative investment </w:t>
      </w:r>
      <w:r>
        <w:t>behavior</w:t>
      </w:r>
      <w:r w:rsidRPr="00215D72">
        <w:t>. The</w:t>
      </w:r>
      <w:r>
        <w:t>refore,</w:t>
      </w:r>
      <w:r w:rsidRPr="00215D72">
        <w:t xml:space="preserve"> </w:t>
      </w:r>
      <w:r>
        <w:t xml:space="preserve">their </w:t>
      </w:r>
      <w:r w:rsidRPr="00215D72">
        <w:t>investment regime should be reviewed to eliminate potential constraints for investment</w:t>
      </w:r>
      <w:r>
        <w:t>.</w:t>
      </w:r>
      <w:r w:rsidRPr="00215D72">
        <w:rPr>
          <w:rStyle w:val="FootnoteReference"/>
        </w:rPr>
        <w:footnoteReference w:id="21"/>
      </w:r>
      <w:r>
        <w:t xml:space="preserve"> C</w:t>
      </w:r>
      <w:r w:rsidRPr="00215D72">
        <w:t xml:space="preserve">apacity building of </w:t>
      </w:r>
      <w:r>
        <w:t xml:space="preserve">the ASF staff regulating and monitoring Pension Funds should be pursued. </w:t>
      </w:r>
    </w:p>
    <w:p w14:paraId="60CB9A8D" w14:textId="5F6291A4" w:rsidR="007403C1" w:rsidRPr="00215D72" w:rsidRDefault="007403C1" w:rsidP="009142E2">
      <w:pPr>
        <w:pStyle w:val="ParagraphNumbering"/>
        <w:numPr>
          <w:ilvl w:val="0"/>
          <w:numId w:val="13"/>
        </w:numPr>
        <w:spacing w:after="120" w:line="300" w:lineRule="exact"/>
        <w:ind w:left="0" w:firstLine="0"/>
        <w:jc w:val="both"/>
      </w:pPr>
      <w:r w:rsidRPr="00215D72">
        <w:rPr>
          <w:b/>
        </w:rPr>
        <w:t xml:space="preserve">There are concerns that some proposed country level initiatives may go </w:t>
      </w:r>
      <w:r w:rsidRPr="00215D72">
        <w:rPr>
          <w:b/>
          <w:bCs/>
        </w:rPr>
        <w:t xml:space="preserve">against previous efforts to diversify the investor base, undermine confidence in the markets and </w:t>
      </w:r>
      <w:r>
        <w:rPr>
          <w:b/>
          <w:bCs/>
        </w:rPr>
        <w:t>weaken</w:t>
      </w:r>
      <w:r w:rsidRPr="00215D72">
        <w:rPr>
          <w:b/>
          <w:bCs/>
        </w:rPr>
        <w:t xml:space="preserve"> further growth.</w:t>
      </w:r>
      <w:r w:rsidRPr="00215D72">
        <w:rPr>
          <w:b/>
        </w:rPr>
        <w:t xml:space="preserve"> </w:t>
      </w:r>
      <w:r w:rsidRPr="00215D72">
        <w:t>Government support for the capital markets is perceived to have waned, including proposals to freeze SOE listings for five years.</w:t>
      </w:r>
      <w:r w:rsidRPr="006F2997">
        <w:rPr>
          <w:rStyle w:val="FootnoteReference"/>
        </w:rPr>
        <w:t xml:space="preserve"> </w:t>
      </w:r>
      <w:r>
        <w:rPr>
          <w:rStyle w:val="FootnoteReference"/>
        </w:rPr>
        <w:footnoteReference w:id="22"/>
      </w:r>
      <w:r w:rsidRPr="00215D72">
        <w:t xml:space="preserve"> Government proposals to exempt SOEs (including listed </w:t>
      </w:r>
      <w:r>
        <w:t>ones</w:t>
      </w:r>
      <w:r w:rsidRPr="00215D72">
        <w:t xml:space="preserve">) from </w:t>
      </w:r>
      <w:r>
        <w:t>c</w:t>
      </w:r>
      <w:r w:rsidRPr="00215D72">
        <w:t xml:space="preserve">orporate </w:t>
      </w:r>
      <w:r>
        <w:t>g</w:t>
      </w:r>
      <w:r w:rsidRPr="00215D72">
        <w:t>overnance requirements risk undermining investor confidence. Concerns exist regarding recent governance of SOEs</w:t>
      </w:r>
      <w:r w:rsidRPr="00215D72">
        <w:rPr>
          <w:rStyle w:val="FootnoteReference"/>
        </w:rPr>
        <w:footnoteReference w:id="23"/>
      </w:r>
      <w:r w:rsidRPr="00215D72">
        <w:t>, and a reduced focus and interest in investor relations. The reduction in the Pillar 2 pension contribution from 5.1 to 3.75</w:t>
      </w:r>
      <w:r>
        <w:t xml:space="preserve"> percent</w:t>
      </w:r>
      <w:r w:rsidRPr="00215D72">
        <w:t xml:space="preserve"> of gross salary</w:t>
      </w:r>
      <w:r w:rsidR="007C7616">
        <w:t xml:space="preserve">, </w:t>
      </w:r>
      <w:r w:rsidR="000E144B">
        <w:t>and</w:t>
      </w:r>
      <w:r w:rsidR="007C7616">
        <w:t xml:space="preserve"> the</w:t>
      </w:r>
      <w:r w:rsidR="000E144B">
        <w:t>ir potential</w:t>
      </w:r>
      <w:r w:rsidR="007C7616">
        <w:t xml:space="preserve"> suspension</w:t>
      </w:r>
      <w:r w:rsidR="000E144B">
        <w:t xml:space="preserve"> going forward</w:t>
      </w:r>
      <w:r w:rsidR="007C7616">
        <w:t>,</w:t>
      </w:r>
      <w:r w:rsidRPr="00215D72">
        <w:t xml:space="preserve"> has the potential to reduce </w:t>
      </w:r>
      <w:r w:rsidRPr="00215D72">
        <w:lastRenderedPageBreak/>
        <w:t>the institutional investor base</w:t>
      </w:r>
      <w:r w:rsidR="007C7616">
        <w:t>,</w:t>
      </w:r>
      <w:r w:rsidRPr="00215D72">
        <w:t xml:space="preserve"> </w:t>
      </w:r>
      <w:r>
        <w:t>affect</w:t>
      </w:r>
      <w:r w:rsidRPr="00215D72">
        <w:t xml:space="preserve"> long term saving</w:t>
      </w:r>
      <w:r w:rsidR="000E144B">
        <w:t>s</w:t>
      </w:r>
      <w:r w:rsidR="007C7616">
        <w:t xml:space="preserve"> and undermine further development of the capital market</w:t>
      </w:r>
      <w:r w:rsidRPr="00215D72">
        <w:t>.</w:t>
      </w:r>
    </w:p>
    <w:p w14:paraId="7DF509C1" w14:textId="77777777" w:rsidR="007403C1" w:rsidRPr="00215D72" w:rsidRDefault="007403C1" w:rsidP="009142E2">
      <w:pPr>
        <w:pStyle w:val="ParagraphNumbering"/>
        <w:numPr>
          <w:ilvl w:val="0"/>
          <w:numId w:val="13"/>
        </w:numPr>
        <w:spacing w:after="120" w:line="300" w:lineRule="exact"/>
        <w:ind w:left="0" w:firstLine="0"/>
        <w:jc w:val="both"/>
      </w:pPr>
      <w:r>
        <w:rPr>
          <w:b/>
        </w:rPr>
        <w:t>I</w:t>
      </w:r>
      <w:r w:rsidRPr="00215D72">
        <w:rPr>
          <w:b/>
        </w:rPr>
        <w:t>nitiatives to address liquidity</w:t>
      </w:r>
      <w:r>
        <w:rPr>
          <w:b/>
        </w:rPr>
        <w:t xml:space="preserve"> -a remaining challenge for capital markets-</w:t>
      </w:r>
      <w:r w:rsidRPr="00215D72">
        <w:rPr>
          <w:b/>
        </w:rPr>
        <w:t xml:space="preserve"> and </w:t>
      </w:r>
      <w:r>
        <w:rPr>
          <w:b/>
        </w:rPr>
        <w:t xml:space="preserve">the </w:t>
      </w:r>
      <w:r w:rsidRPr="00215D72">
        <w:rPr>
          <w:b/>
        </w:rPr>
        <w:t>introduc</w:t>
      </w:r>
      <w:r>
        <w:rPr>
          <w:b/>
        </w:rPr>
        <w:t>tion of</w:t>
      </w:r>
      <w:r w:rsidRPr="00215D72">
        <w:rPr>
          <w:b/>
        </w:rPr>
        <w:t xml:space="preserve"> new products are in progress and will require market wide solutions.</w:t>
      </w:r>
      <w:r w:rsidRPr="00215D72">
        <w:t xml:space="preserve"> </w:t>
      </w:r>
      <w:r>
        <w:t>T</w:t>
      </w:r>
      <w:r w:rsidRPr="00215D72">
        <w:t xml:space="preserve">he derivatives market will require a </w:t>
      </w:r>
      <w:r w:rsidRPr="0089322B">
        <w:t xml:space="preserve">Central Counterparty Clearing House </w:t>
      </w:r>
      <w:r>
        <w:t>(</w:t>
      </w:r>
      <w:r w:rsidRPr="00215D72">
        <w:t>CCP</w:t>
      </w:r>
      <w:r>
        <w:t>)</w:t>
      </w:r>
      <w:r w:rsidRPr="00215D72">
        <w:t>. Given current and projected volumes, the complexity</w:t>
      </w:r>
      <w:r>
        <w:t>, time</w:t>
      </w:r>
      <w:r w:rsidRPr="00215D72">
        <w:t xml:space="preserve"> and costs involved in setting up a CCP, it </w:t>
      </w:r>
      <w:r>
        <w:t>is recommended</w:t>
      </w:r>
      <w:r w:rsidRPr="00215D72">
        <w:t xml:space="preserve"> to </w:t>
      </w:r>
      <w:r>
        <w:t xml:space="preserve">use </w:t>
      </w:r>
      <w:r w:rsidRPr="00215D72">
        <w:t xml:space="preserve">an existing neighboring CCP until volumes are sufficient to ensure the sustainability of a local CCP. The development of securities lending and borrowing </w:t>
      </w:r>
      <w:r>
        <w:t>(</w:t>
      </w:r>
      <w:r w:rsidRPr="00215D72">
        <w:t>SLB</w:t>
      </w:r>
      <w:r>
        <w:t>)</w:t>
      </w:r>
      <w:r w:rsidRPr="00215D72">
        <w:t xml:space="preserve"> requires clarification of the fiscal code with respect to capital gains tax on legal entities, and established mechanisms for collateral management. The resolution of the almost nine million dormant retail accounts (resulting from shares issued during the mass privatization) could increase the free float available in the market.</w:t>
      </w:r>
      <w:r w:rsidR="00E06AB1">
        <w:rPr>
          <w:rStyle w:val="FootnoteReference"/>
        </w:rPr>
        <w:footnoteReference w:id="24"/>
      </w:r>
      <w:r w:rsidRPr="00215D72">
        <w:t xml:space="preserve"> </w:t>
      </w:r>
    </w:p>
    <w:p w14:paraId="3C843EF4" w14:textId="77777777" w:rsidR="00205FD8" w:rsidRPr="00205FD8" w:rsidRDefault="007403C1" w:rsidP="009142E2">
      <w:pPr>
        <w:pStyle w:val="ParagraphNumbering"/>
        <w:numPr>
          <w:ilvl w:val="0"/>
          <w:numId w:val="13"/>
        </w:numPr>
        <w:spacing w:after="120" w:line="300" w:lineRule="exact"/>
        <w:ind w:left="0" w:firstLine="0"/>
        <w:jc w:val="both"/>
      </w:pPr>
      <w:r w:rsidRPr="000A700B">
        <w:rPr>
          <w:b/>
        </w:rPr>
        <w:t xml:space="preserve">Additional constraints </w:t>
      </w:r>
      <w:r>
        <w:rPr>
          <w:b/>
        </w:rPr>
        <w:t xml:space="preserve">in the non-government bond markets </w:t>
      </w:r>
      <w:r w:rsidRPr="000A700B">
        <w:rPr>
          <w:b/>
        </w:rPr>
        <w:t xml:space="preserve">should be addressed. </w:t>
      </w:r>
      <w:r>
        <w:t>These incl</w:t>
      </w:r>
      <w:r w:rsidRPr="00215D72">
        <w:t xml:space="preserve">ude </w:t>
      </w:r>
      <w:r>
        <w:t>the requirement to hold</w:t>
      </w:r>
      <w:r w:rsidRPr="00215D72">
        <w:t xml:space="preserve"> an extraordinary </w:t>
      </w:r>
      <w:r>
        <w:t>genera</w:t>
      </w:r>
      <w:r w:rsidRPr="00215D72">
        <w:t xml:space="preserve">l meeting to issue corporate bonds under the Commercial Companies Law, </w:t>
      </w:r>
      <w:r>
        <w:t xml:space="preserve">an uneven </w:t>
      </w:r>
      <w:r w:rsidRPr="00215D72">
        <w:t>tax playing field between corporate bond issuance and bank loan interest payments</w:t>
      </w:r>
      <w:r>
        <w:rPr>
          <w:rStyle w:val="FootnoteReference"/>
        </w:rPr>
        <w:footnoteReference w:id="25"/>
      </w:r>
      <w:r w:rsidRPr="00215D72">
        <w:t xml:space="preserve">, and the requirement for corporate bonds to have a rating of investment grade or one notch below for pension fund investors. </w:t>
      </w:r>
      <w:r w:rsidR="00E06AB1" w:rsidRPr="00E06AB1">
        <w:t>Some further outstanding technical issues include that there is a perception that settlement failure is not allowed for listed equities. Settlement failure should be allowed, and ASF and CSD should define a system of buy backs and sell outs to resolve settlement failure and manage risks, which should be communicated to the market</w:t>
      </w:r>
      <w:r w:rsidRPr="00215D72">
        <w:t>.</w:t>
      </w:r>
    </w:p>
    <w:p w14:paraId="386FEAA3" w14:textId="683BAA81" w:rsidR="00755599" w:rsidRDefault="00205FD8" w:rsidP="00755599">
      <w:pPr>
        <w:pStyle w:val="Heading2"/>
        <w:spacing w:before="240" w:line="240" w:lineRule="auto"/>
        <w:ind w:left="0"/>
        <w:rPr>
          <w:rFonts w:cs="Times New Roman"/>
          <w:szCs w:val="24"/>
        </w:rPr>
      </w:pPr>
      <w:bookmarkStart w:id="34" w:name="_Toc518653296"/>
      <w:r>
        <w:rPr>
          <w:rFonts w:cs="Times New Roman"/>
          <w:szCs w:val="24"/>
        </w:rPr>
        <w:t>Insurance Sector</w:t>
      </w:r>
      <w:bookmarkEnd w:id="34"/>
    </w:p>
    <w:p w14:paraId="38893A72" w14:textId="77777777" w:rsidR="007403C1" w:rsidRPr="0005715B" w:rsidRDefault="007403C1" w:rsidP="009142E2">
      <w:pPr>
        <w:pStyle w:val="ParagraphNumbering"/>
        <w:numPr>
          <w:ilvl w:val="0"/>
          <w:numId w:val="13"/>
        </w:numPr>
        <w:spacing w:after="120" w:line="300" w:lineRule="exact"/>
        <w:ind w:left="0" w:firstLine="0"/>
        <w:jc w:val="both"/>
        <w:rPr>
          <w:rFonts w:cs="Segoe UI"/>
          <w:szCs w:val="21"/>
        </w:rPr>
      </w:pPr>
      <w:r w:rsidRPr="0005715B">
        <w:rPr>
          <w:rFonts w:cs="Segoe UI"/>
          <w:b/>
          <w:szCs w:val="21"/>
        </w:rPr>
        <w:t>The role of insurance in Romania continues to be limited, and key indicators have shown a negative trend for several years.</w:t>
      </w:r>
      <w:r w:rsidRPr="0005715B">
        <w:rPr>
          <w:rFonts w:cs="Segoe UI"/>
          <w:szCs w:val="21"/>
        </w:rPr>
        <w:t xml:space="preserve"> With an insurance premium amounting to 1.23</w:t>
      </w:r>
      <w:r>
        <w:rPr>
          <w:rFonts w:cs="Segoe UI"/>
          <w:szCs w:val="21"/>
        </w:rPr>
        <w:t xml:space="preserve"> percent</w:t>
      </w:r>
      <w:r w:rsidRPr="0005715B">
        <w:rPr>
          <w:rFonts w:cs="Segoe UI"/>
          <w:szCs w:val="21"/>
        </w:rPr>
        <w:t xml:space="preserve"> of GDP in 2016, Romania fares considerably below most regional peers. While this indicator of insurance penetration grew between 2001 (0.87</w:t>
      </w:r>
      <w:r>
        <w:rPr>
          <w:rFonts w:cs="Segoe UI"/>
          <w:szCs w:val="21"/>
        </w:rPr>
        <w:t xml:space="preserve"> percent</w:t>
      </w:r>
      <w:r w:rsidRPr="0005715B">
        <w:rPr>
          <w:rFonts w:cs="Segoe UI"/>
          <w:szCs w:val="21"/>
        </w:rPr>
        <w:t>) and 2007 (1.72</w:t>
      </w:r>
      <w:r>
        <w:rPr>
          <w:rFonts w:cs="Segoe UI"/>
          <w:szCs w:val="21"/>
        </w:rPr>
        <w:t xml:space="preserve"> percent</w:t>
      </w:r>
      <w:r w:rsidRPr="0005715B">
        <w:rPr>
          <w:rFonts w:cs="Segoe UI"/>
          <w:szCs w:val="21"/>
        </w:rPr>
        <w:t xml:space="preserve">), it decreased continuously </w:t>
      </w:r>
      <w:r w:rsidRPr="006305CA">
        <w:t>since</w:t>
      </w:r>
      <w:r w:rsidRPr="0005715B">
        <w:rPr>
          <w:rFonts w:cs="Segoe UI"/>
          <w:szCs w:val="21"/>
        </w:rPr>
        <w:t xml:space="preserve"> then. Assets held by insurance companies were in the order of 2.5</w:t>
      </w:r>
      <w:r>
        <w:rPr>
          <w:rFonts w:cs="Segoe UI"/>
          <w:szCs w:val="21"/>
        </w:rPr>
        <w:t xml:space="preserve"> percent</w:t>
      </w:r>
      <w:r w:rsidRPr="0005715B">
        <w:rPr>
          <w:rFonts w:cs="Segoe UI"/>
          <w:szCs w:val="21"/>
        </w:rPr>
        <w:t xml:space="preserve"> of GDP in 2016, down from 3.15</w:t>
      </w:r>
      <w:r>
        <w:rPr>
          <w:rFonts w:cs="Segoe UI"/>
          <w:szCs w:val="21"/>
        </w:rPr>
        <w:t xml:space="preserve"> percent</w:t>
      </w:r>
      <w:r w:rsidRPr="0005715B">
        <w:rPr>
          <w:rFonts w:cs="Segoe UI"/>
          <w:szCs w:val="21"/>
        </w:rPr>
        <w:t xml:space="preserve"> in 2010.</w:t>
      </w:r>
    </w:p>
    <w:p w14:paraId="0393E8FB" w14:textId="61EDB065" w:rsidR="007403C1" w:rsidRPr="0005715B" w:rsidRDefault="007403C1" w:rsidP="009142E2">
      <w:pPr>
        <w:pStyle w:val="ParagraphNumbering"/>
        <w:numPr>
          <w:ilvl w:val="0"/>
          <w:numId w:val="13"/>
        </w:numPr>
        <w:spacing w:after="120" w:line="300" w:lineRule="exact"/>
        <w:ind w:left="0" w:firstLine="0"/>
        <w:jc w:val="both"/>
        <w:rPr>
          <w:rFonts w:cs="Segoe UI"/>
          <w:szCs w:val="21"/>
        </w:rPr>
      </w:pPr>
      <w:bookmarkStart w:id="35" w:name="_Hlk503826308"/>
      <w:r w:rsidRPr="0005715B">
        <w:rPr>
          <w:rFonts w:cs="Segoe UI"/>
          <w:b/>
          <w:szCs w:val="21"/>
        </w:rPr>
        <w:t>Past market turbulences, compounded by lack of regulatory independence, have adversely affected trust in the insurance industry</w:t>
      </w:r>
      <w:bookmarkEnd w:id="35"/>
      <w:r w:rsidRPr="0005715B">
        <w:rPr>
          <w:rFonts w:cs="Segoe UI"/>
          <w:b/>
          <w:szCs w:val="21"/>
        </w:rPr>
        <w:t>.</w:t>
      </w:r>
      <w:r w:rsidRPr="0005715B">
        <w:rPr>
          <w:rFonts w:cs="Segoe UI"/>
          <w:szCs w:val="21"/>
        </w:rPr>
        <w:t xml:space="preserve"> Several insurers were found insolvent since 2015, some of them with dominant market shares in motor insurance, which is the main business line in Romania (as of mid-2017, 60</w:t>
      </w:r>
      <w:r>
        <w:rPr>
          <w:rFonts w:cs="Segoe UI"/>
          <w:szCs w:val="21"/>
        </w:rPr>
        <w:t xml:space="preserve"> percent</w:t>
      </w:r>
      <w:r w:rsidRPr="0005715B">
        <w:rPr>
          <w:rFonts w:cs="Segoe UI"/>
          <w:szCs w:val="21"/>
        </w:rPr>
        <w:t xml:space="preserve"> of total premium came from property and motor third party liability insurance – MTPL). These failures affected consumers, who were forced to find new insurers at </w:t>
      </w:r>
      <w:r w:rsidRPr="006305CA">
        <w:t>short</w:t>
      </w:r>
      <w:r w:rsidRPr="0005715B">
        <w:rPr>
          <w:rFonts w:cs="Segoe UI"/>
          <w:szCs w:val="21"/>
        </w:rPr>
        <w:t xml:space="preserve"> notice, and other insurers, who had to assume the costs of these failures via the Policyholder Guarantee Fund and the Resolution Fund and were subjected to price controls temporarily enforced by the regulator. The crisis has been compounded by the political influence </w:t>
      </w:r>
      <w:r w:rsidRPr="0005715B">
        <w:rPr>
          <w:rFonts w:cs="Segoe UI"/>
          <w:szCs w:val="21"/>
        </w:rPr>
        <w:lastRenderedPageBreak/>
        <w:t>that the Parliament exerts on the insurance regulator through the nomination and revocation of all ASF’s board members.</w:t>
      </w:r>
    </w:p>
    <w:p w14:paraId="5C5D962F" w14:textId="77777777" w:rsidR="007403C1" w:rsidRPr="0005715B" w:rsidRDefault="007403C1" w:rsidP="009142E2">
      <w:pPr>
        <w:pStyle w:val="ParagraphNumbering"/>
        <w:numPr>
          <w:ilvl w:val="0"/>
          <w:numId w:val="13"/>
        </w:numPr>
        <w:spacing w:after="120" w:line="300" w:lineRule="exact"/>
        <w:ind w:left="0" w:firstLine="0"/>
        <w:jc w:val="both"/>
        <w:rPr>
          <w:rFonts w:cs="Segoe UI"/>
          <w:szCs w:val="21"/>
        </w:rPr>
      </w:pPr>
      <w:r w:rsidRPr="0005715B">
        <w:rPr>
          <w:rFonts w:cs="Segoe UI"/>
          <w:b/>
          <w:szCs w:val="21"/>
        </w:rPr>
        <w:t>Since then, the regulatory and supervisory framework for insurance has been subject to a major overhaul, following new EU requirements.</w:t>
      </w:r>
      <w:r w:rsidRPr="0005715B">
        <w:rPr>
          <w:rFonts w:cs="Segoe UI"/>
          <w:szCs w:val="21"/>
        </w:rPr>
        <w:t xml:space="preserve"> Transition to the European regime of Solvency II is bringing numerous changes to almost every dimension of insurance. Preparatory balance sheet reviews in 2015 uncovered financial shortcomings of some insurers that led to market exits, and multiple remedial actions. In response, the authorities have now established a new resolution framework </w:t>
      </w:r>
      <w:r w:rsidRPr="006305CA">
        <w:t>for</w:t>
      </w:r>
      <w:r w:rsidRPr="0005715B">
        <w:rPr>
          <w:rFonts w:cs="Segoe UI"/>
          <w:szCs w:val="21"/>
        </w:rPr>
        <w:t xml:space="preserve"> the insurance sector inspired by the BRRD, representing an important advance. </w:t>
      </w:r>
    </w:p>
    <w:p w14:paraId="0D578156" w14:textId="77777777" w:rsidR="007403C1" w:rsidRPr="0005715B" w:rsidRDefault="007403C1" w:rsidP="009142E2">
      <w:pPr>
        <w:pStyle w:val="ParagraphNumbering"/>
        <w:numPr>
          <w:ilvl w:val="0"/>
          <w:numId w:val="13"/>
        </w:numPr>
        <w:spacing w:after="120" w:line="300" w:lineRule="exact"/>
        <w:ind w:left="0" w:firstLine="0"/>
        <w:jc w:val="both"/>
        <w:rPr>
          <w:rFonts w:cs="Segoe UI"/>
          <w:szCs w:val="21"/>
        </w:rPr>
      </w:pPr>
      <w:r w:rsidRPr="0005715B">
        <w:rPr>
          <w:rFonts w:cs="Segoe UI"/>
          <w:b/>
          <w:szCs w:val="21"/>
        </w:rPr>
        <w:t>In addition, a new regulation has been passed in 2017 aiming to stabilize the MTPL market.</w:t>
      </w:r>
      <w:r w:rsidRPr="0005715B">
        <w:rPr>
          <w:rFonts w:cs="Segoe UI"/>
          <w:szCs w:val="21"/>
        </w:rPr>
        <w:t xml:space="preserve"> The design of the new MTPL Law appears an appropriate response to the past difficulties, even if its actual impact cannot yet be </w:t>
      </w:r>
      <w:r w:rsidRPr="006305CA">
        <w:t>assessed</w:t>
      </w:r>
      <w:r w:rsidRPr="0005715B">
        <w:rPr>
          <w:rFonts w:cs="Segoe UI"/>
          <w:szCs w:val="21"/>
        </w:rPr>
        <w:t xml:space="preserve">. However, a track record of monitoring developments and managing new turbulences still needs to be established, and the FSAP recommends an external independent review of the effectiveness of its supervisory and regulatory framework.  </w:t>
      </w:r>
    </w:p>
    <w:p w14:paraId="7109882C" w14:textId="77777777" w:rsidR="00205FD8" w:rsidRPr="00205FD8" w:rsidRDefault="007403C1" w:rsidP="009142E2">
      <w:pPr>
        <w:pStyle w:val="ParagraphNumbering"/>
        <w:numPr>
          <w:ilvl w:val="0"/>
          <w:numId w:val="13"/>
        </w:numPr>
        <w:spacing w:after="120" w:line="300" w:lineRule="exact"/>
        <w:ind w:left="0" w:firstLine="0"/>
        <w:jc w:val="both"/>
      </w:pPr>
      <w:r w:rsidRPr="0005715B">
        <w:rPr>
          <w:rFonts w:cs="Segoe UI"/>
          <w:b/>
          <w:szCs w:val="21"/>
        </w:rPr>
        <w:t>In view of the low penetration of insurance -other than MTPL–, more effort should be devoted to the development of other business lines, such as homeowners’ insurance and life insurance.</w:t>
      </w:r>
      <w:r w:rsidRPr="0005715B">
        <w:rPr>
          <w:rFonts w:cs="Segoe UI"/>
          <w:szCs w:val="21"/>
        </w:rPr>
        <w:t xml:space="preserve"> With the current rate of penetration estimated at 20</w:t>
      </w:r>
      <w:r>
        <w:rPr>
          <w:rFonts w:cs="Segoe UI"/>
          <w:szCs w:val="21"/>
        </w:rPr>
        <w:t xml:space="preserve"> percent</w:t>
      </w:r>
      <w:r w:rsidRPr="0005715B">
        <w:rPr>
          <w:rFonts w:cs="Segoe UI"/>
          <w:szCs w:val="21"/>
        </w:rPr>
        <w:t>, the mandatory homeowners’ catastrophe property insurance fails to establish the originally intended safety net, continuing to expose the Government to considerable contingent liability should another major earthquake occur. Higher penetration would also further increase the operational efficiency and diversification of the Natural Disaster Insurance Pool (PAID). Recent dynamics of life and health insurance indicate unmet needs, and demand that could be addressed with more suitable products and processes. Working groups to address this opportunity have already been initiated. More dedicated efforts – with suitably chosen representatives of all relevant stakeholders and disciplined output objectives – will allow more Romanians to use insurance better suited to their needs.</w:t>
      </w:r>
    </w:p>
    <w:p w14:paraId="15B9E836" w14:textId="065CBB8A" w:rsidR="00755599" w:rsidRDefault="00205FD8" w:rsidP="00755599">
      <w:pPr>
        <w:pStyle w:val="Heading2"/>
        <w:spacing w:before="240" w:line="240" w:lineRule="auto"/>
        <w:ind w:left="0"/>
      </w:pPr>
      <w:bookmarkStart w:id="36" w:name="_Toc518653297"/>
      <w:r>
        <w:t>Housing Finance</w:t>
      </w:r>
      <w:r w:rsidR="00811D3E">
        <w:rPr>
          <w:rStyle w:val="FootnoteReference"/>
        </w:rPr>
        <w:footnoteReference w:id="26"/>
      </w:r>
      <w:bookmarkEnd w:id="36"/>
    </w:p>
    <w:p w14:paraId="180E2C92" w14:textId="77777777" w:rsidR="007403C1" w:rsidRPr="00CA78D3" w:rsidRDefault="007403C1" w:rsidP="009142E2">
      <w:pPr>
        <w:pStyle w:val="ParagraphNumbering"/>
        <w:numPr>
          <w:ilvl w:val="0"/>
          <w:numId w:val="13"/>
        </w:numPr>
        <w:spacing w:after="120" w:line="300" w:lineRule="exact"/>
        <w:ind w:left="0" w:firstLine="0"/>
        <w:jc w:val="both"/>
      </w:pPr>
      <w:r w:rsidRPr="00130E47">
        <w:rPr>
          <w:b/>
        </w:rPr>
        <w:t>Despite having one of the highest home-ownership rates in the World, Romania has high levels of inadequate housing and a significant housing investment gap.</w:t>
      </w:r>
      <w:r w:rsidRPr="00CA78D3">
        <w:t xml:space="preserve"> Romania lags all other EU countries in most measures relating to quality of housing and living conditions, with one in 5 Romanian citizens facing severe housing deprivation. This is a measure covering both quality of housing and overcrowding. This compares to an EU average of just 1 in 20 facing severe housing deprivation.  Despite the high owner occupier</w:t>
      </w:r>
      <w:r w:rsidRPr="00CA78D3">
        <w:rPr>
          <w:rStyle w:val="FootnoteReference"/>
          <w:rFonts w:cs="Segoe UI"/>
          <w:szCs w:val="21"/>
        </w:rPr>
        <w:footnoteReference w:id="27"/>
      </w:r>
      <w:r w:rsidRPr="00CA78D3">
        <w:t xml:space="preserve"> rate</w:t>
      </w:r>
      <w:r>
        <w:t>,</w:t>
      </w:r>
      <w:r w:rsidRPr="00CA78D3">
        <w:t xml:space="preserve"> the overwhelming majority of home-owners do not have a mortgage loan. Investment into the private rental market is also ex</w:t>
      </w:r>
      <w:r>
        <w:t xml:space="preserve">tremely </w:t>
      </w:r>
      <w:r>
        <w:lastRenderedPageBreak/>
        <w:t>limited with just 4 per</w:t>
      </w:r>
      <w:r w:rsidRPr="00CA78D3">
        <w:t>cent of the population renting, the majority of whom benefit from subsidized/reduced or free rental arrangements.</w:t>
      </w:r>
      <w:r w:rsidRPr="00CA78D3">
        <w:rPr>
          <w:rStyle w:val="FootnoteReference"/>
          <w:rFonts w:cs="Segoe UI"/>
          <w:szCs w:val="21"/>
        </w:rPr>
        <w:footnoteReference w:id="28"/>
      </w:r>
    </w:p>
    <w:p w14:paraId="72D0A56B" w14:textId="77777777" w:rsidR="00205FD8" w:rsidRPr="00205FD8" w:rsidRDefault="007403C1" w:rsidP="009142E2">
      <w:pPr>
        <w:pStyle w:val="ParagraphNumbering"/>
        <w:numPr>
          <w:ilvl w:val="0"/>
          <w:numId w:val="13"/>
        </w:numPr>
        <w:spacing w:after="120" w:line="300" w:lineRule="exact"/>
        <w:ind w:left="0" w:firstLine="0"/>
        <w:jc w:val="both"/>
      </w:pPr>
      <w:r w:rsidRPr="00130E47">
        <w:rPr>
          <w:b/>
        </w:rPr>
        <w:t>In light of the new personal insolvency law, which provides additional rights for borrowers, the ‘law on debt discharge’ should be repealed.</w:t>
      </w:r>
      <w:r w:rsidRPr="00CA78D3">
        <w:t xml:space="preserve"> The new Law on Personal Insolvency </w:t>
      </w:r>
      <w:r>
        <w:t>that came into effect</w:t>
      </w:r>
      <w:r w:rsidRPr="00CA78D3">
        <w:t xml:space="preserve"> in early 2018 </w:t>
      </w:r>
      <w:r>
        <w:t>introduces a 5-</w:t>
      </w:r>
      <w:r w:rsidRPr="00CA78D3">
        <w:t xml:space="preserve">year resolution period once a default event has occurred. This is more reasonable than </w:t>
      </w:r>
      <w:r>
        <w:t xml:space="preserve">the </w:t>
      </w:r>
      <w:r w:rsidRPr="00CA78D3">
        <w:t>previous system where debts could be pursued indefinitely</w:t>
      </w:r>
      <w:r>
        <w:t>,</w:t>
      </w:r>
      <w:r w:rsidRPr="00CA78D3">
        <w:t xml:space="preserve"> but also more balance</w:t>
      </w:r>
      <w:r>
        <w:t>d than</w:t>
      </w:r>
      <w:r w:rsidRPr="00CA78D3">
        <w:t xml:space="preserve"> the </w:t>
      </w:r>
      <w:r>
        <w:t>‘</w:t>
      </w:r>
      <w:r w:rsidRPr="00CA78D3">
        <w:t>law on debt discharge’ which allows borrow</w:t>
      </w:r>
      <w:r>
        <w:t>er</w:t>
      </w:r>
      <w:r w:rsidRPr="00CA78D3">
        <w:t xml:space="preserve">s to walk away </w:t>
      </w:r>
      <w:r>
        <w:t xml:space="preserve">from </w:t>
      </w:r>
      <w:r w:rsidRPr="00CA78D3">
        <w:t xml:space="preserve">any debts remaining once collateral is realized. This will result in some costs for </w:t>
      </w:r>
      <w:r>
        <w:t xml:space="preserve">the </w:t>
      </w:r>
      <w:r w:rsidRPr="00CA78D3">
        <w:t xml:space="preserve">financial sector, but helps bring some balance between debtor and creditor in cases of delinquency. Overall, the impact of the ‘walkaway’ law has been to add costs and uncertainty to </w:t>
      </w:r>
      <w:r>
        <w:t xml:space="preserve">the </w:t>
      </w:r>
      <w:r w:rsidRPr="00CA78D3">
        <w:t>mortgage lending process, with some lenders offering different rates on loans where</w:t>
      </w:r>
      <w:r>
        <w:t xml:space="preserve"> the</w:t>
      </w:r>
      <w:r w:rsidRPr="00CA78D3">
        <w:t xml:space="preserve"> law may apply. This is negative for both the mortgage market as a whole and in particular lower income households which the law was aiming to assist.</w:t>
      </w:r>
    </w:p>
    <w:p w14:paraId="566E0471" w14:textId="77777777" w:rsidR="009142E2" w:rsidRDefault="009142E2">
      <w:pPr>
        <w:spacing w:line="240" w:lineRule="auto"/>
        <w:rPr>
          <w:rFonts w:cs="Arial"/>
          <w:b/>
          <w:bCs/>
          <w:smallCaps/>
          <w:kern w:val="28"/>
          <w:szCs w:val="32"/>
        </w:rPr>
      </w:pPr>
      <w:bookmarkStart w:id="37" w:name="_Toc518653298"/>
      <w:r>
        <w:br w:type="page"/>
      </w:r>
    </w:p>
    <w:p w14:paraId="6A21769E" w14:textId="52DBD458" w:rsidR="00291E53" w:rsidRDefault="0065669A" w:rsidP="00461303">
      <w:pPr>
        <w:pStyle w:val="Heading1"/>
        <w:numPr>
          <w:ilvl w:val="0"/>
          <w:numId w:val="0"/>
        </w:numPr>
        <w:spacing w:before="240" w:after="120" w:line="240" w:lineRule="auto"/>
      </w:pPr>
      <w:r>
        <w:lastRenderedPageBreak/>
        <w:t>Appendix I</w:t>
      </w:r>
      <w:r w:rsidRPr="0065669A">
        <w:t xml:space="preserve"> – Tables and Figures</w:t>
      </w:r>
      <w:bookmarkEnd w:id="37"/>
    </w:p>
    <w:tbl>
      <w:tblPr>
        <w:tblStyle w:val="TableGrid"/>
        <w:tblW w:w="9314"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none" w:sz="0" w:space="0" w:color="auto"/>
          <w:insideV w:val="none" w:sz="0" w:space="0" w:color="auto"/>
        </w:tblBorders>
        <w:tblLayout w:type="fixed"/>
        <w:tblLook w:val="04A0" w:firstRow="1" w:lastRow="0" w:firstColumn="1" w:lastColumn="0" w:noHBand="0" w:noVBand="1"/>
      </w:tblPr>
      <w:tblGrid>
        <w:gridCol w:w="4518"/>
        <w:gridCol w:w="270"/>
        <w:gridCol w:w="4526"/>
      </w:tblGrid>
      <w:tr w:rsidR="002F3580" w:rsidRPr="005018B9" w14:paraId="7B09EA4E" w14:textId="77777777" w:rsidTr="00C24BCC">
        <w:trPr>
          <w:trHeight w:val="278"/>
          <w:jc w:val="center"/>
        </w:trPr>
        <w:tc>
          <w:tcPr>
            <w:tcW w:w="9314" w:type="dxa"/>
            <w:gridSpan w:val="3"/>
            <w:shd w:val="clear" w:color="auto" w:fill="auto"/>
            <w:vAlign w:val="center"/>
          </w:tcPr>
          <w:bookmarkStart w:id="38" w:name="_Toc504295053"/>
          <w:p w14:paraId="20D0884E" w14:textId="5042B100" w:rsidR="002F3580" w:rsidRPr="002F3580" w:rsidRDefault="002F3580" w:rsidP="002F3580">
            <w:pPr>
              <w:pStyle w:val="Caption"/>
              <w:spacing w:before="0" w:after="0"/>
              <w:jc w:val="center"/>
              <w:rPr>
                <w:rFonts w:hint="eastAsia"/>
                <w:sz w:val="24"/>
                <w:szCs w:val="24"/>
              </w:rPr>
            </w:pPr>
            <w:r w:rsidRPr="006A7ACF">
              <w:rPr>
                <w:b w:val="0"/>
              </w:rPr>
              <w:fldChar w:fldCharType="begin"/>
            </w:r>
            <w:r w:rsidRPr="006A7ACF">
              <w:rPr>
                <w:b w:val="0"/>
              </w:rPr>
              <w:instrText xml:space="preserve"> TC "</w:instrText>
            </w:r>
            <w:r w:rsidRPr="006A7ACF">
              <w:rPr>
                <w:b w:val="0"/>
              </w:rPr>
              <w:br w:type="page"/>
            </w:r>
            <w:r w:rsidRPr="006A7ACF">
              <w:rPr>
                <w:b w:val="0"/>
              </w:rPr>
              <w:br w:type="page"/>
            </w:r>
            <w:bookmarkStart w:id="39" w:name="_Toc512958422"/>
            <w:r w:rsidRPr="006A7ACF">
              <w:rPr>
                <w:b w:val="0"/>
              </w:rPr>
              <w:instrText>1. Economic Developments 2008–1</w:instrText>
            </w:r>
            <w:r>
              <w:rPr>
                <w:b w:val="0"/>
              </w:rPr>
              <w:instrText>7</w:instrText>
            </w:r>
            <w:bookmarkEnd w:id="39"/>
            <w:r w:rsidRPr="006A7ACF">
              <w:rPr>
                <w:b w:val="0"/>
              </w:rPr>
              <w:cr/>
              <w:instrText xml:space="preserve">"\f C </w:instrText>
            </w:r>
            <w:r w:rsidRPr="006A7ACF">
              <w:rPr>
                <w:b w:val="0"/>
              </w:rPr>
              <w:fldChar w:fldCharType="end"/>
            </w:r>
            <w:r w:rsidRPr="006A7ACF">
              <w:rPr>
                <w:b w:val="0"/>
              </w:rPr>
              <w:br w:type="page"/>
            </w:r>
            <w:r w:rsidRPr="006A7ACF">
              <w:rPr>
                <w:b w:val="0"/>
              </w:rPr>
              <w:br w:type="page"/>
            </w:r>
            <w:bookmarkStart w:id="40" w:name="_Toc504295052"/>
            <w:bookmarkStart w:id="41" w:name="_Toc518653302"/>
            <w:r w:rsidRPr="002F3580">
              <w:rPr>
                <w:rFonts w:cs="Segoe UI"/>
                <w:sz w:val="24"/>
                <w:szCs w:val="24"/>
              </w:rPr>
              <w:t xml:space="preserve">Figure </w:t>
            </w:r>
            <w:r w:rsidRPr="002F3580">
              <w:rPr>
                <w:rFonts w:cs="Segoe UI"/>
                <w:b w:val="0"/>
                <w:sz w:val="24"/>
                <w:szCs w:val="24"/>
              </w:rPr>
              <w:fldChar w:fldCharType="begin"/>
            </w:r>
            <w:r w:rsidRPr="002F3580">
              <w:rPr>
                <w:rFonts w:cs="Segoe UI"/>
                <w:sz w:val="24"/>
                <w:szCs w:val="24"/>
              </w:rPr>
              <w:instrText xml:space="preserve"> SEQ Figure \* ARABIC </w:instrText>
            </w:r>
            <w:r w:rsidRPr="002F3580">
              <w:rPr>
                <w:rFonts w:cs="Segoe UI"/>
                <w:b w:val="0"/>
                <w:sz w:val="24"/>
                <w:szCs w:val="24"/>
              </w:rPr>
              <w:fldChar w:fldCharType="separate"/>
            </w:r>
            <w:r w:rsidR="006D0059">
              <w:rPr>
                <w:rFonts w:cs="Segoe UI" w:hint="eastAsia"/>
                <w:noProof/>
                <w:sz w:val="24"/>
                <w:szCs w:val="24"/>
              </w:rPr>
              <w:t>1</w:t>
            </w:r>
            <w:r w:rsidRPr="002F3580">
              <w:rPr>
                <w:rFonts w:cs="Segoe UI"/>
                <w:b w:val="0"/>
                <w:sz w:val="24"/>
                <w:szCs w:val="24"/>
              </w:rPr>
              <w:fldChar w:fldCharType="end"/>
            </w:r>
            <w:r w:rsidRPr="002F3580">
              <w:rPr>
                <w:rFonts w:cs="Segoe UI"/>
                <w:sz w:val="24"/>
                <w:szCs w:val="24"/>
              </w:rPr>
              <w:t>. Romania: Economic Developments 2008–1</w:t>
            </w:r>
            <w:bookmarkEnd w:id="40"/>
            <w:r w:rsidRPr="002F3580">
              <w:rPr>
                <w:rFonts w:cs="Segoe UI"/>
                <w:sz w:val="24"/>
                <w:szCs w:val="24"/>
              </w:rPr>
              <w:t>7</w:t>
            </w:r>
            <w:bookmarkEnd w:id="41"/>
          </w:p>
        </w:tc>
      </w:tr>
      <w:tr w:rsidR="002F3580" w:rsidRPr="0016447E" w14:paraId="5E513495" w14:textId="77777777" w:rsidTr="00C24BCC">
        <w:trPr>
          <w:trHeight w:val="345"/>
          <w:jc w:val="center"/>
        </w:trPr>
        <w:tc>
          <w:tcPr>
            <w:tcW w:w="4518" w:type="dxa"/>
            <w:shd w:val="clear" w:color="auto" w:fill="auto"/>
            <w:vAlign w:val="center"/>
          </w:tcPr>
          <w:p w14:paraId="466EA799" w14:textId="77777777" w:rsidR="002F3580" w:rsidRPr="0016447E" w:rsidRDefault="002F3580" w:rsidP="002F3580">
            <w:pPr>
              <w:spacing w:line="240" w:lineRule="auto"/>
              <w:rPr>
                <w:rFonts w:cs="Segoe UI"/>
                <w:i/>
                <w:color w:val="000000" w:themeColor="text1"/>
                <w:sz w:val="17"/>
                <w:szCs w:val="17"/>
              </w:rPr>
            </w:pPr>
            <w:r>
              <w:rPr>
                <w:rFonts w:cs="Segoe UI"/>
                <w:i/>
                <w:color w:val="000000" w:themeColor="text1"/>
                <w:sz w:val="17"/>
                <w:szCs w:val="17"/>
              </w:rPr>
              <w:t>Economic growth resumed and has accelerated in the last two years…</w:t>
            </w:r>
          </w:p>
        </w:tc>
        <w:tc>
          <w:tcPr>
            <w:tcW w:w="270" w:type="dxa"/>
            <w:shd w:val="clear" w:color="auto" w:fill="auto"/>
          </w:tcPr>
          <w:p w14:paraId="1E207CC3" w14:textId="77777777" w:rsidR="002F3580" w:rsidRPr="0016447E" w:rsidRDefault="002F3580" w:rsidP="002F3580">
            <w:pPr>
              <w:spacing w:line="240" w:lineRule="auto"/>
              <w:rPr>
                <w:rFonts w:cs="Segoe UI"/>
                <w:i/>
                <w:color w:val="000000" w:themeColor="text1"/>
                <w:sz w:val="17"/>
                <w:szCs w:val="17"/>
              </w:rPr>
            </w:pPr>
          </w:p>
        </w:tc>
        <w:tc>
          <w:tcPr>
            <w:tcW w:w="4526" w:type="dxa"/>
            <w:shd w:val="clear" w:color="auto" w:fill="auto"/>
            <w:vAlign w:val="center"/>
          </w:tcPr>
          <w:p w14:paraId="5F5F190F" w14:textId="77777777" w:rsidR="002F3580" w:rsidRPr="0016447E" w:rsidRDefault="002F3580" w:rsidP="002F3580">
            <w:pPr>
              <w:spacing w:line="240" w:lineRule="auto"/>
              <w:rPr>
                <w:rFonts w:cs="Segoe UI"/>
                <w:i/>
                <w:color w:val="000000" w:themeColor="text1"/>
                <w:sz w:val="17"/>
                <w:szCs w:val="17"/>
              </w:rPr>
            </w:pPr>
            <w:r>
              <w:rPr>
                <w:rFonts w:cs="Segoe UI"/>
                <w:i/>
                <w:color w:val="000000" w:themeColor="text1"/>
                <w:sz w:val="17"/>
                <w:szCs w:val="17"/>
              </w:rPr>
              <w:t>… driven mostly by an increase in private consumption</w:t>
            </w:r>
            <w:r w:rsidRPr="0016447E">
              <w:rPr>
                <w:rFonts w:cs="Segoe UI"/>
                <w:i/>
                <w:color w:val="000000" w:themeColor="text1"/>
                <w:sz w:val="17"/>
                <w:szCs w:val="17"/>
              </w:rPr>
              <w:t>….</w:t>
            </w:r>
          </w:p>
        </w:tc>
      </w:tr>
      <w:tr w:rsidR="002F3580" w:rsidRPr="0016447E" w14:paraId="55446A0D" w14:textId="77777777" w:rsidTr="00C24BCC">
        <w:trPr>
          <w:jc w:val="center"/>
        </w:trPr>
        <w:tc>
          <w:tcPr>
            <w:tcW w:w="4518" w:type="dxa"/>
            <w:shd w:val="clear" w:color="auto" w:fill="auto"/>
          </w:tcPr>
          <w:p w14:paraId="6C5B13B0" w14:textId="77777777" w:rsidR="002F3580" w:rsidRPr="0016447E" w:rsidRDefault="002F3580" w:rsidP="002F3580">
            <w:pPr>
              <w:spacing w:line="240" w:lineRule="auto"/>
              <w:jc w:val="center"/>
              <w:rPr>
                <w:rFonts w:cs="Segoe UI"/>
                <w:i/>
                <w:color w:val="000000" w:themeColor="text1"/>
              </w:rPr>
            </w:pPr>
            <w:r w:rsidRPr="00045947">
              <w:rPr>
                <w:rFonts w:cs="Segoe UI"/>
                <w:i/>
                <w:noProof/>
                <w:color w:val="000000" w:themeColor="text1"/>
                <w:lang w:eastAsia="zh-TW"/>
              </w:rPr>
              <w:drawing>
                <wp:inline distT="0" distB="0" distL="0" distR="0" wp14:anchorId="3B00CCDB" wp14:editId="28BFD2F0">
                  <wp:extent cx="2409825" cy="2182323"/>
                  <wp:effectExtent l="0" t="0" r="0" b="889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45614" cy="2214733"/>
                          </a:xfrm>
                          <a:prstGeom prst="rect">
                            <a:avLst/>
                          </a:prstGeom>
                          <a:noFill/>
                          <a:ln>
                            <a:noFill/>
                          </a:ln>
                        </pic:spPr>
                      </pic:pic>
                    </a:graphicData>
                  </a:graphic>
                </wp:inline>
              </w:drawing>
            </w:r>
          </w:p>
        </w:tc>
        <w:tc>
          <w:tcPr>
            <w:tcW w:w="270" w:type="dxa"/>
            <w:shd w:val="clear" w:color="auto" w:fill="auto"/>
          </w:tcPr>
          <w:p w14:paraId="7D0F45CA" w14:textId="77777777" w:rsidR="002F3580" w:rsidRPr="0016447E" w:rsidRDefault="002F3580" w:rsidP="002F3580">
            <w:pPr>
              <w:spacing w:line="240" w:lineRule="auto"/>
              <w:rPr>
                <w:rFonts w:cs="Segoe UI"/>
                <w:i/>
                <w:color w:val="000000" w:themeColor="text1"/>
                <w:sz w:val="14"/>
                <w:szCs w:val="14"/>
              </w:rPr>
            </w:pPr>
          </w:p>
        </w:tc>
        <w:tc>
          <w:tcPr>
            <w:tcW w:w="4526" w:type="dxa"/>
            <w:shd w:val="clear" w:color="auto" w:fill="auto"/>
          </w:tcPr>
          <w:p w14:paraId="4DF54427" w14:textId="77777777" w:rsidR="002F3580" w:rsidRPr="0016447E" w:rsidRDefault="002F3580" w:rsidP="002F3580">
            <w:pPr>
              <w:spacing w:line="240" w:lineRule="auto"/>
              <w:jc w:val="center"/>
              <w:rPr>
                <w:rFonts w:cs="Segoe UI"/>
                <w:i/>
                <w:color w:val="000000" w:themeColor="text1"/>
                <w:sz w:val="14"/>
                <w:szCs w:val="14"/>
              </w:rPr>
            </w:pPr>
            <w:r w:rsidRPr="000D3C80">
              <w:rPr>
                <w:rFonts w:cs="Segoe UI"/>
                <w:i/>
                <w:noProof/>
                <w:color w:val="000000" w:themeColor="text1"/>
                <w:sz w:val="14"/>
                <w:szCs w:val="14"/>
                <w:lang w:eastAsia="zh-TW"/>
              </w:rPr>
              <w:drawing>
                <wp:inline distT="0" distB="0" distL="0" distR="0" wp14:anchorId="620C11CF" wp14:editId="04141D20">
                  <wp:extent cx="2362200" cy="2107050"/>
                  <wp:effectExtent l="0" t="0" r="0" b="762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94992" cy="2136300"/>
                          </a:xfrm>
                          <a:prstGeom prst="rect">
                            <a:avLst/>
                          </a:prstGeom>
                          <a:noFill/>
                          <a:ln>
                            <a:noFill/>
                          </a:ln>
                        </pic:spPr>
                      </pic:pic>
                    </a:graphicData>
                  </a:graphic>
                </wp:inline>
              </w:drawing>
            </w:r>
          </w:p>
        </w:tc>
      </w:tr>
      <w:tr w:rsidR="002F3580" w:rsidRPr="0016447E" w14:paraId="1963D242" w14:textId="77777777" w:rsidTr="00C24BCC">
        <w:trPr>
          <w:trHeight w:val="309"/>
          <w:jc w:val="center"/>
        </w:trPr>
        <w:tc>
          <w:tcPr>
            <w:tcW w:w="4518" w:type="dxa"/>
            <w:shd w:val="clear" w:color="auto" w:fill="auto"/>
            <w:vAlign w:val="center"/>
          </w:tcPr>
          <w:p w14:paraId="3CA5656A" w14:textId="77777777" w:rsidR="002F3580" w:rsidRPr="0016447E" w:rsidRDefault="002F3580" w:rsidP="002F3580">
            <w:pPr>
              <w:spacing w:line="240" w:lineRule="auto"/>
              <w:rPr>
                <w:rFonts w:cs="Segoe UI"/>
                <w:i/>
                <w:color w:val="000000" w:themeColor="text1"/>
                <w:sz w:val="17"/>
                <w:szCs w:val="17"/>
              </w:rPr>
            </w:pPr>
            <w:r>
              <w:rPr>
                <w:rFonts w:cs="Segoe UI"/>
                <w:i/>
                <w:color w:val="000000" w:themeColor="text1"/>
                <w:sz w:val="17"/>
                <w:szCs w:val="17"/>
              </w:rPr>
              <w:t>… fueled by expansionary fiscal policy and wage growth, resulting in the output slack to be absorbed.</w:t>
            </w:r>
          </w:p>
        </w:tc>
        <w:tc>
          <w:tcPr>
            <w:tcW w:w="270" w:type="dxa"/>
            <w:shd w:val="clear" w:color="auto" w:fill="auto"/>
            <w:vAlign w:val="center"/>
          </w:tcPr>
          <w:p w14:paraId="3030748B" w14:textId="77777777" w:rsidR="002F3580" w:rsidRPr="0016447E" w:rsidRDefault="002F3580" w:rsidP="002F3580">
            <w:pPr>
              <w:spacing w:line="240" w:lineRule="auto"/>
              <w:rPr>
                <w:rFonts w:cs="Segoe UI"/>
                <w:i/>
                <w:color w:val="000000" w:themeColor="text1"/>
                <w:sz w:val="17"/>
                <w:szCs w:val="17"/>
              </w:rPr>
            </w:pPr>
          </w:p>
        </w:tc>
        <w:tc>
          <w:tcPr>
            <w:tcW w:w="4526" w:type="dxa"/>
            <w:shd w:val="clear" w:color="auto" w:fill="auto"/>
            <w:vAlign w:val="center"/>
          </w:tcPr>
          <w:p w14:paraId="4DF3B497" w14:textId="77777777" w:rsidR="002F3580" w:rsidRPr="0016447E" w:rsidRDefault="002F3580" w:rsidP="002F3580">
            <w:pPr>
              <w:spacing w:line="240" w:lineRule="auto"/>
              <w:rPr>
                <w:rFonts w:cs="Segoe UI"/>
                <w:i/>
                <w:color w:val="000000" w:themeColor="text1"/>
                <w:sz w:val="17"/>
                <w:szCs w:val="17"/>
              </w:rPr>
            </w:pPr>
            <w:r>
              <w:rPr>
                <w:rFonts w:cs="Segoe UI"/>
                <w:i/>
                <w:color w:val="000000" w:themeColor="text1"/>
                <w:sz w:val="17"/>
                <w:szCs w:val="17"/>
              </w:rPr>
              <w:t>Monetary conditions have remained supportive of growth</w:t>
            </w:r>
            <w:r w:rsidRPr="0016447E">
              <w:rPr>
                <w:rFonts w:cs="Segoe UI"/>
                <w:i/>
                <w:color w:val="000000" w:themeColor="text1"/>
                <w:sz w:val="17"/>
                <w:szCs w:val="17"/>
              </w:rPr>
              <w:t>….</w:t>
            </w:r>
          </w:p>
        </w:tc>
      </w:tr>
      <w:tr w:rsidR="002F3580" w:rsidRPr="0016447E" w14:paraId="1C6B14C4" w14:textId="77777777" w:rsidTr="00C24BCC">
        <w:trPr>
          <w:jc w:val="center"/>
        </w:trPr>
        <w:tc>
          <w:tcPr>
            <w:tcW w:w="4518" w:type="dxa"/>
            <w:shd w:val="clear" w:color="auto" w:fill="auto"/>
          </w:tcPr>
          <w:p w14:paraId="2585F9CE" w14:textId="77777777" w:rsidR="002F3580" w:rsidRPr="0016447E" w:rsidRDefault="002F3580" w:rsidP="002F3580">
            <w:pPr>
              <w:spacing w:line="240" w:lineRule="auto"/>
              <w:jc w:val="center"/>
              <w:rPr>
                <w:rFonts w:cs="Segoe UI"/>
                <w:i/>
                <w:color w:val="000000" w:themeColor="text1"/>
                <w:sz w:val="14"/>
                <w:szCs w:val="14"/>
              </w:rPr>
            </w:pPr>
            <w:r>
              <w:rPr>
                <w:rFonts w:cs="Segoe UI"/>
                <w:i/>
                <w:color w:val="000000" w:themeColor="text1"/>
                <w:sz w:val="14"/>
                <w:szCs w:val="14"/>
              </w:rPr>
              <w:t xml:space="preserve"> </w:t>
            </w:r>
            <w:r w:rsidRPr="00342B3D">
              <w:rPr>
                <w:rFonts w:cs="Segoe UI"/>
                <w:i/>
                <w:noProof/>
                <w:color w:val="000000" w:themeColor="text1"/>
                <w:sz w:val="14"/>
                <w:szCs w:val="14"/>
                <w:lang w:eastAsia="zh-TW"/>
              </w:rPr>
              <w:drawing>
                <wp:inline distT="0" distB="0" distL="0" distR="0" wp14:anchorId="12AE0FD2" wp14:editId="3AA1B1CC">
                  <wp:extent cx="2466313" cy="2238568"/>
                  <wp:effectExtent l="0" t="0" r="0" b="0"/>
                  <wp:docPr id="47111" name="Picture 47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09567" cy="2277828"/>
                          </a:xfrm>
                          <a:prstGeom prst="rect">
                            <a:avLst/>
                          </a:prstGeom>
                          <a:noFill/>
                          <a:ln>
                            <a:noFill/>
                          </a:ln>
                        </pic:spPr>
                      </pic:pic>
                    </a:graphicData>
                  </a:graphic>
                </wp:inline>
              </w:drawing>
            </w:r>
          </w:p>
        </w:tc>
        <w:tc>
          <w:tcPr>
            <w:tcW w:w="270" w:type="dxa"/>
            <w:shd w:val="clear" w:color="auto" w:fill="auto"/>
          </w:tcPr>
          <w:p w14:paraId="1FCD26C9" w14:textId="77777777" w:rsidR="002F3580" w:rsidRPr="0016447E" w:rsidRDefault="002F3580" w:rsidP="002F3580">
            <w:pPr>
              <w:spacing w:line="240" w:lineRule="auto"/>
              <w:rPr>
                <w:rFonts w:cs="Segoe UI"/>
                <w:i/>
                <w:color w:val="000000" w:themeColor="text1"/>
                <w:sz w:val="14"/>
                <w:szCs w:val="14"/>
              </w:rPr>
            </w:pPr>
          </w:p>
        </w:tc>
        <w:tc>
          <w:tcPr>
            <w:tcW w:w="4526" w:type="dxa"/>
            <w:shd w:val="clear" w:color="auto" w:fill="auto"/>
          </w:tcPr>
          <w:p w14:paraId="1C55A36C" w14:textId="77777777" w:rsidR="002F3580" w:rsidRPr="0016447E" w:rsidRDefault="002F3580" w:rsidP="002F3580">
            <w:pPr>
              <w:spacing w:line="240" w:lineRule="auto"/>
              <w:jc w:val="center"/>
              <w:rPr>
                <w:rFonts w:cs="Segoe UI"/>
                <w:i/>
                <w:color w:val="000000" w:themeColor="text1"/>
                <w:sz w:val="14"/>
                <w:szCs w:val="14"/>
              </w:rPr>
            </w:pPr>
            <w:r w:rsidRPr="00E32DE9">
              <w:rPr>
                <w:rFonts w:cs="Segoe UI"/>
                <w:i/>
                <w:noProof/>
                <w:color w:val="000000" w:themeColor="text1"/>
                <w:sz w:val="14"/>
                <w:szCs w:val="14"/>
                <w:lang w:eastAsia="zh-TW"/>
              </w:rPr>
              <w:drawing>
                <wp:inline distT="0" distB="0" distL="0" distR="0" wp14:anchorId="682EB606" wp14:editId="6309F8FE">
                  <wp:extent cx="2533650" cy="2304121"/>
                  <wp:effectExtent l="0" t="0" r="0" b="1270"/>
                  <wp:docPr id="47109" name="Picture 47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536542" cy="2306751"/>
                          </a:xfrm>
                          <a:prstGeom prst="rect">
                            <a:avLst/>
                          </a:prstGeom>
                          <a:noFill/>
                          <a:ln>
                            <a:noFill/>
                          </a:ln>
                        </pic:spPr>
                      </pic:pic>
                    </a:graphicData>
                  </a:graphic>
                </wp:inline>
              </w:drawing>
            </w:r>
            <w:r w:rsidRPr="00342B3D" w:rsidDel="00342B3D">
              <w:rPr>
                <w:rFonts w:cs="Segoe UI"/>
                <w:i/>
                <w:color w:val="000000" w:themeColor="text1"/>
                <w:sz w:val="14"/>
                <w:szCs w:val="14"/>
              </w:rPr>
              <w:t xml:space="preserve"> </w:t>
            </w:r>
            <w:r>
              <w:rPr>
                <w:rFonts w:cs="Segoe UI"/>
                <w:i/>
                <w:color w:val="000000" w:themeColor="text1"/>
                <w:sz w:val="14"/>
                <w:szCs w:val="14"/>
              </w:rPr>
              <w:t xml:space="preserve"> </w:t>
            </w:r>
          </w:p>
        </w:tc>
      </w:tr>
      <w:tr w:rsidR="002F3580" w:rsidRPr="0016447E" w14:paraId="5764FFEE" w14:textId="77777777" w:rsidTr="00C24BCC">
        <w:trPr>
          <w:trHeight w:val="345"/>
          <w:jc w:val="center"/>
        </w:trPr>
        <w:tc>
          <w:tcPr>
            <w:tcW w:w="4518" w:type="dxa"/>
            <w:shd w:val="clear" w:color="auto" w:fill="auto"/>
            <w:vAlign w:val="center"/>
          </w:tcPr>
          <w:p w14:paraId="53087553" w14:textId="77777777" w:rsidR="002F3580" w:rsidRPr="0016447E" w:rsidRDefault="002F3580" w:rsidP="002F3580">
            <w:pPr>
              <w:spacing w:line="240" w:lineRule="auto"/>
              <w:rPr>
                <w:rFonts w:cs="Segoe UI"/>
                <w:i/>
                <w:color w:val="000000" w:themeColor="text1"/>
                <w:sz w:val="17"/>
                <w:szCs w:val="17"/>
              </w:rPr>
            </w:pPr>
            <w:r>
              <w:rPr>
                <w:rFonts w:cs="Segoe UI"/>
                <w:i/>
                <w:color w:val="000000" w:themeColor="text1"/>
                <w:sz w:val="17"/>
                <w:szCs w:val="17"/>
              </w:rPr>
              <w:t>…in the context of subdued inflation and weak credit growth…</w:t>
            </w:r>
            <w:r w:rsidRPr="008A1D07">
              <w:rPr>
                <w:rFonts w:cs="Segoe UI"/>
                <w:i/>
                <w:color w:val="000000" w:themeColor="text1"/>
                <w:sz w:val="17"/>
                <w:szCs w:val="17"/>
              </w:rPr>
              <w:t xml:space="preserve"> </w:t>
            </w:r>
          </w:p>
        </w:tc>
        <w:tc>
          <w:tcPr>
            <w:tcW w:w="270" w:type="dxa"/>
            <w:shd w:val="clear" w:color="auto" w:fill="auto"/>
            <w:vAlign w:val="center"/>
          </w:tcPr>
          <w:p w14:paraId="0689CDFE" w14:textId="77777777" w:rsidR="002F3580" w:rsidRPr="0016447E" w:rsidRDefault="002F3580" w:rsidP="002F3580">
            <w:pPr>
              <w:spacing w:line="240" w:lineRule="auto"/>
              <w:rPr>
                <w:rFonts w:cs="Segoe UI"/>
                <w:i/>
                <w:color w:val="000000" w:themeColor="text1"/>
                <w:sz w:val="17"/>
                <w:szCs w:val="17"/>
              </w:rPr>
            </w:pPr>
          </w:p>
        </w:tc>
        <w:tc>
          <w:tcPr>
            <w:tcW w:w="4526" w:type="dxa"/>
            <w:shd w:val="clear" w:color="auto" w:fill="auto"/>
            <w:vAlign w:val="center"/>
          </w:tcPr>
          <w:p w14:paraId="6FB03EC5" w14:textId="77777777" w:rsidR="002F3580" w:rsidRPr="0016447E" w:rsidRDefault="002F3580" w:rsidP="002F3580">
            <w:pPr>
              <w:spacing w:line="240" w:lineRule="auto"/>
              <w:rPr>
                <w:rFonts w:cs="Segoe UI"/>
                <w:i/>
                <w:color w:val="000000" w:themeColor="text1"/>
                <w:sz w:val="17"/>
                <w:szCs w:val="17"/>
              </w:rPr>
            </w:pPr>
            <w:r w:rsidRPr="007A71C7">
              <w:rPr>
                <w:rFonts w:cs="Segoe UI"/>
                <w:i/>
                <w:color w:val="000000" w:themeColor="text1"/>
                <w:sz w:val="17"/>
                <w:szCs w:val="17"/>
              </w:rPr>
              <w:t>…but fiscal and external balances have started to deteriorate</w:t>
            </w:r>
            <w:r>
              <w:rPr>
                <w:rFonts w:cs="Segoe UI"/>
                <w:i/>
                <w:color w:val="000000" w:themeColor="text1"/>
                <w:sz w:val="17"/>
                <w:szCs w:val="17"/>
              </w:rPr>
              <w:t>.</w:t>
            </w:r>
          </w:p>
        </w:tc>
      </w:tr>
      <w:tr w:rsidR="002F3580" w:rsidRPr="0016447E" w14:paraId="60B6916E" w14:textId="77777777" w:rsidTr="00C24BCC">
        <w:trPr>
          <w:jc w:val="center"/>
        </w:trPr>
        <w:tc>
          <w:tcPr>
            <w:tcW w:w="4518" w:type="dxa"/>
            <w:shd w:val="clear" w:color="auto" w:fill="auto"/>
          </w:tcPr>
          <w:p w14:paraId="58BB2ABF" w14:textId="77777777" w:rsidR="002F3580" w:rsidRPr="0016447E" w:rsidRDefault="002F3580" w:rsidP="002F3580">
            <w:pPr>
              <w:spacing w:line="240" w:lineRule="auto"/>
              <w:jc w:val="center"/>
              <w:rPr>
                <w:rFonts w:cs="Segoe UI"/>
                <w:i/>
                <w:color w:val="000000" w:themeColor="text1"/>
                <w:sz w:val="14"/>
                <w:szCs w:val="14"/>
              </w:rPr>
            </w:pPr>
            <w:r w:rsidRPr="004A038C">
              <w:rPr>
                <w:rFonts w:cs="Segoe UI"/>
                <w:i/>
                <w:noProof/>
                <w:color w:val="000000" w:themeColor="text1"/>
                <w:sz w:val="14"/>
                <w:szCs w:val="14"/>
                <w:lang w:eastAsia="zh-TW"/>
              </w:rPr>
              <w:drawing>
                <wp:inline distT="0" distB="0" distL="0" distR="0" wp14:anchorId="10A208EF" wp14:editId="333D7870">
                  <wp:extent cx="2469807" cy="2228850"/>
                  <wp:effectExtent l="0" t="0" r="6985"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487981" cy="2245251"/>
                          </a:xfrm>
                          <a:prstGeom prst="rect">
                            <a:avLst/>
                          </a:prstGeom>
                          <a:noFill/>
                          <a:ln>
                            <a:noFill/>
                          </a:ln>
                        </pic:spPr>
                      </pic:pic>
                    </a:graphicData>
                  </a:graphic>
                </wp:inline>
              </w:drawing>
            </w:r>
          </w:p>
        </w:tc>
        <w:tc>
          <w:tcPr>
            <w:tcW w:w="270" w:type="dxa"/>
            <w:shd w:val="clear" w:color="auto" w:fill="auto"/>
          </w:tcPr>
          <w:p w14:paraId="1F63C0B3" w14:textId="77777777" w:rsidR="002F3580" w:rsidRPr="0016447E" w:rsidRDefault="002F3580" w:rsidP="002F3580">
            <w:pPr>
              <w:spacing w:line="240" w:lineRule="auto"/>
              <w:rPr>
                <w:rFonts w:cs="Segoe UI"/>
                <w:i/>
                <w:color w:val="000000" w:themeColor="text1"/>
                <w:sz w:val="14"/>
                <w:szCs w:val="14"/>
              </w:rPr>
            </w:pPr>
          </w:p>
        </w:tc>
        <w:tc>
          <w:tcPr>
            <w:tcW w:w="4526" w:type="dxa"/>
            <w:shd w:val="clear" w:color="auto" w:fill="auto"/>
          </w:tcPr>
          <w:p w14:paraId="50E4484D" w14:textId="77777777" w:rsidR="002F3580" w:rsidRPr="0016447E" w:rsidRDefault="002F3580" w:rsidP="002F3580">
            <w:pPr>
              <w:keepNext/>
              <w:spacing w:line="240" w:lineRule="auto"/>
              <w:jc w:val="center"/>
              <w:rPr>
                <w:rFonts w:cs="Segoe UI"/>
                <w:i/>
                <w:color w:val="000000" w:themeColor="text1"/>
                <w:sz w:val="14"/>
                <w:szCs w:val="14"/>
              </w:rPr>
            </w:pPr>
            <w:r>
              <w:rPr>
                <w:rFonts w:cs="Segoe UI"/>
                <w:i/>
                <w:color w:val="000000" w:themeColor="text1"/>
                <w:sz w:val="14"/>
                <w:szCs w:val="14"/>
              </w:rPr>
              <w:t xml:space="preserve"> </w:t>
            </w:r>
            <w:r w:rsidRPr="00E32DE9">
              <w:rPr>
                <w:rFonts w:cs="Segoe UI"/>
                <w:i/>
                <w:noProof/>
                <w:color w:val="000000" w:themeColor="text1"/>
                <w:sz w:val="14"/>
                <w:szCs w:val="14"/>
                <w:lang w:eastAsia="zh-TW"/>
              </w:rPr>
              <w:drawing>
                <wp:inline distT="0" distB="0" distL="0" distR="0" wp14:anchorId="584242B1" wp14:editId="0105709F">
                  <wp:extent cx="2471829" cy="2247900"/>
                  <wp:effectExtent l="0" t="0" r="5080" b="0"/>
                  <wp:docPr id="47112" name="Picture 47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500361" cy="2273847"/>
                          </a:xfrm>
                          <a:prstGeom prst="rect">
                            <a:avLst/>
                          </a:prstGeom>
                          <a:noFill/>
                          <a:ln>
                            <a:noFill/>
                          </a:ln>
                        </pic:spPr>
                      </pic:pic>
                    </a:graphicData>
                  </a:graphic>
                </wp:inline>
              </w:drawing>
            </w:r>
          </w:p>
        </w:tc>
      </w:tr>
      <w:tr w:rsidR="002F3580" w:rsidRPr="0016447E" w14:paraId="5ABC3C2F" w14:textId="77777777" w:rsidTr="00461303">
        <w:trPr>
          <w:trHeight w:val="80"/>
          <w:jc w:val="center"/>
        </w:trPr>
        <w:tc>
          <w:tcPr>
            <w:tcW w:w="4518" w:type="dxa"/>
            <w:shd w:val="clear" w:color="auto" w:fill="auto"/>
          </w:tcPr>
          <w:p w14:paraId="56F61289" w14:textId="77777777" w:rsidR="002F3580" w:rsidRPr="00560517" w:rsidRDefault="002F3580" w:rsidP="002F3580">
            <w:pPr>
              <w:spacing w:line="240" w:lineRule="auto"/>
              <w:rPr>
                <w:rFonts w:cs="Segoe UI"/>
                <w:noProof/>
                <w:color w:val="000000" w:themeColor="text1"/>
                <w:sz w:val="18"/>
                <w:szCs w:val="18"/>
              </w:rPr>
            </w:pPr>
            <w:r w:rsidRPr="00560517">
              <w:rPr>
                <w:rFonts w:cs="Segoe UI"/>
                <w:noProof/>
                <w:color w:val="000000" w:themeColor="text1"/>
                <w:sz w:val="18"/>
                <w:szCs w:val="18"/>
              </w:rPr>
              <w:t>Source: NBR</w:t>
            </w:r>
            <w:r>
              <w:rPr>
                <w:rFonts w:cs="Segoe UI"/>
                <w:noProof/>
                <w:color w:val="000000" w:themeColor="text1"/>
                <w:sz w:val="18"/>
                <w:szCs w:val="18"/>
              </w:rPr>
              <w:t>.</w:t>
            </w:r>
          </w:p>
        </w:tc>
        <w:tc>
          <w:tcPr>
            <w:tcW w:w="270" w:type="dxa"/>
            <w:shd w:val="clear" w:color="auto" w:fill="auto"/>
          </w:tcPr>
          <w:p w14:paraId="3931E8FD" w14:textId="77777777" w:rsidR="002F3580" w:rsidRPr="0016447E" w:rsidRDefault="002F3580" w:rsidP="002F3580">
            <w:pPr>
              <w:spacing w:line="240" w:lineRule="auto"/>
              <w:rPr>
                <w:rFonts w:cs="Segoe UI"/>
                <w:i/>
                <w:color w:val="000000" w:themeColor="text1"/>
                <w:sz w:val="14"/>
                <w:szCs w:val="14"/>
              </w:rPr>
            </w:pPr>
          </w:p>
        </w:tc>
        <w:tc>
          <w:tcPr>
            <w:tcW w:w="4526" w:type="dxa"/>
            <w:shd w:val="clear" w:color="auto" w:fill="auto"/>
          </w:tcPr>
          <w:p w14:paraId="4AC3F5DF" w14:textId="77777777" w:rsidR="002F3580" w:rsidRPr="00700473" w:rsidRDefault="002F3580" w:rsidP="002F3580">
            <w:pPr>
              <w:keepNext/>
              <w:spacing w:line="240" w:lineRule="auto"/>
              <w:jc w:val="center"/>
              <w:rPr>
                <w:rFonts w:cs="Segoe UI"/>
                <w:i/>
                <w:noProof/>
                <w:color w:val="000000" w:themeColor="text1"/>
                <w:sz w:val="14"/>
                <w:szCs w:val="14"/>
              </w:rPr>
            </w:pPr>
          </w:p>
        </w:tc>
      </w:tr>
    </w:tbl>
    <w:tbl>
      <w:tblPr>
        <w:tblStyle w:val="TableGrid1"/>
        <w:tblW w:w="9314" w:type="dxa"/>
        <w:jc w:val="center"/>
        <w:tblBorders>
          <w:insideH w:val="none" w:sz="0" w:space="0" w:color="auto"/>
          <w:insideV w:val="none" w:sz="0" w:space="0" w:color="auto"/>
        </w:tblBorders>
        <w:tblLayout w:type="fixed"/>
        <w:tblLook w:val="04A0" w:firstRow="1" w:lastRow="0" w:firstColumn="1" w:lastColumn="0" w:noHBand="0" w:noVBand="1"/>
      </w:tblPr>
      <w:tblGrid>
        <w:gridCol w:w="4518"/>
        <w:gridCol w:w="270"/>
        <w:gridCol w:w="4526"/>
      </w:tblGrid>
      <w:tr w:rsidR="005A26ED" w:rsidRPr="005018B9" w14:paraId="53A67EB4" w14:textId="77777777" w:rsidTr="005A26ED">
        <w:trPr>
          <w:trHeight w:val="278"/>
          <w:jc w:val="center"/>
        </w:trPr>
        <w:tc>
          <w:tcPr>
            <w:tcW w:w="9314" w:type="dxa"/>
            <w:gridSpan w:val="3"/>
            <w:shd w:val="clear" w:color="auto" w:fill="auto"/>
            <w:vAlign w:val="center"/>
          </w:tcPr>
          <w:p w14:paraId="025DBE8E" w14:textId="0B803EB0" w:rsidR="005A26ED" w:rsidRPr="005A26ED" w:rsidRDefault="005A26ED" w:rsidP="005A26ED">
            <w:pPr>
              <w:pStyle w:val="Caption"/>
              <w:jc w:val="center"/>
              <w:rPr>
                <w:rFonts w:ascii="Times New Roman" w:hAnsi="Times New Roman"/>
                <w:szCs w:val="18"/>
              </w:rPr>
            </w:pPr>
            <w:bookmarkStart w:id="42" w:name="_Toc518653303"/>
            <w:r w:rsidRPr="005A26ED">
              <w:rPr>
                <w:rFonts w:ascii="Times New Roman" w:hAnsi="Times New Roman"/>
                <w:sz w:val="24"/>
                <w:szCs w:val="21"/>
              </w:rPr>
              <w:lastRenderedPageBreak/>
              <w:t xml:space="preserve">Figure </w:t>
            </w:r>
            <w:r w:rsidRPr="005A26ED">
              <w:rPr>
                <w:rFonts w:ascii="Times New Roman" w:hAnsi="Times New Roman"/>
                <w:b w:val="0"/>
                <w:sz w:val="24"/>
                <w:szCs w:val="21"/>
              </w:rPr>
              <w:fldChar w:fldCharType="begin"/>
            </w:r>
            <w:r w:rsidRPr="005A26ED">
              <w:rPr>
                <w:rFonts w:ascii="Times New Roman" w:hAnsi="Times New Roman"/>
                <w:sz w:val="24"/>
                <w:szCs w:val="21"/>
              </w:rPr>
              <w:instrText xml:space="preserve"> SEQ Figure \* ARABIC </w:instrText>
            </w:r>
            <w:r w:rsidRPr="005A26ED">
              <w:rPr>
                <w:rFonts w:ascii="Times New Roman" w:hAnsi="Times New Roman"/>
                <w:b w:val="0"/>
                <w:sz w:val="24"/>
                <w:szCs w:val="21"/>
              </w:rPr>
              <w:fldChar w:fldCharType="separate"/>
            </w:r>
            <w:r w:rsidR="006D0059">
              <w:rPr>
                <w:rFonts w:ascii="Times New Roman" w:hAnsi="Times New Roman"/>
                <w:noProof/>
                <w:sz w:val="24"/>
                <w:szCs w:val="21"/>
              </w:rPr>
              <w:t>2</w:t>
            </w:r>
            <w:r w:rsidRPr="005A26ED">
              <w:rPr>
                <w:rFonts w:ascii="Times New Roman" w:hAnsi="Times New Roman"/>
                <w:b w:val="0"/>
                <w:sz w:val="24"/>
                <w:szCs w:val="21"/>
              </w:rPr>
              <w:fldChar w:fldCharType="end"/>
            </w:r>
            <w:r w:rsidRPr="005A26ED">
              <w:rPr>
                <w:rFonts w:ascii="Times New Roman" w:hAnsi="Times New Roman"/>
                <w:sz w:val="24"/>
                <w:szCs w:val="21"/>
              </w:rPr>
              <w:t>. Romania: Financial Developments 2008-16</w:t>
            </w:r>
            <w:bookmarkEnd w:id="38"/>
            <w:bookmarkEnd w:id="42"/>
          </w:p>
          <w:p w14:paraId="6163FB24" w14:textId="77777777" w:rsidR="005A26ED" w:rsidRPr="00BE1029" w:rsidRDefault="005A26ED" w:rsidP="005A26ED">
            <w:pPr>
              <w:spacing w:line="240" w:lineRule="auto"/>
              <w:jc w:val="center"/>
              <w:rPr>
                <w:rFonts w:cs="Segoe UI"/>
                <w:b/>
                <w:color w:val="4B82AD"/>
                <w:szCs w:val="21"/>
              </w:rPr>
            </w:pPr>
          </w:p>
        </w:tc>
      </w:tr>
      <w:tr w:rsidR="005A26ED" w:rsidRPr="0016447E" w14:paraId="5D8E3988" w14:textId="77777777" w:rsidTr="005A26ED">
        <w:trPr>
          <w:trHeight w:val="345"/>
          <w:jc w:val="center"/>
        </w:trPr>
        <w:tc>
          <w:tcPr>
            <w:tcW w:w="4518" w:type="dxa"/>
            <w:shd w:val="clear" w:color="auto" w:fill="auto"/>
            <w:vAlign w:val="center"/>
          </w:tcPr>
          <w:p w14:paraId="35579C14" w14:textId="77777777" w:rsidR="005A26ED" w:rsidRPr="0016447E" w:rsidRDefault="005A26ED" w:rsidP="005A26ED">
            <w:pPr>
              <w:spacing w:line="240" w:lineRule="auto"/>
              <w:jc w:val="center"/>
              <w:rPr>
                <w:rFonts w:cs="Segoe UI"/>
                <w:i/>
                <w:color w:val="000000" w:themeColor="text1"/>
                <w:sz w:val="17"/>
                <w:szCs w:val="17"/>
              </w:rPr>
            </w:pPr>
            <w:r>
              <w:rPr>
                <w:rFonts w:cs="Segoe UI"/>
                <w:i/>
                <w:color w:val="000000" w:themeColor="text1"/>
                <w:sz w:val="17"/>
                <w:szCs w:val="17"/>
              </w:rPr>
              <w:t>Banks still dominate the financial sector, although the share of other financial institutions increased.</w:t>
            </w:r>
          </w:p>
        </w:tc>
        <w:tc>
          <w:tcPr>
            <w:tcW w:w="270" w:type="dxa"/>
            <w:shd w:val="clear" w:color="auto" w:fill="auto"/>
          </w:tcPr>
          <w:p w14:paraId="7D0B7930" w14:textId="77777777" w:rsidR="005A26ED" w:rsidRPr="0016447E" w:rsidRDefault="005A26ED" w:rsidP="005A26ED">
            <w:pPr>
              <w:spacing w:line="240" w:lineRule="auto"/>
              <w:jc w:val="center"/>
              <w:rPr>
                <w:rFonts w:cs="Segoe UI"/>
                <w:i/>
                <w:color w:val="000000" w:themeColor="text1"/>
                <w:sz w:val="17"/>
                <w:szCs w:val="17"/>
              </w:rPr>
            </w:pPr>
          </w:p>
        </w:tc>
        <w:tc>
          <w:tcPr>
            <w:tcW w:w="4526" w:type="dxa"/>
            <w:shd w:val="clear" w:color="auto" w:fill="auto"/>
            <w:vAlign w:val="center"/>
          </w:tcPr>
          <w:p w14:paraId="3C35230B" w14:textId="77777777" w:rsidR="005A26ED" w:rsidRPr="0016447E" w:rsidRDefault="005A26ED" w:rsidP="005A26ED">
            <w:pPr>
              <w:spacing w:line="240" w:lineRule="auto"/>
              <w:jc w:val="center"/>
              <w:rPr>
                <w:rFonts w:cs="Segoe UI"/>
                <w:i/>
                <w:color w:val="000000" w:themeColor="text1"/>
                <w:sz w:val="17"/>
                <w:szCs w:val="17"/>
              </w:rPr>
            </w:pPr>
            <w:r>
              <w:rPr>
                <w:rFonts w:cs="Segoe UI"/>
                <w:i/>
                <w:color w:val="000000" w:themeColor="text1"/>
                <w:sz w:val="17"/>
                <w:szCs w:val="17"/>
              </w:rPr>
              <w:t>Banks’ resilience improved through reduced dependence on parent funding from abroad</w:t>
            </w:r>
            <w:r w:rsidRPr="0016447E">
              <w:rPr>
                <w:rFonts w:cs="Segoe UI"/>
                <w:i/>
                <w:color w:val="000000" w:themeColor="text1"/>
                <w:sz w:val="17"/>
                <w:szCs w:val="17"/>
              </w:rPr>
              <w:t>….</w:t>
            </w:r>
          </w:p>
        </w:tc>
      </w:tr>
      <w:tr w:rsidR="005A26ED" w:rsidRPr="0016447E" w14:paraId="7DDD76B0" w14:textId="77777777" w:rsidTr="005A26ED">
        <w:trPr>
          <w:trHeight w:val="345"/>
          <w:jc w:val="center"/>
        </w:trPr>
        <w:tc>
          <w:tcPr>
            <w:tcW w:w="4518" w:type="dxa"/>
            <w:shd w:val="clear" w:color="auto" w:fill="auto"/>
            <w:vAlign w:val="center"/>
          </w:tcPr>
          <w:p w14:paraId="3441FCC2" w14:textId="77777777" w:rsidR="005A26ED" w:rsidRPr="0016447E" w:rsidRDefault="005A26ED" w:rsidP="005A26ED">
            <w:pPr>
              <w:spacing w:line="240" w:lineRule="auto"/>
              <w:jc w:val="center"/>
              <w:rPr>
                <w:rFonts w:cs="Segoe UI"/>
                <w:i/>
                <w:color w:val="000000" w:themeColor="text1"/>
                <w:sz w:val="17"/>
                <w:szCs w:val="17"/>
              </w:rPr>
            </w:pPr>
            <w:r w:rsidRPr="00534BEA">
              <w:rPr>
                <w:rFonts w:cs="Segoe UI"/>
                <w:i/>
                <w:noProof/>
                <w:color w:val="000000" w:themeColor="text1"/>
                <w:sz w:val="17"/>
                <w:szCs w:val="17"/>
              </w:rPr>
              <w:drawing>
                <wp:inline distT="0" distB="0" distL="0" distR="0" wp14:anchorId="3AC0E6C6" wp14:editId="15620F47">
                  <wp:extent cx="2441448" cy="210312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441448" cy="2103120"/>
                          </a:xfrm>
                          <a:prstGeom prst="rect">
                            <a:avLst/>
                          </a:prstGeom>
                          <a:noFill/>
                          <a:ln>
                            <a:noFill/>
                          </a:ln>
                        </pic:spPr>
                      </pic:pic>
                    </a:graphicData>
                  </a:graphic>
                </wp:inline>
              </w:drawing>
            </w:r>
          </w:p>
        </w:tc>
        <w:tc>
          <w:tcPr>
            <w:tcW w:w="270" w:type="dxa"/>
            <w:shd w:val="clear" w:color="auto" w:fill="auto"/>
          </w:tcPr>
          <w:p w14:paraId="628A7CF6" w14:textId="77777777" w:rsidR="005A26ED" w:rsidRPr="0016447E" w:rsidRDefault="005A26ED" w:rsidP="005A26ED">
            <w:pPr>
              <w:spacing w:line="240" w:lineRule="auto"/>
              <w:jc w:val="center"/>
              <w:rPr>
                <w:rFonts w:cs="Segoe UI"/>
                <w:i/>
                <w:color w:val="000000" w:themeColor="text1"/>
                <w:sz w:val="17"/>
                <w:szCs w:val="17"/>
              </w:rPr>
            </w:pPr>
          </w:p>
        </w:tc>
        <w:tc>
          <w:tcPr>
            <w:tcW w:w="4526" w:type="dxa"/>
            <w:shd w:val="clear" w:color="auto" w:fill="auto"/>
            <w:vAlign w:val="center"/>
          </w:tcPr>
          <w:p w14:paraId="75E8C514" w14:textId="77777777" w:rsidR="005A26ED" w:rsidRPr="0016447E" w:rsidRDefault="005A26ED" w:rsidP="005A26ED">
            <w:pPr>
              <w:spacing w:line="240" w:lineRule="auto"/>
              <w:jc w:val="center"/>
              <w:rPr>
                <w:rFonts w:cs="Segoe UI"/>
                <w:i/>
                <w:color w:val="000000" w:themeColor="text1"/>
                <w:sz w:val="17"/>
                <w:szCs w:val="17"/>
              </w:rPr>
            </w:pPr>
            <w:r w:rsidRPr="00534BEA">
              <w:rPr>
                <w:rFonts w:cs="Segoe UI"/>
                <w:i/>
                <w:noProof/>
                <w:color w:val="000000" w:themeColor="text1"/>
                <w:sz w:val="17"/>
                <w:szCs w:val="17"/>
              </w:rPr>
              <w:drawing>
                <wp:inline distT="0" distB="0" distL="0" distR="0" wp14:anchorId="6DF0C5FF" wp14:editId="48E8B21C">
                  <wp:extent cx="2450592" cy="2121408"/>
                  <wp:effectExtent l="0" t="0" r="698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450592" cy="2121408"/>
                          </a:xfrm>
                          <a:prstGeom prst="rect">
                            <a:avLst/>
                          </a:prstGeom>
                          <a:noFill/>
                          <a:ln>
                            <a:noFill/>
                          </a:ln>
                        </pic:spPr>
                      </pic:pic>
                    </a:graphicData>
                  </a:graphic>
                </wp:inline>
              </w:drawing>
            </w:r>
          </w:p>
        </w:tc>
      </w:tr>
      <w:tr w:rsidR="005A26ED" w:rsidRPr="0016447E" w14:paraId="1BC8DBD4" w14:textId="77777777" w:rsidTr="005A26ED">
        <w:trPr>
          <w:trHeight w:val="345"/>
          <w:jc w:val="center"/>
        </w:trPr>
        <w:tc>
          <w:tcPr>
            <w:tcW w:w="4518" w:type="dxa"/>
            <w:shd w:val="clear" w:color="auto" w:fill="auto"/>
            <w:vAlign w:val="center"/>
          </w:tcPr>
          <w:p w14:paraId="341F49D4" w14:textId="77777777" w:rsidR="005A26ED" w:rsidRPr="0016447E" w:rsidRDefault="005A26ED" w:rsidP="005A26ED">
            <w:pPr>
              <w:spacing w:line="240" w:lineRule="auto"/>
              <w:jc w:val="center"/>
              <w:rPr>
                <w:rFonts w:cs="Segoe UI"/>
                <w:i/>
                <w:color w:val="000000" w:themeColor="text1"/>
                <w:sz w:val="17"/>
                <w:szCs w:val="17"/>
              </w:rPr>
            </w:pPr>
            <w:r>
              <w:rPr>
                <w:rFonts w:cs="Segoe UI"/>
                <w:i/>
                <w:color w:val="000000" w:themeColor="text1"/>
                <w:sz w:val="17"/>
                <w:szCs w:val="17"/>
              </w:rPr>
              <w:t>… a strong decline in NPLs…</w:t>
            </w:r>
          </w:p>
        </w:tc>
        <w:tc>
          <w:tcPr>
            <w:tcW w:w="270" w:type="dxa"/>
            <w:shd w:val="clear" w:color="auto" w:fill="auto"/>
          </w:tcPr>
          <w:p w14:paraId="2F6028A7" w14:textId="77777777" w:rsidR="005A26ED" w:rsidRPr="0016447E" w:rsidRDefault="005A26ED" w:rsidP="005A26ED">
            <w:pPr>
              <w:spacing w:line="240" w:lineRule="auto"/>
              <w:jc w:val="center"/>
              <w:rPr>
                <w:rFonts w:cs="Segoe UI"/>
                <w:i/>
                <w:color w:val="000000" w:themeColor="text1"/>
                <w:sz w:val="17"/>
                <w:szCs w:val="17"/>
              </w:rPr>
            </w:pPr>
          </w:p>
        </w:tc>
        <w:tc>
          <w:tcPr>
            <w:tcW w:w="4526" w:type="dxa"/>
            <w:shd w:val="clear" w:color="auto" w:fill="auto"/>
            <w:vAlign w:val="center"/>
          </w:tcPr>
          <w:p w14:paraId="170451F5" w14:textId="77777777" w:rsidR="005A26ED" w:rsidRPr="0016447E" w:rsidRDefault="005A26ED" w:rsidP="005A26ED">
            <w:pPr>
              <w:spacing w:line="240" w:lineRule="auto"/>
              <w:jc w:val="center"/>
              <w:rPr>
                <w:rFonts w:cs="Segoe UI"/>
                <w:i/>
                <w:color w:val="000000" w:themeColor="text1"/>
                <w:sz w:val="17"/>
                <w:szCs w:val="17"/>
              </w:rPr>
            </w:pPr>
            <w:r>
              <w:rPr>
                <w:rFonts w:cs="Segoe UI"/>
                <w:i/>
                <w:color w:val="000000" w:themeColor="text1"/>
                <w:sz w:val="17"/>
                <w:szCs w:val="17"/>
              </w:rPr>
              <w:t>… and strengthened capital ratios.</w:t>
            </w:r>
          </w:p>
        </w:tc>
      </w:tr>
      <w:tr w:rsidR="005A26ED" w:rsidRPr="0016447E" w14:paraId="534F8284" w14:textId="77777777" w:rsidTr="005A26ED">
        <w:trPr>
          <w:jc w:val="center"/>
        </w:trPr>
        <w:tc>
          <w:tcPr>
            <w:tcW w:w="4518" w:type="dxa"/>
            <w:shd w:val="clear" w:color="auto" w:fill="auto"/>
          </w:tcPr>
          <w:p w14:paraId="03A613DC" w14:textId="77777777" w:rsidR="005A26ED" w:rsidRPr="0016447E" w:rsidRDefault="005A26ED" w:rsidP="005A26ED">
            <w:pPr>
              <w:spacing w:line="240" w:lineRule="auto"/>
              <w:jc w:val="center"/>
              <w:rPr>
                <w:rFonts w:cs="Segoe UI"/>
                <w:i/>
                <w:color w:val="000000" w:themeColor="text1"/>
              </w:rPr>
            </w:pPr>
            <w:r w:rsidRPr="00534BEA">
              <w:rPr>
                <w:rFonts w:cs="Segoe UI"/>
                <w:i/>
                <w:noProof/>
                <w:color w:val="000000" w:themeColor="text1"/>
              </w:rPr>
              <w:drawing>
                <wp:inline distT="0" distB="0" distL="0" distR="0" wp14:anchorId="2205BA5C" wp14:editId="50CB1B43">
                  <wp:extent cx="2441448" cy="2112264"/>
                  <wp:effectExtent l="0" t="0" r="0" b="254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441448" cy="2112264"/>
                          </a:xfrm>
                          <a:prstGeom prst="rect">
                            <a:avLst/>
                          </a:prstGeom>
                          <a:noFill/>
                          <a:ln>
                            <a:noFill/>
                          </a:ln>
                        </pic:spPr>
                      </pic:pic>
                    </a:graphicData>
                  </a:graphic>
                </wp:inline>
              </w:drawing>
            </w:r>
          </w:p>
        </w:tc>
        <w:tc>
          <w:tcPr>
            <w:tcW w:w="270" w:type="dxa"/>
            <w:shd w:val="clear" w:color="auto" w:fill="auto"/>
          </w:tcPr>
          <w:p w14:paraId="1554891C" w14:textId="77777777" w:rsidR="005A26ED" w:rsidRPr="0016447E" w:rsidRDefault="005A26ED" w:rsidP="005A26ED">
            <w:pPr>
              <w:spacing w:line="240" w:lineRule="auto"/>
              <w:jc w:val="center"/>
              <w:rPr>
                <w:rFonts w:cs="Segoe UI"/>
                <w:i/>
                <w:color w:val="000000" w:themeColor="text1"/>
                <w:sz w:val="14"/>
                <w:szCs w:val="14"/>
              </w:rPr>
            </w:pPr>
          </w:p>
        </w:tc>
        <w:tc>
          <w:tcPr>
            <w:tcW w:w="4526" w:type="dxa"/>
            <w:shd w:val="clear" w:color="auto" w:fill="auto"/>
          </w:tcPr>
          <w:p w14:paraId="671CB4C3" w14:textId="77777777" w:rsidR="005A26ED" w:rsidRPr="0016447E" w:rsidRDefault="005A26ED" w:rsidP="005A26ED">
            <w:pPr>
              <w:spacing w:line="240" w:lineRule="auto"/>
              <w:jc w:val="center"/>
              <w:rPr>
                <w:rFonts w:cs="Segoe UI"/>
                <w:i/>
                <w:color w:val="000000" w:themeColor="text1"/>
                <w:sz w:val="14"/>
                <w:szCs w:val="14"/>
              </w:rPr>
            </w:pPr>
            <w:r w:rsidRPr="00534BEA">
              <w:rPr>
                <w:rFonts w:cs="Segoe UI"/>
                <w:i/>
                <w:noProof/>
                <w:color w:val="000000" w:themeColor="text1"/>
                <w:sz w:val="14"/>
                <w:szCs w:val="14"/>
              </w:rPr>
              <w:drawing>
                <wp:inline distT="0" distB="0" distL="0" distR="0" wp14:anchorId="1AE1A9E4" wp14:editId="5E3F4D6B">
                  <wp:extent cx="2450592" cy="2103120"/>
                  <wp:effectExtent l="0" t="0" r="698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450592" cy="2103120"/>
                          </a:xfrm>
                          <a:prstGeom prst="rect">
                            <a:avLst/>
                          </a:prstGeom>
                          <a:noFill/>
                          <a:ln>
                            <a:noFill/>
                          </a:ln>
                        </pic:spPr>
                      </pic:pic>
                    </a:graphicData>
                  </a:graphic>
                </wp:inline>
              </w:drawing>
            </w:r>
          </w:p>
        </w:tc>
      </w:tr>
    </w:tbl>
    <w:p w14:paraId="2C4EEE73" w14:textId="77777777" w:rsidR="0065669A" w:rsidRPr="005A26ED" w:rsidRDefault="005A26ED" w:rsidP="0065669A">
      <w:pPr>
        <w:rPr>
          <w:sz w:val="18"/>
        </w:rPr>
      </w:pPr>
      <w:r w:rsidRPr="005A26ED">
        <w:rPr>
          <w:sz w:val="18"/>
        </w:rPr>
        <w:t>Source: NBR</w:t>
      </w:r>
    </w:p>
    <w:p w14:paraId="6B1E8C37" w14:textId="77777777" w:rsidR="005A26ED" w:rsidRDefault="005A26ED">
      <w:pPr>
        <w:spacing w:line="240" w:lineRule="auto"/>
        <w:rPr>
          <w:bCs/>
          <w:iCs/>
        </w:rPr>
      </w:pPr>
      <w:r>
        <w:rPr>
          <w:bCs/>
          <w:iCs/>
        </w:rPr>
        <w:br w:type="page"/>
      </w:r>
    </w:p>
    <w:p w14:paraId="0DF5FD0A" w14:textId="2EAFB22B" w:rsidR="005A26ED" w:rsidRDefault="005A26ED" w:rsidP="005A26ED">
      <w:pPr>
        <w:pStyle w:val="Caption"/>
        <w:jc w:val="center"/>
        <w:rPr>
          <w:rFonts w:ascii="Times New Roman" w:hAnsi="Times New Roman"/>
          <w:sz w:val="24"/>
          <w:szCs w:val="21"/>
        </w:rPr>
      </w:pPr>
      <w:r w:rsidRPr="005A26ED">
        <w:rPr>
          <w:rFonts w:ascii="Times New Roman" w:hAnsi="Times New Roman"/>
          <w:b w:val="0"/>
          <w:sz w:val="24"/>
          <w:szCs w:val="21"/>
        </w:rPr>
        <w:lastRenderedPageBreak/>
        <w:fldChar w:fldCharType="begin"/>
      </w:r>
      <w:r w:rsidRPr="005A26ED">
        <w:rPr>
          <w:rFonts w:ascii="Times New Roman" w:hAnsi="Times New Roman"/>
          <w:sz w:val="24"/>
          <w:szCs w:val="21"/>
        </w:rPr>
        <w:instrText xml:space="preserve"> TC "</w:instrText>
      </w:r>
      <w:bookmarkStart w:id="43" w:name="_Toc501117461"/>
      <w:r w:rsidRPr="005A26ED">
        <w:rPr>
          <w:rFonts w:ascii="Times New Roman" w:hAnsi="Times New Roman"/>
          <w:sz w:val="24"/>
          <w:szCs w:val="21"/>
        </w:rPr>
        <w:instrText>1. Selected Economic Indicators</w:instrText>
      </w:r>
      <w:bookmarkEnd w:id="43"/>
      <w:r w:rsidRPr="005A26ED">
        <w:rPr>
          <w:rFonts w:ascii="Times New Roman" w:hAnsi="Times New Roman"/>
          <w:sz w:val="24"/>
          <w:szCs w:val="21"/>
        </w:rPr>
        <w:instrText xml:space="preserve">"\f B </w:instrText>
      </w:r>
      <w:r w:rsidRPr="005A26ED">
        <w:rPr>
          <w:rFonts w:ascii="Times New Roman" w:hAnsi="Times New Roman"/>
          <w:b w:val="0"/>
          <w:sz w:val="24"/>
          <w:szCs w:val="21"/>
        </w:rPr>
        <w:fldChar w:fldCharType="end"/>
      </w:r>
      <w:bookmarkStart w:id="44" w:name="_Toc504311761"/>
      <w:bookmarkStart w:id="45" w:name="_Toc518653307"/>
      <w:r w:rsidRPr="005A26ED">
        <w:rPr>
          <w:rFonts w:ascii="Times New Roman" w:hAnsi="Times New Roman"/>
          <w:sz w:val="24"/>
          <w:szCs w:val="21"/>
        </w:rPr>
        <w:t xml:space="preserve">Table </w:t>
      </w:r>
      <w:r w:rsidRPr="005A26ED">
        <w:rPr>
          <w:rFonts w:ascii="Times New Roman" w:hAnsi="Times New Roman"/>
          <w:b w:val="0"/>
          <w:sz w:val="24"/>
          <w:szCs w:val="21"/>
        </w:rPr>
        <w:fldChar w:fldCharType="begin"/>
      </w:r>
      <w:r w:rsidRPr="005A26ED">
        <w:rPr>
          <w:rFonts w:ascii="Times New Roman" w:hAnsi="Times New Roman"/>
          <w:sz w:val="24"/>
          <w:szCs w:val="21"/>
        </w:rPr>
        <w:instrText xml:space="preserve"> SEQ Table \* ARABIC </w:instrText>
      </w:r>
      <w:r w:rsidRPr="005A26ED">
        <w:rPr>
          <w:rFonts w:ascii="Times New Roman" w:hAnsi="Times New Roman"/>
          <w:b w:val="0"/>
          <w:sz w:val="24"/>
          <w:szCs w:val="21"/>
        </w:rPr>
        <w:fldChar w:fldCharType="separate"/>
      </w:r>
      <w:r w:rsidR="006D0059">
        <w:rPr>
          <w:rFonts w:ascii="Times New Roman" w:hAnsi="Times New Roman"/>
          <w:noProof/>
          <w:sz w:val="24"/>
          <w:szCs w:val="21"/>
        </w:rPr>
        <w:t>2</w:t>
      </w:r>
      <w:r w:rsidRPr="005A26ED">
        <w:rPr>
          <w:rFonts w:ascii="Times New Roman" w:hAnsi="Times New Roman"/>
          <w:b w:val="0"/>
          <w:sz w:val="24"/>
          <w:szCs w:val="21"/>
        </w:rPr>
        <w:fldChar w:fldCharType="end"/>
      </w:r>
      <w:r w:rsidRPr="005A26ED">
        <w:rPr>
          <w:rFonts w:ascii="Times New Roman" w:hAnsi="Times New Roman"/>
          <w:sz w:val="24"/>
          <w:szCs w:val="21"/>
        </w:rPr>
        <w:t>. Romania: Selected Economic Indicators</w:t>
      </w:r>
      <w:bookmarkEnd w:id="44"/>
      <w:bookmarkEnd w:id="45"/>
    </w:p>
    <w:p w14:paraId="30F92134" w14:textId="77777777" w:rsidR="002F3580" w:rsidRPr="002F3580" w:rsidRDefault="002F3580" w:rsidP="002F3580"/>
    <w:p w14:paraId="607BA70C" w14:textId="77777777" w:rsidR="005A26ED" w:rsidRDefault="002F3580" w:rsidP="005A26ED">
      <w:pPr>
        <w:spacing w:line="240" w:lineRule="auto"/>
        <w:rPr>
          <w:rFonts w:eastAsia="MS Mincho"/>
          <w:b/>
          <w:bCs/>
          <w:iCs/>
        </w:rPr>
      </w:pPr>
      <w:r w:rsidRPr="0013101A">
        <w:rPr>
          <w:rFonts w:cs="Segoe UI"/>
          <w:b/>
          <w:noProof/>
          <w:color w:val="4B82AD"/>
          <w:szCs w:val="21"/>
          <w:lang w:eastAsia="zh-TW"/>
        </w:rPr>
        <w:drawing>
          <wp:inline distT="0" distB="0" distL="0" distR="0" wp14:anchorId="41C97A76" wp14:editId="696BD708">
            <wp:extent cx="5857240" cy="6677025"/>
            <wp:effectExtent l="0" t="0" r="0" b="9525"/>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882384" cy="6705688"/>
                    </a:xfrm>
                    <a:prstGeom prst="rect">
                      <a:avLst/>
                    </a:prstGeom>
                    <a:noFill/>
                    <a:ln>
                      <a:noFill/>
                    </a:ln>
                  </pic:spPr>
                </pic:pic>
              </a:graphicData>
            </a:graphic>
          </wp:inline>
        </w:drawing>
      </w:r>
    </w:p>
    <w:p w14:paraId="02C46B6D" w14:textId="77777777" w:rsidR="005A26ED" w:rsidRDefault="005A26ED">
      <w:pPr>
        <w:spacing w:line="240" w:lineRule="auto"/>
        <w:rPr>
          <w:rFonts w:eastAsia="MS Mincho"/>
          <w:b/>
          <w:bCs/>
          <w:iCs/>
        </w:rPr>
      </w:pPr>
      <w:r>
        <w:rPr>
          <w:bCs/>
          <w:iCs/>
        </w:rPr>
        <w:br w:type="page"/>
      </w:r>
    </w:p>
    <w:tbl>
      <w:tblPr>
        <w:tblStyle w:val="TableGrid"/>
        <w:tblW w:w="9314" w:type="dxa"/>
        <w:jc w:val="center"/>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FFFFFF" w:themeColor="background1"/>
          <w:insideV w:val="single" w:sz="6" w:space="0" w:color="FFFFFF" w:themeColor="background1"/>
        </w:tblBorders>
        <w:tblLayout w:type="fixed"/>
        <w:tblLook w:val="04A0" w:firstRow="1" w:lastRow="0" w:firstColumn="1" w:lastColumn="0" w:noHBand="0" w:noVBand="1"/>
      </w:tblPr>
      <w:tblGrid>
        <w:gridCol w:w="9314"/>
      </w:tblGrid>
      <w:tr w:rsidR="005A26ED" w:rsidRPr="0075274C" w14:paraId="16D16792" w14:textId="77777777" w:rsidTr="005A26ED">
        <w:trPr>
          <w:trHeight w:val="278"/>
          <w:jc w:val="center"/>
        </w:trPr>
        <w:tc>
          <w:tcPr>
            <w:tcW w:w="9314" w:type="dxa"/>
            <w:shd w:val="clear" w:color="auto" w:fill="auto"/>
            <w:vAlign w:val="center"/>
          </w:tcPr>
          <w:bookmarkStart w:id="46" w:name="_Toc497544321"/>
          <w:p w14:paraId="4459F5EF" w14:textId="19BB8CE1" w:rsidR="005A26ED" w:rsidRPr="005A26ED" w:rsidRDefault="005A26ED" w:rsidP="005A26ED">
            <w:pPr>
              <w:pStyle w:val="Caption"/>
              <w:jc w:val="center"/>
              <w:rPr>
                <w:rFonts w:ascii="Times New Roman" w:hAnsi="Times New Roman"/>
                <w:b w:val="0"/>
                <w:sz w:val="24"/>
                <w:szCs w:val="21"/>
              </w:rPr>
            </w:pPr>
            <w:r w:rsidRPr="005A26ED">
              <w:rPr>
                <w:rFonts w:ascii="Times New Roman" w:hAnsi="Times New Roman"/>
                <w:b w:val="0"/>
                <w:sz w:val="24"/>
                <w:szCs w:val="21"/>
              </w:rPr>
              <w:lastRenderedPageBreak/>
              <w:fldChar w:fldCharType="begin"/>
            </w:r>
            <w:r w:rsidRPr="005A26ED">
              <w:rPr>
                <w:rFonts w:ascii="Times New Roman" w:hAnsi="Times New Roman"/>
                <w:sz w:val="24"/>
                <w:szCs w:val="21"/>
              </w:rPr>
              <w:instrText xml:space="preserve"> TC "</w:instrText>
            </w:r>
            <w:bookmarkStart w:id="47" w:name="_Toc501117462"/>
            <w:r w:rsidRPr="005A26ED">
              <w:rPr>
                <w:rFonts w:ascii="Times New Roman" w:hAnsi="Times New Roman"/>
                <w:sz w:val="24"/>
                <w:szCs w:val="21"/>
              </w:rPr>
              <w:instrText>2. Financial Soundness Indicators</w:instrText>
            </w:r>
            <w:bookmarkEnd w:id="47"/>
            <w:r w:rsidRPr="005A26ED">
              <w:rPr>
                <w:rFonts w:ascii="Times New Roman" w:hAnsi="Times New Roman"/>
                <w:sz w:val="24"/>
                <w:szCs w:val="21"/>
              </w:rPr>
              <w:instrText xml:space="preserve">"\f B </w:instrText>
            </w:r>
            <w:r w:rsidRPr="005A26ED">
              <w:rPr>
                <w:rFonts w:ascii="Times New Roman" w:hAnsi="Times New Roman"/>
                <w:b w:val="0"/>
                <w:sz w:val="24"/>
                <w:szCs w:val="21"/>
              </w:rPr>
              <w:fldChar w:fldCharType="end"/>
            </w:r>
            <w:bookmarkStart w:id="48" w:name="_Toc504311762"/>
            <w:bookmarkStart w:id="49" w:name="_Toc518653308"/>
            <w:r w:rsidRPr="005A26ED">
              <w:rPr>
                <w:rFonts w:ascii="Times New Roman" w:hAnsi="Times New Roman"/>
                <w:sz w:val="24"/>
                <w:szCs w:val="21"/>
              </w:rPr>
              <w:t xml:space="preserve">Table </w:t>
            </w:r>
            <w:r w:rsidRPr="005A26ED">
              <w:rPr>
                <w:rFonts w:ascii="Times New Roman" w:hAnsi="Times New Roman"/>
                <w:b w:val="0"/>
                <w:sz w:val="24"/>
                <w:szCs w:val="21"/>
              </w:rPr>
              <w:fldChar w:fldCharType="begin"/>
            </w:r>
            <w:r w:rsidRPr="005A26ED">
              <w:rPr>
                <w:rFonts w:ascii="Times New Roman" w:hAnsi="Times New Roman"/>
                <w:sz w:val="24"/>
                <w:szCs w:val="21"/>
              </w:rPr>
              <w:instrText xml:space="preserve"> SEQ Table \* ARABIC </w:instrText>
            </w:r>
            <w:r w:rsidRPr="005A26ED">
              <w:rPr>
                <w:rFonts w:ascii="Times New Roman" w:hAnsi="Times New Roman"/>
                <w:b w:val="0"/>
                <w:sz w:val="24"/>
                <w:szCs w:val="21"/>
              </w:rPr>
              <w:fldChar w:fldCharType="separate"/>
            </w:r>
            <w:r w:rsidR="006D0059">
              <w:rPr>
                <w:rFonts w:ascii="Times New Roman" w:hAnsi="Times New Roman"/>
                <w:noProof/>
                <w:sz w:val="24"/>
                <w:szCs w:val="21"/>
              </w:rPr>
              <w:t>3</w:t>
            </w:r>
            <w:r w:rsidRPr="005A26ED">
              <w:rPr>
                <w:rFonts w:ascii="Times New Roman" w:hAnsi="Times New Roman"/>
                <w:b w:val="0"/>
                <w:sz w:val="24"/>
                <w:szCs w:val="21"/>
              </w:rPr>
              <w:fldChar w:fldCharType="end"/>
            </w:r>
            <w:r w:rsidRPr="005A26ED">
              <w:rPr>
                <w:rFonts w:ascii="Times New Roman" w:hAnsi="Times New Roman"/>
                <w:sz w:val="24"/>
                <w:szCs w:val="21"/>
              </w:rPr>
              <w:t>.</w:t>
            </w:r>
            <w:r w:rsidRPr="005A26ED">
              <w:rPr>
                <w:rFonts w:ascii="Times New Roman" w:hAnsi="Times New Roman"/>
                <w:sz w:val="24"/>
              </w:rPr>
              <w:t xml:space="preserve"> </w:t>
            </w:r>
            <w:r w:rsidRPr="005A26ED">
              <w:rPr>
                <w:rFonts w:ascii="Times New Roman" w:hAnsi="Times New Roman"/>
                <w:sz w:val="24"/>
                <w:szCs w:val="21"/>
              </w:rPr>
              <w:t>Romania: Financial Soundness Indicators</w:t>
            </w:r>
            <w:bookmarkEnd w:id="46"/>
            <w:bookmarkEnd w:id="48"/>
            <w:bookmarkEnd w:id="49"/>
          </w:p>
          <w:p w14:paraId="4A3CBAA7" w14:textId="77777777" w:rsidR="005A26ED" w:rsidRPr="00FE4C22" w:rsidRDefault="00CF60A8" w:rsidP="005A26ED">
            <w:pPr>
              <w:spacing w:line="240" w:lineRule="auto"/>
              <w:jc w:val="center"/>
              <w:rPr>
                <w:rFonts w:cs="Segoe UI"/>
                <w:b/>
                <w:color w:val="4B82AD"/>
                <w:szCs w:val="21"/>
              </w:rPr>
            </w:pPr>
            <w:r>
              <w:rPr>
                <w:noProof/>
              </w:rPr>
              <w:drawing>
                <wp:inline distT="0" distB="0" distL="0" distR="0" wp14:anchorId="7D90D08A" wp14:editId="379D26E2">
                  <wp:extent cx="5772150" cy="5886450"/>
                  <wp:effectExtent l="0" t="0" r="0" b="0"/>
                  <wp:docPr id="35" name="Picture 35"/>
                  <wp:cNvGraphicFramePr/>
                  <a:graphic xmlns:a="http://schemas.openxmlformats.org/drawingml/2006/main">
                    <a:graphicData uri="http://schemas.openxmlformats.org/drawingml/2006/picture">
                      <pic:pic xmlns:pic="http://schemas.openxmlformats.org/drawingml/2006/picture">
                        <pic:nvPicPr>
                          <pic:cNvPr id="35" name="Picture 35"/>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72150" cy="5886450"/>
                          </a:xfrm>
                          <a:prstGeom prst="rect">
                            <a:avLst/>
                          </a:prstGeom>
                          <a:noFill/>
                          <a:ln>
                            <a:noFill/>
                          </a:ln>
                        </pic:spPr>
                      </pic:pic>
                    </a:graphicData>
                  </a:graphic>
                </wp:inline>
              </w:drawing>
            </w:r>
          </w:p>
        </w:tc>
      </w:tr>
    </w:tbl>
    <w:p w14:paraId="494C42DA" w14:textId="77777777" w:rsidR="009142E2" w:rsidRDefault="009142E2" w:rsidP="00486398">
      <w:pPr>
        <w:pStyle w:val="Heading1"/>
        <w:numPr>
          <w:ilvl w:val="0"/>
          <w:numId w:val="0"/>
        </w:numPr>
        <w:spacing w:before="240" w:line="240" w:lineRule="auto"/>
        <w:rPr>
          <w:bCs w:val="0"/>
          <w:iCs/>
        </w:rPr>
      </w:pPr>
    </w:p>
    <w:p w14:paraId="5567DD00" w14:textId="77777777" w:rsidR="009142E2" w:rsidRDefault="009142E2">
      <w:pPr>
        <w:spacing w:line="240" w:lineRule="auto"/>
        <w:rPr>
          <w:rFonts w:cs="Arial"/>
          <w:b/>
          <w:iCs/>
          <w:smallCaps/>
          <w:kern w:val="28"/>
          <w:szCs w:val="32"/>
        </w:rPr>
      </w:pPr>
      <w:r>
        <w:rPr>
          <w:bCs/>
          <w:iCs/>
        </w:rPr>
        <w:br w:type="page"/>
      </w:r>
    </w:p>
    <w:p w14:paraId="015A4A9D" w14:textId="0DAD88DA" w:rsidR="00291E53" w:rsidRPr="00291E53" w:rsidRDefault="00291E53" w:rsidP="00486398">
      <w:pPr>
        <w:pStyle w:val="Heading1"/>
        <w:numPr>
          <w:ilvl w:val="0"/>
          <w:numId w:val="0"/>
        </w:numPr>
        <w:spacing w:before="240" w:line="240" w:lineRule="auto"/>
      </w:pPr>
      <w:r w:rsidRPr="00291E53">
        <w:rPr>
          <w:bCs w:val="0"/>
          <w:iCs/>
        </w:rPr>
        <w:lastRenderedPageBreak/>
        <w:fldChar w:fldCharType="begin"/>
      </w:r>
      <w:r w:rsidRPr="00291E53">
        <w:instrText xml:space="preserve"> TC "</w:instrText>
      </w:r>
      <w:bookmarkStart w:id="50" w:name="_Toc491848699"/>
      <w:bookmarkStart w:id="51" w:name="_Toc496175102"/>
      <w:bookmarkStart w:id="52" w:name="_Toc496175232"/>
      <w:bookmarkStart w:id="53" w:name="_Toc496195170"/>
      <w:r w:rsidRPr="00291E53">
        <w:rPr>
          <w:b w:val="0"/>
        </w:rPr>
        <w:instrText>I. Status of 2006 FSAP Recommendations</w:instrText>
      </w:r>
      <w:bookmarkEnd w:id="50"/>
      <w:bookmarkEnd w:id="51"/>
      <w:bookmarkEnd w:id="52"/>
      <w:bookmarkEnd w:id="53"/>
      <w:r w:rsidRPr="00291E53">
        <w:rPr>
          <w:b w:val="0"/>
        </w:rPr>
        <w:cr/>
      </w:r>
      <w:r w:rsidRPr="00291E53">
        <w:instrText xml:space="preserve">"\f E </w:instrText>
      </w:r>
      <w:r w:rsidRPr="00291E53">
        <w:rPr>
          <w:bCs w:val="0"/>
          <w:iCs/>
        </w:rPr>
        <w:fldChar w:fldCharType="end"/>
      </w:r>
      <w:bookmarkStart w:id="54" w:name="_Toc494626158"/>
      <w:bookmarkStart w:id="55" w:name="_Toc496175079"/>
      <w:bookmarkStart w:id="56" w:name="_Toc496175167"/>
      <w:bookmarkStart w:id="57" w:name="_Toc518653299"/>
      <w:r w:rsidRPr="00291E53">
        <w:t>Appendix II</w:t>
      </w:r>
      <w:r w:rsidR="005834D9">
        <w:t xml:space="preserve"> -</w:t>
      </w:r>
      <w:r w:rsidRPr="00291E53">
        <w:t xml:space="preserve"> Status of FSAP </w:t>
      </w:r>
      <w:r w:rsidR="00205FD8">
        <w:t xml:space="preserve">2009 </w:t>
      </w:r>
      <w:r w:rsidRPr="00291E53">
        <w:t>Recommendations</w:t>
      </w:r>
      <w:bookmarkEnd w:id="54"/>
      <w:bookmarkEnd w:id="55"/>
      <w:bookmarkEnd w:id="56"/>
      <w:bookmarkEnd w:id="5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4408"/>
        <w:gridCol w:w="4884"/>
      </w:tblGrid>
      <w:tr w:rsidR="00205FD8" w:rsidRPr="000130F4" w14:paraId="68980605" w14:textId="77777777" w:rsidTr="00205FD8">
        <w:trPr>
          <w:cantSplit/>
          <w:trHeight w:hRule="exact" w:val="541"/>
        </w:trPr>
        <w:tc>
          <w:tcPr>
            <w:tcW w:w="2372" w:type="pct"/>
          </w:tcPr>
          <w:p w14:paraId="7FED24E6" w14:textId="77777777" w:rsidR="00205FD8" w:rsidRPr="00461303" w:rsidRDefault="00205FD8" w:rsidP="00461303">
            <w:pPr>
              <w:keepNext/>
              <w:widowControl w:val="0"/>
              <w:spacing w:beforeLines="60" w:before="144" w:afterLines="60" w:after="144" w:line="240" w:lineRule="auto"/>
              <w:ind w:left="101"/>
              <w:jc w:val="center"/>
              <w:rPr>
                <w:b/>
                <w:sz w:val="20"/>
                <w:szCs w:val="20"/>
              </w:rPr>
            </w:pPr>
            <w:r w:rsidRPr="00461303">
              <w:rPr>
                <w:b/>
                <w:spacing w:val="-1"/>
                <w:sz w:val="20"/>
                <w:szCs w:val="20"/>
              </w:rPr>
              <w:t>Recommendation</w:t>
            </w:r>
          </w:p>
        </w:tc>
        <w:tc>
          <w:tcPr>
            <w:tcW w:w="2628" w:type="pct"/>
          </w:tcPr>
          <w:p w14:paraId="47AD90C7" w14:textId="77777777" w:rsidR="00205FD8" w:rsidRPr="00461303" w:rsidRDefault="00205FD8" w:rsidP="00461303">
            <w:pPr>
              <w:keepNext/>
              <w:widowControl w:val="0"/>
              <w:spacing w:beforeLines="60" w:before="144" w:afterLines="60" w:after="144" w:line="240" w:lineRule="auto"/>
              <w:ind w:left="101"/>
              <w:jc w:val="center"/>
              <w:rPr>
                <w:b/>
                <w:spacing w:val="-1"/>
                <w:sz w:val="20"/>
                <w:szCs w:val="20"/>
              </w:rPr>
            </w:pPr>
            <w:r w:rsidRPr="00461303">
              <w:rPr>
                <w:b/>
                <w:spacing w:val="-1"/>
                <w:sz w:val="20"/>
                <w:szCs w:val="20"/>
              </w:rPr>
              <w:t xml:space="preserve">Status </w:t>
            </w:r>
          </w:p>
        </w:tc>
      </w:tr>
      <w:tr w:rsidR="00205FD8" w:rsidRPr="000130F4" w14:paraId="4DFB3723" w14:textId="77777777" w:rsidTr="00205FD8">
        <w:tc>
          <w:tcPr>
            <w:tcW w:w="5000" w:type="pct"/>
            <w:gridSpan w:val="2"/>
          </w:tcPr>
          <w:p w14:paraId="2B2BE4F4" w14:textId="77777777" w:rsidR="00205FD8" w:rsidRPr="00461303" w:rsidRDefault="00205FD8" w:rsidP="00461303">
            <w:pPr>
              <w:pStyle w:val="ListParagraph"/>
              <w:autoSpaceDE w:val="0"/>
              <w:autoSpaceDN w:val="0"/>
              <w:adjustRightInd w:val="0"/>
              <w:spacing w:beforeLines="60" w:before="144" w:afterLines="60" w:after="144" w:line="240" w:lineRule="auto"/>
              <w:ind w:left="125" w:right="207"/>
              <w:contextualSpacing w:val="0"/>
              <w:rPr>
                <w:rFonts w:ascii="Times New Roman" w:hAnsi="Times New Roman"/>
                <w:b/>
                <w:spacing w:val="-1"/>
                <w:sz w:val="20"/>
                <w:szCs w:val="20"/>
              </w:rPr>
            </w:pPr>
            <w:r w:rsidRPr="00461303">
              <w:rPr>
                <w:rFonts w:ascii="Times New Roman" w:hAnsi="Times New Roman"/>
                <w:b/>
                <w:spacing w:val="-1"/>
                <w:sz w:val="20"/>
                <w:szCs w:val="20"/>
              </w:rPr>
              <w:t>Crisis Management and Safety Net</w:t>
            </w:r>
          </w:p>
        </w:tc>
      </w:tr>
      <w:tr w:rsidR="00205FD8" w:rsidRPr="000130F4" w14:paraId="250FD822" w14:textId="77777777" w:rsidTr="00205FD8">
        <w:tc>
          <w:tcPr>
            <w:tcW w:w="2372" w:type="pct"/>
          </w:tcPr>
          <w:p w14:paraId="397F1308" w14:textId="77777777" w:rsidR="00205FD8" w:rsidRPr="00461303" w:rsidRDefault="00205FD8" w:rsidP="00461303">
            <w:pPr>
              <w:pStyle w:val="ListBullet"/>
              <w:numPr>
                <w:ilvl w:val="0"/>
                <w:numId w:val="0"/>
              </w:numPr>
              <w:spacing w:beforeLines="60" w:before="144" w:afterLines="60" w:after="144"/>
              <w:ind w:left="93"/>
              <w:rPr>
                <w:sz w:val="20"/>
                <w:szCs w:val="20"/>
              </w:rPr>
            </w:pPr>
            <w:r w:rsidRPr="00461303">
              <w:rPr>
                <w:sz w:val="20"/>
                <w:szCs w:val="20"/>
              </w:rPr>
              <w:t>Seek strengthening of capital positions of some banks and set medium term targets for increasing minimum CARs</w:t>
            </w:r>
          </w:p>
        </w:tc>
        <w:tc>
          <w:tcPr>
            <w:tcW w:w="2628" w:type="pct"/>
          </w:tcPr>
          <w:p w14:paraId="5B09E129" w14:textId="77777777" w:rsidR="00205FD8" w:rsidRPr="00461303" w:rsidRDefault="00205FD8" w:rsidP="00461303">
            <w:pPr>
              <w:widowControl w:val="0"/>
              <w:spacing w:beforeLines="60" w:before="144" w:afterLines="60" w:after="144" w:line="240" w:lineRule="auto"/>
              <w:ind w:left="101"/>
              <w:rPr>
                <w:spacing w:val="-1"/>
                <w:sz w:val="20"/>
                <w:szCs w:val="20"/>
              </w:rPr>
            </w:pPr>
            <w:r w:rsidRPr="00461303">
              <w:rPr>
                <w:sz w:val="20"/>
                <w:szCs w:val="20"/>
              </w:rPr>
              <w:t>Implemented in all material cases. Alignment to EU standards completed.</w:t>
            </w:r>
          </w:p>
        </w:tc>
      </w:tr>
      <w:tr w:rsidR="00205FD8" w:rsidRPr="000130F4" w14:paraId="4815831F" w14:textId="77777777" w:rsidTr="00205FD8">
        <w:tc>
          <w:tcPr>
            <w:tcW w:w="2372" w:type="pct"/>
          </w:tcPr>
          <w:p w14:paraId="6BE35BF4" w14:textId="77777777" w:rsidR="00205FD8" w:rsidRPr="00461303" w:rsidRDefault="00205FD8" w:rsidP="00461303">
            <w:pPr>
              <w:pStyle w:val="ListBullet"/>
              <w:numPr>
                <w:ilvl w:val="0"/>
                <w:numId w:val="0"/>
              </w:numPr>
              <w:spacing w:beforeLines="60" w:before="144" w:afterLines="60" w:after="144"/>
              <w:ind w:left="93"/>
              <w:rPr>
                <w:sz w:val="20"/>
                <w:szCs w:val="20"/>
              </w:rPr>
            </w:pPr>
            <w:r w:rsidRPr="00461303">
              <w:rPr>
                <w:sz w:val="20"/>
                <w:szCs w:val="20"/>
              </w:rPr>
              <w:t>Strengthen monitoring of bank loan portfolios and problem loan workout procedures and capacity</w:t>
            </w:r>
          </w:p>
        </w:tc>
        <w:tc>
          <w:tcPr>
            <w:tcW w:w="2628" w:type="pct"/>
          </w:tcPr>
          <w:p w14:paraId="0C4B840C" w14:textId="77777777" w:rsidR="00205FD8" w:rsidRPr="00461303" w:rsidRDefault="00205FD8" w:rsidP="00461303">
            <w:pPr>
              <w:widowControl w:val="0"/>
              <w:spacing w:beforeLines="60" w:before="144" w:afterLines="60" w:after="144" w:line="240" w:lineRule="auto"/>
              <w:ind w:left="101"/>
              <w:rPr>
                <w:spacing w:val="-1"/>
                <w:sz w:val="20"/>
                <w:szCs w:val="20"/>
              </w:rPr>
            </w:pPr>
            <w:r w:rsidRPr="00461303">
              <w:rPr>
                <w:sz w:val="20"/>
                <w:szCs w:val="20"/>
              </w:rPr>
              <w:t>Implemented. Loan classification, collateral valuation, and provisioning have been strengthened. NPLs dropped significantly.</w:t>
            </w:r>
          </w:p>
        </w:tc>
      </w:tr>
      <w:tr w:rsidR="00205FD8" w:rsidRPr="000130F4" w14:paraId="23499839" w14:textId="77777777" w:rsidTr="00205FD8">
        <w:trPr>
          <w:trHeight w:val="63"/>
        </w:trPr>
        <w:tc>
          <w:tcPr>
            <w:tcW w:w="2372" w:type="pct"/>
          </w:tcPr>
          <w:p w14:paraId="7C541007" w14:textId="77777777" w:rsidR="00205FD8" w:rsidRPr="00461303" w:rsidRDefault="00205FD8" w:rsidP="00461303">
            <w:pPr>
              <w:pStyle w:val="ListBullet"/>
              <w:numPr>
                <w:ilvl w:val="0"/>
                <w:numId w:val="0"/>
              </w:numPr>
              <w:spacing w:beforeLines="60" w:before="144" w:afterLines="60" w:after="144"/>
              <w:ind w:left="93"/>
              <w:rPr>
                <w:sz w:val="20"/>
                <w:szCs w:val="20"/>
              </w:rPr>
            </w:pPr>
            <w:r w:rsidRPr="00461303">
              <w:rPr>
                <w:sz w:val="20"/>
                <w:szCs w:val="20"/>
              </w:rPr>
              <w:t>Accelerate crisis management planning, communications, implementation of simulation exercises, and strengthen cross-border and cross-sectoral coordination of crisis management</w:t>
            </w:r>
          </w:p>
        </w:tc>
        <w:tc>
          <w:tcPr>
            <w:tcW w:w="2628" w:type="pct"/>
          </w:tcPr>
          <w:p w14:paraId="3FF7DF98" w14:textId="77777777" w:rsidR="00205FD8" w:rsidRPr="00461303" w:rsidRDefault="00205FD8" w:rsidP="00461303">
            <w:pPr>
              <w:widowControl w:val="0"/>
              <w:spacing w:beforeLines="60" w:before="144" w:afterLines="60" w:after="144" w:line="240" w:lineRule="auto"/>
              <w:ind w:left="101" w:right="101"/>
              <w:rPr>
                <w:b/>
                <w:spacing w:val="-1"/>
                <w:sz w:val="20"/>
                <w:szCs w:val="20"/>
                <w:u w:val="single"/>
              </w:rPr>
            </w:pPr>
            <w:r w:rsidRPr="00461303">
              <w:rPr>
                <w:sz w:val="20"/>
                <w:szCs w:val="20"/>
              </w:rPr>
              <w:t xml:space="preserve">Implemented to a great extent by the transposition of the BRRD. In 2013 a simulation exercise was conducted with support from the WB. </w:t>
            </w:r>
          </w:p>
        </w:tc>
      </w:tr>
      <w:tr w:rsidR="00205FD8" w:rsidRPr="000130F4" w14:paraId="720CA7DA" w14:textId="77777777" w:rsidTr="00205FD8">
        <w:trPr>
          <w:trHeight w:val="63"/>
        </w:trPr>
        <w:tc>
          <w:tcPr>
            <w:tcW w:w="2372" w:type="pct"/>
          </w:tcPr>
          <w:p w14:paraId="5961798E" w14:textId="77777777" w:rsidR="00205FD8" w:rsidRPr="00461303" w:rsidRDefault="00205FD8" w:rsidP="00461303">
            <w:pPr>
              <w:pStyle w:val="ListBullet"/>
              <w:numPr>
                <w:ilvl w:val="0"/>
                <w:numId w:val="0"/>
              </w:numPr>
              <w:spacing w:beforeLines="60" w:before="144" w:afterLines="60" w:after="144"/>
              <w:ind w:left="93"/>
              <w:rPr>
                <w:sz w:val="20"/>
                <w:szCs w:val="20"/>
              </w:rPr>
            </w:pPr>
            <w:r w:rsidRPr="00461303">
              <w:rPr>
                <w:sz w:val="20"/>
                <w:szCs w:val="20"/>
              </w:rPr>
              <w:t xml:space="preserve">Consider additional measures to provide liquidity, especially under ELA </w:t>
            </w:r>
          </w:p>
        </w:tc>
        <w:tc>
          <w:tcPr>
            <w:tcW w:w="2628" w:type="pct"/>
          </w:tcPr>
          <w:p w14:paraId="0B8114EE" w14:textId="77777777" w:rsidR="00205FD8" w:rsidRPr="00461303" w:rsidRDefault="00205FD8" w:rsidP="00461303">
            <w:pPr>
              <w:widowControl w:val="0"/>
              <w:spacing w:beforeLines="60" w:before="144" w:afterLines="60" w:after="144" w:line="240" w:lineRule="auto"/>
              <w:ind w:left="101" w:right="101"/>
              <w:rPr>
                <w:spacing w:val="-1"/>
                <w:sz w:val="20"/>
                <w:szCs w:val="20"/>
              </w:rPr>
            </w:pPr>
            <w:r w:rsidRPr="00461303">
              <w:rPr>
                <w:sz w:val="20"/>
                <w:szCs w:val="20"/>
              </w:rPr>
              <w:t>Not implemented yet. Arrangements remain vague and limited by the types of collateral accepted. However, the NBR is working on the implementation of the ECB’s standards for ELA.</w:t>
            </w:r>
          </w:p>
        </w:tc>
      </w:tr>
      <w:tr w:rsidR="00205FD8" w:rsidRPr="000130F4" w14:paraId="2C4F852E" w14:textId="77777777" w:rsidTr="00205FD8">
        <w:tc>
          <w:tcPr>
            <w:tcW w:w="2372" w:type="pct"/>
          </w:tcPr>
          <w:p w14:paraId="6A905BA4" w14:textId="77777777" w:rsidR="00205FD8" w:rsidRPr="00461303" w:rsidRDefault="00205FD8" w:rsidP="00461303">
            <w:pPr>
              <w:widowControl w:val="0"/>
              <w:spacing w:beforeLines="60" w:before="144" w:afterLines="60" w:after="144" w:line="240" w:lineRule="auto"/>
              <w:ind w:left="93" w:right="144"/>
              <w:rPr>
                <w:sz w:val="20"/>
                <w:szCs w:val="20"/>
              </w:rPr>
            </w:pPr>
            <w:r w:rsidRPr="00461303">
              <w:rPr>
                <w:sz w:val="20"/>
                <w:szCs w:val="20"/>
              </w:rPr>
              <w:t xml:space="preserve">Review bank resolution framework to facilitate rapid action and options for bank restructuring. </w:t>
            </w:r>
          </w:p>
        </w:tc>
        <w:tc>
          <w:tcPr>
            <w:tcW w:w="2628" w:type="pct"/>
          </w:tcPr>
          <w:p w14:paraId="3F188FC0" w14:textId="77777777" w:rsidR="00205FD8" w:rsidRPr="00461303" w:rsidRDefault="00205FD8" w:rsidP="00461303">
            <w:pPr>
              <w:pStyle w:val="ListParagraph"/>
              <w:autoSpaceDE w:val="0"/>
              <w:autoSpaceDN w:val="0"/>
              <w:adjustRightInd w:val="0"/>
              <w:spacing w:beforeLines="60" w:before="144" w:afterLines="60" w:after="144" w:line="240" w:lineRule="auto"/>
              <w:ind w:left="130" w:right="202"/>
              <w:contextualSpacing w:val="0"/>
              <w:rPr>
                <w:rFonts w:ascii="Times New Roman" w:hAnsi="Times New Roman"/>
                <w:sz w:val="20"/>
                <w:szCs w:val="20"/>
              </w:rPr>
            </w:pPr>
            <w:r w:rsidRPr="00461303">
              <w:rPr>
                <w:rFonts w:ascii="Times New Roman" w:hAnsi="Times New Roman"/>
                <w:sz w:val="20"/>
                <w:szCs w:val="20"/>
              </w:rPr>
              <w:t>Implemented through the transposition of the BRRD.</w:t>
            </w:r>
          </w:p>
        </w:tc>
      </w:tr>
      <w:tr w:rsidR="00205FD8" w:rsidRPr="000130F4" w14:paraId="752F3CED" w14:textId="77777777" w:rsidTr="00205FD8">
        <w:tc>
          <w:tcPr>
            <w:tcW w:w="2372" w:type="pct"/>
          </w:tcPr>
          <w:p w14:paraId="01B4F3AE" w14:textId="77777777" w:rsidR="00205FD8" w:rsidRPr="00461303" w:rsidRDefault="00205FD8" w:rsidP="00461303">
            <w:pPr>
              <w:widowControl w:val="0"/>
              <w:spacing w:beforeLines="60" w:before="144" w:afterLines="60" w:after="144" w:line="240" w:lineRule="auto"/>
              <w:ind w:left="93" w:right="144"/>
              <w:rPr>
                <w:sz w:val="20"/>
                <w:szCs w:val="20"/>
              </w:rPr>
            </w:pPr>
            <w:r w:rsidRPr="00461303">
              <w:rPr>
                <w:sz w:val="20"/>
                <w:szCs w:val="20"/>
              </w:rPr>
              <w:t>Strengthen deposit insurance funding arrangements and speed up payouts</w:t>
            </w:r>
          </w:p>
          <w:p w14:paraId="15F51602" w14:textId="77777777" w:rsidR="00205FD8" w:rsidRPr="00461303" w:rsidRDefault="00205FD8" w:rsidP="00461303">
            <w:pPr>
              <w:pStyle w:val="ListBullet"/>
              <w:numPr>
                <w:ilvl w:val="0"/>
                <w:numId w:val="0"/>
              </w:numPr>
              <w:spacing w:beforeLines="60" w:before="144" w:afterLines="60" w:after="144"/>
              <w:ind w:left="93"/>
              <w:rPr>
                <w:sz w:val="20"/>
                <w:szCs w:val="20"/>
              </w:rPr>
            </w:pPr>
          </w:p>
        </w:tc>
        <w:tc>
          <w:tcPr>
            <w:tcW w:w="2628" w:type="pct"/>
          </w:tcPr>
          <w:p w14:paraId="7659FC41" w14:textId="77777777" w:rsidR="00205FD8" w:rsidRPr="00461303" w:rsidRDefault="00205FD8" w:rsidP="00461303">
            <w:pPr>
              <w:widowControl w:val="0"/>
              <w:spacing w:beforeLines="60" w:before="144" w:afterLines="60" w:after="144" w:line="240" w:lineRule="auto"/>
              <w:ind w:left="102" w:right="101"/>
              <w:rPr>
                <w:rFonts w:eastAsia="Calibri"/>
                <w:sz w:val="20"/>
                <w:szCs w:val="20"/>
                <w:lang w:val="en-GB"/>
              </w:rPr>
            </w:pPr>
            <w:r w:rsidRPr="00461303">
              <w:rPr>
                <w:sz w:val="20"/>
                <w:szCs w:val="20"/>
              </w:rPr>
              <w:t>FGDB has reached its target for the deposit insurance fund. The institution’s workplan includes increasingly complex tests to enhance its ability to provide fast payouts.</w:t>
            </w:r>
          </w:p>
        </w:tc>
      </w:tr>
      <w:tr w:rsidR="00205FD8" w:rsidRPr="000130F4" w14:paraId="521789B9" w14:textId="77777777" w:rsidTr="00205FD8">
        <w:tc>
          <w:tcPr>
            <w:tcW w:w="5000" w:type="pct"/>
            <w:gridSpan w:val="2"/>
          </w:tcPr>
          <w:p w14:paraId="30413EEB" w14:textId="77777777" w:rsidR="00205FD8" w:rsidRPr="00461303" w:rsidRDefault="00205FD8" w:rsidP="00461303">
            <w:pPr>
              <w:widowControl w:val="0"/>
              <w:spacing w:beforeLines="60" w:before="144" w:afterLines="60" w:after="144" w:line="240" w:lineRule="auto"/>
              <w:ind w:left="102" w:right="101"/>
              <w:rPr>
                <w:rFonts w:eastAsia="Calibri"/>
                <w:b/>
                <w:sz w:val="20"/>
                <w:szCs w:val="20"/>
                <w:lang w:val="en-GB"/>
              </w:rPr>
            </w:pPr>
            <w:r w:rsidRPr="00461303">
              <w:rPr>
                <w:rFonts w:eastAsia="Calibri"/>
                <w:b/>
                <w:sz w:val="20"/>
                <w:szCs w:val="20"/>
                <w:lang w:val="en-GB"/>
              </w:rPr>
              <w:t>Cross-Sectoral Issues</w:t>
            </w:r>
          </w:p>
        </w:tc>
      </w:tr>
      <w:tr w:rsidR="00205FD8" w:rsidRPr="000130F4" w14:paraId="369EFB3C" w14:textId="77777777" w:rsidTr="00205FD8">
        <w:tc>
          <w:tcPr>
            <w:tcW w:w="2372" w:type="pct"/>
          </w:tcPr>
          <w:p w14:paraId="6C0B5B91" w14:textId="77777777" w:rsidR="00205FD8" w:rsidRPr="00461303" w:rsidRDefault="00205FD8" w:rsidP="00461303">
            <w:pPr>
              <w:pStyle w:val="ListBullet"/>
              <w:numPr>
                <w:ilvl w:val="0"/>
                <w:numId w:val="0"/>
              </w:numPr>
              <w:spacing w:beforeLines="60" w:before="144" w:afterLines="60" w:after="144"/>
              <w:ind w:left="93"/>
              <w:rPr>
                <w:sz w:val="20"/>
                <w:szCs w:val="20"/>
              </w:rPr>
            </w:pPr>
            <w:r w:rsidRPr="00461303">
              <w:rPr>
                <w:sz w:val="20"/>
                <w:szCs w:val="20"/>
              </w:rPr>
              <w:t>Align the degree of independence and financial autonomy of the nonbank regulators with those of the NBR</w:t>
            </w:r>
          </w:p>
        </w:tc>
        <w:tc>
          <w:tcPr>
            <w:tcW w:w="2628" w:type="pct"/>
          </w:tcPr>
          <w:p w14:paraId="0AC4AFF5" w14:textId="77777777" w:rsidR="00205FD8" w:rsidRPr="00461303" w:rsidRDefault="00205FD8" w:rsidP="00461303">
            <w:pPr>
              <w:pStyle w:val="ListParagraph"/>
              <w:autoSpaceDE w:val="0"/>
              <w:autoSpaceDN w:val="0"/>
              <w:adjustRightInd w:val="0"/>
              <w:spacing w:beforeLines="60" w:before="144" w:afterLines="60" w:after="144" w:line="240" w:lineRule="auto"/>
              <w:ind w:left="125" w:right="117"/>
              <w:contextualSpacing w:val="0"/>
              <w:rPr>
                <w:rFonts w:ascii="Times New Roman" w:eastAsia="Times New Roman" w:hAnsi="Times New Roman"/>
                <w:sz w:val="20"/>
                <w:szCs w:val="20"/>
              </w:rPr>
            </w:pPr>
            <w:r w:rsidRPr="00461303">
              <w:rPr>
                <w:rFonts w:ascii="Times New Roman" w:eastAsia="Times New Roman" w:hAnsi="Times New Roman"/>
                <w:sz w:val="20"/>
                <w:szCs w:val="20"/>
              </w:rPr>
              <w:t>Partly implemented. The ASF Law has been implemented, however, the FSAP found that the ASF’s independence still needs improvement.</w:t>
            </w:r>
          </w:p>
        </w:tc>
      </w:tr>
      <w:tr w:rsidR="00205FD8" w:rsidRPr="000130F4" w14:paraId="6ABFE0EB" w14:textId="77777777" w:rsidTr="00205FD8">
        <w:tc>
          <w:tcPr>
            <w:tcW w:w="2372" w:type="pct"/>
          </w:tcPr>
          <w:p w14:paraId="0C18ED3D" w14:textId="77777777" w:rsidR="00205FD8" w:rsidRPr="00461303" w:rsidRDefault="00205FD8" w:rsidP="00461303">
            <w:pPr>
              <w:pStyle w:val="ListBullet"/>
              <w:numPr>
                <w:ilvl w:val="0"/>
                <w:numId w:val="0"/>
              </w:numPr>
              <w:spacing w:beforeLines="60" w:before="144" w:afterLines="60" w:after="144"/>
              <w:ind w:left="93"/>
              <w:rPr>
                <w:sz w:val="20"/>
                <w:szCs w:val="20"/>
              </w:rPr>
            </w:pPr>
            <w:r w:rsidRPr="00461303">
              <w:rPr>
                <w:sz w:val="20"/>
                <w:szCs w:val="20"/>
              </w:rPr>
              <w:t xml:space="preserve">Issue consistent valuation methodologies for financial assets </w:t>
            </w:r>
          </w:p>
        </w:tc>
        <w:tc>
          <w:tcPr>
            <w:tcW w:w="2628" w:type="pct"/>
          </w:tcPr>
          <w:p w14:paraId="3351F8BB" w14:textId="77777777" w:rsidR="00205FD8" w:rsidRPr="00461303" w:rsidRDefault="00205FD8" w:rsidP="00461303">
            <w:pPr>
              <w:widowControl w:val="0"/>
              <w:spacing w:beforeLines="60" w:before="144" w:afterLines="60" w:after="144" w:line="240" w:lineRule="auto"/>
              <w:ind w:left="101" w:right="101"/>
              <w:rPr>
                <w:sz w:val="20"/>
                <w:szCs w:val="20"/>
              </w:rPr>
            </w:pPr>
            <w:r w:rsidRPr="00461303">
              <w:rPr>
                <w:sz w:val="20"/>
                <w:szCs w:val="20"/>
              </w:rPr>
              <w:t>Following the IFRS implementation, credit institutions use professional judgment for drawing up their own provisioning methodologies for financial assets consistent with IFRS.</w:t>
            </w:r>
          </w:p>
        </w:tc>
      </w:tr>
      <w:tr w:rsidR="00205FD8" w:rsidRPr="000130F4" w14:paraId="77C6349F" w14:textId="77777777" w:rsidTr="00205FD8">
        <w:tc>
          <w:tcPr>
            <w:tcW w:w="2372" w:type="pct"/>
          </w:tcPr>
          <w:p w14:paraId="5E24800B" w14:textId="77777777" w:rsidR="00205FD8" w:rsidRPr="00461303" w:rsidRDefault="00205FD8" w:rsidP="00461303">
            <w:pPr>
              <w:pStyle w:val="ListBullet"/>
              <w:numPr>
                <w:ilvl w:val="0"/>
                <w:numId w:val="0"/>
              </w:numPr>
              <w:spacing w:beforeLines="60" w:before="144" w:afterLines="60" w:after="144"/>
              <w:ind w:left="93"/>
              <w:rPr>
                <w:sz w:val="20"/>
                <w:szCs w:val="20"/>
              </w:rPr>
            </w:pPr>
            <w:r w:rsidRPr="00461303">
              <w:rPr>
                <w:sz w:val="20"/>
                <w:szCs w:val="20"/>
              </w:rPr>
              <w:t xml:space="preserve">Strengthen information exchange and cooperation among regulators and the Ministry of Economy and Finance </w:t>
            </w:r>
          </w:p>
        </w:tc>
        <w:tc>
          <w:tcPr>
            <w:tcW w:w="2628" w:type="pct"/>
          </w:tcPr>
          <w:p w14:paraId="39511CAF" w14:textId="77777777" w:rsidR="00205FD8" w:rsidRPr="00461303" w:rsidRDefault="00205FD8" w:rsidP="00461303">
            <w:pPr>
              <w:widowControl w:val="0"/>
              <w:spacing w:beforeLines="60" w:before="144" w:afterLines="60" w:after="144" w:line="240" w:lineRule="auto"/>
              <w:ind w:left="101" w:right="101"/>
              <w:rPr>
                <w:sz w:val="20"/>
                <w:szCs w:val="20"/>
              </w:rPr>
            </w:pPr>
            <w:r w:rsidRPr="00461303">
              <w:rPr>
                <w:sz w:val="20"/>
                <w:szCs w:val="20"/>
              </w:rPr>
              <w:t>Partly implemented. Arrangements have been in place to facilitate and ensure cooperation with relevant domestic authorities. However, meetings with ASF are too infrequent to allow effective exchanges and coordination.</w:t>
            </w:r>
          </w:p>
        </w:tc>
      </w:tr>
      <w:tr w:rsidR="00205FD8" w:rsidRPr="000130F4" w14:paraId="610568E2" w14:textId="77777777" w:rsidTr="00205FD8">
        <w:tc>
          <w:tcPr>
            <w:tcW w:w="2372" w:type="pct"/>
          </w:tcPr>
          <w:p w14:paraId="17C808FF" w14:textId="65EFC740" w:rsidR="00205FD8" w:rsidRPr="00461303" w:rsidRDefault="00205FD8" w:rsidP="00461303">
            <w:pPr>
              <w:pStyle w:val="ListBullet"/>
              <w:numPr>
                <w:ilvl w:val="0"/>
                <w:numId w:val="0"/>
              </w:numPr>
              <w:spacing w:beforeLines="60" w:before="144" w:afterLines="60" w:after="144"/>
              <w:ind w:left="93"/>
              <w:rPr>
                <w:sz w:val="20"/>
                <w:szCs w:val="20"/>
              </w:rPr>
            </w:pPr>
            <w:r w:rsidRPr="00461303">
              <w:rPr>
                <w:sz w:val="20"/>
                <w:szCs w:val="20"/>
              </w:rPr>
              <w:t xml:space="preserve">Expand resources of the Financial Intelligence Unit (ONPCSB) </w:t>
            </w:r>
          </w:p>
        </w:tc>
        <w:tc>
          <w:tcPr>
            <w:tcW w:w="2628" w:type="pct"/>
          </w:tcPr>
          <w:p w14:paraId="700DEB36" w14:textId="77777777" w:rsidR="00205FD8" w:rsidRPr="00461303" w:rsidRDefault="00205FD8" w:rsidP="00461303">
            <w:pPr>
              <w:pStyle w:val="ListBullet"/>
              <w:numPr>
                <w:ilvl w:val="0"/>
                <w:numId w:val="0"/>
              </w:numPr>
              <w:spacing w:beforeLines="60" w:before="144" w:afterLines="60" w:after="144"/>
              <w:ind w:left="93"/>
              <w:rPr>
                <w:sz w:val="20"/>
                <w:szCs w:val="20"/>
              </w:rPr>
            </w:pPr>
            <w:r w:rsidRPr="00461303">
              <w:rPr>
                <w:sz w:val="20"/>
                <w:szCs w:val="20"/>
              </w:rPr>
              <w:t>Implemented. The number of staff at the FIU has increased from 15 (2009) to 107.</w:t>
            </w:r>
          </w:p>
        </w:tc>
      </w:tr>
      <w:tr w:rsidR="006B5EB6" w:rsidRPr="000130F4" w14:paraId="2D5FD1F7" w14:textId="77777777" w:rsidTr="006B5EB6">
        <w:tc>
          <w:tcPr>
            <w:tcW w:w="5000" w:type="pct"/>
            <w:gridSpan w:val="2"/>
          </w:tcPr>
          <w:p w14:paraId="27958018" w14:textId="77777777" w:rsidR="006B5EB6" w:rsidRPr="00461303" w:rsidRDefault="006B5EB6" w:rsidP="00461303">
            <w:pPr>
              <w:widowControl w:val="0"/>
              <w:spacing w:beforeLines="60" w:before="144" w:afterLines="60" w:after="144" w:line="240" w:lineRule="auto"/>
              <w:ind w:left="72" w:right="144"/>
              <w:rPr>
                <w:b/>
                <w:spacing w:val="-1"/>
                <w:sz w:val="20"/>
                <w:szCs w:val="20"/>
              </w:rPr>
            </w:pPr>
            <w:r w:rsidRPr="00461303">
              <w:rPr>
                <w:b/>
                <w:spacing w:val="-1"/>
                <w:sz w:val="20"/>
                <w:szCs w:val="20"/>
              </w:rPr>
              <w:lastRenderedPageBreak/>
              <w:t>Banking Sector</w:t>
            </w:r>
          </w:p>
        </w:tc>
      </w:tr>
      <w:tr w:rsidR="006B5EB6" w:rsidRPr="000130F4" w14:paraId="7BBED716" w14:textId="77777777" w:rsidTr="00205FD8">
        <w:tc>
          <w:tcPr>
            <w:tcW w:w="2372" w:type="pct"/>
          </w:tcPr>
          <w:p w14:paraId="5006C1E1" w14:textId="77777777" w:rsidR="006B5EB6" w:rsidRPr="00461303" w:rsidRDefault="006B5EB6" w:rsidP="00461303">
            <w:pPr>
              <w:pStyle w:val="ListBullet"/>
              <w:numPr>
                <w:ilvl w:val="0"/>
                <w:numId w:val="0"/>
              </w:numPr>
              <w:spacing w:beforeLines="60" w:before="144" w:afterLines="60" w:after="144"/>
              <w:ind w:left="93"/>
              <w:rPr>
                <w:rFonts w:cs="Segoe UI"/>
                <w:sz w:val="20"/>
                <w:szCs w:val="20"/>
              </w:rPr>
            </w:pPr>
            <w:r w:rsidRPr="00461303">
              <w:rPr>
                <w:rFonts w:cs="Segoe UI"/>
                <w:sz w:val="20"/>
                <w:szCs w:val="20"/>
              </w:rPr>
              <w:t xml:space="preserve">Strengthen (i) judicial, accounting and auditing standards; and (ii) </w:t>
            </w:r>
            <w:r w:rsidRPr="00461303">
              <w:rPr>
                <w:sz w:val="20"/>
                <w:szCs w:val="20"/>
              </w:rPr>
              <w:t>communication</w:t>
            </w:r>
            <w:r w:rsidRPr="00461303">
              <w:rPr>
                <w:rFonts w:cs="Segoe UI"/>
                <w:sz w:val="20"/>
                <w:szCs w:val="20"/>
              </w:rPr>
              <w:t xml:space="preserve"> and consultation between NBR and regulated entities.</w:t>
            </w:r>
          </w:p>
          <w:p w14:paraId="2E48A3B7" w14:textId="77777777" w:rsidR="006B5EB6" w:rsidRPr="00461303" w:rsidRDefault="006B5EB6" w:rsidP="00461303">
            <w:pPr>
              <w:pStyle w:val="ListBullet"/>
              <w:numPr>
                <w:ilvl w:val="0"/>
                <w:numId w:val="0"/>
              </w:numPr>
              <w:spacing w:beforeLines="60" w:before="144" w:afterLines="60" w:after="144"/>
              <w:ind w:left="93"/>
              <w:rPr>
                <w:sz w:val="20"/>
                <w:szCs w:val="20"/>
              </w:rPr>
            </w:pPr>
          </w:p>
        </w:tc>
        <w:tc>
          <w:tcPr>
            <w:tcW w:w="2628" w:type="pct"/>
          </w:tcPr>
          <w:p w14:paraId="33BD6831" w14:textId="77777777" w:rsidR="006B5EB6" w:rsidRPr="00461303" w:rsidRDefault="006B5EB6" w:rsidP="00461303">
            <w:pPr>
              <w:widowControl w:val="0"/>
              <w:spacing w:beforeLines="60" w:before="144" w:afterLines="60" w:after="144" w:line="240" w:lineRule="auto"/>
              <w:ind w:left="72" w:right="144"/>
              <w:rPr>
                <w:rFonts w:cs="Segoe UI"/>
                <w:sz w:val="20"/>
                <w:szCs w:val="20"/>
                <w:lang w:val="en"/>
              </w:rPr>
            </w:pPr>
            <w:r w:rsidRPr="00461303">
              <w:rPr>
                <w:rFonts w:cs="Segoe UI"/>
                <w:sz w:val="20"/>
                <w:szCs w:val="20"/>
              </w:rPr>
              <w:t xml:space="preserve">(i) Implemented. </w:t>
            </w:r>
            <w:r w:rsidRPr="00461303">
              <w:rPr>
                <w:rFonts w:cs="Segoe UI"/>
                <w:sz w:val="20"/>
                <w:szCs w:val="20"/>
                <w:lang w:val="en"/>
              </w:rPr>
              <w:t xml:space="preserve">Banks have been required to prepare their financial statements in accordance with IFRS since 2012. Law 162/2017 on the statutory audit transposes the 2014 EU directive (2014/56) that that sets out the framework for all statutory audits, strengthens public oversight of the audit profession and improves cooperation between competent authorities in the EU. Law 162/2017 creates a public oversight body for the audit profession in Romania. </w:t>
            </w:r>
          </w:p>
          <w:p w14:paraId="0452E8EF" w14:textId="77777777" w:rsidR="006B5EB6" w:rsidRPr="00461303" w:rsidRDefault="006B5EB6" w:rsidP="00461303">
            <w:pPr>
              <w:widowControl w:val="0"/>
              <w:spacing w:beforeLines="60" w:before="144" w:afterLines="60" w:after="144" w:line="240" w:lineRule="auto"/>
              <w:ind w:left="72" w:right="144"/>
              <w:rPr>
                <w:spacing w:val="-1"/>
                <w:sz w:val="20"/>
                <w:szCs w:val="20"/>
              </w:rPr>
            </w:pPr>
            <w:r w:rsidRPr="00461303">
              <w:rPr>
                <w:rFonts w:cs="Segoe UI"/>
                <w:sz w:val="20"/>
                <w:szCs w:val="20"/>
              </w:rPr>
              <w:t xml:space="preserve">(ii) Implemented. </w:t>
            </w:r>
            <w:r w:rsidRPr="00461303">
              <w:rPr>
                <w:rFonts w:cs="Segoe UI"/>
                <w:sz w:val="20"/>
                <w:szCs w:val="20"/>
                <w:lang w:val="en"/>
              </w:rPr>
              <w:t>NBR meets on a regular basis with regulated entities, including banks and their external auditors both at individual and industry levels for more communication and consultation (e.g., NBR meets quarterly with all external auditors).</w:t>
            </w:r>
          </w:p>
        </w:tc>
      </w:tr>
      <w:tr w:rsidR="006B5EB6" w:rsidRPr="000130F4" w14:paraId="51865EBC" w14:textId="77777777" w:rsidTr="006B5EB6">
        <w:tc>
          <w:tcPr>
            <w:tcW w:w="5000" w:type="pct"/>
            <w:gridSpan w:val="2"/>
          </w:tcPr>
          <w:p w14:paraId="634E6505" w14:textId="77777777" w:rsidR="006B5EB6" w:rsidRPr="00461303" w:rsidRDefault="006B5EB6" w:rsidP="00461303">
            <w:pPr>
              <w:widowControl w:val="0"/>
              <w:spacing w:beforeLines="60" w:before="144" w:afterLines="60" w:after="144" w:line="240" w:lineRule="auto"/>
              <w:ind w:left="101"/>
              <w:rPr>
                <w:b/>
                <w:spacing w:val="-1"/>
                <w:sz w:val="20"/>
                <w:szCs w:val="20"/>
              </w:rPr>
            </w:pPr>
            <w:r w:rsidRPr="00461303">
              <w:rPr>
                <w:b/>
                <w:spacing w:val="-1"/>
                <w:sz w:val="20"/>
                <w:szCs w:val="20"/>
              </w:rPr>
              <w:t>Securities and Capital Markets</w:t>
            </w:r>
          </w:p>
        </w:tc>
      </w:tr>
      <w:tr w:rsidR="006B5EB6" w:rsidRPr="000130F4" w14:paraId="347BE739" w14:textId="77777777" w:rsidTr="00205FD8">
        <w:tc>
          <w:tcPr>
            <w:tcW w:w="2372" w:type="pct"/>
          </w:tcPr>
          <w:p w14:paraId="2AED3E0C" w14:textId="77777777" w:rsidR="006B5EB6" w:rsidRPr="00461303" w:rsidRDefault="006B5EB6" w:rsidP="00461303">
            <w:pPr>
              <w:pStyle w:val="ListBullet"/>
              <w:numPr>
                <w:ilvl w:val="0"/>
                <w:numId w:val="0"/>
              </w:numPr>
              <w:spacing w:beforeLines="60" w:before="144" w:afterLines="60" w:after="144"/>
              <w:ind w:left="93"/>
              <w:rPr>
                <w:rFonts w:cs="Segoe UI"/>
                <w:sz w:val="20"/>
                <w:szCs w:val="20"/>
              </w:rPr>
            </w:pPr>
            <w:r w:rsidRPr="00461303">
              <w:rPr>
                <w:rFonts w:cs="Segoe UI"/>
                <w:sz w:val="20"/>
                <w:szCs w:val="20"/>
              </w:rPr>
              <w:t>Concentrate primary issuance of government bonds on one or two maturity points until liquidity is enhanced.</w:t>
            </w:r>
          </w:p>
        </w:tc>
        <w:tc>
          <w:tcPr>
            <w:tcW w:w="2628" w:type="pct"/>
          </w:tcPr>
          <w:p w14:paraId="6A720D7A" w14:textId="77777777" w:rsidR="006B5EB6" w:rsidRPr="00461303" w:rsidRDefault="006B5EB6" w:rsidP="00461303">
            <w:pPr>
              <w:widowControl w:val="0"/>
              <w:spacing w:beforeLines="60" w:before="144" w:afterLines="60" w:after="144" w:line="240" w:lineRule="auto"/>
              <w:ind w:left="102" w:right="101"/>
              <w:rPr>
                <w:sz w:val="20"/>
                <w:szCs w:val="20"/>
              </w:rPr>
            </w:pPr>
            <w:r w:rsidRPr="00461303">
              <w:rPr>
                <w:sz w:val="20"/>
                <w:szCs w:val="20"/>
              </w:rPr>
              <w:t>Issuance concentrated in benchmark securities (3 ,5, 7, 10, 15 years), liquidity has increased post crisis and due to government bond market development efforts.</w:t>
            </w:r>
          </w:p>
        </w:tc>
      </w:tr>
      <w:tr w:rsidR="006B5EB6" w:rsidRPr="000130F4" w14:paraId="4199FC0C" w14:textId="77777777" w:rsidTr="00205FD8">
        <w:tc>
          <w:tcPr>
            <w:tcW w:w="2372" w:type="pct"/>
          </w:tcPr>
          <w:p w14:paraId="106250C0" w14:textId="77777777" w:rsidR="006B5EB6" w:rsidRPr="00461303" w:rsidRDefault="006B5EB6" w:rsidP="00461303">
            <w:pPr>
              <w:pStyle w:val="ListBullet"/>
              <w:numPr>
                <w:ilvl w:val="0"/>
                <w:numId w:val="0"/>
              </w:numPr>
              <w:spacing w:beforeLines="60" w:before="144" w:afterLines="60" w:after="144"/>
              <w:ind w:left="93"/>
              <w:rPr>
                <w:rFonts w:cs="Segoe UI"/>
                <w:sz w:val="20"/>
                <w:szCs w:val="20"/>
              </w:rPr>
            </w:pPr>
            <w:r w:rsidRPr="00461303">
              <w:rPr>
                <w:rFonts w:cs="Segoe UI"/>
                <w:sz w:val="20"/>
                <w:szCs w:val="20"/>
              </w:rPr>
              <w:t>Revise contracts of primary dealers and establish a primary dealer rotation policy to provide incentives for market making.</w:t>
            </w:r>
          </w:p>
        </w:tc>
        <w:tc>
          <w:tcPr>
            <w:tcW w:w="2628" w:type="pct"/>
          </w:tcPr>
          <w:p w14:paraId="26C07D77" w14:textId="77777777" w:rsidR="006B5EB6" w:rsidRPr="00461303" w:rsidRDefault="006B5EB6" w:rsidP="00461303">
            <w:pPr>
              <w:widowControl w:val="0"/>
              <w:spacing w:beforeLines="60" w:before="144" w:afterLines="60" w:after="144" w:line="240" w:lineRule="auto"/>
              <w:ind w:left="102" w:right="101"/>
              <w:rPr>
                <w:sz w:val="20"/>
                <w:szCs w:val="20"/>
              </w:rPr>
            </w:pPr>
            <w:r w:rsidRPr="00461303">
              <w:rPr>
                <w:sz w:val="20"/>
                <w:szCs w:val="20"/>
              </w:rPr>
              <w:t>Implemented. The new legal framework governing primary dealer activity on domestic market, in force starting January 2017, including incentives.</w:t>
            </w:r>
          </w:p>
        </w:tc>
      </w:tr>
      <w:tr w:rsidR="006B5EB6" w:rsidRPr="000130F4" w14:paraId="3B168F64" w14:textId="77777777" w:rsidTr="00205FD8">
        <w:tc>
          <w:tcPr>
            <w:tcW w:w="2372" w:type="pct"/>
          </w:tcPr>
          <w:p w14:paraId="4B672C94" w14:textId="77777777" w:rsidR="006B5EB6" w:rsidRPr="00461303" w:rsidRDefault="006B5EB6" w:rsidP="00461303">
            <w:pPr>
              <w:pStyle w:val="ListBullet"/>
              <w:numPr>
                <w:ilvl w:val="0"/>
                <w:numId w:val="0"/>
              </w:numPr>
              <w:spacing w:beforeLines="60" w:before="144" w:afterLines="60" w:after="144"/>
              <w:ind w:left="93"/>
              <w:rPr>
                <w:rFonts w:cs="Segoe UI"/>
                <w:sz w:val="20"/>
                <w:szCs w:val="20"/>
              </w:rPr>
            </w:pPr>
            <w:r w:rsidRPr="00461303">
              <w:rPr>
                <w:rFonts w:cs="Segoe UI"/>
                <w:sz w:val="20"/>
                <w:szCs w:val="20"/>
              </w:rPr>
              <w:t>Amend the Law of Capital Markets to remove the limit on voting rights in regulated market operators.</w:t>
            </w:r>
          </w:p>
          <w:p w14:paraId="502609E6" w14:textId="77777777" w:rsidR="006B5EB6" w:rsidRPr="00461303" w:rsidRDefault="006B5EB6" w:rsidP="00461303">
            <w:pPr>
              <w:pStyle w:val="ListBullet"/>
              <w:numPr>
                <w:ilvl w:val="0"/>
                <w:numId w:val="0"/>
              </w:numPr>
              <w:spacing w:beforeLines="60" w:before="144" w:afterLines="60" w:after="144"/>
              <w:ind w:left="93"/>
              <w:rPr>
                <w:rFonts w:cs="Segoe UI"/>
                <w:sz w:val="20"/>
                <w:szCs w:val="20"/>
              </w:rPr>
            </w:pPr>
          </w:p>
        </w:tc>
        <w:tc>
          <w:tcPr>
            <w:tcW w:w="2628" w:type="pct"/>
          </w:tcPr>
          <w:p w14:paraId="5E56981E" w14:textId="77777777" w:rsidR="006B5EB6" w:rsidRPr="00461303" w:rsidRDefault="006B5EB6" w:rsidP="00461303">
            <w:pPr>
              <w:widowControl w:val="0"/>
              <w:spacing w:beforeLines="60" w:before="144" w:afterLines="60" w:after="144" w:line="240" w:lineRule="auto"/>
              <w:ind w:left="102" w:right="101"/>
              <w:rPr>
                <w:sz w:val="20"/>
                <w:szCs w:val="20"/>
              </w:rPr>
            </w:pPr>
            <w:r w:rsidRPr="00461303">
              <w:rPr>
                <w:sz w:val="20"/>
                <w:szCs w:val="20"/>
              </w:rPr>
              <w:t>Expected to be implemented. The draft law amending Law on Capital Markets and ensuring transposition of MIFID II is not including provisions on limitations of holdings in regulated market operators.</w:t>
            </w:r>
          </w:p>
        </w:tc>
      </w:tr>
      <w:tr w:rsidR="006B5EB6" w:rsidRPr="000130F4" w14:paraId="5077483C" w14:textId="77777777" w:rsidTr="006B5EB6">
        <w:tc>
          <w:tcPr>
            <w:tcW w:w="5000" w:type="pct"/>
            <w:gridSpan w:val="2"/>
          </w:tcPr>
          <w:p w14:paraId="6B87B6A8" w14:textId="77777777" w:rsidR="006B5EB6" w:rsidRPr="00461303" w:rsidRDefault="006B5EB6" w:rsidP="00461303">
            <w:pPr>
              <w:widowControl w:val="0"/>
              <w:spacing w:beforeLines="60" w:before="144" w:afterLines="60" w:after="144" w:line="240" w:lineRule="auto"/>
              <w:ind w:left="101" w:right="101"/>
              <w:jc w:val="both"/>
              <w:rPr>
                <w:b/>
                <w:spacing w:val="-1"/>
                <w:sz w:val="20"/>
                <w:szCs w:val="20"/>
              </w:rPr>
            </w:pPr>
            <w:r w:rsidRPr="00461303">
              <w:rPr>
                <w:b/>
                <w:spacing w:val="-1"/>
                <w:sz w:val="20"/>
                <w:szCs w:val="20"/>
              </w:rPr>
              <w:t>Insurance and Pension Sectors</w:t>
            </w:r>
          </w:p>
        </w:tc>
      </w:tr>
      <w:tr w:rsidR="006B5EB6" w:rsidRPr="000130F4" w14:paraId="5816758D" w14:textId="77777777" w:rsidTr="00205FD8">
        <w:tc>
          <w:tcPr>
            <w:tcW w:w="2372" w:type="pct"/>
          </w:tcPr>
          <w:p w14:paraId="0B1B13B8" w14:textId="77777777" w:rsidR="006B5EB6" w:rsidRPr="00461303" w:rsidRDefault="006B5EB6" w:rsidP="00461303">
            <w:pPr>
              <w:pStyle w:val="ListBullet"/>
              <w:numPr>
                <w:ilvl w:val="0"/>
                <w:numId w:val="0"/>
              </w:numPr>
              <w:spacing w:beforeLines="60" w:before="144" w:afterLines="60" w:after="144"/>
              <w:ind w:left="93"/>
              <w:rPr>
                <w:rFonts w:cs="Segoe UI"/>
                <w:sz w:val="20"/>
                <w:szCs w:val="20"/>
              </w:rPr>
            </w:pPr>
            <w:r w:rsidRPr="00461303">
              <w:rPr>
                <w:rFonts w:cs="Segoe UI"/>
                <w:sz w:val="20"/>
                <w:szCs w:val="20"/>
              </w:rPr>
              <w:t>Review law on obligatory house insurance.</w:t>
            </w:r>
          </w:p>
        </w:tc>
        <w:tc>
          <w:tcPr>
            <w:tcW w:w="2628" w:type="pct"/>
          </w:tcPr>
          <w:p w14:paraId="28D03F3B" w14:textId="77777777" w:rsidR="006B5EB6" w:rsidRPr="00461303" w:rsidRDefault="006B5EB6" w:rsidP="00461303">
            <w:pPr>
              <w:widowControl w:val="0"/>
              <w:spacing w:beforeLines="60" w:before="144" w:afterLines="60" w:after="144" w:line="240" w:lineRule="auto"/>
              <w:ind w:left="101" w:right="101"/>
              <w:rPr>
                <w:rFonts w:cs="Segoe UI"/>
                <w:sz w:val="20"/>
                <w:szCs w:val="20"/>
              </w:rPr>
            </w:pPr>
            <w:r w:rsidRPr="00461303">
              <w:rPr>
                <w:rFonts w:cs="Segoe UI"/>
                <w:sz w:val="20"/>
                <w:szCs w:val="20"/>
              </w:rPr>
              <w:t xml:space="preserve">Partly </w:t>
            </w:r>
            <w:r w:rsidRPr="00461303">
              <w:rPr>
                <w:sz w:val="20"/>
                <w:szCs w:val="20"/>
              </w:rPr>
              <w:t>implemented</w:t>
            </w:r>
            <w:r w:rsidRPr="00461303">
              <w:rPr>
                <w:rFonts w:cs="Segoe UI"/>
                <w:sz w:val="20"/>
                <w:szCs w:val="20"/>
              </w:rPr>
              <w:t>. As the program continues to mature, a stable well diversified reinsurance program tailored to cover a 1-in-150-year event confirms that premium is considered appropriate by international markets. Premium has vastly exceeded claims in recent years and the retained profits strengthen the company’s resilience. Penetration, however, is stagnant, driven more by lax enforcement and low access to housing finance than by adverse selection. A change to the law is being discussed to better enforce compliance. It is unclear by when there will be a decision and what the impact will be.</w:t>
            </w:r>
          </w:p>
        </w:tc>
      </w:tr>
      <w:tr w:rsidR="006B5EB6" w:rsidRPr="000130F4" w14:paraId="3E95786E" w14:textId="77777777" w:rsidTr="00205FD8">
        <w:tc>
          <w:tcPr>
            <w:tcW w:w="2372" w:type="pct"/>
          </w:tcPr>
          <w:p w14:paraId="70A8881F" w14:textId="77777777" w:rsidR="006B5EB6" w:rsidRPr="00461303" w:rsidRDefault="006B5EB6" w:rsidP="00461303">
            <w:pPr>
              <w:pStyle w:val="ListBullet"/>
              <w:numPr>
                <w:ilvl w:val="0"/>
                <w:numId w:val="0"/>
              </w:numPr>
              <w:spacing w:beforeLines="60" w:before="144" w:afterLines="60" w:after="144"/>
              <w:ind w:left="93"/>
              <w:rPr>
                <w:rFonts w:cs="Segoe UI"/>
                <w:sz w:val="20"/>
                <w:szCs w:val="20"/>
              </w:rPr>
            </w:pPr>
            <w:r w:rsidRPr="00461303">
              <w:rPr>
                <w:rFonts w:cs="Segoe UI"/>
                <w:sz w:val="20"/>
                <w:szCs w:val="20"/>
              </w:rPr>
              <w:t>Clarify interpretation of minimum contribution guarantee and weighted average return guarantee.</w:t>
            </w:r>
          </w:p>
        </w:tc>
        <w:tc>
          <w:tcPr>
            <w:tcW w:w="2628" w:type="pct"/>
          </w:tcPr>
          <w:p w14:paraId="0C7B0EAB" w14:textId="77777777" w:rsidR="006B5EB6" w:rsidRPr="00461303" w:rsidRDefault="006B5EB6" w:rsidP="00461303">
            <w:pPr>
              <w:widowControl w:val="0"/>
              <w:spacing w:beforeLines="60" w:before="144" w:afterLines="60" w:after="144" w:line="240" w:lineRule="auto"/>
              <w:ind w:left="101" w:right="101"/>
              <w:rPr>
                <w:sz w:val="20"/>
                <w:szCs w:val="20"/>
              </w:rPr>
            </w:pPr>
            <w:r w:rsidRPr="00461303">
              <w:rPr>
                <w:sz w:val="20"/>
                <w:szCs w:val="20"/>
              </w:rPr>
              <w:t xml:space="preserve">Implemented </w:t>
            </w:r>
          </w:p>
          <w:p w14:paraId="67EE5DE8" w14:textId="77777777" w:rsidR="006B5EB6" w:rsidRPr="00461303" w:rsidRDefault="006B5EB6" w:rsidP="00461303">
            <w:pPr>
              <w:widowControl w:val="0"/>
              <w:spacing w:beforeLines="60" w:before="144" w:afterLines="60" w:after="144" w:line="240" w:lineRule="auto"/>
              <w:ind w:left="101" w:right="101"/>
              <w:rPr>
                <w:rFonts w:cs="Segoe UI"/>
                <w:sz w:val="20"/>
                <w:szCs w:val="20"/>
              </w:rPr>
            </w:pPr>
            <w:r w:rsidRPr="00461303">
              <w:rPr>
                <w:sz w:val="20"/>
                <w:szCs w:val="20"/>
              </w:rPr>
              <w:t>(Norm No. 13/2012 regarding the actuarial calculation of the technical provision for privately managed pension funds, Norm No. 10/2009 regarding rates of return of voluntary pension funds and Norm No. 7/2010 regarding rates of return of privately managed pension funds).</w:t>
            </w:r>
          </w:p>
        </w:tc>
      </w:tr>
      <w:tr w:rsidR="006B5EB6" w:rsidRPr="000130F4" w14:paraId="2B4D4E3F" w14:textId="77777777" w:rsidTr="00205FD8">
        <w:tc>
          <w:tcPr>
            <w:tcW w:w="2372" w:type="pct"/>
          </w:tcPr>
          <w:p w14:paraId="0739E410" w14:textId="77777777" w:rsidR="006B5EB6" w:rsidRPr="00461303" w:rsidRDefault="006B5EB6" w:rsidP="00461303">
            <w:pPr>
              <w:pStyle w:val="ListBullet"/>
              <w:numPr>
                <w:ilvl w:val="0"/>
                <w:numId w:val="0"/>
              </w:numPr>
              <w:spacing w:beforeLines="60" w:before="144" w:afterLines="60" w:after="144"/>
              <w:ind w:left="93"/>
              <w:rPr>
                <w:rFonts w:cs="Segoe UI"/>
                <w:sz w:val="20"/>
                <w:szCs w:val="20"/>
              </w:rPr>
            </w:pPr>
            <w:r w:rsidRPr="00461303">
              <w:rPr>
                <w:rFonts w:cs="Segoe UI"/>
                <w:sz w:val="20"/>
                <w:szCs w:val="20"/>
              </w:rPr>
              <w:lastRenderedPageBreak/>
              <w:t>Revise investment management fees.</w:t>
            </w:r>
          </w:p>
        </w:tc>
        <w:tc>
          <w:tcPr>
            <w:tcW w:w="2628" w:type="pct"/>
          </w:tcPr>
          <w:p w14:paraId="52EEF3F5" w14:textId="77777777" w:rsidR="006B5EB6" w:rsidRPr="00461303" w:rsidRDefault="006B5EB6" w:rsidP="00461303">
            <w:pPr>
              <w:widowControl w:val="0"/>
              <w:spacing w:beforeLines="60" w:before="144" w:afterLines="60" w:after="144" w:line="240" w:lineRule="auto"/>
              <w:ind w:left="101" w:right="101"/>
              <w:rPr>
                <w:sz w:val="20"/>
                <w:szCs w:val="20"/>
              </w:rPr>
            </w:pPr>
            <w:r w:rsidRPr="00461303">
              <w:rPr>
                <w:sz w:val="20"/>
                <w:szCs w:val="20"/>
              </w:rPr>
              <w:t xml:space="preserve">Not implemented </w:t>
            </w:r>
          </w:p>
          <w:p w14:paraId="3411D60C" w14:textId="77777777" w:rsidR="006B5EB6" w:rsidRPr="00461303" w:rsidRDefault="006B5EB6" w:rsidP="00461303">
            <w:pPr>
              <w:widowControl w:val="0"/>
              <w:spacing w:beforeLines="60" w:before="144" w:afterLines="60" w:after="144" w:line="240" w:lineRule="auto"/>
              <w:ind w:left="101" w:right="101"/>
              <w:rPr>
                <w:rFonts w:cs="Segoe UI"/>
                <w:sz w:val="20"/>
                <w:szCs w:val="20"/>
              </w:rPr>
            </w:pPr>
            <w:r w:rsidRPr="00461303">
              <w:rPr>
                <w:sz w:val="20"/>
                <w:szCs w:val="20"/>
              </w:rPr>
              <w:t>(Law No. 411/2004 regarding privately managed pension funds and Law No. 204/2006 regarding voluntary pension funds clearly provide the levels and the conditions).</w:t>
            </w:r>
          </w:p>
        </w:tc>
      </w:tr>
      <w:tr w:rsidR="006B5EB6" w:rsidRPr="000130F4" w14:paraId="7A36AFA2" w14:textId="77777777" w:rsidTr="00205FD8">
        <w:tc>
          <w:tcPr>
            <w:tcW w:w="2372" w:type="pct"/>
          </w:tcPr>
          <w:p w14:paraId="4FBF9017" w14:textId="77777777" w:rsidR="006B5EB6" w:rsidRPr="00461303" w:rsidRDefault="006B5EB6" w:rsidP="00461303">
            <w:pPr>
              <w:pStyle w:val="ListBullet"/>
              <w:numPr>
                <w:ilvl w:val="0"/>
                <w:numId w:val="0"/>
              </w:numPr>
              <w:spacing w:beforeLines="60" w:before="144" w:afterLines="60" w:after="144"/>
              <w:ind w:left="93"/>
              <w:rPr>
                <w:rFonts w:cs="Segoe UI"/>
                <w:sz w:val="20"/>
                <w:szCs w:val="20"/>
              </w:rPr>
            </w:pPr>
            <w:r w:rsidRPr="00461303">
              <w:rPr>
                <w:rFonts w:cs="Segoe UI"/>
                <w:sz w:val="20"/>
                <w:szCs w:val="20"/>
              </w:rPr>
              <w:t>Establish unique valuation methodology and responsibility.</w:t>
            </w:r>
          </w:p>
          <w:p w14:paraId="0307ADF5" w14:textId="77777777" w:rsidR="006B5EB6" w:rsidRPr="00461303" w:rsidRDefault="006B5EB6" w:rsidP="00461303">
            <w:pPr>
              <w:pStyle w:val="ListBullet"/>
              <w:numPr>
                <w:ilvl w:val="0"/>
                <w:numId w:val="0"/>
              </w:numPr>
              <w:spacing w:beforeLines="60" w:before="144" w:afterLines="60" w:after="144"/>
              <w:ind w:left="93"/>
              <w:rPr>
                <w:rFonts w:cs="Segoe UI"/>
                <w:sz w:val="20"/>
                <w:szCs w:val="20"/>
              </w:rPr>
            </w:pPr>
          </w:p>
        </w:tc>
        <w:tc>
          <w:tcPr>
            <w:tcW w:w="2628" w:type="pct"/>
          </w:tcPr>
          <w:p w14:paraId="58A93D2F" w14:textId="77777777" w:rsidR="006B5EB6" w:rsidRPr="00461303" w:rsidRDefault="006B5EB6" w:rsidP="00461303">
            <w:pPr>
              <w:pStyle w:val="ListBullet"/>
              <w:numPr>
                <w:ilvl w:val="0"/>
                <w:numId w:val="0"/>
              </w:numPr>
              <w:spacing w:beforeLines="60" w:before="144" w:afterLines="60" w:after="144"/>
              <w:ind w:left="93"/>
              <w:rPr>
                <w:rFonts w:cs="Segoe UI"/>
                <w:sz w:val="20"/>
                <w:szCs w:val="20"/>
              </w:rPr>
            </w:pPr>
            <w:r w:rsidRPr="00461303">
              <w:rPr>
                <w:rFonts w:cs="Segoe UI"/>
                <w:sz w:val="20"/>
                <w:szCs w:val="20"/>
              </w:rPr>
              <w:t xml:space="preserve">Implemented </w:t>
            </w:r>
          </w:p>
          <w:p w14:paraId="6F9D2238" w14:textId="77777777" w:rsidR="006B5EB6" w:rsidRPr="00461303" w:rsidRDefault="006B5EB6" w:rsidP="00461303">
            <w:pPr>
              <w:pStyle w:val="ListBullet"/>
              <w:numPr>
                <w:ilvl w:val="0"/>
                <w:numId w:val="0"/>
              </w:numPr>
              <w:spacing w:beforeLines="60" w:before="144" w:afterLines="60" w:after="144"/>
              <w:ind w:left="93"/>
              <w:rPr>
                <w:rFonts w:cs="Segoe UI"/>
                <w:sz w:val="20"/>
                <w:szCs w:val="20"/>
              </w:rPr>
            </w:pPr>
            <w:r w:rsidRPr="00461303">
              <w:rPr>
                <w:rFonts w:cs="Segoe UI"/>
                <w:sz w:val="20"/>
                <w:szCs w:val="20"/>
              </w:rPr>
              <w:t>(Norm No. 11/2011 regarding investment and valuation of private pension funds’ assets).</w:t>
            </w:r>
          </w:p>
        </w:tc>
      </w:tr>
    </w:tbl>
    <w:p w14:paraId="633534A0" w14:textId="77777777" w:rsidR="00291E53" w:rsidRPr="000130F4" w:rsidRDefault="00291E53" w:rsidP="0065669A">
      <w:pPr>
        <w:framePr w:w="5628" w:wrap="auto" w:hAnchor="text"/>
        <w:sectPr w:rsidR="00291E53" w:rsidRPr="000130F4" w:rsidSect="00461303">
          <w:headerReference w:type="default" r:id="rId28"/>
          <w:headerReference w:type="first" r:id="rId29"/>
          <w:footerReference w:type="first" r:id="rId30"/>
          <w:pgSz w:w="12240" w:h="15840" w:code="1"/>
          <w:pgMar w:top="1440" w:right="1469" w:bottom="1260" w:left="1469" w:header="720" w:footer="720" w:gutter="0"/>
          <w:pgNumType w:start="1"/>
          <w:cols w:space="720"/>
          <w:docGrid w:linePitch="360"/>
        </w:sectPr>
      </w:pPr>
    </w:p>
    <w:p w14:paraId="0B30DBDC" w14:textId="77777777" w:rsidR="00D0538E" w:rsidRDefault="00D0538E" w:rsidP="00461303"/>
    <w:sectPr w:rsidR="00D0538E">
      <w:headerReference w:type="even" r:id="rId31"/>
      <w:headerReference w:type="default" r:id="rId32"/>
      <w:headerReference w:type="first" r:id="rId33"/>
      <w:pgSz w:w="12240" w:h="15840" w:code="1"/>
      <w:pgMar w:top="1800" w:right="1440" w:bottom="126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F51D4C" w14:textId="77777777" w:rsidR="009142E2" w:rsidRDefault="009142E2" w:rsidP="002A4181">
      <w:pPr>
        <w:spacing w:line="240" w:lineRule="auto"/>
      </w:pPr>
      <w:r>
        <w:separator/>
      </w:r>
    </w:p>
  </w:endnote>
  <w:endnote w:type="continuationSeparator" w:id="0">
    <w:p w14:paraId="5E141DC6" w14:textId="77777777" w:rsidR="009142E2" w:rsidRDefault="009142E2" w:rsidP="002A4181">
      <w:pPr>
        <w:spacing w:line="240" w:lineRule="auto"/>
      </w:pPr>
      <w:r>
        <w:continuationSeparator/>
      </w:r>
    </w:p>
  </w:endnote>
  <w:endnote w:type="continuationNotice" w:id="1">
    <w:p w14:paraId="3BEE4A79" w14:textId="77777777" w:rsidR="009142E2" w:rsidRDefault="009142E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Bold">
    <w:altName w:val="Times New Roman"/>
    <w:panose1 w:val="02020803070505020304"/>
    <w:charset w:val="00"/>
    <w:family w:val="roman"/>
    <w:notTrueType/>
    <w:pitch w:val="default"/>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6C1EBC" w14:textId="77777777" w:rsidR="009142E2" w:rsidRDefault="009142E2" w:rsidP="001C79E0">
    <w:pPr>
      <w:pStyle w:val="Footer"/>
      <w:tabs>
        <w:tab w:val="right" w:pos="9000"/>
      </w:tabs>
      <w:ind w:left="1440" w:firstLine="4320"/>
    </w:pPr>
    <w:r>
      <w:rPr>
        <w:noProof/>
      </w:rPr>
      <mc:AlternateContent>
        <mc:Choice Requires="wps">
          <w:drawing>
            <wp:anchor distT="0" distB="0" distL="114300" distR="114300" simplePos="0" relativeHeight="251660288" behindDoc="0" locked="0" layoutInCell="1" allowOverlap="1" wp14:anchorId="47697B79" wp14:editId="5AAB2B99">
              <wp:simplePos x="0" y="0"/>
              <wp:positionH relativeFrom="column">
                <wp:posOffset>5410200</wp:posOffset>
              </wp:positionH>
              <wp:positionV relativeFrom="paragraph">
                <wp:posOffset>-16510</wp:posOffset>
              </wp:positionV>
              <wp:extent cx="295275" cy="180975"/>
              <wp:effectExtent l="0" t="0" r="9525" b="9525"/>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180975"/>
                      </a:xfrm>
                      <a:prstGeom prst="rect">
                        <a:avLst/>
                      </a:prstGeom>
                      <a:gradFill rotWithShape="0">
                        <a:gsLst>
                          <a:gs pos="0">
                            <a:sysClr val="windowText" lastClr="000000">
                              <a:lumMod val="60000"/>
                              <a:lumOff val="40000"/>
                            </a:sysClr>
                          </a:gs>
                          <a:gs pos="50000">
                            <a:sysClr val="windowText" lastClr="000000">
                              <a:lumMod val="20000"/>
                              <a:lumOff val="80000"/>
                            </a:sysClr>
                          </a:gs>
                          <a:gs pos="100000">
                            <a:sysClr val="windowText" lastClr="000000">
                              <a:lumMod val="60000"/>
                              <a:lumOff val="40000"/>
                            </a:sysClr>
                          </a:gs>
                        </a:gsLst>
                        <a:lin ang="18900000" scaled="1"/>
                      </a:gradFill>
                      <a:ln w="12700">
                        <a:solidFill>
                          <a:sysClr val="windowText" lastClr="000000">
                            <a:lumMod val="60000"/>
                            <a:lumOff val="40000"/>
                          </a:sysClr>
                        </a:solidFill>
                        <a:miter lim="800000"/>
                        <a:headEnd/>
                        <a:tailEnd/>
                      </a:ln>
                      <a:effectLst/>
                      <a:extLs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txbx>
                      <w:txbxContent>
                        <w:p w14:paraId="1A0432C6" w14:textId="77777777" w:rsidR="009142E2" w:rsidRDefault="009142E2" w:rsidP="001C79E0">
                          <w:r>
                            <w:fldChar w:fldCharType="begin"/>
                          </w:r>
                          <w:r>
                            <w:instrText xml:space="preserve"> PAGE </w:instrText>
                          </w:r>
                          <w:r>
                            <w:fldChar w:fldCharType="separate"/>
                          </w:r>
                          <w:r>
                            <w:rPr>
                              <w:noProof/>
                            </w:rPr>
                            <w:t>3</w:t>
                          </w:r>
                          <w:r>
                            <w:rPr>
                              <w:noProof/>
                            </w:rPr>
                            <w:fldChar w:fldCharType="end"/>
                          </w:r>
                          <w:r>
                            <w:t xml:space="preserve"> </w:t>
                          </w:r>
                        </w:p>
                        <w:p w14:paraId="2E1C8E94" w14:textId="77777777" w:rsidR="009142E2" w:rsidRDefault="009142E2"/>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697B79" id="_x0000_t202" coordsize="21600,21600" o:spt="202" path="m,l,21600r21600,l21600,xe">
              <v:stroke joinstyle="miter"/>
              <v:path gradientshapeok="t" o:connecttype="rect"/>
            </v:shapetype>
            <v:shape id="Text Box 13" o:spid="_x0000_s1027" type="#_x0000_t202" style="position:absolute;left:0;text-align:left;margin-left:426pt;margin-top:-1.3pt;width:23.25pt;height:1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" fillcolor="#666" strokecolor="#666" strokeweight="1pt">
              <v:fill color2="#ccc" angle="135" focus="50%" type="gradient"/>
              <v:shadow color="#7f7f7f [1601]" opacity=".5" offset="1pt"/>
              <v:textbox inset="5.85pt,.7pt,5.85pt,.7pt">
                <w:txbxContent>
                  <w:p w14:paraId="1A0432C6" w14:textId="77777777" w:rsidR="009142E2" w:rsidRDefault="009142E2" w:rsidP="001C79E0">
                    <w:r>
                      <w:fldChar w:fldCharType="begin"/>
                    </w:r>
                    <w:r>
                      <w:instrText xml:space="preserve"> PAGE </w:instrText>
                    </w:r>
                    <w:r>
                      <w:fldChar w:fldCharType="separate"/>
                    </w:r>
                    <w:r>
                      <w:rPr>
                        <w:noProof/>
                      </w:rPr>
                      <w:t>3</w:t>
                    </w:r>
                    <w:r>
                      <w:rPr>
                        <w:noProof/>
                      </w:rPr>
                      <w:fldChar w:fldCharType="end"/>
                    </w:r>
                    <w:r>
                      <w:t xml:space="preserve"> </w:t>
                    </w:r>
                  </w:p>
                  <w:p w14:paraId="2E1C8E94" w14:textId="77777777" w:rsidR="009142E2" w:rsidRDefault="009142E2"/>
                </w:txbxContent>
              </v:textbox>
            </v:shape>
          </w:pict>
        </mc:Fallback>
      </mc:AlternateContent>
    </w:r>
    <w:r>
      <w:t xml:space="preserve">International Monetary Fund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B6DA9D" w14:textId="77777777" w:rsidR="009142E2" w:rsidRDefault="009142E2" w:rsidP="002A4181">
      <w:pPr>
        <w:spacing w:line="240" w:lineRule="auto"/>
      </w:pPr>
      <w:r>
        <w:separator/>
      </w:r>
    </w:p>
  </w:footnote>
  <w:footnote w:type="continuationSeparator" w:id="0">
    <w:p w14:paraId="79566AF9" w14:textId="77777777" w:rsidR="009142E2" w:rsidRDefault="009142E2" w:rsidP="002A4181">
      <w:pPr>
        <w:spacing w:line="240" w:lineRule="auto"/>
      </w:pPr>
      <w:r>
        <w:continuationSeparator/>
      </w:r>
    </w:p>
  </w:footnote>
  <w:footnote w:type="continuationNotice" w:id="1">
    <w:p w14:paraId="77FB9013" w14:textId="77777777" w:rsidR="009142E2" w:rsidRDefault="009142E2">
      <w:pPr>
        <w:spacing w:line="240" w:lineRule="auto"/>
      </w:pPr>
    </w:p>
  </w:footnote>
  <w:footnote w:id="2">
    <w:p w14:paraId="6C6F3274" w14:textId="77777777" w:rsidR="009142E2" w:rsidRDefault="009142E2">
      <w:pPr>
        <w:pStyle w:val="FootnoteText"/>
      </w:pPr>
      <w:r>
        <w:rPr>
          <w:rStyle w:val="FootnoteReference"/>
        </w:rPr>
        <w:footnoteRef/>
      </w:r>
      <w:r>
        <w:t xml:space="preserve"> </w:t>
      </w:r>
      <w:r w:rsidRPr="009F5445">
        <w:t xml:space="preserve">The </w:t>
      </w:r>
      <w:r>
        <w:t>team</w:t>
      </w:r>
      <w:r w:rsidRPr="009F5445">
        <w:t xml:space="preserve"> comprise</w:t>
      </w:r>
      <w:r>
        <w:t>d</w:t>
      </w:r>
      <w:r w:rsidRPr="009F5445">
        <w:t xml:space="preserve"> </w:t>
      </w:r>
      <w:r>
        <w:t>Laurent Gonnet</w:t>
      </w:r>
      <w:r w:rsidRPr="009F5445">
        <w:t xml:space="preserve"> (</w:t>
      </w:r>
      <w:r>
        <w:t>Lead, World Bank), Erlend Nier</w:t>
      </w:r>
      <w:r w:rsidRPr="009F5445">
        <w:t xml:space="preserve"> (</w:t>
      </w:r>
      <w:r>
        <w:t>Lead</w:t>
      </w:r>
      <w:r w:rsidRPr="009F5445">
        <w:t>, IMF)</w:t>
      </w:r>
      <w:r>
        <w:t>;</w:t>
      </w:r>
      <w:r w:rsidRPr="00B02BC9">
        <w:t xml:space="preserve"> </w:t>
      </w:r>
      <w:r w:rsidRPr="004401F2">
        <w:t xml:space="preserve">Juan Buchenau, Andrea Dall’Olio, Olena Koltko, Tanya Konidaris, </w:t>
      </w:r>
      <w:r>
        <w:t xml:space="preserve">Raquel Letelier, </w:t>
      </w:r>
      <w:r w:rsidRPr="004401F2">
        <w:t xml:space="preserve">Cedric Mousset, Natalie Nicolaou, Madalina Pruna, Simon Walley and Peter Wrede </w:t>
      </w:r>
      <w:r>
        <w:t>(all World Bank);</w:t>
      </w:r>
      <w:r w:rsidRPr="009F5445">
        <w:t xml:space="preserve"> </w:t>
      </w:r>
      <w:r w:rsidRPr="004401F2">
        <w:t>Hee-kyong Chon, Ernesto Crivelli, Armand Fouejieu, Mario Mansilla, Tjoervi Olafsson, Nadine Schwarz, Maral Shamloo, Giovanni Ugazio</w:t>
      </w:r>
      <w:r>
        <w:t xml:space="preserve">, Froukelien Wendt (all IMF); and </w:t>
      </w:r>
      <w:r w:rsidRPr="004401F2">
        <w:t>Marcel Otten and David Thomas</w:t>
      </w:r>
      <w:r w:rsidRPr="0025702D">
        <w:t xml:space="preserve"> </w:t>
      </w:r>
      <w:r>
        <w:t>(expert consultants).</w:t>
      </w:r>
    </w:p>
  </w:footnote>
  <w:footnote w:id="3">
    <w:p w14:paraId="00EF7A70" w14:textId="77777777" w:rsidR="009142E2" w:rsidRPr="009C2B84" w:rsidRDefault="009142E2">
      <w:pPr>
        <w:pStyle w:val="FootnoteText"/>
      </w:pPr>
      <w:r>
        <w:rPr>
          <w:rStyle w:val="FootnoteReference"/>
        </w:rPr>
        <w:footnoteRef/>
      </w:r>
      <w:r>
        <w:t xml:space="preserve"> </w:t>
      </w:r>
      <w:r w:rsidRPr="009C2B84">
        <w:t>Under this program of 2009, the State guarantees 50 percent of the mortgage, and loan terms are favorable: the down payment is 5 percent of the property value at a minimum (compared to 15–25 percent for other mortgage loans), and the interest rate is relatively low (at ROBOR +250bs). This program accounts for most mortgages extended by banks</w:t>
      </w:r>
      <w:r>
        <w:t>.</w:t>
      </w:r>
    </w:p>
  </w:footnote>
  <w:footnote w:id="4">
    <w:p w14:paraId="7E38DC8C" w14:textId="77777777" w:rsidR="009142E2" w:rsidRPr="009C2B84" w:rsidRDefault="009142E2">
      <w:pPr>
        <w:pStyle w:val="FootnoteText"/>
      </w:pPr>
      <w:r>
        <w:rPr>
          <w:rStyle w:val="FootnoteReference"/>
        </w:rPr>
        <w:footnoteRef/>
      </w:r>
      <w:r>
        <w:t xml:space="preserve"> </w:t>
      </w:r>
      <w:r w:rsidRPr="009C2B84">
        <w:t>The share of FX in total new bank lending to the non-financial private sector was just below 20 percent in June 2017, mainly to the corporate sector</w:t>
      </w:r>
      <w:r>
        <w:t>.</w:t>
      </w:r>
    </w:p>
  </w:footnote>
  <w:footnote w:id="5">
    <w:p w14:paraId="6671DA19" w14:textId="77777777" w:rsidR="009142E2" w:rsidRPr="001F3C4E" w:rsidRDefault="009142E2" w:rsidP="009530BA">
      <w:pPr>
        <w:pStyle w:val="FootnoteText"/>
        <w:jc w:val="both"/>
        <w:rPr>
          <w:szCs w:val="18"/>
        </w:rPr>
      </w:pPr>
      <w:r>
        <w:rPr>
          <w:rStyle w:val="FootnoteReference"/>
        </w:rPr>
        <w:footnoteRef/>
      </w:r>
      <w:r>
        <w:t xml:space="preserve"> </w:t>
      </w:r>
      <w:r w:rsidRPr="001F3C4E">
        <w:rPr>
          <w:rFonts w:cs="Segoe UI"/>
          <w:szCs w:val="18"/>
        </w:rPr>
        <w:t xml:space="preserve">It is important to note that provisioning and interest income reported by Romanian banks are inflated due to an accounting convention. Romanian banks </w:t>
      </w:r>
      <w:r>
        <w:rPr>
          <w:rFonts w:cs="Segoe UI"/>
          <w:szCs w:val="18"/>
        </w:rPr>
        <w:t>recognize</w:t>
      </w:r>
      <w:r w:rsidRPr="001F3C4E">
        <w:rPr>
          <w:rFonts w:cs="Segoe UI"/>
          <w:szCs w:val="18"/>
        </w:rPr>
        <w:t xml:space="preserve"> interest on </w:t>
      </w:r>
      <w:r>
        <w:rPr>
          <w:rFonts w:cs="Segoe UI"/>
          <w:szCs w:val="18"/>
        </w:rPr>
        <w:t xml:space="preserve">(uncovered part of) </w:t>
      </w:r>
      <w:r w:rsidRPr="001F3C4E">
        <w:rPr>
          <w:rFonts w:cs="Segoe UI"/>
          <w:szCs w:val="18"/>
        </w:rPr>
        <w:t>NPLs and provision for t</w:t>
      </w:r>
      <w:r>
        <w:rPr>
          <w:rFonts w:cs="Segoe UI"/>
          <w:szCs w:val="18"/>
        </w:rPr>
        <w:t>his</w:t>
      </w:r>
      <w:r w:rsidRPr="001F3C4E">
        <w:rPr>
          <w:rFonts w:cs="Segoe UI"/>
          <w:szCs w:val="18"/>
        </w:rPr>
        <w:t xml:space="preserve"> interest income, which leads to higher levels of both items compared to the IMF methodology, where no int</w:t>
      </w:r>
      <w:r>
        <w:rPr>
          <w:rFonts w:cs="Segoe UI"/>
          <w:szCs w:val="18"/>
        </w:rPr>
        <w:t xml:space="preserve">erest is accrued on (gross amount of) NPLs. This difference in methodology </w:t>
      </w:r>
      <w:r w:rsidRPr="001F3C4E">
        <w:rPr>
          <w:rFonts w:cs="Segoe UI"/>
          <w:szCs w:val="18"/>
        </w:rPr>
        <w:t xml:space="preserve">partly </w:t>
      </w:r>
      <w:r>
        <w:rPr>
          <w:rFonts w:cs="Segoe UI"/>
          <w:szCs w:val="18"/>
        </w:rPr>
        <w:t>masks</w:t>
      </w:r>
      <w:r w:rsidRPr="001F3C4E">
        <w:rPr>
          <w:rFonts w:cs="Segoe UI"/>
          <w:szCs w:val="18"/>
        </w:rPr>
        <w:t xml:space="preserve"> the true increase in provisions due to formation of new NPLs in the stress test. </w:t>
      </w:r>
    </w:p>
  </w:footnote>
  <w:footnote w:id="6">
    <w:p w14:paraId="38C8E466" w14:textId="77777777" w:rsidR="009142E2" w:rsidRDefault="009142E2" w:rsidP="009530BA">
      <w:pPr>
        <w:pStyle w:val="FootnoteText"/>
        <w:jc w:val="both"/>
      </w:pPr>
      <w:r>
        <w:rPr>
          <w:rStyle w:val="FootnoteReference"/>
        </w:rPr>
        <w:footnoteRef/>
      </w:r>
      <w:r>
        <w:t xml:space="preserve"> Banks hold the majority of their sovereign debt holdings in mark-to-market portfolios (77 percent). Several banks hold their securities entirely in mark-to-market portfolios.</w:t>
      </w:r>
    </w:p>
  </w:footnote>
  <w:footnote w:id="7">
    <w:p w14:paraId="0DEEE570" w14:textId="77777777" w:rsidR="009142E2" w:rsidRDefault="009142E2" w:rsidP="001F2587">
      <w:pPr>
        <w:pStyle w:val="FootnoteText"/>
      </w:pPr>
      <w:r>
        <w:rPr>
          <w:rStyle w:val="FootnoteReference"/>
        </w:rPr>
        <w:footnoteRef/>
      </w:r>
      <w:r>
        <w:t xml:space="preserve"> </w:t>
      </w:r>
      <w:r w:rsidRPr="00BE0F4D">
        <w:rPr>
          <w:rFonts w:cs="Segoe UI"/>
          <w:szCs w:val="18"/>
        </w:rPr>
        <w:t>Average for Bulgaria, Croatia, Hungary, and Poland</w:t>
      </w:r>
    </w:p>
  </w:footnote>
  <w:footnote w:id="8">
    <w:p w14:paraId="20E4BF00" w14:textId="77777777" w:rsidR="009142E2" w:rsidRDefault="009142E2" w:rsidP="001F2587">
      <w:pPr>
        <w:pStyle w:val="FootnoteText"/>
      </w:pPr>
      <w:r>
        <w:rPr>
          <w:rStyle w:val="FootnoteReference"/>
        </w:rPr>
        <w:footnoteRef/>
      </w:r>
      <w:r>
        <w:t xml:space="preserve"> </w:t>
      </w:r>
      <w:r w:rsidRPr="0050624B">
        <w:t>Schneider, Friedrich (2016)</w:t>
      </w:r>
    </w:p>
  </w:footnote>
  <w:footnote w:id="9">
    <w:p w14:paraId="02801727" w14:textId="77777777" w:rsidR="009142E2" w:rsidRDefault="009142E2" w:rsidP="001F2587">
      <w:pPr>
        <w:pStyle w:val="FootnoteText"/>
      </w:pPr>
      <w:r>
        <w:rPr>
          <w:rStyle w:val="FootnoteReference"/>
        </w:rPr>
        <w:footnoteRef/>
      </w:r>
      <w:r>
        <w:t xml:space="preserve"> As of December 31, 2015, data from EUROSTAT</w:t>
      </w:r>
    </w:p>
  </w:footnote>
  <w:footnote w:id="10">
    <w:p w14:paraId="0704F6D5" w14:textId="77777777" w:rsidR="009142E2" w:rsidRDefault="009142E2" w:rsidP="001F2587">
      <w:pPr>
        <w:pStyle w:val="FootnoteText"/>
      </w:pPr>
      <w:r>
        <w:rPr>
          <w:rStyle w:val="FootnoteReference"/>
        </w:rPr>
        <w:footnoteRef/>
      </w:r>
      <w:r>
        <w:t xml:space="preserve"> </w:t>
      </w:r>
      <w:r w:rsidRPr="00BB1DAC">
        <w:rPr>
          <w:rFonts w:cs="Segoe UI"/>
          <w:szCs w:val="21"/>
        </w:rPr>
        <w:t>More than half of loans to microenterprises and almost one fifth of loans to small enterprises were non-performing by 2013</w:t>
      </w:r>
    </w:p>
  </w:footnote>
  <w:footnote w:id="11">
    <w:p w14:paraId="647DFDAE" w14:textId="77777777" w:rsidR="009142E2" w:rsidRDefault="009142E2" w:rsidP="00F70548">
      <w:pPr>
        <w:pStyle w:val="FootnoteText"/>
        <w:jc w:val="both"/>
      </w:pPr>
      <w:r>
        <w:rPr>
          <w:rStyle w:val="FootnoteReference"/>
        </w:rPr>
        <w:footnoteRef/>
      </w:r>
      <w:r>
        <w:t xml:space="preserve"> </w:t>
      </w:r>
      <w:r w:rsidRPr="00462BB3">
        <w:rPr>
          <w:rFonts w:cs="Segoe UI"/>
          <w:szCs w:val="18"/>
        </w:rPr>
        <w:t xml:space="preserve">Including collection agencies in the CCR would necessitate an amendment of legislation. Reporting entities are stated in the Law No. 312/2004 on the Statute of the National Bank of Romania and the Law No. 93/2009 on non-bank financial </w:t>
      </w:r>
      <w:r>
        <w:rPr>
          <w:rFonts w:cs="Segoe UI"/>
          <w:szCs w:val="18"/>
        </w:rPr>
        <w:t xml:space="preserve">institutions </w:t>
      </w:r>
      <w:r w:rsidRPr="00462BB3">
        <w:rPr>
          <w:rFonts w:cs="Segoe UI"/>
          <w:szCs w:val="18"/>
        </w:rPr>
        <w:t>so other reporting entities to the CCR cannot be regulated by legal acts issued by the NBR. Including collection agencies and non-traditional data providers in the CB necessitate an amendment of the decision of the Data Protection Authority</w:t>
      </w:r>
      <w:r>
        <w:rPr>
          <w:rFonts w:cs="Segoe UI"/>
          <w:szCs w:val="18"/>
        </w:rPr>
        <w:t>.</w:t>
      </w:r>
    </w:p>
  </w:footnote>
  <w:footnote w:id="12">
    <w:p w14:paraId="5079E4CD" w14:textId="77777777" w:rsidR="009142E2" w:rsidRDefault="009142E2" w:rsidP="00D06381">
      <w:pPr>
        <w:pStyle w:val="FootnoteText"/>
        <w:jc w:val="both"/>
      </w:pPr>
      <w:r>
        <w:rPr>
          <w:rStyle w:val="FootnoteReference"/>
        </w:rPr>
        <w:footnoteRef/>
      </w:r>
      <w:r>
        <w:t xml:space="preserve"> E</w:t>
      </w:r>
      <w:r w:rsidRPr="00515678">
        <w:rPr>
          <w:rFonts w:cs="Segoe UI"/>
          <w:szCs w:val="21"/>
        </w:rPr>
        <w:t xml:space="preserve">.g. by expanding their services to also serve MSMEs, offer more services </w:t>
      </w:r>
      <w:r>
        <w:rPr>
          <w:rFonts w:cs="Segoe UI"/>
          <w:szCs w:val="21"/>
        </w:rPr>
        <w:t xml:space="preserve">such as </w:t>
      </w:r>
      <w:r w:rsidRPr="00515678">
        <w:rPr>
          <w:rFonts w:cs="Segoe UI"/>
          <w:szCs w:val="21"/>
        </w:rPr>
        <w:t xml:space="preserve">granting larger and longer-term loans, channeling remittances, handling </w:t>
      </w:r>
      <w:r>
        <w:rPr>
          <w:rFonts w:cs="Segoe UI"/>
          <w:szCs w:val="21"/>
        </w:rPr>
        <w:t>payments, and acting as bank agents.</w:t>
      </w:r>
    </w:p>
  </w:footnote>
  <w:footnote w:id="13">
    <w:p w14:paraId="637F8DC1" w14:textId="27D83D54" w:rsidR="009142E2" w:rsidRPr="000D7126" w:rsidRDefault="009142E2" w:rsidP="000D7126">
      <w:pPr>
        <w:pStyle w:val="FootnoteText"/>
        <w:jc w:val="both"/>
      </w:pPr>
      <w:r>
        <w:rPr>
          <w:rStyle w:val="FootnoteReference"/>
        </w:rPr>
        <w:footnoteRef/>
      </w:r>
      <w:r>
        <w:t xml:space="preserve"> An apex organization is a </w:t>
      </w:r>
      <w:r w:rsidRPr="000D7126">
        <w:t>second-tier or wholesale organization that channels funding (grants, loans, guarantees) to multiple financ</w:t>
      </w:r>
      <w:r>
        <w:t>ial</w:t>
      </w:r>
      <w:r w:rsidRPr="000D7126">
        <w:t xml:space="preserve"> institution</w:t>
      </w:r>
      <w:r>
        <w:t>s</w:t>
      </w:r>
      <w:r w:rsidRPr="000D7126">
        <w:t xml:space="preserve"> in single country or region.</w:t>
      </w:r>
    </w:p>
  </w:footnote>
  <w:footnote w:id="14">
    <w:p w14:paraId="6F4B6CE7" w14:textId="77777777" w:rsidR="009142E2" w:rsidRDefault="009142E2" w:rsidP="00D06381">
      <w:pPr>
        <w:pStyle w:val="FootnoteText"/>
        <w:jc w:val="both"/>
      </w:pPr>
      <w:r>
        <w:rPr>
          <w:rStyle w:val="FootnoteReference"/>
        </w:rPr>
        <w:footnoteRef/>
      </w:r>
      <w:r>
        <w:t xml:space="preserve"> T</w:t>
      </w:r>
      <w:r w:rsidRPr="00306B00">
        <w:t xml:space="preserve">he following countries participated in the </w:t>
      </w:r>
      <w:r>
        <w:t xml:space="preserve">Life in Transition </w:t>
      </w:r>
      <w:r w:rsidRPr="00306B00">
        <w:t>survey: Albania, Armenia, Azerbaijan, Belarus, Bosnia and Herzegovina, Bulgaria, Croatia, Cyprus, the Czech Republic, Estonia, FYR Macedonia, Georgia, Greece, Hungary, Kazakhstan, Kosovo, the Kyrgyz Republic, Latvia, Lithuania, Moldova, Mongolia, Montenegro, Poland, Romania, Russia, Serbia, the Slovak Republic, Slovenia, Tajikistan, Turkey, Ukraine and Uzbekistan.</w:t>
      </w:r>
    </w:p>
  </w:footnote>
  <w:footnote w:id="15">
    <w:p w14:paraId="3B9DD15B" w14:textId="77777777" w:rsidR="009142E2" w:rsidRPr="00462BB3" w:rsidRDefault="009142E2" w:rsidP="00D06381">
      <w:pPr>
        <w:pStyle w:val="FootnoteText"/>
        <w:jc w:val="both"/>
        <w:rPr>
          <w:rFonts w:cs="Segoe UI"/>
          <w:szCs w:val="18"/>
        </w:rPr>
      </w:pPr>
      <w:r w:rsidRPr="00462BB3">
        <w:rPr>
          <w:rStyle w:val="FootnoteReference"/>
          <w:rFonts w:cs="Segoe UI"/>
          <w:szCs w:val="18"/>
        </w:rPr>
        <w:footnoteRef/>
      </w:r>
      <w:r w:rsidRPr="00462BB3">
        <w:rPr>
          <w:rFonts w:cs="Segoe UI"/>
          <w:szCs w:val="18"/>
        </w:rPr>
        <w:t xml:space="preserve"> Article 2 includes “… 3. ... Member States may maintain or introduce rules that go beyond those laid down by this Directive, in order to ensure a higher level of consumer protection.</w:t>
      </w:r>
      <w:r>
        <w:rPr>
          <w:rFonts w:cs="Segoe UI"/>
          <w:szCs w:val="18"/>
        </w:rPr>
        <w:t>”</w:t>
      </w:r>
    </w:p>
  </w:footnote>
  <w:footnote w:id="16">
    <w:p w14:paraId="30755837" w14:textId="77777777" w:rsidR="009142E2" w:rsidRDefault="009142E2" w:rsidP="007403C1">
      <w:pPr>
        <w:pStyle w:val="FootnoteText"/>
        <w:jc w:val="both"/>
      </w:pPr>
      <w:r>
        <w:rPr>
          <w:rStyle w:val="FootnoteReference"/>
        </w:rPr>
        <w:footnoteRef/>
      </w:r>
      <w:r>
        <w:t xml:space="preserve"> These include -among others- i) amendment to the Capital Market Law 297/2004, ii) resolution of the status of the RASDAQ market, iii) allowing the issuance of Global Depository Receipts - GDR (putting Romania on the radar of foreign investors), iv) pooled accounts for brokers,</w:t>
      </w:r>
      <w:r w:rsidRPr="00FC0E8D">
        <w:t xml:space="preserve"> </w:t>
      </w:r>
      <w:r>
        <w:t>v) proxy voting, and vi) removal of barriers to issuance, including allowing accelerated book building, removal of barriers for foreign investors, and standardization of corporate action payments through the Central Securities Depository (CSD). Ongoing reforms include the introduction of MiFID II (currently being debated in Parliament), Issuers Law, introduction of risk-based supervision, and Law on Alternative Investment Funds, among others.</w:t>
      </w:r>
    </w:p>
  </w:footnote>
  <w:footnote w:id="17">
    <w:p w14:paraId="20C60CC0" w14:textId="77777777" w:rsidR="009142E2" w:rsidRPr="00D1264C" w:rsidRDefault="009142E2" w:rsidP="007403C1">
      <w:pPr>
        <w:pStyle w:val="FootnoteText"/>
        <w:jc w:val="both"/>
      </w:pPr>
      <w:r>
        <w:rPr>
          <w:rStyle w:val="FootnoteReference"/>
        </w:rPr>
        <w:footnoteRef/>
      </w:r>
      <w:r>
        <w:t xml:space="preserve"> MoPF</w:t>
      </w:r>
      <w:r w:rsidRPr="00D1264C">
        <w:t xml:space="preserve"> has the flexibility to reject bids and modify amounts</w:t>
      </w:r>
      <w:r>
        <w:t xml:space="preserve"> (MoPF has rejected bids for the last three auctions held in 2017, thus no issuance took place).</w:t>
      </w:r>
      <w:r w:rsidRPr="00D1264C">
        <w:t xml:space="preserve"> </w:t>
      </w:r>
      <w:r>
        <w:t>I</w:t>
      </w:r>
      <w:r w:rsidRPr="00D1264C">
        <w:t>t should only reject bids in extreme cases where accepting all bids may create market turbulence and hurt investors, thus providing greater predictability and consistency in issuance to reduce uncertainty and increase confidence in the market.</w:t>
      </w:r>
    </w:p>
  </w:footnote>
  <w:footnote w:id="18">
    <w:p w14:paraId="68E3E243" w14:textId="77777777" w:rsidR="009142E2" w:rsidRPr="00FC4504" w:rsidRDefault="009142E2" w:rsidP="007403C1">
      <w:pPr>
        <w:pStyle w:val="FootnoteText"/>
        <w:jc w:val="both"/>
      </w:pPr>
      <w:r>
        <w:rPr>
          <w:rStyle w:val="FootnoteReference"/>
        </w:rPr>
        <w:footnoteRef/>
      </w:r>
      <w:r>
        <w:t xml:space="preserve"> </w:t>
      </w:r>
      <w:r w:rsidRPr="00CF0CED">
        <w:t>PDs currently have exclusive access to th</w:t>
      </w:r>
      <w:r>
        <w:t>is platform (</w:t>
      </w:r>
      <w:r w:rsidRPr="00CF0CED">
        <w:t>E Bond platform</w:t>
      </w:r>
      <w:r>
        <w:t>)</w:t>
      </w:r>
      <w:r w:rsidRPr="00CF0CED">
        <w:t xml:space="preserve">, </w:t>
      </w:r>
      <w:r>
        <w:t>however, read-</w:t>
      </w:r>
      <w:r w:rsidRPr="00CF0CED">
        <w:t>only access will be given to all investors in 2018.</w:t>
      </w:r>
    </w:p>
  </w:footnote>
  <w:footnote w:id="19">
    <w:p w14:paraId="096C0D3E" w14:textId="77777777" w:rsidR="009142E2" w:rsidRPr="00103AE8" w:rsidRDefault="009142E2" w:rsidP="007403C1">
      <w:pPr>
        <w:pStyle w:val="FootnoteText"/>
        <w:jc w:val="both"/>
      </w:pPr>
      <w:r w:rsidRPr="00103AE8">
        <w:rPr>
          <w:rStyle w:val="FootnoteReference"/>
        </w:rPr>
        <w:footnoteRef/>
      </w:r>
      <w:r w:rsidRPr="00103AE8">
        <w:t xml:space="preserve"> </w:t>
      </w:r>
      <w:r>
        <w:t xml:space="preserve">Despite being </w:t>
      </w:r>
      <w:r w:rsidRPr="00103AE8">
        <w:t>allowed to invest up to 50 percent in corporate s</w:t>
      </w:r>
      <w:r>
        <w:t>hares</w:t>
      </w:r>
      <w:r w:rsidRPr="00103AE8">
        <w:t>.</w:t>
      </w:r>
    </w:p>
  </w:footnote>
  <w:footnote w:id="20">
    <w:p w14:paraId="1144C264" w14:textId="77777777" w:rsidR="009142E2" w:rsidRPr="00AB20EC" w:rsidRDefault="009142E2" w:rsidP="007403C1">
      <w:pPr>
        <w:pStyle w:val="FootnoteText"/>
      </w:pPr>
      <w:r>
        <w:rPr>
          <w:rStyle w:val="FootnoteReference"/>
        </w:rPr>
        <w:footnoteRef/>
      </w:r>
      <w:r>
        <w:t xml:space="preserve"> S</w:t>
      </w:r>
      <w:r w:rsidRPr="00DC1FC0">
        <w:t xml:space="preserve">uch as the absolute </w:t>
      </w:r>
      <w:r>
        <w:t xml:space="preserve">guarantee </w:t>
      </w:r>
      <w:r w:rsidRPr="00DC1FC0">
        <w:t>and relative returns</w:t>
      </w:r>
      <w:r>
        <w:t>.</w:t>
      </w:r>
    </w:p>
  </w:footnote>
  <w:footnote w:id="21">
    <w:p w14:paraId="15E23904" w14:textId="77777777" w:rsidR="009142E2" w:rsidRPr="00103AE8" w:rsidRDefault="009142E2" w:rsidP="007403C1">
      <w:pPr>
        <w:pStyle w:val="FootnoteText"/>
        <w:jc w:val="both"/>
      </w:pPr>
      <w:r w:rsidRPr="00103AE8">
        <w:rPr>
          <w:rStyle w:val="FootnoteReference"/>
        </w:rPr>
        <w:footnoteRef/>
      </w:r>
      <w:r w:rsidRPr="00103AE8">
        <w:t xml:space="preserve"> Restrictions at ASF level could be considered first. Many restrictions are at the level of the </w:t>
      </w:r>
      <w:r>
        <w:t>primary L</w:t>
      </w:r>
      <w:r w:rsidRPr="00103AE8">
        <w:t>aw, and will a require legislative initiative.</w:t>
      </w:r>
    </w:p>
  </w:footnote>
  <w:footnote w:id="22">
    <w:p w14:paraId="22B21B42" w14:textId="77777777" w:rsidR="009142E2" w:rsidRDefault="009142E2" w:rsidP="007403C1">
      <w:pPr>
        <w:pStyle w:val="FootnoteText"/>
      </w:pPr>
      <w:r>
        <w:rPr>
          <w:rStyle w:val="FootnoteReference"/>
        </w:rPr>
        <w:footnoteRef/>
      </w:r>
      <w:r>
        <w:t xml:space="preserve"> A planned SOE listing of Hidroelectrica has been repeatedly delayed, but would contribute significantly to the upgrade to EM status.</w:t>
      </w:r>
    </w:p>
  </w:footnote>
  <w:footnote w:id="23">
    <w:p w14:paraId="25CC6D6C" w14:textId="77777777" w:rsidR="009142E2" w:rsidRPr="00103AE8" w:rsidRDefault="009142E2" w:rsidP="007403C1">
      <w:pPr>
        <w:pStyle w:val="FootnoteText"/>
        <w:jc w:val="both"/>
      </w:pPr>
      <w:r w:rsidRPr="00103AE8">
        <w:rPr>
          <w:rStyle w:val="FootnoteReference"/>
        </w:rPr>
        <w:footnoteRef/>
      </w:r>
      <w:r w:rsidRPr="00103AE8">
        <w:t xml:space="preserve"> Including replacing of previous management and board turnaround, extended terms for interim boards, </w:t>
      </w:r>
      <w:r>
        <w:t xml:space="preserve">and </w:t>
      </w:r>
      <w:r w:rsidRPr="00103AE8">
        <w:t>lack of qualifications of board members</w:t>
      </w:r>
      <w:r>
        <w:t>.</w:t>
      </w:r>
    </w:p>
  </w:footnote>
  <w:footnote w:id="24">
    <w:p w14:paraId="2E8E95C9" w14:textId="77777777" w:rsidR="009142E2" w:rsidRPr="00E06AB1" w:rsidRDefault="009142E2" w:rsidP="00E06AB1">
      <w:pPr>
        <w:pStyle w:val="FootnoteText"/>
        <w:jc w:val="both"/>
      </w:pPr>
      <w:r>
        <w:rPr>
          <w:rStyle w:val="FootnoteReference"/>
        </w:rPr>
        <w:footnoteRef/>
      </w:r>
      <w:r>
        <w:t xml:space="preserve"> </w:t>
      </w:r>
      <w:r w:rsidRPr="00E06AB1">
        <w:t>The Mass Privatization Program gave eligible citizens shares in entities previously owned by the state. These shares are held in accounts with the CSD, and the majority are listed. Almost 9 million of these accounts are inactive, and are not available for trading on the exchange, wi</w:t>
      </w:r>
      <w:r>
        <w:t>th an approximate value of EUR 2.2 billion.</w:t>
      </w:r>
    </w:p>
  </w:footnote>
  <w:footnote w:id="25">
    <w:p w14:paraId="2F1519C9" w14:textId="77777777" w:rsidR="009142E2" w:rsidRPr="00AB20EC" w:rsidRDefault="009142E2" w:rsidP="007403C1">
      <w:pPr>
        <w:pStyle w:val="FootnoteText"/>
      </w:pPr>
      <w:r>
        <w:rPr>
          <w:rStyle w:val="FootnoteReference"/>
        </w:rPr>
        <w:footnoteRef/>
      </w:r>
      <w:r>
        <w:t xml:space="preserve"> While </w:t>
      </w:r>
      <w:r w:rsidRPr="00006E13">
        <w:t xml:space="preserve">interest on loans is deductible, </w:t>
      </w:r>
      <w:r>
        <w:t>interest on corporate bonds is not.</w:t>
      </w:r>
    </w:p>
  </w:footnote>
  <w:footnote w:id="26">
    <w:p w14:paraId="0C313549" w14:textId="0FB0AD1E" w:rsidR="009142E2" w:rsidRPr="00811D3E" w:rsidRDefault="009142E2" w:rsidP="00811D3E">
      <w:pPr>
        <w:pStyle w:val="FootnoteText"/>
        <w:jc w:val="both"/>
      </w:pPr>
      <w:r>
        <w:rPr>
          <w:rStyle w:val="FootnoteReference"/>
        </w:rPr>
        <w:footnoteRef/>
      </w:r>
      <w:r>
        <w:t xml:space="preserve"> Stability issues related to the housing finance sector are analyzed in the Macroprudential Policies section.</w:t>
      </w:r>
    </w:p>
  </w:footnote>
  <w:footnote w:id="27">
    <w:p w14:paraId="578AFEB9" w14:textId="77777777" w:rsidR="009142E2" w:rsidRPr="00EF0899" w:rsidRDefault="009142E2" w:rsidP="007403C1">
      <w:pPr>
        <w:pStyle w:val="FootnoteText"/>
      </w:pPr>
      <w:r>
        <w:rPr>
          <w:rStyle w:val="FootnoteReference"/>
        </w:rPr>
        <w:footnoteRef/>
      </w:r>
      <w:r>
        <w:t xml:space="preserve"> Romania has an owner occupation rate of 97 per cent which is highest in the World. This is largely the result of the transfer of housing stock following the fall of communism and common across former communist countries, but especially prevalent in Romania.</w:t>
      </w:r>
    </w:p>
  </w:footnote>
  <w:footnote w:id="28">
    <w:p w14:paraId="0A5ADCB9" w14:textId="77777777" w:rsidR="009142E2" w:rsidRDefault="009142E2" w:rsidP="007403C1">
      <w:pPr>
        <w:pStyle w:val="FootnoteText"/>
      </w:pPr>
      <w:r>
        <w:rPr>
          <w:rStyle w:val="FootnoteReference"/>
        </w:rPr>
        <w:footnoteRef/>
      </w:r>
      <w:r>
        <w:t xml:space="preserve"> </w:t>
      </w:r>
      <w:r w:rsidRPr="00EF0899">
        <w:t>Source: Hypostat 2017, European Mortgage Federation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5433476"/>
      <w:docPartObj>
        <w:docPartGallery w:val="Page Numbers (Top of Page)"/>
        <w:docPartUnique/>
      </w:docPartObj>
    </w:sdtPr>
    <w:sdtEndPr>
      <w:rPr>
        <w:noProof/>
      </w:rPr>
    </w:sdtEndPr>
    <w:sdtContent>
      <w:p w14:paraId="5992B4CC" w14:textId="47A76639" w:rsidR="00461303" w:rsidRDefault="00461303">
        <w:pPr>
          <w:pStyle w:val="Header"/>
          <w:jc w:val="center"/>
        </w:pPr>
        <w:r>
          <w:fldChar w:fldCharType="begin"/>
        </w:r>
        <w:r>
          <w:instrText xml:space="preserve"> PAGE   \* MERGEFORMAT </w:instrText>
        </w:r>
        <w:r>
          <w:fldChar w:fldCharType="separate"/>
        </w:r>
        <w:r w:rsidR="006D0059">
          <w:rPr>
            <w:noProof/>
          </w:rPr>
          <w:t>vi</w:t>
        </w:r>
        <w:r>
          <w:rPr>
            <w:noProof/>
          </w:rPr>
          <w:fldChar w:fldCharType="end"/>
        </w:r>
      </w:p>
    </w:sdtContent>
  </w:sdt>
  <w:p w14:paraId="25E932E2" w14:textId="77777777" w:rsidR="009142E2" w:rsidRPr="008A1F1C" w:rsidRDefault="009142E2" w:rsidP="008A1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5987427"/>
      <w:docPartObj>
        <w:docPartGallery w:val="Page Numbers (Top of Page)"/>
        <w:docPartUnique/>
      </w:docPartObj>
    </w:sdtPr>
    <w:sdtEndPr>
      <w:rPr>
        <w:noProof/>
      </w:rPr>
    </w:sdtEndPr>
    <w:sdtContent>
      <w:p w14:paraId="59F62B1B" w14:textId="14A7CED2" w:rsidR="009142E2" w:rsidRPr="00EE3DB6" w:rsidRDefault="009142E2" w:rsidP="00461303">
        <w:pPr>
          <w:pStyle w:val="Header"/>
          <w:jc w:val="center"/>
        </w:pPr>
        <w:r>
          <w:fldChar w:fldCharType="begin"/>
        </w:r>
        <w:r>
          <w:instrText xml:space="preserve"> PAGE   \* MERGEFORMAT </w:instrText>
        </w:r>
        <w:r>
          <w:fldChar w:fldCharType="separate"/>
        </w:r>
        <w:r w:rsidR="006D0059">
          <w:rPr>
            <w:noProof/>
          </w:rPr>
          <w:t>12</w:t>
        </w:r>
        <w:r>
          <w:rPr>
            <w:noProof/>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8FF9F9" w14:textId="2A02E659" w:rsidR="009142E2" w:rsidRPr="00295BD7" w:rsidRDefault="009142E2" w:rsidP="001C79E0">
    <w:pPr>
      <w:pStyle w:val="Header"/>
      <w:ind w:firstLineChars="1500" w:firstLine="3600"/>
      <w:rPr>
        <w:lang w:val="fr-FR"/>
      </w:rPr>
    </w:pPr>
    <w:r>
      <w:rPr>
        <w:noProof/>
      </w:rPr>
      <mc:AlternateContent>
        <mc:Choice Requires="wps">
          <w:drawing>
            <wp:anchor distT="0" distB="0" distL="114300" distR="114300" simplePos="0" relativeHeight="251656192" behindDoc="0" locked="0" layoutInCell="1" allowOverlap="1" wp14:anchorId="02B3471A" wp14:editId="7D2E5AA1">
              <wp:simplePos x="0" y="0"/>
              <wp:positionH relativeFrom="column">
                <wp:posOffset>5705475</wp:posOffset>
              </wp:positionH>
              <wp:positionV relativeFrom="paragraph">
                <wp:posOffset>47625</wp:posOffset>
              </wp:positionV>
              <wp:extent cx="885825" cy="9525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95250"/>
                      </a:xfrm>
                      <a:prstGeom prst="rect">
                        <a:avLst/>
                      </a:prstGeom>
                      <a:solidFill>
                        <a:srgbClr val="4472C4">
                          <a:lumMod val="100000"/>
                          <a:lumOff val="0"/>
                        </a:srgbClr>
                      </a:solidFill>
                      <a:ln>
                        <a:noFill/>
                      </a:ln>
                      <a:effectLst/>
                      <a:extLst>
                        <a:ext uri="{91240B29-F687-4F45-9708-019B960494DF}">
                          <a14:hiddenLine xmlns:a14="http://schemas.microsoft.com/office/drawing/2010/main" w="38100">
                            <a:solidFill>
                              <a:schemeClr val="lt1">
                                <a:lumMod val="95000"/>
                                <a:lumOff val="0"/>
                              </a:schemeClr>
                            </a:solidFill>
                            <a:miter lim="800000"/>
                            <a:headEnd/>
                            <a:tailEnd/>
                          </a14:hiddenLine>
                        </a:ex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txbx>
                      <w:txbxContent>
                        <w:p w14:paraId="5AD24CB1" w14:textId="77777777" w:rsidR="009142E2" w:rsidRDefault="009142E2"/>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B3471A" id="_x0000_t202" coordsize="21600,21600" o:spt="202" path="m,l,21600r21600,l21600,xe">
              <v:stroke joinstyle="miter"/>
              <v:path gradientshapeok="t" o:connecttype="rect"/>
            </v:shapetype>
            <v:shape id="Text Box 4" o:spid="_x0000_s1026" type="#_x0000_t202" style="position:absolute;left:0;text-align:left;margin-left:449.25pt;margin-top:3.75pt;width:69.75pt;height: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" fillcolor="#4472c4" stroked="f" strokecolor="#f2f2f2 [3041]" strokeweight="3pt">
              <v:shadow color="#1f3763 [1604]" opacity=".5" offset="1pt"/>
              <v:textbox inset="5.85pt,.7pt,5.85pt,.7pt">
                <w:txbxContent>
                  <w:p w14:paraId="5AD24CB1" w14:textId="77777777" w:rsidR="009142E2" w:rsidRDefault="009142E2"/>
                </w:txbxContent>
              </v:textbox>
            </v:shape>
          </w:pict>
        </mc:Fallback>
      </mc:AlternateContent>
    </w:r>
    <w:r w:rsidRPr="00295BD7">
      <w:rPr>
        <w:lang w:val="fr-FR"/>
      </w:rPr>
      <w:tab/>
    </w:r>
    <w:r>
      <w:fldChar w:fldCharType="begin"/>
    </w:r>
    <w:r w:rsidRPr="00295BD7">
      <w:rPr>
        <w:lang w:val="fr-FR"/>
      </w:rPr>
      <w:instrText xml:space="preserve"> FILENAME </w:instrText>
    </w:r>
    <w:r>
      <w:fldChar w:fldCharType="separate"/>
    </w:r>
    <w:r w:rsidR="006D0059">
      <w:rPr>
        <w:noProof/>
        <w:lang w:val="fr-FR"/>
      </w:rPr>
      <w:t>Romania FSAP Update 2018 FSA.docx</w:t>
    </w:r>
    <w:r>
      <w:rPr>
        <w:noProof/>
      </w:rPr>
      <w:fldChar w:fldCharType="end"/>
    </w:r>
    <w:r w:rsidRPr="00295BD7">
      <w:rPr>
        <w:lang w:val="fr-FR"/>
      </w:rPr>
      <w:t xml:space="preserve">   2010  Article IV Report</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382252" w14:textId="77777777" w:rsidR="009142E2" w:rsidRDefault="009142E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A68BBC" w14:textId="77777777" w:rsidR="009142E2" w:rsidRDefault="009142E2">
    <w:pPr>
      <w:pStyle w:val="Header"/>
      <w:tabs>
        <w:tab w:val="clear" w:pos="8640"/>
        <w:tab w:val="right" w:pos="9000"/>
      </w:tabs>
    </w:pPr>
    <w:r>
      <w:tab/>
    </w: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25A69C" w14:textId="77777777" w:rsidR="009142E2" w:rsidRDefault="009142E2">
    <w:pPr>
      <w:pStyle w:val="Header"/>
      <w:tabs>
        <w:tab w:val="clear" w:pos="8640"/>
        <w:tab w:val="right" w:pos="9000"/>
      </w:tabs>
    </w:pPr>
    <w:r>
      <w:tab/>
    </w:r>
    <w:r>
      <w:tab/>
      <w:t>APPENDIX III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0245FFA"/>
    <w:lvl w:ilvl="0">
      <w:start w:val="1"/>
      <w:numFmt w:val="bullet"/>
      <w:pStyle w:val="ListBullet"/>
      <w:lvlText w:val=""/>
      <w:lvlJc w:val="left"/>
      <w:pPr>
        <w:tabs>
          <w:tab w:val="num" w:pos="720"/>
        </w:tabs>
        <w:ind w:left="720" w:hanging="720"/>
      </w:pPr>
      <w:rPr>
        <w:rFonts w:ascii="Symbol" w:hAnsi="Symbol" w:hint="default"/>
      </w:rPr>
    </w:lvl>
  </w:abstractNum>
  <w:abstractNum w:abstractNumId="1" w15:restartNumberingAfterBreak="0">
    <w:nsid w:val="00DB6F80"/>
    <w:multiLevelType w:val="multilevel"/>
    <w:tmpl w:val="A290DE3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14105CA9"/>
    <w:multiLevelType w:val="hybridMultilevel"/>
    <w:tmpl w:val="2CE4B55A"/>
    <w:lvl w:ilvl="0" w:tplc="D174EA30">
      <w:start w:val="1"/>
      <w:numFmt w:val="decimal"/>
      <w:pStyle w:val="ParagraphNumbering"/>
      <w:lvlText w:val="%1.     "/>
      <w:lvlJc w:val="left"/>
      <w:pPr>
        <w:tabs>
          <w:tab w:val="num" w:pos="720"/>
        </w:tabs>
        <w:ind w:left="0" w:firstLine="0"/>
      </w:pPr>
      <w:rPr>
        <w:rFonts w:hint="default"/>
        <w:b/>
        <w:color w:val="auto"/>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31472E7"/>
    <w:multiLevelType w:val="hybridMultilevel"/>
    <w:tmpl w:val="976C9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ED2E7F"/>
    <w:multiLevelType w:val="hybridMultilevel"/>
    <w:tmpl w:val="C9E27064"/>
    <w:lvl w:ilvl="0" w:tplc="9828BFFC">
      <w:start w:val="1"/>
      <w:numFmt w:val="decimal"/>
      <w:lvlText w:val="%1."/>
      <w:lvlJc w:val="left"/>
      <w:pPr>
        <w:ind w:left="720" w:hanging="360"/>
      </w:pPr>
      <w:rPr>
        <w:rFonts w:hint="default"/>
        <w:b/>
        <w:i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333D7BB7"/>
    <w:multiLevelType w:val="hybridMultilevel"/>
    <w:tmpl w:val="75BC430C"/>
    <w:lvl w:ilvl="0" w:tplc="F1F4BD86">
      <w:start w:val="1"/>
      <w:numFmt w:val="decimal"/>
      <w:lvlText w:val="%1.     "/>
      <w:lvlJc w:val="left"/>
      <w:pPr>
        <w:ind w:left="360" w:hanging="360"/>
      </w:pPr>
      <w:rPr>
        <w:rFonts w:ascii="Segoe UI" w:hAnsi="Segoe UI" w:hint="default"/>
        <w:b/>
        <w:i w:val="0"/>
        <w:color w:val="auto"/>
        <w:sz w:val="21"/>
      </w:rPr>
    </w:lvl>
    <w:lvl w:ilvl="1" w:tplc="9CF2A174">
      <w:start w:val="1"/>
      <w:numFmt w:val="lowerLetter"/>
      <w:lvlText w:val="%2."/>
      <w:lvlJc w:val="left"/>
      <w:pPr>
        <w:ind w:left="1440" w:hanging="360"/>
      </w:pPr>
      <w:rPr>
        <w:color w:val="4B82AD"/>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5A2171"/>
    <w:multiLevelType w:val="hybridMultilevel"/>
    <w:tmpl w:val="4CB63E5A"/>
    <w:lvl w:ilvl="0" w:tplc="1E08A3D4">
      <w:start w:val="10"/>
      <w:numFmt w:val="decimal"/>
      <w:lvlText w:val="%1."/>
      <w:lvlJc w:val="left"/>
      <w:pPr>
        <w:ind w:left="720" w:hanging="360"/>
      </w:pPr>
      <w:rPr>
        <w:rFont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A36830"/>
    <w:multiLevelType w:val="multilevel"/>
    <w:tmpl w:val="A11A07E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70EA15A1"/>
    <w:multiLevelType w:val="multilevel"/>
    <w:tmpl w:val="FAA42BFC"/>
    <w:lvl w:ilvl="0">
      <w:start w:val="1"/>
      <w:numFmt w:val="upperRoman"/>
      <w:pStyle w:val="Heading1"/>
      <w:suff w:val="nothing"/>
      <w:lvlText w:val="%1.   "/>
      <w:lvlJc w:val="left"/>
      <w:pPr>
        <w:ind w:left="0" w:firstLine="0"/>
      </w:pPr>
      <w:rPr>
        <w:rFonts w:hint="default"/>
      </w:rPr>
    </w:lvl>
    <w:lvl w:ilvl="1">
      <w:start w:val="1"/>
      <w:numFmt w:val="upperLetter"/>
      <w:pStyle w:val="Heading2"/>
      <w:suff w:val="nothing"/>
      <w:lvlText w:val="%2.   "/>
      <w:lvlJc w:val="left"/>
      <w:pPr>
        <w:ind w:left="2280" w:firstLine="0"/>
      </w:pPr>
      <w:rPr>
        <w:rFonts w:hint="default"/>
      </w:rPr>
    </w:lvl>
    <w:lvl w:ilvl="2">
      <w:start w:val="1"/>
      <w:numFmt w:val="decimal"/>
      <w:lvlText w:val="%3."/>
      <w:lvlJc w:val="left"/>
      <w:pPr>
        <w:tabs>
          <w:tab w:val="num" w:pos="1080"/>
        </w:tabs>
        <w:ind w:left="720" w:firstLine="0"/>
      </w:pPr>
      <w:rPr>
        <w:rFonts w:hint="default"/>
      </w:rPr>
    </w:lvl>
    <w:lvl w:ilvl="3">
      <w:start w:val="1"/>
      <w:numFmt w:val="lowerLetter"/>
      <w:lvlText w:val="%4)"/>
      <w:lvlJc w:val="left"/>
      <w:pPr>
        <w:tabs>
          <w:tab w:val="num" w:pos="1800"/>
        </w:tabs>
        <w:ind w:left="1440" w:firstLine="0"/>
      </w:pPr>
      <w:rPr>
        <w:rFonts w:hint="default"/>
      </w:rPr>
    </w:lvl>
    <w:lvl w:ilvl="4">
      <w:start w:val="1"/>
      <w:numFmt w:val="decimal"/>
      <w:lvlText w:val="(%5)"/>
      <w:lvlJc w:val="left"/>
      <w:pPr>
        <w:tabs>
          <w:tab w:val="num" w:pos="2520"/>
        </w:tabs>
        <w:ind w:left="2160" w:firstLine="0"/>
      </w:pPr>
      <w:rPr>
        <w:rFonts w:hint="default"/>
      </w:rPr>
    </w:lvl>
    <w:lvl w:ilvl="5">
      <w:start w:val="1"/>
      <w:numFmt w:val="lowerLetter"/>
      <w:lvlText w:val="(%6)"/>
      <w:lvlJc w:val="left"/>
      <w:pPr>
        <w:tabs>
          <w:tab w:val="num" w:pos="3240"/>
        </w:tabs>
        <w:ind w:left="2880" w:firstLine="0"/>
      </w:pPr>
      <w:rPr>
        <w:rFonts w:hint="default"/>
      </w:rPr>
    </w:lvl>
    <w:lvl w:ilvl="6">
      <w:start w:val="1"/>
      <w:numFmt w:val="lowerRoman"/>
      <w:lvlText w:val="(%7)"/>
      <w:lvlJc w:val="left"/>
      <w:pPr>
        <w:tabs>
          <w:tab w:val="num" w:pos="3960"/>
        </w:tabs>
        <w:ind w:left="3600" w:firstLine="0"/>
      </w:pPr>
      <w:rPr>
        <w:rFonts w:hint="default"/>
      </w:rPr>
    </w:lvl>
    <w:lvl w:ilvl="7">
      <w:start w:val="1"/>
      <w:numFmt w:val="lowerLetter"/>
      <w:lvlText w:val="(%8)"/>
      <w:lvlJc w:val="left"/>
      <w:pPr>
        <w:tabs>
          <w:tab w:val="num" w:pos="4680"/>
        </w:tabs>
        <w:ind w:left="4320" w:firstLine="0"/>
      </w:pPr>
      <w:rPr>
        <w:rFonts w:hint="default"/>
      </w:rPr>
    </w:lvl>
    <w:lvl w:ilvl="8">
      <w:start w:val="1"/>
      <w:numFmt w:val="lowerRoman"/>
      <w:lvlText w:val="(%9)"/>
      <w:lvlJc w:val="left"/>
      <w:pPr>
        <w:tabs>
          <w:tab w:val="num" w:pos="5400"/>
        </w:tabs>
        <w:ind w:left="5040" w:firstLine="0"/>
      </w:pPr>
      <w:rPr>
        <w:rFonts w:hint="default"/>
      </w:rPr>
    </w:lvl>
  </w:abstractNum>
  <w:num w:numId="1">
    <w:abstractNumId w:val="2"/>
  </w:num>
  <w:num w:numId="2">
    <w:abstractNumId w:val="8"/>
  </w:num>
  <w:num w:numId="3">
    <w:abstractNumId w:val="0"/>
  </w:num>
  <w:num w:numId="4">
    <w:abstractNumId w:val="4"/>
  </w:num>
  <w:num w:numId="5">
    <w:abstractNumId w:val="3"/>
  </w:num>
  <w:num w:numId="6">
    <w:abstractNumId w:val="5"/>
  </w:num>
  <w:num w:numId="7">
    <w:abstractNumId w:val="1"/>
  </w:num>
  <w:num w:numId="8">
    <w:abstractNumId w:val="7"/>
  </w:num>
  <w:num w:numId="9">
    <w:abstractNumId w:val="8"/>
  </w:num>
  <w:num w:numId="10">
    <w:abstractNumId w:val="2"/>
  </w:num>
  <w:num w:numId="11">
    <w:abstractNumId w:val="2"/>
  </w:num>
  <w:num w:numId="12">
    <w:abstractNumId w:val="4"/>
  </w:num>
  <w:num w:numId="13">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drawingGridHorizontalSpacing w:val="12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B4B"/>
    <w:rsid w:val="00015E05"/>
    <w:rsid w:val="00033E44"/>
    <w:rsid w:val="00047D1E"/>
    <w:rsid w:val="0006608D"/>
    <w:rsid w:val="000660F7"/>
    <w:rsid w:val="000804F7"/>
    <w:rsid w:val="0008109B"/>
    <w:rsid w:val="000A06D8"/>
    <w:rsid w:val="000B6729"/>
    <w:rsid w:val="000C0FDD"/>
    <w:rsid w:val="000D3CF2"/>
    <w:rsid w:val="000D7126"/>
    <w:rsid w:val="000E144B"/>
    <w:rsid w:val="000F5AC3"/>
    <w:rsid w:val="000F6BF4"/>
    <w:rsid w:val="001252F7"/>
    <w:rsid w:val="001301FC"/>
    <w:rsid w:val="0016216D"/>
    <w:rsid w:val="001A419B"/>
    <w:rsid w:val="001B1257"/>
    <w:rsid w:val="001C79E0"/>
    <w:rsid w:val="001C7DF0"/>
    <w:rsid w:val="001D6B81"/>
    <w:rsid w:val="001F2587"/>
    <w:rsid w:val="00205FD8"/>
    <w:rsid w:val="00216E1D"/>
    <w:rsid w:val="002170BD"/>
    <w:rsid w:val="00223544"/>
    <w:rsid w:val="002240F0"/>
    <w:rsid w:val="00232F27"/>
    <w:rsid w:val="0023312D"/>
    <w:rsid w:val="00256405"/>
    <w:rsid w:val="0025702D"/>
    <w:rsid w:val="00263502"/>
    <w:rsid w:val="002741AA"/>
    <w:rsid w:val="00291E53"/>
    <w:rsid w:val="00294599"/>
    <w:rsid w:val="00294972"/>
    <w:rsid w:val="002A0BB0"/>
    <w:rsid w:val="002A4181"/>
    <w:rsid w:val="002D6344"/>
    <w:rsid w:val="002F1A70"/>
    <w:rsid w:val="002F3580"/>
    <w:rsid w:val="0031706F"/>
    <w:rsid w:val="00333B52"/>
    <w:rsid w:val="00335B79"/>
    <w:rsid w:val="00337934"/>
    <w:rsid w:val="003464B9"/>
    <w:rsid w:val="00362F97"/>
    <w:rsid w:val="00372C89"/>
    <w:rsid w:val="00373242"/>
    <w:rsid w:val="003737DA"/>
    <w:rsid w:val="00386AEA"/>
    <w:rsid w:val="003A0CCC"/>
    <w:rsid w:val="003B3A3C"/>
    <w:rsid w:val="003C7EB0"/>
    <w:rsid w:val="003D51F6"/>
    <w:rsid w:val="003E4F35"/>
    <w:rsid w:val="003E798D"/>
    <w:rsid w:val="0040615A"/>
    <w:rsid w:val="004160ED"/>
    <w:rsid w:val="00416A7F"/>
    <w:rsid w:val="00426263"/>
    <w:rsid w:val="00433639"/>
    <w:rsid w:val="00433747"/>
    <w:rsid w:val="00434045"/>
    <w:rsid w:val="00437715"/>
    <w:rsid w:val="004401F2"/>
    <w:rsid w:val="00440BA6"/>
    <w:rsid w:val="00461303"/>
    <w:rsid w:val="00471096"/>
    <w:rsid w:val="00474CDC"/>
    <w:rsid w:val="00486398"/>
    <w:rsid w:val="004A2167"/>
    <w:rsid w:val="004A6C72"/>
    <w:rsid w:val="004D2A20"/>
    <w:rsid w:val="004E46BE"/>
    <w:rsid w:val="004F04B4"/>
    <w:rsid w:val="005214DE"/>
    <w:rsid w:val="005351BB"/>
    <w:rsid w:val="005513F5"/>
    <w:rsid w:val="00551A7C"/>
    <w:rsid w:val="00561823"/>
    <w:rsid w:val="0057046B"/>
    <w:rsid w:val="005735FB"/>
    <w:rsid w:val="005834D9"/>
    <w:rsid w:val="005A26ED"/>
    <w:rsid w:val="005A4E91"/>
    <w:rsid w:val="005E07CB"/>
    <w:rsid w:val="00613877"/>
    <w:rsid w:val="00641610"/>
    <w:rsid w:val="00647FD7"/>
    <w:rsid w:val="00652638"/>
    <w:rsid w:val="00654364"/>
    <w:rsid w:val="00654FB8"/>
    <w:rsid w:val="0065669A"/>
    <w:rsid w:val="00656B93"/>
    <w:rsid w:val="00665AC8"/>
    <w:rsid w:val="00687FD4"/>
    <w:rsid w:val="006A0F54"/>
    <w:rsid w:val="006A6649"/>
    <w:rsid w:val="006A7DEC"/>
    <w:rsid w:val="006B5EB6"/>
    <w:rsid w:val="006D0059"/>
    <w:rsid w:val="006E3A9E"/>
    <w:rsid w:val="006F4DE9"/>
    <w:rsid w:val="00705639"/>
    <w:rsid w:val="007143A7"/>
    <w:rsid w:val="007144A0"/>
    <w:rsid w:val="0071518A"/>
    <w:rsid w:val="007403C1"/>
    <w:rsid w:val="00745338"/>
    <w:rsid w:val="00755599"/>
    <w:rsid w:val="007635B0"/>
    <w:rsid w:val="007705C3"/>
    <w:rsid w:val="00770B8F"/>
    <w:rsid w:val="0078496D"/>
    <w:rsid w:val="007861F6"/>
    <w:rsid w:val="007A516A"/>
    <w:rsid w:val="007C4B16"/>
    <w:rsid w:val="007C5A5A"/>
    <w:rsid w:val="007C7616"/>
    <w:rsid w:val="007D3B5C"/>
    <w:rsid w:val="007E1A3B"/>
    <w:rsid w:val="007F09FD"/>
    <w:rsid w:val="007F12F1"/>
    <w:rsid w:val="00802CAF"/>
    <w:rsid w:val="0080307B"/>
    <w:rsid w:val="00811D3E"/>
    <w:rsid w:val="008138CA"/>
    <w:rsid w:val="00854314"/>
    <w:rsid w:val="008672B2"/>
    <w:rsid w:val="00874049"/>
    <w:rsid w:val="00876241"/>
    <w:rsid w:val="00877A31"/>
    <w:rsid w:val="00882932"/>
    <w:rsid w:val="008955A7"/>
    <w:rsid w:val="0089614A"/>
    <w:rsid w:val="008A1F1C"/>
    <w:rsid w:val="008C2709"/>
    <w:rsid w:val="008E2AA6"/>
    <w:rsid w:val="008F79E3"/>
    <w:rsid w:val="00906697"/>
    <w:rsid w:val="00913242"/>
    <w:rsid w:val="009142E2"/>
    <w:rsid w:val="00914FEF"/>
    <w:rsid w:val="00917E9E"/>
    <w:rsid w:val="0092497E"/>
    <w:rsid w:val="0093191E"/>
    <w:rsid w:val="009530BA"/>
    <w:rsid w:val="00954FE6"/>
    <w:rsid w:val="00956C5A"/>
    <w:rsid w:val="00964A6F"/>
    <w:rsid w:val="009B5881"/>
    <w:rsid w:val="009C2B84"/>
    <w:rsid w:val="009C3196"/>
    <w:rsid w:val="009C55AE"/>
    <w:rsid w:val="009D4D4B"/>
    <w:rsid w:val="009D5318"/>
    <w:rsid w:val="009E0FA5"/>
    <w:rsid w:val="009E380E"/>
    <w:rsid w:val="009F0B57"/>
    <w:rsid w:val="00A10C11"/>
    <w:rsid w:val="00A177DC"/>
    <w:rsid w:val="00A2144A"/>
    <w:rsid w:val="00A23FB5"/>
    <w:rsid w:val="00A26603"/>
    <w:rsid w:val="00A40A8F"/>
    <w:rsid w:val="00A51468"/>
    <w:rsid w:val="00A8729C"/>
    <w:rsid w:val="00A94A38"/>
    <w:rsid w:val="00AA5F65"/>
    <w:rsid w:val="00AA60B5"/>
    <w:rsid w:val="00AB50B9"/>
    <w:rsid w:val="00B122D9"/>
    <w:rsid w:val="00B272EF"/>
    <w:rsid w:val="00B401AD"/>
    <w:rsid w:val="00B70C76"/>
    <w:rsid w:val="00B73D35"/>
    <w:rsid w:val="00BC18D5"/>
    <w:rsid w:val="00BC42BF"/>
    <w:rsid w:val="00BC7893"/>
    <w:rsid w:val="00BF1655"/>
    <w:rsid w:val="00BF6222"/>
    <w:rsid w:val="00BF74E6"/>
    <w:rsid w:val="00C01232"/>
    <w:rsid w:val="00C04385"/>
    <w:rsid w:val="00C24BCC"/>
    <w:rsid w:val="00C307D4"/>
    <w:rsid w:val="00C354DA"/>
    <w:rsid w:val="00C41313"/>
    <w:rsid w:val="00C46FC1"/>
    <w:rsid w:val="00C563F8"/>
    <w:rsid w:val="00C905CE"/>
    <w:rsid w:val="00CB0C80"/>
    <w:rsid w:val="00CB2B74"/>
    <w:rsid w:val="00CC12EC"/>
    <w:rsid w:val="00CD0EDD"/>
    <w:rsid w:val="00CD6A65"/>
    <w:rsid w:val="00CE67EC"/>
    <w:rsid w:val="00CE7EFD"/>
    <w:rsid w:val="00CF2EAE"/>
    <w:rsid w:val="00CF60A8"/>
    <w:rsid w:val="00D0538E"/>
    <w:rsid w:val="00D06381"/>
    <w:rsid w:val="00D36F1C"/>
    <w:rsid w:val="00D413A7"/>
    <w:rsid w:val="00D45175"/>
    <w:rsid w:val="00D54B49"/>
    <w:rsid w:val="00D6691E"/>
    <w:rsid w:val="00D75B4B"/>
    <w:rsid w:val="00D918AD"/>
    <w:rsid w:val="00D97970"/>
    <w:rsid w:val="00DB3F2A"/>
    <w:rsid w:val="00DB4F91"/>
    <w:rsid w:val="00DD0453"/>
    <w:rsid w:val="00DE0B4D"/>
    <w:rsid w:val="00DF713F"/>
    <w:rsid w:val="00E06AB1"/>
    <w:rsid w:val="00E145BF"/>
    <w:rsid w:val="00E1649E"/>
    <w:rsid w:val="00E2623D"/>
    <w:rsid w:val="00E2726C"/>
    <w:rsid w:val="00E4081D"/>
    <w:rsid w:val="00E51CE1"/>
    <w:rsid w:val="00E85DA1"/>
    <w:rsid w:val="00E87C1B"/>
    <w:rsid w:val="00E92B29"/>
    <w:rsid w:val="00E931CE"/>
    <w:rsid w:val="00E9727E"/>
    <w:rsid w:val="00EB319E"/>
    <w:rsid w:val="00EC6075"/>
    <w:rsid w:val="00EE216B"/>
    <w:rsid w:val="00EE3775"/>
    <w:rsid w:val="00EE3DB6"/>
    <w:rsid w:val="00EE7A88"/>
    <w:rsid w:val="00EF42FB"/>
    <w:rsid w:val="00F0271E"/>
    <w:rsid w:val="00F11A46"/>
    <w:rsid w:val="00F120B8"/>
    <w:rsid w:val="00F16F9C"/>
    <w:rsid w:val="00F27A6C"/>
    <w:rsid w:val="00F31CD7"/>
    <w:rsid w:val="00F42365"/>
    <w:rsid w:val="00F55538"/>
    <w:rsid w:val="00F6498B"/>
    <w:rsid w:val="00F70548"/>
    <w:rsid w:val="00F80680"/>
    <w:rsid w:val="00F81E5E"/>
    <w:rsid w:val="00F8381D"/>
    <w:rsid w:val="00F9143B"/>
    <w:rsid w:val="00F932EB"/>
    <w:rsid w:val="00FA39BF"/>
    <w:rsid w:val="00FB729C"/>
    <w:rsid w:val="00FC25A6"/>
    <w:rsid w:val="00FC673D"/>
    <w:rsid w:val="00FD65CD"/>
    <w:rsid w:val="00FF32B8"/>
    <w:rsid w:val="00FF78A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B058CFA"/>
  <w15:chartTrackingRefBased/>
  <w15:docId w15:val="{DD3CC3BA-8C65-4E1A-AB2E-4C6053D14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4"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iPriority="8"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A4181"/>
    <w:pPr>
      <w:spacing w:line="264" w:lineRule="auto"/>
    </w:pPr>
    <w:rPr>
      <w:sz w:val="24"/>
      <w:szCs w:val="24"/>
    </w:rPr>
  </w:style>
  <w:style w:type="paragraph" w:styleId="Heading1">
    <w:name w:val="heading 1"/>
    <w:aliases w:val="Main Section,Section title"/>
    <w:basedOn w:val="Normal"/>
    <w:next w:val="Normal"/>
    <w:link w:val="Heading1Char"/>
    <w:qFormat/>
    <w:rsid w:val="0016216D"/>
    <w:pPr>
      <w:keepNext/>
      <w:numPr>
        <w:numId w:val="2"/>
      </w:numPr>
      <w:spacing w:after="240"/>
      <w:jc w:val="center"/>
      <w:outlineLvl w:val="0"/>
    </w:pPr>
    <w:rPr>
      <w:rFonts w:cs="Arial"/>
      <w:b/>
      <w:bCs/>
      <w:smallCaps/>
      <w:kern w:val="28"/>
      <w:szCs w:val="32"/>
    </w:rPr>
  </w:style>
  <w:style w:type="paragraph" w:styleId="Heading2">
    <w:name w:val="heading 2"/>
    <w:aliases w:val="Kop"/>
    <w:basedOn w:val="Normal"/>
    <w:next w:val="Normal"/>
    <w:link w:val="Heading2Char"/>
    <w:uiPriority w:val="4"/>
    <w:qFormat/>
    <w:rsid w:val="0016216D"/>
    <w:pPr>
      <w:keepNext/>
      <w:numPr>
        <w:ilvl w:val="1"/>
        <w:numId w:val="2"/>
      </w:numPr>
      <w:spacing w:after="240"/>
      <w:jc w:val="center"/>
      <w:outlineLvl w:val="1"/>
    </w:pPr>
    <w:rPr>
      <w:rFonts w:cs="Arial"/>
      <w:b/>
      <w:bCs/>
      <w:iCs/>
      <w:szCs w:val="28"/>
    </w:rPr>
  </w:style>
  <w:style w:type="paragraph" w:styleId="Heading3">
    <w:name w:val="heading 3"/>
    <w:basedOn w:val="Normal"/>
    <w:next w:val="Normal"/>
    <w:link w:val="Heading3Char"/>
    <w:qFormat/>
    <w:rsid w:val="0016216D"/>
    <w:pPr>
      <w:keepNext/>
      <w:spacing w:after="240"/>
      <w:outlineLvl w:val="2"/>
    </w:pPr>
    <w:rPr>
      <w:rFonts w:ascii="Cambria" w:hAnsi="Cambria"/>
      <w:b/>
      <w:bCs/>
      <w:sz w:val="26"/>
      <w:szCs w:val="26"/>
    </w:rPr>
  </w:style>
  <w:style w:type="paragraph" w:styleId="Heading4">
    <w:name w:val="heading 4"/>
    <w:basedOn w:val="Normal"/>
    <w:next w:val="Normal"/>
    <w:link w:val="Heading4Char"/>
    <w:qFormat/>
    <w:rsid w:val="0016216D"/>
    <w:pPr>
      <w:keepNext/>
      <w:spacing w:after="240"/>
      <w:outlineLvl w:val="3"/>
    </w:pPr>
    <w:rPr>
      <w:rFonts w:ascii="Calibri" w:hAnsi="Calibri"/>
      <w:b/>
      <w:bCs/>
      <w:sz w:val="28"/>
      <w:szCs w:val="28"/>
    </w:rPr>
  </w:style>
  <w:style w:type="paragraph" w:styleId="Heading5">
    <w:name w:val="heading 5"/>
    <w:basedOn w:val="Normal"/>
    <w:next w:val="Normal"/>
    <w:link w:val="Heading5Char"/>
    <w:qFormat/>
    <w:rsid w:val="0016216D"/>
    <w:pPr>
      <w:keepNext/>
      <w:spacing w:after="240"/>
      <w:outlineLvl w:val="4"/>
    </w:pPr>
    <w:rPr>
      <w:rFonts w:ascii="Calibri" w:hAnsi="Calibri"/>
      <w:b/>
      <w:bCs/>
      <w:i/>
      <w:iCs/>
      <w:sz w:val="26"/>
      <w:szCs w:val="26"/>
    </w:rPr>
  </w:style>
  <w:style w:type="paragraph" w:styleId="Heading6">
    <w:name w:val="heading 6"/>
    <w:basedOn w:val="Normal"/>
    <w:next w:val="Normal"/>
    <w:link w:val="Heading6Char"/>
    <w:qFormat/>
    <w:rsid w:val="0016216D"/>
    <w:pPr>
      <w:outlineLvl w:val="5"/>
    </w:pPr>
    <w:rPr>
      <w:rFonts w:ascii="Calibri" w:hAnsi="Calibri"/>
      <w:b/>
      <w:bCs/>
      <w:sz w:val="22"/>
      <w:szCs w:val="22"/>
    </w:rPr>
  </w:style>
  <w:style w:type="paragraph" w:styleId="Heading7">
    <w:name w:val="heading 7"/>
    <w:basedOn w:val="Normal"/>
    <w:next w:val="Normal"/>
    <w:link w:val="Heading7Char"/>
    <w:qFormat/>
    <w:rsid w:val="0016216D"/>
    <w:pPr>
      <w:outlineLvl w:val="6"/>
    </w:pPr>
    <w:rPr>
      <w:rFonts w:ascii="Calibri" w:hAnsi="Calibri"/>
    </w:rPr>
  </w:style>
  <w:style w:type="paragraph" w:styleId="Heading8">
    <w:name w:val="heading 8"/>
    <w:basedOn w:val="Normal"/>
    <w:next w:val="Normal"/>
    <w:link w:val="Heading8Char"/>
    <w:qFormat/>
    <w:rsid w:val="0016216D"/>
    <w:pPr>
      <w:outlineLvl w:val="7"/>
    </w:pPr>
    <w:rPr>
      <w:rFonts w:ascii="Calibri" w:hAnsi="Calibri"/>
      <w:i/>
      <w:iCs/>
    </w:rPr>
  </w:style>
  <w:style w:type="paragraph" w:styleId="Heading9">
    <w:name w:val="heading 9"/>
    <w:basedOn w:val="Normal"/>
    <w:next w:val="Normal"/>
    <w:link w:val="Heading9Char"/>
    <w:qFormat/>
    <w:rsid w:val="0016216D"/>
    <w:pPr>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Main Section Char,Section title Char"/>
    <w:link w:val="Heading1"/>
    <w:rsid w:val="0016216D"/>
    <w:rPr>
      <w:rFonts w:cs="Arial"/>
      <w:b/>
      <w:bCs/>
      <w:smallCaps/>
      <w:kern w:val="28"/>
      <w:sz w:val="24"/>
      <w:szCs w:val="32"/>
    </w:rPr>
  </w:style>
  <w:style w:type="character" w:customStyle="1" w:styleId="Heading2Char">
    <w:name w:val="Heading 2 Char"/>
    <w:aliases w:val="Kop Char"/>
    <w:link w:val="Heading2"/>
    <w:uiPriority w:val="4"/>
    <w:rsid w:val="0016216D"/>
    <w:rPr>
      <w:rFonts w:cs="Arial"/>
      <w:b/>
      <w:bCs/>
      <w:iCs/>
      <w:sz w:val="24"/>
      <w:szCs w:val="28"/>
    </w:rPr>
  </w:style>
  <w:style w:type="character" w:customStyle="1" w:styleId="Heading3Char">
    <w:name w:val="Heading 3 Char"/>
    <w:link w:val="Heading3"/>
    <w:rsid w:val="0016216D"/>
    <w:rPr>
      <w:rFonts w:ascii="Cambria" w:eastAsia="Times New Roman" w:hAnsi="Cambria"/>
      <w:b/>
      <w:bCs/>
      <w:sz w:val="26"/>
      <w:szCs w:val="26"/>
    </w:rPr>
  </w:style>
  <w:style w:type="character" w:customStyle="1" w:styleId="Heading4Char">
    <w:name w:val="Heading 4 Char"/>
    <w:link w:val="Heading4"/>
    <w:rsid w:val="0016216D"/>
    <w:rPr>
      <w:rFonts w:ascii="Calibri" w:eastAsia="Times New Roman" w:hAnsi="Calibri" w:cs="Times New Roman"/>
      <w:b/>
      <w:bCs/>
      <w:sz w:val="28"/>
      <w:szCs w:val="28"/>
    </w:rPr>
  </w:style>
  <w:style w:type="character" w:customStyle="1" w:styleId="Heading5Char">
    <w:name w:val="Heading 5 Char"/>
    <w:link w:val="Heading5"/>
    <w:rsid w:val="0016216D"/>
    <w:rPr>
      <w:rFonts w:ascii="Calibri" w:eastAsia="Times New Roman" w:hAnsi="Calibri" w:cs="Times New Roman"/>
      <w:b/>
      <w:bCs/>
      <w:i/>
      <w:iCs/>
      <w:sz w:val="26"/>
      <w:szCs w:val="26"/>
    </w:rPr>
  </w:style>
  <w:style w:type="character" w:customStyle="1" w:styleId="Heading6Char">
    <w:name w:val="Heading 6 Char"/>
    <w:link w:val="Heading6"/>
    <w:rsid w:val="0016216D"/>
    <w:rPr>
      <w:rFonts w:ascii="Calibri" w:eastAsia="Times New Roman" w:hAnsi="Calibri" w:cs="Times New Roman"/>
      <w:b/>
      <w:bCs/>
      <w:sz w:val="22"/>
      <w:szCs w:val="22"/>
    </w:rPr>
  </w:style>
  <w:style w:type="character" w:customStyle="1" w:styleId="Heading7Char">
    <w:name w:val="Heading 7 Char"/>
    <w:link w:val="Heading7"/>
    <w:rsid w:val="0016216D"/>
    <w:rPr>
      <w:rFonts w:ascii="Calibri" w:eastAsia="Times New Roman" w:hAnsi="Calibri" w:cs="Times New Roman"/>
      <w:sz w:val="24"/>
      <w:szCs w:val="24"/>
    </w:rPr>
  </w:style>
  <w:style w:type="character" w:customStyle="1" w:styleId="Heading8Char">
    <w:name w:val="Heading 8 Char"/>
    <w:link w:val="Heading8"/>
    <w:rsid w:val="0016216D"/>
    <w:rPr>
      <w:rFonts w:ascii="Calibri" w:eastAsia="Times New Roman" w:hAnsi="Calibri" w:cs="Times New Roman"/>
      <w:i/>
      <w:iCs/>
      <w:sz w:val="24"/>
      <w:szCs w:val="24"/>
    </w:rPr>
  </w:style>
  <w:style w:type="character" w:customStyle="1" w:styleId="Heading9Char">
    <w:name w:val="Heading 9 Char"/>
    <w:link w:val="Heading9"/>
    <w:rsid w:val="0016216D"/>
    <w:rPr>
      <w:rFonts w:ascii="Cambria" w:eastAsia="Times New Roman" w:hAnsi="Cambria"/>
      <w:sz w:val="22"/>
      <w:szCs w:val="22"/>
    </w:rPr>
  </w:style>
  <w:style w:type="paragraph" w:styleId="Caption">
    <w:name w:val="caption"/>
    <w:basedOn w:val="Normal"/>
    <w:next w:val="Normal"/>
    <w:qFormat/>
    <w:rsid w:val="0016216D"/>
    <w:pPr>
      <w:spacing w:before="120" w:after="120"/>
      <w:ind w:left="1440" w:hanging="1440"/>
      <w:jc w:val="both"/>
    </w:pPr>
    <w:rPr>
      <w:rFonts w:ascii="Times New Roman Bold" w:hAnsi="Times New Roman Bold"/>
      <w:b/>
      <w:sz w:val="22"/>
      <w:szCs w:val="20"/>
    </w:rPr>
  </w:style>
  <w:style w:type="paragraph" w:styleId="Title">
    <w:name w:val="Title"/>
    <w:basedOn w:val="Normal"/>
    <w:link w:val="TitleChar"/>
    <w:qFormat/>
    <w:rsid w:val="0016216D"/>
    <w:pPr>
      <w:spacing w:before="240" w:after="60"/>
      <w:jc w:val="center"/>
      <w:outlineLvl w:val="0"/>
    </w:pPr>
    <w:rPr>
      <w:rFonts w:ascii="Cambria" w:hAnsi="Cambria"/>
      <w:b/>
      <w:bCs/>
      <w:kern w:val="28"/>
      <w:sz w:val="32"/>
      <w:szCs w:val="32"/>
    </w:rPr>
  </w:style>
  <w:style w:type="character" w:customStyle="1" w:styleId="TitleChar">
    <w:name w:val="Title Char"/>
    <w:link w:val="Title"/>
    <w:rsid w:val="0016216D"/>
    <w:rPr>
      <w:rFonts w:ascii="Cambria" w:eastAsia="Times New Roman" w:hAnsi="Cambria"/>
      <w:b/>
      <w:bCs/>
      <w:kern w:val="28"/>
      <w:sz w:val="32"/>
      <w:szCs w:val="32"/>
    </w:rPr>
  </w:style>
  <w:style w:type="character" w:styleId="Emphasis">
    <w:name w:val="Emphasis"/>
    <w:qFormat/>
    <w:rsid w:val="0016216D"/>
    <w:rPr>
      <w:i/>
      <w:iCs/>
    </w:rPr>
  </w:style>
  <w:style w:type="character" w:styleId="FootnoteReference">
    <w:name w:val="footnote reference"/>
    <w:aliases w:val="Footnote Reference Number,Footnote Reference_LVL6,Footnote Reference_LVL61,Footnote Reference_LVL62,Footnote Reference_LVL63,Footnote Reference_LVL64,fr,C26 Footnote Number,Footnote symbol,Footnote Reference_LVL65,Footnote Reference1"/>
    <w:link w:val="CharChar1CharCharCharChar1CharCharCharCharCharCharCharChar"/>
    <w:uiPriority w:val="99"/>
    <w:qFormat/>
    <w:rsid w:val="002A4181"/>
    <w:rPr>
      <w:sz w:val="20"/>
      <w:vertAlign w:val="superscript"/>
    </w:rPr>
  </w:style>
  <w:style w:type="paragraph" w:customStyle="1" w:styleId="Outline">
    <w:name w:val="Outline"/>
    <w:basedOn w:val="Normal"/>
    <w:rsid w:val="002A4181"/>
    <w:pPr>
      <w:spacing w:before="240" w:line="240" w:lineRule="auto"/>
    </w:pPr>
    <w:rPr>
      <w:kern w:val="28"/>
      <w:szCs w:val="20"/>
    </w:rPr>
  </w:style>
  <w:style w:type="paragraph" w:styleId="FootnoteText">
    <w:name w:val="footnote text"/>
    <w:aliases w:val="Footnote Text Char Char Char Char Char Char,fn,Footnote Text Char1,Footnote Text Char Char,Footnote,Fußnote,single space,footnote text,FOOTNOTES,Testo_note,Testo_note1,Testo_note2,Footnote Text Char3 Char,FSR footnote,f,ft,stile 1,Fußnot"/>
    <w:basedOn w:val="Normal"/>
    <w:link w:val="FootnoteTextChar"/>
    <w:uiPriority w:val="99"/>
    <w:unhideWhenUsed/>
    <w:qFormat/>
    <w:rsid w:val="002A4181"/>
    <w:rPr>
      <w:sz w:val="20"/>
      <w:szCs w:val="20"/>
    </w:rPr>
  </w:style>
  <w:style w:type="character" w:customStyle="1" w:styleId="FootnoteTextChar">
    <w:name w:val="Footnote Text Char"/>
    <w:aliases w:val="Footnote Text Char Char Char Char Char Char Char,fn Char,Footnote Text Char1 Char,Footnote Text Char Char Char,Footnote Char,Fußnote Char,single space Char,footnote text Char,FOOTNOTES Char,Testo_note Char,Testo_note1 Char,f Char"/>
    <w:basedOn w:val="DefaultParagraphFont"/>
    <w:link w:val="FootnoteText"/>
    <w:uiPriority w:val="99"/>
    <w:rsid w:val="002A4181"/>
  </w:style>
  <w:style w:type="paragraph" w:customStyle="1" w:styleId="Appendix">
    <w:name w:val="Appendix"/>
    <w:basedOn w:val="Normal"/>
    <w:rsid w:val="00854314"/>
    <w:pPr>
      <w:spacing w:line="240" w:lineRule="auto"/>
      <w:jc w:val="center"/>
    </w:pPr>
    <w:rPr>
      <w:b/>
    </w:rPr>
  </w:style>
  <w:style w:type="paragraph" w:styleId="Header">
    <w:name w:val="header"/>
    <w:basedOn w:val="Normal"/>
    <w:link w:val="HeaderChar"/>
    <w:uiPriority w:val="99"/>
    <w:rsid w:val="00854314"/>
    <w:pPr>
      <w:tabs>
        <w:tab w:val="center" w:pos="4320"/>
        <w:tab w:val="right" w:pos="8640"/>
      </w:tabs>
      <w:spacing w:line="240" w:lineRule="auto"/>
    </w:pPr>
  </w:style>
  <w:style w:type="character" w:customStyle="1" w:styleId="HeaderChar">
    <w:name w:val="Header Char"/>
    <w:link w:val="Header"/>
    <w:uiPriority w:val="99"/>
    <w:rsid w:val="00854314"/>
    <w:rPr>
      <w:sz w:val="24"/>
      <w:szCs w:val="24"/>
    </w:rPr>
  </w:style>
  <w:style w:type="paragraph" w:styleId="Footer">
    <w:name w:val="footer"/>
    <w:basedOn w:val="Normal"/>
    <w:link w:val="FooterChar"/>
    <w:uiPriority w:val="99"/>
    <w:unhideWhenUsed/>
    <w:rsid w:val="00CD6A65"/>
    <w:pPr>
      <w:tabs>
        <w:tab w:val="center" w:pos="4680"/>
        <w:tab w:val="right" w:pos="9360"/>
      </w:tabs>
    </w:pPr>
  </w:style>
  <w:style w:type="character" w:customStyle="1" w:styleId="FooterChar">
    <w:name w:val="Footer Char"/>
    <w:link w:val="Footer"/>
    <w:uiPriority w:val="99"/>
    <w:rsid w:val="00CD6A65"/>
    <w:rPr>
      <w:sz w:val="24"/>
      <w:szCs w:val="24"/>
    </w:rPr>
  </w:style>
  <w:style w:type="paragraph" w:customStyle="1" w:styleId="ParagraphNumbering">
    <w:name w:val="Paragraph Numbering"/>
    <w:basedOn w:val="Normal"/>
    <w:link w:val="ParagraphNumberingChar"/>
    <w:uiPriority w:val="1"/>
    <w:qFormat/>
    <w:rsid w:val="00CD6A65"/>
    <w:pPr>
      <w:numPr>
        <w:numId w:val="1"/>
      </w:numPr>
      <w:spacing w:after="240" w:line="240" w:lineRule="auto"/>
    </w:pPr>
  </w:style>
  <w:style w:type="paragraph" w:styleId="ListBullet">
    <w:name w:val="List Bullet"/>
    <w:aliases w:val="List Bullet Char1,List Bullet Char Char,List Bullet Char1 Char Char,List Bullet Char Char1 Char Char,List Bullet Char2 Char Char Char Char,List Bullet Char1 Char Char Char Char Char,List Bullet Char Char Char Char Char Char Char,List Bullet "/>
    <w:basedOn w:val="Normal"/>
    <w:uiPriority w:val="1"/>
    <w:qFormat/>
    <w:rsid w:val="00CD6A65"/>
    <w:pPr>
      <w:numPr>
        <w:numId w:val="3"/>
      </w:numPr>
      <w:spacing w:after="240" w:line="240" w:lineRule="auto"/>
    </w:pPr>
  </w:style>
  <w:style w:type="paragraph" w:styleId="Index7">
    <w:name w:val="index 7"/>
    <w:basedOn w:val="Normal"/>
    <w:next w:val="Normal"/>
    <w:uiPriority w:val="8"/>
    <w:rsid w:val="0025702D"/>
    <w:pPr>
      <w:spacing w:line="300" w:lineRule="exact"/>
      <w:ind w:left="1680" w:hanging="240"/>
    </w:pPr>
    <w:rPr>
      <w:rFonts w:ascii="Segoe UI" w:eastAsia="MS Mincho" w:hAnsi="Segoe UI"/>
      <w:sz w:val="21"/>
    </w:rPr>
  </w:style>
  <w:style w:type="character" w:customStyle="1" w:styleId="ParagraphNumberingChar">
    <w:name w:val="Paragraph Numbering Char"/>
    <w:link w:val="ParagraphNumbering"/>
    <w:uiPriority w:val="1"/>
    <w:locked/>
    <w:rsid w:val="0025702D"/>
    <w:rPr>
      <w:sz w:val="24"/>
      <w:szCs w:val="24"/>
    </w:rPr>
  </w:style>
  <w:style w:type="character" w:styleId="CommentReference">
    <w:name w:val="annotation reference"/>
    <w:uiPriority w:val="99"/>
    <w:unhideWhenUsed/>
    <w:rsid w:val="0025702D"/>
    <w:rPr>
      <w:sz w:val="16"/>
      <w:szCs w:val="16"/>
    </w:rPr>
  </w:style>
  <w:style w:type="paragraph" w:styleId="CommentText">
    <w:name w:val="annotation text"/>
    <w:basedOn w:val="Normal"/>
    <w:link w:val="CommentTextChar"/>
    <w:uiPriority w:val="99"/>
    <w:unhideWhenUsed/>
    <w:rsid w:val="0025702D"/>
    <w:pPr>
      <w:spacing w:line="240" w:lineRule="auto"/>
    </w:pPr>
    <w:rPr>
      <w:rFonts w:ascii="Segoe UI" w:eastAsia="MS Mincho" w:hAnsi="Segoe UI"/>
      <w:sz w:val="20"/>
      <w:szCs w:val="20"/>
    </w:rPr>
  </w:style>
  <w:style w:type="character" w:customStyle="1" w:styleId="CommentTextChar">
    <w:name w:val="Comment Text Char"/>
    <w:link w:val="CommentText"/>
    <w:uiPriority w:val="99"/>
    <w:rsid w:val="0025702D"/>
    <w:rPr>
      <w:rFonts w:ascii="Segoe UI" w:eastAsia="MS Mincho" w:hAnsi="Segoe UI"/>
    </w:rPr>
  </w:style>
  <w:style w:type="paragraph" w:styleId="BalloonText">
    <w:name w:val="Balloon Text"/>
    <w:basedOn w:val="Normal"/>
    <w:link w:val="BalloonTextChar"/>
    <w:uiPriority w:val="99"/>
    <w:semiHidden/>
    <w:unhideWhenUsed/>
    <w:rsid w:val="0025702D"/>
    <w:pPr>
      <w:spacing w:line="240" w:lineRule="auto"/>
    </w:pPr>
    <w:rPr>
      <w:rFonts w:ascii="Segoe UI" w:hAnsi="Segoe UI" w:cs="Segoe UI"/>
      <w:sz w:val="18"/>
      <w:szCs w:val="18"/>
    </w:rPr>
  </w:style>
  <w:style w:type="character" w:customStyle="1" w:styleId="BalloonTextChar">
    <w:name w:val="Balloon Text Char"/>
    <w:link w:val="BalloonText"/>
    <w:uiPriority w:val="99"/>
    <w:semiHidden/>
    <w:rsid w:val="0025702D"/>
    <w:rPr>
      <w:rFonts w:ascii="Segoe UI" w:hAnsi="Segoe UI" w:cs="Segoe UI"/>
      <w:sz w:val="18"/>
      <w:szCs w:val="18"/>
    </w:rPr>
  </w:style>
  <w:style w:type="table" w:styleId="TableGrid">
    <w:name w:val="Table Grid"/>
    <w:basedOn w:val="TableNormal"/>
    <w:rsid w:val="00C01232"/>
    <w:rPr>
      <w:rFonts w:eastAsia="MS Minch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Char1CharCharCharChar1CharCharCharCharCharCharCharChar">
    <w:name w:val="Char Char1 Char Char Char Char1 Char Char Char Char Char Char Char Char"/>
    <w:aliases w:val="Char Char1 Char Char Char Char1 Char Char Char Char Char Char Char Char Char Char Char Char"/>
    <w:basedOn w:val="Normal"/>
    <w:next w:val="Normal"/>
    <w:link w:val="FootnoteReference"/>
    <w:uiPriority w:val="99"/>
    <w:rsid w:val="00C01232"/>
    <w:pPr>
      <w:spacing w:after="160" w:line="240" w:lineRule="exact"/>
    </w:pPr>
    <w:rPr>
      <w:sz w:val="20"/>
      <w:szCs w:val="20"/>
      <w:vertAlign w:val="superscript"/>
    </w:rPr>
  </w:style>
  <w:style w:type="paragraph" w:styleId="ListParagraph">
    <w:name w:val="List Paragraph"/>
    <w:aliases w:val="List Paragraph 1,References,lp1,ReferencesCxSpLast,Numbered List Paragraph,Bullets,List Paragraph (numbered (a)),Title Style 1,Medium Grid 1 - Accent 21,List Paragraph1,Use Case List Paragraph,NUMBERED PARAGRAPH,Numbered Paragraph,SLIKE"/>
    <w:basedOn w:val="Normal"/>
    <w:link w:val="ListParagraphChar"/>
    <w:uiPriority w:val="34"/>
    <w:qFormat/>
    <w:rsid w:val="003E4F35"/>
    <w:pPr>
      <w:spacing w:line="300" w:lineRule="exact"/>
      <w:ind w:left="720"/>
      <w:contextualSpacing/>
    </w:pPr>
    <w:rPr>
      <w:rFonts w:ascii="Segoe UI" w:eastAsia="MS Mincho" w:hAnsi="Segoe UI"/>
      <w:sz w:val="21"/>
    </w:rPr>
  </w:style>
  <w:style w:type="character" w:customStyle="1" w:styleId="ListParagraphChar">
    <w:name w:val="List Paragraph Char"/>
    <w:aliases w:val="List Paragraph 1 Char,References Char,lp1 Char,ReferencesCxSpLast Char,Numbered List Paragraph Char,Bullets Char,List Paragraph (numbered (a)) Char,Title Style 1 Char,Medium Grid 1 - Accent 21 Char,List Paragraph1 Char,SLIKE Char"/>
    <w:link w:val="ListParagraph"/>
    <w:uiPriority w:val="1"/>
    <w:qFormat/>
    <w:locked/>
    <w:rsid w:val="003E4F35"/>
    <w:rPr>
      <w:rFonts w:ascii="Segoe UI" w:eastAsia="MS Mincho" w:hAnsi="Segoe UI"/>
      <w:sz w:val="21"/>
      <w:szCs w:val="24"/>
    </w:rPr>
  </w:style>
  <w:style w:type="character" w:styleId="Hyperlink">
    <w:name w:val="Hyperlink"/>
    <w:uiPriority w:val="99"/>
    <w:rsid w:val="003E4F35"/>
    <w:rPr>
      <w:color w:val="0000FF"/>
      <w:u w:val="single"/>
    </w:rPr>
  </w:style>
  <w:style w:type="paragraph" w:customStyle="1" w:styleId="AnnexAppendixTitle">
    <w:name w:val="Annex/Appendix Title"/>
    <w:next w:val="Normal"/>
    <w:uiPriority w:val="5"/>
    <w:qFormat/>
    <w:rsid w:val="00291E53"/>
    <w:pPr>
      <w:spacing w:after="240" w:line="400" w:lineRule="exact"/>
      <w:jc w:val="center"/>
    </w:pPr>
    <w:rPr>
      <w:rFonts w:ascii="Segoe UI" w:eastAsia="MS Mincho" w:hAnsi="Segoe UI"/>
      <w:b/>
      <w:color w:val="4B82AD"/>
      <w:sz w:val="32"/>
      <w:szCs w:val="24"/>
    </w:rPr>
  </w:style>
  <w:style w:type="paragraph" w:customStyle="1" w:styleId="TableParagraph">
    <w:name w:val="Table Paragraph"/>
    <w:basedOn w:val="Normal"/>
    <w:uiPriority w:val="1"/>
    <w:qFormat/>
    <w:rsid w:val="00291E53"/>
    <w:pPr>
      <w:widowControl w:val="0"/>
      <w:spacing w:line="240" w:lineRule="auto"/>
    </w:pPr>
    <w:rPr>
      <w:rFonts w:ascii="Calibri" w:eastAsia="Calibri" w:hAnsi="Calibri" w:cs="Arial"/>
      <w:sz w:val="22"/>
      <w:szCs w:val="22"/>
    </w:rPr>
  </w:style>
  <w:style w:type="paragraph" w:styleId="TOCHeading">
    <w:name w:val="TOC Heading"/>
    <w:basedOn w:val="Heading1"/>
    <w:next w:val="Normal"/>
    <w:uiPriority w:val="39"/>
    <w:unhideWhenUsed/>
    <w:qFormat/>
    <w:rsid w:val="00EE216B"/>
    <w:pPr>
      <w:keepLines/>
      <w:numPr>
        <w:numId w:val="0"/>
      </w:numPr>
      <w:spacing w:before="240" w:after="0" w:line="259" w:lineRule="auto"/>
      <w:jc w:val="left"/>
      <w:outlineLvl w:val="9"/>
    </w:pPr>
    <w:rPr>
      <w:rFonts w:ascii="Calibri Light" w:hAnsi="Calibri Light" w:cs="Times New Roman"/>
      <w:b w:val="0"/>
      <w:bCs w:val="0"/>
      <w:smallCaps w:val="0"/>
      <w:color w:val="2F5496"/>
      <w:kern w:val="0"/>
      <w:sz w:val="32"/>
    </w:rPr>
  </w:style>
  <w:style w:type="paragraph" w:styleId="TOC1">
    <w:name w:val="toc 1"/>
    <w:basedOn w:val="Normal"/>
    <w:next w:val="Normal"/>
    <w:autoRedefine/>
    <w:uiPriority w:val="39"/>
    <w:unhideWhenUsed/>
    <w:rsid w:val="00EE216B"/>
  </w:style>
  <w:style w:type="paragraph" w:styleId="TOC2">
    <w:name w:val="toc 2"/>
    <w:basedOn w:val="Normal"/>
    <w:next w:val="Normal"/>
    <w:autoRedefine/>
    <w:uiPriority w:val="39"/>
    <w:unhideWhenUsed/>
    <w:rsid w:val="00263502"/>
    <w:pPr>
      <w:tabs>
        <w:tab w:val="right" w:leader="dot" w:pos="8990"/>
      </w:tabs>
      <w:ind w:left="240"/>
    </w:pPr>
  </w:style>
  <w:style w:type="paragraph" w:styleId="CommentSubject">
    <w:name w:val="annotation subject"/>
    <w:basedOn w:val="CommentText"/>
    <w:next w:val="CommentText"/>
    <w:link w:val="CommentSubjectChar"/>
    <w:uiPriority w:val="99"/>
    <w:semiHidden/>
    <w:unhideWhenUsed/>
    <w:rsid w:val="000804F7"/>
    <w:pPr>
      <w:spacing w:line="264" w:lineRule="auto"/>
    </w:pPr>
    <w:rPr>
      <w:rFonts w:ascii="Times New Roman" w:eastAsia="Times New Roman" w:hAnsi="Times New Roman"/>
      <w:b/>
      <w:bCs/>
    </w:rPr>
  </w:style>
  <w:style w:type="character" w:customStyle="1" w:styleId="CommentSubjectChar">
    <w:name w:val="Comment Subject Char"/>
    <w:link w:val="CommentSubject"/>
    <w:uiPriority w:val="99"/>
    <w:semiHidden/>
    <w:rsid w:val="000804F7"/>
    <w:rPr>
      <w:rFonts w:ascii="Segoe UI" w:eastAsia="MS Mincho" w:hAnsi="Segoe UI"/>
      <w:b/>
      <w:bCs/>
    </w:rPr>
  </w:style>
  <w:style w:type="paragraph" w:styleId="TableofFigures">
    <w:name w:val="table of figures"/>
    <w:basedOn w:val="Normal"/>
    <w:next w:val="Normal"/>
    <w:uiPriority w:val="99"/>
    <w:unhideWhenUsed/>
    <w:rsid w:val="001252F7"/>
  </w:style>
  <w:style w:type="paragraph" w:styleId="Revision">
    <w:name w:val="Revision"/>
    <w:hidden/>
    <w:uiPriority w:val="99"/>
    <w:semiHidden/>
    <w:rsid w:val="00C41313"/>
    <w:rPr>
      <w:sz w:val="24"/>
      <w:szCs w:val="24"/>
    </w:rPr>
  </w:style>
  <w:style w:type="paragraph" w:customStyle="1" w:styleId="Superscript6Point">
    <w:name w:val="Superscript 6 Point"/>
    <w:aliases w:val="Odwołanie przypisu,footnote ref,2001+ Fußnotenzeichen,Exposant 3 Point,number,Ref,de nota al pie"/>
    <w:basedOn w:val="Normal"/>
    <w:uiPriority w:val="99"/>
    <w:rsid w:val="001F2587"/>
    <w:pPr>
      <w:spacing w:after="160" w:line="240" w:lineRule="exact"/>
      <w:jc w:val="both"/>
    </w:pPr>
    <w:rPr>
      <w:rFonts w:eastAsia="MS Mincho"/>
      <w:sz w:val="20"/>
      <w:szCs w:val="20"/>
      <w:vertAlign w:val="superscript"/>
    </w:rPr>
  </w:style>
  <w:style w:type="character" w:customStyle="1" w:styleId="display-inline-block">
    <w:name w:val="display-inline-block"/>
    <w:basedOn w:val="DefaultParagraphFont"/>
    <w:rsid w:val="00D06381"/>
  </w:style>
  <w:style w:type="paragraph" w:customStyle="1" w:styleId="Default">
    <w:name w:val="Default"/>
    <w:rsid w:val="00433747"/>
    <w:pPr>
      <w:autoSpaceDE w:val="0"/>
      <w:autoSpaceDN w:val="0"/>
      <w:adjustRightInd w:val="0"/>
    </w:pPr>
    <w:rPr>
      <w:rFonts w:ascii="Arial" w:eastAsia="MS Mincho" w:hAnsi="Arial" w:cs="Arial"/>
      <w:color w:val="000000"/>
      <w:sz w:val="24"/>
      <w:szCs w:val="24"/>
    </w:rPr>
  </w:style>
  <w:style w:type="table" w:customStyle="1" w:styleId="TableGrid1">
    <w:name w:val="Table Grid1"/>
    <w:basedOn w:val="TableNormal"/>
    <w:next w:val="TableGrid"/>
    <w:rsid w:val="005A26ED"/>
    <w:rPr>
      <w:rFonts w:eastAsia="MS Mincho"/>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5963068">
      <w:bodyDiv w:val="1"/>
      <w:marLeft w:val="0"/>
      <w:marRight w:val="0"/>
      <w:marTop w:val="0"/>
      <w:marBottom w:val="0"/>
      <w:divBdr>
        <w:top w:val="none" w:sz="0" w:space="0" w:color="auto"/>
        <w:left w:val="none" w:sz="0" w:space="0" w:color="auto"/>
        <w:bottom w:val="none" w:sz="0" w:space="0" w:color="auto"/>
        <w:right w:val="none" w:sz="0" w:space="0" w:color="auto"/>
      </w:divBdr>
    </w:div>
    <w:div w:id="1667048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notes" Target="footnotes.xml"/><Relationship Id="rId18" Type="http://schemas.openxmlformats.org/officeDocument/2006/relationships/image" Target="media/image3.emf"/><Relationship Id="rId26" Type="http://schemas.openxmlformats.org/officeDocument/2006/relationships/image" Target="media/image11.emf"/><Relationship Id="rId3" Type="http://schemas.openxmlformats.org/officeDocument/2006/relationships/customXml" Target="../customXml/item3.xml"/><Relationship Id="rId21" Type="http://schemas.openxmlformats.org/officeDocument/2006/relationships/image" Target="media/image6.emf"/><Relationship Id="rId34"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image" Target="media/image2.emf"/><Relationship Id="rId25" Type="http://schemas.openxmlformats.org/officeDocument/2006/relationships/image" Target="media/image10.emf"/><Relationship Id="rId33"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image" Target="media/image1.emf"/><Relationship Id="rId20" Type="http://schemas.openxmlformats.org/officeDocument/2006/relationships/image" Target="media/image5.emf"/><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image" Target="media/image9.emf"/><Relationship Id="rId32" Type="http://schemas.openxmlformats.org/officeDocument/2006/relationships/header" Target="header5.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image" Target="media/image8.emf"/><Relationship Id="rId28" Type="http://schemas.openxmlformats.org/officeDocument/2006/relationships/header" Target="header2.xml"/><Relationship Id="rId10" Type="http://schemas.openxmlformats.org/officeDocument/2006/relationships/styles" Target="styles.xml"/><Relationship Id="rId19" Type="http://schemas.openxmlformats.org/officeDocument/2006/relationships/image" Target="media/image4.emf"/><Relationship Id="rId31" Type="http://schemas.openxmlformats.org/officeDocument/2006/relationships/header" Target="header4.xml"/><Relationship Id="rId35" Type="http://schemas.openxmlformats.org/officeDocument/2006/relationships/theme" Target="theme/theme1.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image" Target="media/image7.emf"/><Relationship Id="rId27" Type="http://schemas.openxmlformats.org/officeDocument/2006/relationships/image" Target="media/image12.emf"/><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LongProperties xmlns="http://schemas.microsoft.com/office/2006/metadata/long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Document" ma:contentTypeID="0x0101008B7ED80168BFC54D8B2E9A470A96603D" ma:contentTypeVersion="45" ma:contentTypeDescription="Create a new document." ma:contentTypeScope="" ma:versionID="38c2de9177496bdeb6b9a8a295d8fb78">
  <xsd:schema xmlns:xsd="http://www.w3.org/2001/XMLSchema" xmlns:xs="http://www.w3.org/2001/XMLSchema" xmlns:p="http://schemas.microsoft.com/office/2006/metadata/properties" xmlns:ns2="abd7fad0-8e9a-4f24-82a0-e4a690a7a66d" xmlns:ns3="1e565efc-c76f-4e3a-ad62-733aa42cc28d" targetNamespace="http://schemas.microsoft.com/office/2006/metadata/properties" ma:root="true" ma:fieldsID="eff62f07c07240f8e86c9970edfe3ff0" ns2:_="" ns3:_="">
    <xsd:import namespace="abd7fad0-8e9a-4f24-82a0-e4a690a7a66d"/>
    <xsd:import namespace="1e565efc-c76f-4e3a-ad62-733aa42cc28d"/>
    <xsd:element name="properties">
      <xsd:complexType>
        <xsd:sequence>
          <xsd:element name="documentManagement">
            <xsd:complexType>
              <xsd:all>
                <xsd:element ref="ns2:_dlc_DocId" minOccurs="0"/>
                <xsd:element ref="ns2:_dlc_DocIdUrl" minOccurs="0"/>
                <xsd:element ref="ns2:_dlc_DocIdPersistId" minOccurs="0"/>
                <xsd:element ref="ns3:AccessToInfoComments" minOccurs="0"/>
                <xsd:element ref="ns3:Archive" minOccurs="0"/>
                <xsd:element ref="ns3:ArchivedDate" minOccurs="0"/>
                <xsd:element ref="ns3:Board_x0020_Document_x0020_Number" minOccurs="0"/>
                <xsd:element ref="ns3:Board_x0020_Meeting_x0020_Date" minOccurs="0"/>
                <xsd:element ref="ns3:Closing_x0020_Date" minOccurs="0"/>
                <xsd:element ref="ns3:Country_x0020_Region" minOccurs="0"/>
                <xsd:element ref="ns3:DocumentDate" minOccurs="0"/>
                <xsd:element ref="ns3:Project_x0020_ID" minOccurs="0"/>
                <xsd:element ref="ns3:RejectedDate" minOccurs="0"/>
                <xsd:element ref="ns3:RejectedDocuments" minOccurs="0"/>
                <xsd:element ref="ns3:Report_x0020_Number" minOccurs="0"/>
                <xsd:element ref="ns3:RObjectID" minOccurs="0"/>
                <xsd:element ref="ns3:Sec_x0020_Organization" minOccurs="0"/>
                <xsd:element ref="ns3:unid" minOccurs="0"/>
                <xsd:element ref="ns3:Document_x0020_Type" minOccurs="0"/>
                <xsd:element ref="ns3:Bank_x0020_Group_x0020_Institution" minOccurs="0"/>
                <xsd:element ref="ns3:Board_x0020_Meeting_x0020_Type" minOccurs="0"/>
                <xsd:element ref="ns3:Other_x0020_Meeting_x0020_Date" minOccurs="0"/>
                <xsd:element ref="ns3:Volume_x0020_No" minOccurs="0"/>
                <xsd:element ref="ns3:Volume_x0020_Title" minOccurs="0"/>
                <xsd:element ref="ns3:Version_x0020_Type" minOccurs="0"/>
                <xsd:element ref="ns3:Language" minOccurs="0"/>
                <xsd:element ref="ns3:Disclosure_x0020_Date" minOccurs="0"/>
                <xsd:element ref="ns3:Disclosure_x0020_Type" minOccurs="0"/>
                <xsd:element ref="ns3:UpdateEntityID" minOccurs="0"/>
                <xsd:element ref="ns3:UpdateEntityName" minOccurs="0"/>
                <xsd:element ref="ns3:ReportDate" minOccurs="0"/>
                <xsd:element ref="ns3:PublicClassificationDecidedby" minOccurs="0"/>
                <xsd:element ref="ns3:Disclosure_x0020_Status" minOccurs="0"/>
                <xsd:element ref="ns3:Unit_x0020_Owning_x0020_or_x0020_Responsible" minOccurs="0"/>
                <xsd:element ref="ns3:Information_x0020_Classification" minOccurs="0"/>
                <xsd:element ref="ns3:ImageBankURL" minOccurs="0"/>
                <xsd:element ref="ns3:IsImageBankURLUpdated" minOccurs="0"/>
                <xsd:element ref="ns3:ServiceContentURL" minOccurs="0"/>
                <xsd:element ref="ns3:IsRepublished" minOccurs="0"/>
                <xsd:element ref="ns3:ArchiveButtonClick" minOccurs="0"/>
                <xsd:element ref="ns3:RejectionComments" minOccurs="0"/>
                <xsd:element ref="ns3:InfolitePublishedDate" minOccurs="0"/>
                <xsd:element ref="ns3:BOSWBdocsWebService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d7fad0-8e9a-4f24-82a0-e4a690a7a66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e565efc-c76f-4e3a-ad62-733aa42cc28d" elementFormDefault="qualified">
    <xsd:import namespace="http://schemas.microsoft.com/office/2006/documentManagement/types"/>
    <xsd:import namespace="http://schemas.microsoft.com/office/infopath/2007/PartnerControls"/>
    <xsd:element name="AccessToInfoComments" ma:index="11" nillable="true" ma:displayName="AccessToInfoComments" ma:internalName="AccessToInfoComments">
      <xsd:simpleType>
        <xsd:restriction base="dms:Text">
          <xsd:maxLength value="255"/>
        </xsd:restriction>
      </xsd:simpleType>
    </xsd:element>
    <xsd:element name="Archive" ma:index="12" nillable="true" ma:displayName="Archive" ma:default="0" ma:internalName="Archive">
      <xsd:simpleType>
        <xsd:restriction base="dms:Boolean"/>
      </xsd:simpleType>
    </xsd:element>
    <xsd:element name="ArchivedDate" ma:index="13" nillable="true" ma:displayName="ArchivedDate" ma:format="DateOnly" ma:internalName="ArchivedDate">
      <xsd:simpleType>
        <xsd:restriction base="dms:DateTime"/>
      </xsd:simpleType>
    </xsd:element>
    <xsd:element name="Board_x0020_Document_x0020_Number" ma:index="14" nillable="true" ma:displayName="Board Document Number" ma:internalName="Board_x0020_Document_x0020_Number">
      <xsd:simpleType>
        <xsd:restriction base="dms:Text">
          <xsd:maxLength value="255"/>
        </xsd:restriction>
      </xsd:simpleType>
    </xsd:element>
    <xsd:element name="Board_x0020_Meeting_x0020_Date" ma:index="15" nillable="true" ma:displayName="Board Meeting Date" ma:format="DateOnly" ma:internalName="Board_x0020_Meeting_x0020_Date">
      <xsd:simpleType>
        <xsd:restriction base="dms:DateTime"/>
      </xsd:simpleType>
    </xsd:element>
    <xsd:element name="Closing_x0020_Date" ma:index="16" nillable="true" ma:displayName="Closing Date" ma:format="DateOnly" ma:internalName="Closing_x0020_Date">
      <xsd:simpleType>
        <xsd:restriction base="dms:DateTime"/>
      </xsd:simpleType>
    </xsd:element>
    <xsd:element name="Country_x0020_Region" ma:index="17" nillable="true" ma:displayName="Country Region" ma:internalName="Country_x0020_Region">
      <xsd:simpleType>
        <xsd:restriction base="dms:Text">
          <xsd:maxLength value="255"/>
        </xsd:restriction>
      </xsd:simpleType>
    </xsd:element>
    <xsd:element name="DocumentDate" ma:index="18" nillable="true" ma:displayName="DocumentDate" ma:format="DateOnly" ma:internalName="DocumentDate">
      <xsd:simpleType>
        <xsd:restriction base="dms:DateTime"/>
      </xsd:simpleType>
    </xsd:element>
    <xsd:element name="Project_x0020_ID" ma:index="19" nillable="true" ma:displayName="Project ID" ma:internalName="Project_x0020_ID">
      <xsd:simpleType>
        <xsd:restriction base="dms:Text">
          <xsd:maxLength value="255"/>
        </xsd:restriction>
      </xsd:simpleType>
    </xsd:element>
    <xsd:element name="RejectedDate" ma:index="20" nillable="true" ma:displayName="RejectedDate" ma:format="DateOnly" ma:internalName="RejectedDate">
      <xsd:simpleType>
        <xsd:restriction base="dms:DateTime"/>
      </xsd:simpleType>
    </xsd:element>
    <xsd:element name="RejectedDocuments" ma:index="21" nillable="true" ma:displayName="RejectedDocuments" ma:default="0" ma:internalName="RejectedDocuments">
      <xsd:simpleType>
        <xsd:restriction base="dms:Boolean"/>
      </xsd:simpleType>
    </xsd:element>
    <xsd:element name="Report_x0020_Number" ma:index="22" nillable="true" ma:displayName="Report Number" ma:internalName="Report_x0020_Number">
      <xsd:simpleType>
        <xsd:restriction base="dms:Text">
          <xsd:maxLength value="255"/>
        </xsd:restriction>
      </xsd:simpleType>
    </xsd:element>
    <xsd:element name="RObjectID" ma:index="23" nillable="true" ma:displayName="RObjectID" ma:internalName="RObjectID">
      <xsd:simpleType>
        <xsd:restriction base="dms:Text">
          <xsd:maxLength value="255"/>
        </xsd:restriction>
      </xsd:simpleType>
    </xsd:element>
    <xsd:element name="Sec_x0020_Organization" ma:index="24" nillable="true" ma:displayName="Sec Organization" ma:internalName="Sec_x0020_Organization">
      <xsd:simpleType>
        <xsd:restriction base="dms:Text">
          <xsd:maxLength value="255"/>
        </xsd:restriction>
      </xsd:simpleType>
    </xsd:element>
    <xsd:element name="unid" ma:index="25" nillable="true" ma:displayName="unid" ma:internalName="unid">
      <xsd:simpleType>
        <xsd:restriction base="dms:Text">
          <xsd:maxLength value="255"/>
        </xsd:restriction>
      </xsd:simpleType>
    </xsd:element>
    <xsd:element name="Document_x0020_Type" ma:index="26" nillable="true" ma:displayName="Document Type" ma:internalName="Document_x0020_Type">
      <xsd:simpleType>
        <xsd:restriction base="dms:Text">
          <xsd:maxLength value="255"/>
        </xsd:restriction>
      </xsd:simpleType>
    </xsd:element>
    <xsd:element name="Bank_x0020_Group_x0020_Institution" ma:index="27" nillable="true" ma:displayName="Bank Group Institution" ma:internalName="Bank_x0020_Group_x0020_Institution">
      <xsd:simpleType>
        <xsd:restriction base="dms:Text">
          <xsd:maxLength value="255"/>
        </xsd:restriction>
      </xsd:simpleType>
    </xsd:element>
    <xsd:element name="Board_x0020_Meeting_x0020_Type" ma:index="28" nillable="true" ma:displayName="Board Meeting Type" ma:internalName="Board_x0020_Meeting_x0020_Type">
      <xsd:simpleType>
        <xsd:restriction base="dms:Text">
          <xsd:maxLength value="255"/>
        </xsd:restriction>
      </xsd:simpleType>
    </xsd:element>
    <xsd:element name="Other_x0020_Meeting_x0020_Date" ma:index="29" nillable="true" ma:displayName="Other Meeting Date" ma:format="DateOnly" ma:internalName="Other_x0020_Meeting_x0020_Date">
      <xsd:simpleType>
        <xsd:restriction base="dms:DateTime"/>
      </xsd:simpleType>
    </xsd:element>
    <xsd:element name="Volume_x0020_No" ma:index="30" nillable="true" ma:displayName="Volume No" ma:internalName="Volume_x0020_No">
      <xsd:simpleType>
        <xsd:restriction base="dms:Text">
          <xsd:maxLength value="255"/>
        </xsd:restriction>
      </xsd:simpleType>
    </xsd:element>
    <xsd:element name="Volume_x0020_Title" ma:index="31" nillable="true" ma:displayName="Volume Title" ma:internalName="Volume_x0020_Title">
      <xsd:simpleType>
        <xsd:restriction base="dms:Text">
          <xsd:maxLength value="255"/>
        </xsd:restriction>
      </xsd:simpleType>
    </xsd:element>
    <xsd:element name="Version_x0020_Type" ma:index="32" nillable="true" ma:displayName="Version Type" ma:internalName="Version_x0020_Type">
      <xsd:simpleType>
        <xsd:restriction base="dms:Text">
          <xsd:maxLength value="255"/>
        </xsd:restriction>
      </xsd:simpleType>
    </xsd:element>
    <xsd:element name="Language" ma:index="33" nillable="true" ma:displayName="Language" ma:internalName="Language">
      <xsd:simpleType>
        <xsd:restriction base="dms:Text">
          <xsd:maxLength value="255"/>
        </xsd:restriction>
      </xsd:simpleType>
    </xsd:element>
    <xsd:element name="Disclosure_x0020_Date" ma:index="34" nillable="true" ma:displayName="Disclosure Date" ma:format="DateOnly" ma:internalName="Disclosure_x0020_Date">
      <xsd:simpleType>
        <xsd:restriction base="dms:DateTime"/>
      </xsd:simpleType>
    </xsd:element>
    <xsd:element name="Disclosure_x0020_Type" ma:index="35" nillable="true" ma:displayName="Disclosure Type" ma:internalName="Disclosure_x0020_Type">
      <xsd:simpleType>
        <xsd:restriction base="dms:Text">
          <xsd:maxLength value="255"/>
        </xsd:restriction>
      </xsd:simpleType>
    </xsd:element>
    <xsd:element name="UpdateEntityID" ma:index="36" nillable="true" ma:displayName="UpdateEntityID" ma:internalName="UpdateEntityID">
      <xsd:simpleType>
        <xsd:restriction base="dms:Text">
          <xsd:maxLength value="255"/>
        </xsd:restriction>
      </xsd:simpleType>
    </xsd:element>
    <xsd:element name="UpdateEntityName" ma:index="37" nillable="true" ma:displayName="UpdateEntityName" ma:internalName="UpdateEntityName">
      <xsd:simpleType>
        <xsd:restriction base="dms:Text">
          <xsd:maxLength value="255"/>
        </xsd:restriction>
      </xsd:simpleType>
    </xsd:element>
    <xsd:element name="ReportDate" ma:index="38" nillable="true" ma:displayName="ReportDate" ma:format="DateOnly" ma:internalName="ReportDate">
      <xsd:simpleType>
        <xsd:restriction base="dms:DateTime"/>
      </xsd:simpleType>
    </xsd:element>
    <xsd:element name="PublicClassificationDecidedby" ma:index="39" nillable="true" ma:displayName="PublicClassificationDecidedby" ma:internalName="PublicClassificationDecidedby">
      <xsd:simpleType>
        <xsd:restriction base="dms:Text">
          <xsd:maxLength value="255"/>
        </xsd:restriction>
      </xsd:simpleType>
    </xsd:element>
    <xsd:element name="Disclosure_x0020_Status" ma:index="40" nillable="true" ma:displayName="Disclosure Status" ma:internalName="Disclosure_x0020_Status">
      <xsd:simpleType>
        <xsd:restriction base="dms:Text">
          <xsd:maxLength value="255"/>
        </xsd:restriction>
      </xsd:simpleType>
    </xsd:element>
    <xsd:element name="Unit_x0020_Owning_x0020_or_x0020_Responsible" ma:index="41" nillable="true" ma:displayName="Unit Owning or Responsible" ma:internalName="Unit_x0020_Owning_x0020_or_x0020_Responsible">
      <xsd:simpleType>
        <xsd:restriction base="dms:Text">
          <xsd:maxLength value="255"/>
        </xsd:restriction>
      </xsd:simpleType>
    </xsd:element>
    <xsd:element name="Information_x0020_Classification" ma:index="42" nillable="true" ma:displayName="Information Classification" ma:internalName="Information_x0020_Classification">
      <xsd:simpleType>
        <xsd:restriction base="dms:Text">
          <xsd:maxLength value="255"/>
        </xsd:restriction>
      </xsd:simpleType>
    </xsd:element>
    <xsd:element name="ImageBankURL" ma:index="43" nillable="true" ma:displayName="ImageBankURL" ma:internalName="ImageBankURL">
      <xsd:simpleType>
        <xsd:restriction base="dms:Text">
          <xsd:maxLength value="255"/>
        </xsd:restriction>
      </xsd:simpleType>
    </xsd:element>
    <xsd:element name="IsImageBankURLUpdated" ma:index="44" nillable="true" ma:displayName="IsImageBankURLUpdated" ma:default="No" ma:internalName="IsImageBankURLUpdated">
      <xsd:simpleType>
        <xsd:restriction base="dms:Text">
          <xsd:maxLength value="255"/>
        </xsd:restriction>
      </xsd:simpleType>
    </xsd:element>
    <xsd:element name="ServiceContentURL" ma:index="45" nillable="true" ma:displayName="ServiceContentURL" ma:internalName="ServiceContentURL">
      <xsd:simpleType>
        <xsd:restriction base="dms:Text">
          <xsd:maxLength value="255"/>
        </xsd:restriction>
      </xsd:simpleType>
    </xsd:element>
    <xsd:element name="IsRepublished" ma:index="46" nillable="true" ma:displayName="IsRepublished" ma:default="No" ma:internalName="IsRepublished">
      <xsd:simpleType>
        <xsd:restriction base="dms:Text">
          <xsd:maxLength value="255"/>
        </xsd:restriction>
      </xsd:simpleType>
    </xsd:element>
    <xsd:element name="ArchiveButtonClick" ma:index="47" nillable="true" ma:displayName="ArchiveButtonClick" ma:default="0" ma:internalName="ArchiveButtonClick">
      <xsd:simpleType>
        <xsd:restriction base="dms:Boolean"/>
      </xsd:simpleType>
    </xsd:element>
    <xsd:element name="RejectionComments" ma:index="48" nillable="true" ma:displayName="RejectionComments" ma:internalName="RejectionComments">
      <xsd:simpleType>
        <xsd:restriction base="dms:Note">
          <xsd:maxLength value="255"/>
        </xsd:restriction>
      </xsd:simpleType>
    </xsd:element>
    <xsd:element name="InfolitePublishedDate" ma:index="49" nillable="true" ma:displayName="InfolitePublishedDate" ma:format="DateTime" ma:internalName="InfolitePublishedDate">
      <xsd:simpleType>
        <xsd:restriction base="dms:DateTime"/>
      </xsd:simpleType>
    </xsd:element>
    <xsd:element name="BOSWBdocsWebServiceStatus" ma:index="50" nillable="true" ma:displayName="BOSWBdocsWebServiceStatus" ma:internalName="BOSWBdocsWebServiceStatu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7.xml><?xml version="1.0" encoding="utf-8"?>
<p:properties xmlns:p="http://schemas.microsoft.com/office/2006/metadata/properties" xmlns:xsi="http://www.w3.org/2001/XMLSchema-instance" xmlns:pc="http://schemas.microsoft.com/office/infopath/2007/PartnerControls">
  <documentManagement>
    <_dlc_DocId xmlns="abd7fad0-8e9a-4f24-82a0-e4a690a7a66d">ECENTER-17-3272</_dlc_DocId>
    <_dlc_DocIdUrl xmlns="abd7fad0-8e9a-4f24-82a0-e4a690a7a66d">
      <Url>https://ispan.worldbank.org/sites/BOS/_layouts/15/DocIdRedir.aspx?ID=ECENTER-17-3272</Url>
      <Description>ECENTER-17-3272</Description>
    </_dlc_DocIdUrl>
    <DocumentDate xmlns="1e565efc-c76f-4e3a-ad62-733aa42cc28d">2018-07-17T04:00:00+00:00</DocumentDate>
    <unid xmlns="1e565efc-c76f-4e3a-ad62-733aa42cc28d">090224b085dca75e</unid>
    <Volume_x0020_Title xmlns="1e565efc-c76f-4e3a-ad62-733aa42cc28d">Romania - Financial Sector Assessment</Volume_x0020_Title>
    <Disclosure_x0020_Type xmlns="1e565efc-c76f-4e3a-ad62-733aa42cc28d" xsi:nil="true"/>
    <Unit_x0020_Owning_x0020_or_x0020_Responsible xmlns="1e565efc-c76f-4e3a-ad62-733aa42cc28d">GFCFS</Unit_x0020_Owning_x0020_or_x0020_Responsible>
    <BOSWBdocsWebServiceStatus xmlns="1e565efc-c76f-4e3a-ad62-733aa42cc28d">Success</BOSWBdocsWebServiceStatus>
    <RObjectID xmlns="1e565efc-c76f-4e3a-ad62-733aa42cc28d">090224b085dca75e</RObjectID>
    <Document_x0020_Type xmlns="1e565efc-c76f-4e3a-ad62-733aa42cc28d">Board Report</Document_x0020_Type>
    <Bank_x0020_Group_x0020_Institution xmlns="1e565efc-c76f-4e3a-ad62-733aa42cc28d">IBRD</Bank_x0020_Group_x0020_Institution>
    <Project_x0020_ID xmlns="1e565efc-c76f-4e3a-ad62-733aa42cc28d">P164039</Project_x0020_ID>
    <Report_x0020_Number xmlns="1e565efc-c76f-4e3a-ad62-733aa42cc28d" xsi:nil="true"/>
    <Other_x0020_Meeting_x0020_Date xmlns="1e565efc-c76f-4e3a-ad62-733aa42cc28d" xsi:nil="true"/>
    <Version_x0020_Type xmlns="1e565efc-c76f-4e3a-ad62-733aa42cc28d">Final</Version_x0020_Type>
    <Board_x0020_Document_x0020_Number xmlns="1e565efc-c76f-4e3a-ad62-733aa42cc28d">SecM2018-0237</Board_x0020_Document_x0020_Number>
    <Disclosure_x0020_Date xmlns="1e565efc-c76f-4e3a-ad62-733aa42cc28d">2018-07-29T04:00:00+00:00</Disclosure_x0020_Date>
    <Board_x0020_Meeting_x0020_Type xmlns="1e565efc-c76f-4e3a-ad62-733aa42cc28d">Board Meeting</Board_x0020_Meeting_x0020_Type>
    <UpdateEntityID xmlns="1e565efc-c76f-4e3a-ad62-733aa42cc28d">73044c35-f988-e811-9509-005056a48c92</UpdateEntityID>
    <ImageBankURL xmlns="1e565efc-c76f-4e3a-ad62-733aa42cc28d">https://hubs.worldbank.org/docs/imagebank/Pages/docProfile.aspx?nodeid=30277552</ImageBankURL>
    <RejectedDate xmlns="1e565efc-c76f-4e3a-ad62-733aa42cc28d" xsi:nil="true"/>
    <Sec_x0020_Organization xmlns="1e565efc-c76f-4e3a-ad62-733aa42cc28d" xsi:nil="true"/>
    <ReportDate xmlns="1e565efc-c76f-4e3a-ad62-733aa42cc28d" xsi:nil="true"/>
    <IsRepublished xmlns="1e565efc-c76f-4e3a-ad62-733aa42cc28d">Yes</IsRepublished>
    <InfolitePublishedDate xmlns="1e565efc-c76f-4e3a-ad62-733aa42cc28d">2018-07-20T18:34:58+00:00</InfolitePublishedDate>
    <Country_x0020_Region xmlns="1e565efc-c76f-4e3a-ad62-733aa42cc28d">Romania</Country_x0020_Region>
    <IsImageBankURLUpdated xmlns="1e565efc-c76f-4e3a-ad62-733aa42cc28d">Yes</IsImageBankURLUpdated>
    <UpdateEntityName xmlns="1e565efc-c76f-4e3a-ad62-733aa42cc28d">wbg_documentprofile</UpdateEntityName>
    <Disclosure_x0020_Status xmlns="1e565efc-c76f-4e3a-ad62-733aa42cc28d">Disclosed</Disclosure_x0020_Status>
    <RejectionComments xmlns="1e565efc-c76f-4e3a-ad62-733aa42cc28d" xsi:nil="true"/>
    <Language xmlns="1e565efc-c76f-4e3a-ad62-733aa42cc28d">English</Language>
    <Board_x0020_Meeting_x0020_Date xmlns="1e565efc-c76f-4e3a-ad62-733aa42cc28d" xsi:nil="true"/>
    <Archive xmlns="1e565efc-c76f-4e3a-ad62-733aa42cc28d">true</Archive>
    <ArchivedDate xmlns="1e565efc-c76f-4e3a-ad62-733aa42cc28d">2018-07-20T18:36:08+00:00</ArchivedDate>
    <PublicClassificationDecidedby xmlns="1e565efc-c76f-4e3a-ad62-733aa42cc28d">Elena P. Mekhova</PublicClassificationDecidedby>
    <ArchiveButtonClick xmlns="1e565efc-c76f-4e3a-ad62-733aa42cc28d">true</ArchiveButtonClick>
    <Information_x0020_Classification xmlns="1e565efc-c76f-4e3a-ad62-733aa42cc28d">Public</Information_x0020_Classification>
    <AccessToInfoComments xmlns="1e565efc-c76f-4e3a-ad62-733aa42cc28d">9. Deliberative;</AccessToInfoComments>
    <RejectedDocuments xmlns="1e565efc-c76f-4e3a-ad62-733aa42cc28d">false</RejectedDocuments>
    <ServiceContentURL xmlns="1e565efc-c76f-4e3a-ad62-733aa42cc28d">http://wbdocsservices.worldbank.org/services?I4_SERVICE=VC&amp;I4_KEY=090224b085dca75e&amp;I4_DOCID=090224b085dca75e</ServiceContentURL>
    <Closing_x0020_Date xmlns="1e565efc-c76f-4e3a-ad62-733aa42cc28d" xsi:nil="true"/>
    <Volume_x0020_No xmlns="1e565efc-c76f-4e3a-ad62-733aa42cc28d">1</Volume_x0020_No>
  </documentManagement>
</p:properti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772F35-3326-4615-A84B-FC36907F88C3}"/>
</file>

<file path=customXml/itemProps2.xml><?xml version="1.0" encoding="utf-8"?>
<ds:datastoreItem xmlns:ds="http://schemas.openxmlformats.org/officeDocument/2006/customXml" ds:itemID="{7EA2A8AB-627E-46F8-93CB-DB7E3E178FA7}"/>
</file>

<file path=customXml/itemProps3.xml><?xml version="1.0" encoding="utf-8"?>
<ds:datastoreItem xmlns:ds="http://schemas.openxmlformats.org/officeDocument/2006/customXml" ds:itemID="{DE490971-01C1-4B9D-AFFB-834A56E0FCE5}"/>
</file>

<file path=customXml/itemProps4.xml><?xml version="1.0" encoding="utf-8"?>
<ds:datastoreItem xmlns:ds="http://schemas.openxmlformats.org/officeDocument/2006/customXml" ds:itemID="{3A772F35-3326-4615-A84B-FC36907F88C3}">
  <ds:schemaRefs>
    <ds:schemaRef ds:uri="http://schemas.microsoft.com/office/2006/metadata/longProperties"/>
  </ds:schemaRefs>
</ds:datastoreItem>
</file>

<file path=customXml/itemProps5.xml><?xml version="1.0" encoding="utf-8"?>
<ds:datastoreItem xmlns:ds="http://schemas.openxmlformats.org/officeDocument/2006/customXml" ds:itemID="{F5496A5D-559D-4807-BA4F-1FB9C1CA863C}"/>
</file>

<file path=customXml/itemProps6.xml><?xml version="1.0" encoding="utf-8"?>
<ds:datastoreItem xmlns:ds="http://schemas.openxmlformats.org/officeDocument/2006/customXml" ds:itemID="{4EF31B14-0FD2-4325-B061-FD85707489E8}"/>
</file>

<file path=customXml/itemProps7.xml><?xml version="1.0" encoding="utf-8"?>
<ds:datastoreItem xmlns:ds="http://schemas.openxmlformats.org/officeDocument/2006/customXml" ds:itemID="{6E026E87-1639-472A-8CB7-0201F8877355}"/>
</file>

<file path=customXml/itemProps8.xml><?xml version="1.0" encoding="utf-8"?>
<ds:datastoreItem xmlns:ds="http://schemas.openxmlformats.org/officeDocument/2006/customXml" ds:itemID="{4EF31B14-0FD2-4325-B061-FD8570748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13518</Words>
  <Characters>77053</Characters>
  <Application>Microsoft Office Word</Application>
  <DocSecurity>0</DocSecurity>
  <Lines>642</Lines>
  <Paragraphs>180</Paragraphs>
  <ScaleCrop>false</ScaleCrop>
  <HeadingPairs>
    <vt:vector size="2" baseType="variant">
      <vt:variant>
        <vt:lpstr>Title</vt:lpstr>
      </vt:variant>
      <vt:variant>
        <vt:i4>1</vt:i4>
      </vt:variant>
    </vt:vector>
  </HeadingPairs>
  <TitlesOfParts>
    <vt:vector size="1" baseType="lpstr">
      <vt:lpstr>Aide-memoire a template for FSA</vt:lpstr>
    </vt:vector>
  </TitlesOfParts>
  <Company>The World Bank Group</Company>
  <LinksUpToDate>false</LinksUpToDate>
  <CharactersWithSpaces>90391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Romania - Financial Sector Assessment</dc:title>
  <dc:subject/>
  <dc:creator>Rafael Pardo</dc:creator>
  <cp:keywords/>
  <cp:lastModifiedBy>Elena P. Mekhova</cp:lastModifiedBy>
  <cp:revision>3</cp:revision>
  <cp:lastPrinted>2018-05-23T13:24:00Z</cp:lastPrinted>
  <dcterms:created xsi:type="dcterms:W3CDTF">2018-07-09T15:16:00Z</dcterms:created>
  <dcterms:modified xsi:type="dcterms:W3CDTF">2018-07-09T15:17:00Z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R64FSZTD24XA-16-2031</vt:lpwstr>
  </property>
  <property fmtid="{D5CDD505-2E9C-101B-9397-08002B2CF9AE}" pid="3" name="_dlc_DocIdItemGuid">
    <vt:lpwstr>4e197bd3-0962-4cee-8c76-6da00ccba5dc</vt:lpwstr>
  </property>
  <property fmtid="{D5CDD505-2E9C-101B-9397-08002B2CF9AE}" pid="4" name="_dlc_DocIdUrl">
    <vt:lpwstr>http://globalpractices.worldbank.org/finance/_layouts/15/DocIdRedir.aspx?ID=R64FSZTD24XA-16-2031, R64FSZTD24XA-16-2031</vt:lpwstr>
  </property>
  <property fmtid="{D5CDD505-2E9C-101B-9397-08002B2CF9AE}" pid="5" name="DocumentType">
    <vt:lpwstr>1086;#Models|d9406a33-9c82-4ef7-aeee-de4c282bdaf3</vt:lpwstr>
  </property>
  <property fmtid="{D5CDD505-2E9C-101B-9397-08002B2CF9AE}" pid="6" name="InformationClassification">
    <vt:lpwstr>3;#Official Use Only|4119b812-446b-4199-aebc-580c95bfd42a</vt:lpwstr>
  </property>
  <property fmtid="{D5CDD505-2E9C-101B-9397-08002B2CF9AE}" pid="7" name="TaxKeyword">
    <vt:lpwstr/>
  </property>
  <property fmtid="{D5CDD505-2E9C-101B-9397-08002B2CF9AE}" pid="8" name="Topic(s)">
    <vt:lpwstr/>
  </property>
  <property fmtid="{D5CDD505-2E9C-101B-9397-08002B2CF9AE}" pid="9" name="GeographicArea">
    <vt:lpwstr>1;#World|181f87ec-6d12-43c8-9f7a-dc47bc14aa64</vt:lpwstr>
  </property>
  <property fmtid="{D5CDD505-2E9C-101B-9397-08002B2CF9AE}" pid="10" name="ContentTypeId">
    <vt:lpwstr>0x0101008B7ED80168BFC54D8B2E9A470A96603D</vt:lpwstr>
  </property>
</Properties>
</file>