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8BF" w:rsidRDefault="007568BF" w:rsidP="007568BF">
      <w:pPr>
        <w:rPr>
          <w:rFonts w:ascii="Times New Roman" w:hAnsi="Times New Roman"/>
        </w:rPr>
      </w:pPr>
    </w:p>
    <w:tbl>
      <w:tblPr>
        <w:tblW w:w="1104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21"/>
        <w:gridCol w:w="110"/>
        <w:gridCol w:w="10711"/>
      </w:tblGrid>
      <w:tr w:rsidR="007568BF" w:rsidTr="00E01AA0">
        <w:tblPrEx>
          <w:tblCellMar>
            <w:top w:w="0" w:type="dxa"/>
            <w:bottom w:w="0" w:type="dxa"/>
          </w:tblCellMar>
        </w:tblPrEx>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rFonts w:ascii="Times New Roman" w:hAnsi="Times New Roman"/>
              </w:rPr>
            </w:pPr>
          </w:p>
        </w:tc>
        <w:tc>
          <w:tcPr>
            <w:tcW w:w="10780" w:type="dxa"/>
            <w:gridSpan w:val="2"/>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sz w:val="20"/>
                <w:szCs w:val="20"/>
              </w:rPr>
            </w:pPr>
            <w:r>
              <w:rPr>
                <w:sz w:val="20"/>
                <w:szCs w:val="20"/>
              </w:rPr>
              <w:t>Report No: ACS22319</w:t>
            </w:r>
          </w:p>
        </w:tc>
      </w:tr>
      <w:tr w:rsidR="007568BF" w:rsidTr="00E01AA0">
        <w:tblPrEx>
          <w:tblCellMar>
            <w:top w:w="0" w:type="dxa"/>
            <w:bottom w:w="0" w:type="dxa"/>
          </w:tblCellMar>
        </w:tblPrEx>
        <w:tc>
          <w:tcPr>
            <w:tcW w:w="11000" w:type="dxa"/>
            <w:gridSpan w:val="3"/>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rFonts w:ascii="Times" w:hAnsi="Times" w:cs="Times"/>
                <w:color w:val="FFFFFF"/>
                <w:sz w:val="10"/>
                <w:szCs w:val="10"/>
              </w:rPr>
            </w:pPr>
            <w:r>
              <w:rPr>
                <w:rFonts w:ascii="Times" w:hAnsi="Times" w:cs="Times"/>
                <w:color w:val="FFFFFF"/>
                <w:sz w:val="10"/>
                <w:szCs w:val="10"/>
              </w:rPr>
              <w:t>.</w:t>
            </w:r>
          </w:p>
        </w:tc>
      </w:tr>
      <w:tr w:rsidR="007568BF" w:rsidTr="00E01AA0">
        <w:tblPrEx>
          <w:tblCellMar>
            <w:top w:w="0" w:type="dxa"/>
            <w:bottom w:w="0" w:type="dxa"/>
          </w:tblCellMar>
        </w:tblPrEx>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rFonts w:ascii="Times New Roman" w:hAnsi="Times New Roman"/>
              </w:rPr>
            </w:pPr>
          </w:p>
        </w:tc>
        <w:tc>
          <w:tcPr>
            <w:tcW w:w="10780" w:type="dxa"/>
            <w:gridSpan w:val="2"/>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sz w:val="48"/>
                <w:szCs w:val="48"/>
              </w:rPr>
            </w:pPr>
            <w:r>
              <w:rPr>
                <w:sz w:val="48"/>
                <w:szCs w:val="48"/>
              </w:rPr>
              <w:t>Republic of Yemen</w:t>
            </w:r>
          </w:p>
        </w:tc>
      </w:tr>
      <w:tr w:rsidR="007568BF" w:rsidTr="00E01AA0">
        <w:tblPrEx>
          <w:tblCellMar>
            <w:top w:w="0" w:type="dxa"/>
            <w:bottom w:w="0" w:type="dxa"/>
          </w:tblCellMar>
        </w:tblPrEx>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rFonts w:ascii="Times New Roman" w:hAnsi="Times New Roman"/>
              </w:rPr>
            </w:pPr>
          </w:p>
        </w:tc>
        <w:tc>
          <w:tcPr>
            <w:tcW w:w="10780" w:type="dxa"/>
            <w:gridSpan w:val="2"/>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sz w:val="48"/>
                <w:szCs w:val="48"/>
              </w:rPr>
            </w:pPr>
            <w:r>
              <w:rPr>
                <w:sz w:val="48"/>
                <w:szCs w:val="48"/>
              </w:rPr>
              <w:t>Restoring and Expanding Energy Access</w:t>
            </w:r>
          </w:p>
        </w:tc>
      </w:tr>
      <w:tr w:rsidR="007568BF" w:rsidTr="00E01AA0">
        <w:tblPrEx>
          <w:tblCellMar>
            <w:top w:w="0" w:type="dxa"/>
            <w:bottom w:w="0" w:type="dxa"/>
          </w:tblCellMar>
        </w:tblPrEx>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rFonts w:ascii="Times New Roman" w:hAnsi="Times New Roman"/>
              </w:rPr>
            </w:pPr>
          </w:p>
        </w:tc>
        <w:tc>
          <w:tcPr>
            <w:tcW w:w="10780" w:type="dxa"/>
            <w:gridSpan w:val="2"/>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sz w:val="34"/>
                <w:szCs w:val="34"/>
              </w:rPr>
            </w:pPr>
            <w:r w:rsidRPr="00072FFC">
              <w:rPr>
                <w:sz w:val="34"/>
                <w:szCs w:val="34"/>
              </w:rPr>
              <w:t>Power Sector Reengagement Note</w:t>
            </w:r>
          </w:p>
        </w:tc>
      </w:tr>
      <w:tr w:rsidR="007568BF" w:rsidTr="00E01AA0">
        <w:tblPrEx>
          <w:tblCellMar>
            <w:top w:w="0" w:type="dxa"/>
            <w:bottom w:w="0" w:type="dxa"/>
          </w:tblCellMar>
        </w:tblPrEx>
        <w:tc>
          <w:tcPr>
            <w:tcW w:w="11000" w:type="dxa"/>
            <w:gridSpan w:val="3"/>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rFonts w:ascii="Times" w:hAnsi="Times" w:cs="Times"/>
                <w:color w:val="FFFFFF"/>
                <w:sz w:val="60"/>
                <w:szCs w:val="60"/>
              </w:rPr>
            </w:pPr>
            <w:r>
              <w:rPr>
                <w:rFonts w:ascii="Times" w:hAnsi="Times" w:cs="Times"/>
                <w:color w:val="FFFFFF"/>
                <w:sz w:val="60"/>
                <w:szCs w:val="60"/>
              </w:rPr>
              <w:t>.</w:t>
            </w:r>
          </w:p>
        </w:tc>
      </w:tr>
      <w:tr w:rsidR="007568BF" w:rsidTr="00E01AA0">
        <w:tblPrEx>
          <w:tblCellMar>
            <w:top w:w="0" w:type="dxa"/>
            <w:bottom w:w="0" w:type="dxa"/>
          </w:tblCellMar>
        </w:tblPrEx>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rFonts w:ascii="Times New Roman" w:hAnsi="Times New Roman"/>
              </w:rPr>
            </w:pPr>
          </w:p>
        </w:tc>
        <w:tc>
          <w:tcPr>
            <w:tcW w:w="10780" w:type="dxa"/>
            <w:gridSpan w:val="2"/>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sz w:val="20"/>
                <w:szCs w:val="20"/>
              </w:rPr>
            </w:pPr>
            <w:r>
              <w:rPr>
                <w:sz w:val="20"/>
                <w:szCs w:val="20"/>
              </w:rPr>
              <w:t>June 2, 2017</w:t>
            </w:r>
          </w:p>
        </w:tc>
      </w:tr>
      <w:tr w:rsidR="007568BF" w:rsidTr="00E01AA0">
        <w:tblPrEx>
          <w:tblCellMar>
            <w:top w:w="0" w:type="dxa"/>
            <w:bottom w:w="0" w:type="dxa"/>
          </w:tblCellMar>
        </w:tblPrEx>
        <w:tc>
          <w:tcPr>
            <w:tcW w:w="11000" w:type="dxa"/>
            <w:gridSpan w:val="3"/>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rFonts w:ascii="Times" w:hAnsi="Times" w:cs="Times"/>
                <w:color w:val="FFFFFF"/>
                <w:sz w:val="60"/>
                <w:szCs w:val="60"/>
              </w:rPr>
            </w:pPr>
            <w:r>
              <w:rPr>
                <w:rFonts w:ascii="Times" w:hAnsi="Times" w:cs="Times"/>
                <w:color w:val="FFFFFF"/>
                <w:sz w:val="60"/>
                <w:szCs w:val="60"/>
              </w:rPr>
              <w:t>.</w:t>
            </w:r>
          </w:p>
        </w:tc>
      </w:tr>
      <w:tr w:rsidR="007568BF" w:rsidTr="00E01AA0">
        <w:tblPrEx>
          <w:tblCellMar>
            <w:top w:w="0" w:type="dxa"/>
            <w:bottom w:w="0" w:type="dxa"/>
          </w:tblCellMar>
        </w:tblPrEx>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rFonts w:ascii="Times New Roman" w:hAnsi="Times New Roman"/>
              </w:rPr>
            </w:pPr>
          </w:p>
        </w:tc>
        <w:tc>
          <w:tcPr>
            <w:tcW w:w="10780" w:type="dxa"/>
            <w:gridSpan w:val="2"/>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sz w:val="20"/>
                <w:szCs w:val="20"/>
              </w:rPr>
            </w:pPr>
            <w:r>
              <w:rPr>
                <w:sz w:val="20"/>
                <w:szCs w:val="20"/>
              </w:rPr>
              <w:t>GEE05</w:t>
            </w:r>
          </w:p>
        </w:tc>
      </w:tr>
      <w:tr w:rsidR="007568BF" w:rsidTr="00E01AA0">
        <w:tblPrEx>
          <w:tblCellMar>
            <w:top w:w="0" w:type="dxa"/>
            <w:bottom w:w="0" w:type="dxa"/>
          </w:tblCellMar>
        </w:tblPrEx>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rFonts w:ascii="Times New Roman" w:hAnsi="Times New Roman"/>
              </w:rPr>
            </w:pPr>
          </w:p>
        </w:tc>
        <w:tc>
          <w:tcPr>
            <w:tcW w:w="10780" w:type="dxa"/>
            <w:gridSpan w:val="2"/>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sz w:val="20"/>
                <w:szCs w:val="20"/>
              </w:rPr>
            </w:pPr>
            <w:r>
              <w:rPr>
                <w:sz w:val="20"/>
                <w:szCs w:val="20"/>
              </w:rPr>
              <w:t>MIDDLE EAST AND NORTH AFRICA</w:t>
            </w:r>
          </w:p>
        </w:tc>
      </w:tr>
      <w:tr w:rsidR="007568BF" w:rsidTr="00E01AA0">
        <w:tblPrEx>
          <w:tblCellMar>
            <w:top w:w="0" w:type="dxa"/>
            <w:bottom w:w="0" w:type="dxa"/>
          </w:tblCellMar>
        </w:tblPrEx>
        <w:tc>
          <w:tcPr>
            <w:tcW w:w="11000" w:type="dxa"/>
            <w:gridSpan w:val="3"/>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rFonts w:ascii="Times" w:hAnsi="Times" w:cs="Times"/>
                <w:color w:val="FFFFFF"/>
                <w:sz w:val="20"/>
                <w:szCs w:val="20"/>
              </w:rPr>
            </w:pPr>
            <w:r>
              <w:rPr>
                <w:rFonts w:ascii="Times" w:hAnsi="Times" w:cs="Times"/>
                <w:color w:val="FFFFFF"/>
                <w:sz w:val="20"/>
                <w:szCs w:val="20"/>
              </w:rPr>
              <w:t>.</w:t>
            </w:r>
          </w:p>
        </w:tc>
      </w:tr>
      <w:tr w:rsidR="007568BF" w:rsidTr="00E01AA0">
        <w:tblPrEx>
          <w:tblCellMar>
            <w:top w:w="0" w:type="dxa"/>
            <w:bottom w:w="0" w:type="dxa"/>
          </w:tblCellMar>
        </w:tblPrEx>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rFonts w:ascii="Times New Roman" w:hAnsi="Times New Roman"/>
              </w:rPr>
            </w:pPr>
          </w:p>
        </w:tc>
        <w:tc>
          <w:tcPr>
            <w:tcW w:w="10780" w:type="dxa"/>
            <w:gridSpan w:val="2"/>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spacing w:line="320" w:lineRule="atLeast"/>
              <w:rPr>
                <w:rFonts w:ascii="Times New Roman" w:hAnsi="Times New Roman"/>
              </w:rPr>
            </w:pPr>
            <w:r>
              <w:rPr>
                <w:rFonts w:ascii="Times New Roman" w:hAnsi="Times New Roman"/>
                <w:noProof/>
              </w:rPr>
              <w:drawing>
                <wp:inline distT="0" distB="0" distL="0" distR="0">
                  <wp:extent cx="63817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p>
        </w:tc>
      </w:tr>
      <w:tr w:rsidR="007568BF" w:rsidTr="00E01AA0">
        <w:tblPrEx>
          <w:tblCellMar>
            <w:top w:w="0" w:type="dxa"/>
            <w:bottom w:w="0" w:type="dxa"/>
          </w:tblCellMar>
        </w:tblPrEx>
        <w:tc>
          <w:tcPr>
            <w:tcW w:w="11000" w:type="dxa"/>
            <w:gridSpan w:val="3"/>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rFonts w:ascii="Times" w:hAnsi="Times" w:cs="Times"/>
                <w:color w:val="FFFFFF"/>
                <w:sz w:val="650"/>
                <w:szCs w:val="650"/>
              </w:rPr>
            </w:pPr>
            <w:r>
              <w:rPr>
                <w:rFonts w:ascii="Times" w:hAnsi="Times" w:cs="Times"/>
                <w:color w:val="FFFFFF"/>
                <w:sz w:val="650"/>
                <w:szCs w:val="650"/>
              </w:rPr>
              <w:lastRenderedPageBreak/>
              <w:t>.</w:t>
            </w:r>
          </w:p>
        </w:tc>
      </w:tr>
      <w:tr w:rsidR="007568BF" w:rsidTr="00E01AA0">
        <w:tblPrEx>
          <w:tblCellMar>
            <w:top w:w="0" w:type="dxa"/>
            <w:bottom w:w="0" w:type="dxa"/>
          </w:tblCellMar>
        </w:tblPrEx>
        <w:tc>
          <w:tcPr>
            <w:tcW w:w="11000" w:type="dxa"/>
            <w:gridSpan w:val="3"/>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rFonts w:ascii="Times" w:hAnsi="Times" w:cs="Times"/>
                <w:color w:val="FFFFFF"/>
                <w:sz w:val="20"/>
                <w:szCs w:val="20"/>
              </w:rPr>
            </w:pPr>
            <w:r>
              <w:rPr>
                <w:rFonts w:ascii="Times" w:hAnsi="Times" w:cs="Times"/>
                <w:color w:val="FFFFFF"/>
                <w:sz w:val="20"/>
                <w:szCs w:val="20"/>
              </w:rPr>
              <w:t>.</w:t>
            </w:r>
          </w:p>
        </w:tc>
      </w:tr>
      <w:tr w:rsidR="007568BF" w:rsidTr="00E01AA0">
        <w:tblPrEx>
          <w:tblCellMar>
            <w:top w:w="0" w:type="dxa"/>
            <w:bottom w:w="0" w:type="dxa"/>
          </w:tblCellMar>
        </w:tblPrEx>
        <w:tc>
          <w:tcPr>
            <w:tcW w:w="330" w:type="dxa"/>
            <w:gridSpan w:val="2"/>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rFonts w:ascii="Times New Roman" w:hAnsi="Times New Roman"/>
              </w:rPr>
            </w:pPr>
          </w:p>
        </w:tc>
        <w:tc>
          <w:tcPr>
            <w:tcW w:w="10670" w:type="dxa"/>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color w:val="245086"/>
                <w:sz w:val="18"/>
                <w:szCs w:val="18"/>
              </w:rPr>
            </w:pPr>
            <w:r>
              <w:rPr>
                <w:b/>
                <w:bCs/>
                <w:color w:val="245086"/>
                <w:sz w:val="18"/>
                <w:szCs w:val="18"/>
              </w:rPr>
              <w:t>Standard Disclaimer:</w:t>
            </w:r>
          </w:p>
        </w:tc>
      </w:tr>
      <w:tr w:rsidR="007568BF" w:rsidTr="00E01AA0">
        <w:tblPrEx>
          <w:tblCellMar>
            <w:top w:w="0" w:type="dxa"/>
            <w:bottom w:w="0" w:type="dxa"/>
          </w:tblCellMar>
        </w:tblPrEx>
        <w:tc>
          <w:tcPr>
            <w:tcW w:w="11000" w:type="dxa"/>
            <w:gridSpan w:val="3"/>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rFonts w:ascii="Times" w:hAnsi="Times" w:cs="Times"/>
                <w:color w:val="FFFFFF"/>
                <w:sz w:val="20"/>
                <w:szCs w:val="20"/>
              </w:rPr>
            </w:pPr>
            <w:r>
              <w:rPr>
                <w:rFonts w:ascii="Times" w:hAnsi="Times" w:cs="Times"/>
                <w:color w:val="FFFFFF"/>
                <w:sz w:val="20"/>
                <w:szCs w:val="20"/>
              </w:rPr>
              <w:t>.</w:t>
            </w:r>
          </w:p>
        </w:tc>
      </w:tr>
      <w:tr w:rsidR="007568BF" w:rsidTr="00E01AA0">
        <w:tblPrEx>
          <w:tblCellMar>
            <w:top w:w="0" w:type="dxa"/>
            <w:bottom w:w="0" w:type="dxa"/>
          </w:tblCellMar>
        </w:tblPrEx>
        <w:tc>
          <w:tcPr>
            <w:tcW w:w="330" w:type="dxa"/>
            <w:gridSpan w:val="2"/>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rFonts w:ascii="Times New Roman" w:hAnsi="Times New Roman"/>
              </w:rPr>
            </w:pPr>
          </w:p>
        </w:tc>
        <w:tc>
          <w:tcPr>
            <w:tcW w:w="10670" w:type="dxa"/>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sz w:val="18"/>
                <w:szCs w:val="18"/>
              </w:rPr>
            </w:pPr>
            <w:r>
              <w:rPr>
                <w:sz w:val="18"/>
                <w:szCs w:val="18"/>
              </w:rPr>
              <w:t>This volume is a product of the staff of the International Bank for Reconstruction and Development/ The World Bank. The findings, interpretations, and conclusions expressed in this paper do not necessarily reflect the views of the Executive Directors of The World Bank or the governments they represent. The World Bank does not guarantee the accuracy of the data included in this work. The boundaries, colors, denominations, and other information shown on any map in this work do not imply any judgment on the part of The World Bank concerning the legal status of any territory or the endorsement or acceptance of such boundaries.</w:t>
            </w:r>
          </w:p>
        </w:tc>
      </w:tr>
      <w:tr w:rsidR="007568BF" w:rsidTr="00E01AA0">
        <w:tblPrEx>
          <w:tblCellMar>
            <w:top w:w="0" w:type="dxa"/>
            <w:bottom w:w="0" w:type="dxa"/>
          </w:tblCellMar>
        </w:tblPrEx>
        <w:tc>
          <w:tcPr>
            <w:tcW w:w="11000" w:type="dxa"/>
            <w:gridSpan w:val="3"/>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rFonts w:ascii="Times" w:hAnsi="Times" w:cs="Times"/>
                <w:color w:val="FFFFFF"/>
                <w:sz w:val="20"/>
                <w:szCs w:val="20"/>
              </w:rPr>
            </w:pPr>
            <w:r>
              <w:rPr>
                <w:rFonts w:ascii="Times" w:hAnsi="Times" w:cs="Times"/>
                <w:color w:val="FFFFFF"/>
                <w:sz w:val="20"/>
                <w:szCs w:val="20"/>
              </w:rPr>
              <w:t>.</w:t>
            </w:r>
          </w:p>
        </w:tc>
      </w:tr>
      <w:tr w:rsidR="007568BF" w:rsidTr="00E01AA0">
        <w:tblPrEx>
          <w:tblCellMar>
            <w:top w:w="0" w:type="dxa"/>
            <w:bottom w:w="0" w:type="dxa"/>
          </w:tblCellMar>
        </w:tblPrEx>
        <w:tc>
          <w:tcPr>
            <w:tcW w:w="330" w:type="dxa"/>
            <w:gridSpan w:val="2"/>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rFonts w:ascii="Times New Roman" w:hAnsi="Times New Roman"/>
              </w:rPr>
            </w:pPr>
          </w:p>
        </w:tc>
        <w:tc>
          <w:tcPr>
            <w:tcW w:w="10670" w:type="dxa"/>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color w:val="245086"/>
                <w:sz w:val="18"/>
                <w:szCs w:val="18"/>
              </w:rPr>
            </w:pPr>
            <w:r>
              <w:rPr>
                <w:b/>
                <w:bCs/>
                <w:color w:val="245086"/>
                <w:sz w:val="18"/>
                <w:szCs w:val="18"/>
              </w:rPr>
              <w:t>Copyright Statement:</w:t>
            </w:r>
          </w:p>
        </w:tc>
      </w:tr>
      <w:tr w:rsidR="007568BF" w:rsidTr="00E01AA0">
        <w:tblPrEx>
          <w:tblCellMar>
            <w:top w:w="0" w:type="dxa"/>
            <w:bottom w:w="0" w:type="dxa"/>
          </w:tblCellMar>
        </w:tblPrEx>
        <w:tc>
          <w:tcPr>
            <w:tcW w:w="11000" w:type="dxa"/>
            <w:gridSpan w:val="3"/>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rFonts w:ascii="Times" w:hAnsi="Times" w:cs="Times"/>
                <w:color w:val="FFFFFF"/>
                <w:sz w:val="20"/>
                <w:szCs w:val="20"/>
              </w:rPr>
            </w:pPr>
            <w:r>
              <w:rPr>
                <w:rFonts w:ascii="Times" w:hAnsi="Times" w:cs="Times"/>
                <w:color w:val="FFFFFF"/>
                <w:sz w:val="20"/>
                <w:szCs w:val="20"/>
              </w:rPr>
              <w:t>.</w:t>
            </w:r>
          </w:p>
        </w:tc>
      </w:tr>
      <w:tr w:rsidR="007568BF" w:rsidTr="00E01AA0">
        <w:tblPrEx>
          <w:tblCellMar>
            <w:top w:w="0" w:type="dxa"/>
            <w:bottom w:w="0" w:type="dxa"/>
          </w:tblCellMar>
        </w:tblPrEx>
        <w:tc>
          <w:tcPr>
            <w:tcW w:w="330" w:type="dxa"/>
            <w:gridSpan w:val="2"/>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rPr>
                <w:rFonts w:ascii="Times New Roman" w:hAnsi="Times New Roman"/>
              </w:rPr>
            </w:pPr>
          </w:p>
        </w:tc>
        <w:tc>
          <w:tcPr>
            <w:tcW w:w="10670" w:type="dxa"/>
            <w:tcBorders>
              <w:top w:val="nil"/>
              <w:left w:val="nil"/>
              <w:bottom w:val="nil"/>
              <w:right w:val="nil"/>
            </w:tcBorders>
            <w:shd w:val="clear" w:color="auto" w:fill="FFFFFF"/>
            <w:tcMar>
              <w:top w:w="50" w:type="dxa"/>
              <w:left w:w="50" w:type="dxa"/>
              <w:bottom w:w="50" w:type="dxa"/>
              <w:right w:w="50" w:type="dxa"/>
            </w:tcMar>
            <w:vAlign w:val="center"/>
          </w:tcPr>
          <w:p w:rsidR="007568BF" w:rsidRDefault="007568BF" w:rsidP="00E01AA0">
            <w:pPr>
              <w:spacing w:line="240" w:lineRule="atLeast"/>
              <w:rPr>
                <w:rFonts w:ascii="Times New Roman" w:hAnsi="Times New Roman"/>
                <w:sz w:val="18"/>
                <w:szCs w:val="18"/>
              </w:rPr>
            </w:pPr>
            <w:r>
              <w:rPr>
                <w:sz w:val="18"/>
                <w:szCs w:val="18"/>
              </w:rPr>
              <w:t>The material in this publication is copyrighted. Copying and/or transmitting portions or all of this work without permission may be a violation of applicable law. The International Bank for Reconstruction and Development/ The World Bank encourages dissemination of its work and will normally grant permission to reproduce portions of the work promptly.</w:t>
            </w:r>
          </w:p>
          <w:p w:rsidR="007568BF" w:rsidRDefault="007568BF" w:rsidP="00E01AA0">
            <w:pPr>
              <w:spacing w:line="240" w:lineRule="atLeast"/>
              <w:rPr>
                <w:rFonts w:ascii="Times New Roman" w:hAnsi="Times New Roman"/>
                <w:sz w:val="18"/>
                <w:szCs w:val="18"/>
              </w:rPr>
            </w:pPr>
          </w:p>
          <w:p w:rsidR="007568BF" w:rsidRDefault="007568BF" w:rsidP="00E01AA0">
            <w:pPr>
              <w:spacing w:line="240" w:lineRule="atLeast"/>
              <w:rPr>
                <w:rFonts w:ascii="Times New Roman" w:hAnsi="Times New Roman"/>
                <w:sz w:val="18"/>
                <w:szCs w:val="18"/>
              </w:rPr>
            </w:pPr>
            <w:r>
              <w:rPr>
                <w:sz w:val="18"/>
                <w:szCs w:val="18"/>
              </w:rPr>
              <w:t xml:space="preserve">For permission to photocopy or reprint any part of this work, please send a request with complete information to the Copyright Clearance Center, Inc., 222 Rosewood Drive, Danvers, MA 01923, USA, telephone 978-750-8400, fax 978-750-4470, </w:t>
            </w:r>
            <w:hyperlink r:id="rId9" w:history="1">
              <w:r>
                <w:rPr>
                  <w:color w:val="000099"/>
                  <w:sz w:val="18"/>
                  <w:szCs w:val="18"/>
                  <w:u w:val="single"/>
                </w:rPr>
                <w:t>http://www.copyright.com/.</w:t>
              </w:r>
            </w:hyperlink>
          </w:p>
          <w:p w:rsidR="007568BF" w:rsidRDefault="007568BF" w:rsidP="00E01AA0">
            <w:pPr>
              <w:spacing w:line="240" w:lineRule="atLeast"/>
              <w:rPr>
                <w:rFonts w:ascii="Times New Roman" w:hAnsi="Times New Roman"/>
                <w:sz w:val="18"/>
                <w:szCs w:val="18"/>
              </w:rPr>
            </w:pPr>
          </w:p>
          <w:p w:rsidR="007568BF" w:rsidRDefault="007568BF" w:rsidP="00E01AA0">
            <w:pPr>
              <w:spacing w:line="240" w:lineRule="atLeast"/>
              <w:rPr>
                <w:rFonts w:ascii="Times New Roman" w:hAnsi="Times New Roman"/>
                <w:sz w:val="18"/>
                <w:szCs w:val="18"/>
              </w:rPr>
            </w:pPr>
            <w:r>
              <w:rPr>
                <w:sz w:val="18"/>
                <w:szCs w:val="18"/>
              </w:rPr>
              <w:t xml:space="preserve">All other queries on rights and licenses, including subsidiary rights, should be addressed to the Office of the Publisher, The World Bank, 1818 H Street NW, Washington, DC 20433, USA, fax 202-522-2422, e-mail </w:t>
            </w:r>
            <w:hyperlink r:id="rId10" w:history="1">
              <w:r>
                <w:rPr>
                  <w:color w:val="000099"/>
                  <w:sz w:val="18"/>
                  <w:szCs w:val="18"/>
                  <w:u w:val="single"/>
                </w:rPr>
                <w:t>pubrights@worldbank.org.</w:t>
              </w:r>
            </w:hyperlink>
          </w:p>
          <w:p w:rsidR="007568BF" w:rsidRDefault="007568BF" w:rsidP="00E01AA0">
            <w:pPr>
              <w:spacing w:line="240" w:lineRule="atLeast"/>
              <w:rPr>
                <w:rFonts w:ascii="Times New Roman" w:hAnsi="Times New Roman"/>
                <w:sz w:val="18"/>
                <w:szCs w:val="18"/>
              </w:rPr>
            </w:pPr>
          </w:p>
        </w:tc>
      </w:tr>
    </w:tbl>
    <w:p w:rsidR="007568BF" w:rsidRDefault="007568BF" w:rsidP="007568BF">
      <w:pPr>
        <w:sectPr w:rsidR="007568BF">
          <w:footerReference w:type="first" r:id="rId11"/>
          <w:pgSz w:w="12242" w:h="15842"/>
          <w:pgMar w:top="240" w:right="600" w:bottom="440" w:left="600" w:header="720" w:footer="720" w:gutter="0"/>
          <w:cols w:space="720"/>
          <w:noEndnote/>
          <w:titlePg/>
        </w:sectPr>
      </w:pPr>
    </w:p>
    <w:bookmarkStart w:id="0" w:name="_Toc484160729" w:displacedByCustomXml="next"/>
    <w:sdt>
      <w:sdtPr>
        <w:rPr>
          <w:rFonts w:ascii="Times New Roman" w:eastAsiaTheme="minorHAnsi" w:hAnsi="Times New Roman" w:cs="Times New Roman"/>
          <w:b w:val="0"/>
          <w:bCs/>
          <w:color w:val="auto"/>
          <w:sz w:val="22"/>
          <w:szCs w:val="22"/>
        </w:rPr>
        <w:id w:val="-120233912"/>
        <w:docPartObj>
          <w:docPartGallery w:val="Table of Contents"/>
          <w:docPartUnique/>
        </w:docPartObj>
      </w:sdtPr>
      <w:sdtEndPr>
        <w:rPr>
          <w:rFonts w:asciiTheme="minorHAnsi" w:hAnsiTheme="minorHAnsi"/>
          <w:bCs w:val="0"/>
          <w:noProof/>
          <w:sz w:val="24"/>
          <w:szCs w:val="24"/>
        </w:rPr>
      </w:sdtEndPr>
      <w:sdtContent>
        <w:p w:rsidR="003217DD" w:rsidRPr="000739E3" w:rsidRDefault="003217DD" w:rsidP="000739E3">
          <w:pPr>
            <w:pStyle w:val="Headingwithoutnumber"/>
            <w:ind w:left="0" w:firstLine="0"/>
          </w:pPr>
          <w:r w:rsidRPr="000739E3">
            <w:t>Table of Contents</w:t>
          </w:r>
          <w:bookmarkEnd w:id="0"/>
        </w:p>
        <w:p w:rsidR="00DF24D3" w:rsidRDefault="00530C7F">
          <w:pPr>
            <w:pStyle w:val="TOC1"/>
            <w:tabs>
              <w:tab w:val="right" w:leader="dot" w:pos="9350"/>
            </w:tabs>
            <w:rPr>
              <w:rFonts w:eastAsiaTheme="minorEastAsia" w:cstheme="minorBidi"/>
              <w:b w:val="0"/>
              <w:bCs w:val="0"/>
              <w:caps w:val="0"/>
              <w:noProof/>
              <w:sz w:val="22"/>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84160729" w:history="1">
            <w:r w:rsidR="00DF24D3" w:rsidRPr="00344DBC">
              <w:rPr>
                <w:rStyle w:val="Hyperlink"/>
                <w:noProof/>
              </w:rPr>
              <w:t>Table of Contents</w:t>
            </w:r>
            <w:r w:rsidR="00DF24D3">
              <w:rPr>
                <w:noProof/>
                <w:webHidden/>
              </w:rPr>
              <w:tab/>
            </w:r>
            <w:r w:rsidR="00DF24D3">
              <w:rPr>
                <w:noProof/>
                <w:webHidden/>
              </w:rPr>
              <w:fldChar w:fldCharType="begin"/>
            </w:r>
            <w:r w:rsidR="00DF24D3">
              <w:rPr>
                <w:noProof/>
                <w:webHidden/>
              </w:rPr>
              <w:instrText xml:space="preserve"> PAGEREF _Toc484160729 \h </w:instrText>
            </w:r>
            <w:r w:rsidR="00DF24D3">
              <w:rPr>
                <w:noProof/>
                <w:webHidden/>
              </w:rPr>
            </w:r>
            <w:r w:rsidR="00DF24D3">
              <w:rPr>
                <w:noProof/>
                <w:webHidden/>
              </w:rPr>
              <w:fldChar w:fldCharType="separate"/>
            </w:r>
            <w:r w:rsidR="00DF24D3">
              <w:rPr>
                <w:noProof/>
                <w:webHidden/>
              </w:rPr>
              <w:t>1</w:t>
            </w:r>
            <w:r w:rsidR="00DF24D3">
              <w:rPr>
                <w:noProof/>
                <w:webHidden/>
              </w:rPr>
              <w:fldChar w:fldCharType="end"/>
            </w:r>
          </w:hyperlink>
        </w:p>
        <w:p w:rsidR="00DF24D3" w:rsidRDefault="00DF24D3">
          <w:pPr>
            <w:pStyle w:val="TOC1"/>
            <w:tabs>
              <w:tab w:val="right" w:leader="dot" w:pos="9350"/>
            </w:tabs>
            <w:rPr>
              <w:rFonts w:eastAsiaTheme="minorEastAsia" w:cstheme="minorBidi"/>
              <w:b w:val="0"/>
              <w:bCs w:val="0"/>
              <w:caps w:val="0"/>
              <w:noProof/>
              <w:sz w:val="22"/>
              <w:szCs w:val="22"/>
            </w:rPr>
          </w:pPr>
          <w:hyperlink w:anchor="_Toc484160730" w:history="1">
            <w:r w:rsidRPr="00344DBC">
              <w:rPr>
                <w:rStyle w:val="Hyperlink"/>
                <w:noProof/>
              </w:rPr>
              <w:t>Acronyms</w:t>
            </w:r>
            <w:r>
              <w:rPr>
                <w:noProof/>
                <w:webHidden/>
              </w:rPr>
              <w:tab/>
            </w:r>
            <w:r>
              <w:rPr>
                <w:noProof/>
                <w:webHidden/>
              </w:rPr>
              <w:fldChar w:fldCharType="begin"/>
            </w:r>
            <w:r>
              <w:rPr>
                <w:noProof/>
                <w:webHidden/>
              </w:rPr>
              <w:instrText xml:space="preserve"> PAGEREF _Toc484160730 \h </w:instrText>
            </w:r>
            <w:r>
              <w:rPr>
                <w:noProof/>
                <w:webHidden/>
              </w:rPr>
            </w:r>
            <w:r>
              <w:rPr>
                <w:noProof/>
                <w:webHidden/>
              </w:rPr>
              <w:fldChar w:fldCharType="separate"/>
            </w:r>
            <w:r>
              <w:rPr>
                <w:noProof/>
                <w:webHidden/>
              </w:rPr>
              <w:t>1</w:t>
            </w:r>
            <w:r>
              <w:rPr>
                <w:noProof/>
                <w:webHidden/>
              </w:rPr>
              <w:fldChar w:fldCharType="end"/>
            </w:r>
          </w:hyperlink>
        </w:p>
        <w:p w:rsidR="00DF24D3" w:rsidRDefault="00DF24D3">
          <w:pPr>
            <w:pStyle w:val="TOC1"/>
            <w:tabs>
              <w:tab w:val="left" w:pos="480"/>
              <w:tab w:val="right" w:leader="dot" w:pos="9350"/>
            </w:tabs>
            <w:rPr>
              <w:rFonts w:eastAsiaTheme="minorEastAsia" w:cstheme="minorBidi"/>
              <w:b w:val="0"/>
              <w:bCs w:val="0"/>
              <w:caps w:val="0"/>
              <w:noProof/>
              <w:sz w:val="22"/>
              <w:szCs w:val="22"/>
            </w:rPr>
          </w:pPr>
          <w:hyperlink w:anchor="_Toc484160731" w:history="1">
            <w:r w:rsidRPr="00344DBC">
              <w:rPr>
                <w:rStyle w:val="Hyperlink"/>
                <w:noProof/>
              </w:rPr>
              <w:t>1.</w:t>
            </w:r>
            <w:r>
              <w:rPr>
                <w:rFonts w:eastAsiaTheme="minorEastAsia" w:cstheme="minorBidi"/>
                <w:b w:val="0"/>
                <w:bCs w:val="0"/>
                <w:caps w:val="0"/>
                <w:noProof/>
                <w:sz w:val="22"/>
                <w:szCs w:val="22"/>
              </w:rPr>
              <w:tab/>
            </w:r>
            <w:r w:rsidRPr="00344DBC">
              <w:rPr>
                <w:rStyle w:val="Hyperlink"/>
                <w:noProof/>
              </w:rPr>
              <w:t>Background</w:t>
            </w:r>
            <w:r>
              <w:rPr>
                <w:noProof/>
                <w:webHidden/>
              </w:rPr>
              <w:tab/>
            </w:r>
            <w:r>
              <w:rPr>
                <w:noProof/>
                <w:webHidden/>
              </w:rPr>
              <w:fldChar w:fldCharType="begin"/>
            </w:r>
            <w:r>
              <w:rPr>
                <w:noProof/>
                <w:webHidden/>
              </w:rPr>
              <w:instrText xml:space="preserve"> PAGEREF _Toc484160731 \h </w:instrText>
            </w:r>
            <w:r>
              <w:rPr>
                <w:noProof/>
                <w:webHidden/>
              </w:rPr>
            </w:r>
            <w:r>
              <w:rPr>
                <w:noProof/>
                <w:webHidden/>
              </w:rPr>
              <w:fldChar w:fldCharType="separate"/>
            </w:r>
            <w:r>
              <w:rPr>
                <w:noProof/>
                <w:webHidden/>
              </w:rPr>
              <w:t>3</w:t>
            </w:r>
            <w:r>
              <w:rPr>
                <w:noProof/>
                <w:webHidden/>
              </w:rPr>
              <w:fldChar w:fldCharType="end"/>
            </w:r>
          </w:hyperlink>
        </w:p>
        <w:p w:rsidR="00DF24D3" w:rsidRDefault="00DF24D3">
          <w:pPr>
            <w:pStyle w:val="TOC1"/>
            <w:tabs>
              <w:tab w:val="left" w:pos="480"/>
              <w:tab w:val="right" w:leader="dot" w:pos="9350"/>
            </w:tabs>
            <w:rPr>
              <w:rFonts w:eastAsiaTheme="minorEastAsia" w:cstheme="minorBidi"/>
              <w:b w:val="0"/>
              <w:bCs w:val="0"/>
              <w:caps w:val="0"/>
              <w:noProof/>
              <w:sz w:val="22"/>
              <w:szCs w:val="22"/>
            </w:rPr>
          </w:pPr>
          <w:hyperlink w:anchor="_Toc484160732" w:history="1">
            <w:r w:rsidRPr="00344DBC">
              <w:rPr>
                <w:rStyle w:val="Hyperlink"/>
                <w:noProof/>
              </w:rPr>
              <w:t>2.</w:t>
            </w:r>
            <w:r>
              <w:rPr>
                <w:rFonts w:eastAsiaTheme="minorEastAsia" w:cstheme="minorBidi"/>
                <w:b w:val="0"/>
                <w:bCs w:val="0"/>
                <w:caps w:val="0"/>
                <w:noProof/>
                <w:sz w:val="22"/>
                <w:szCs w:val="22"/>
              </w:rPr>
              <w:tab/>
            </w:r>
            <w:r w:rsidRPr="00344DBC">
              <w:rPr>
                <w:rStyle w:val="Hyperlink"/>
                <w:noProof/>
              </w:rPr>
              <w:t>Conflict-related damages and challenges</w:t>
            </w:r>
            <w:r>
              <w:rPr>
                <w:noProof/>
                <w:webHidden/>
              </w:rPr>
              <w:tab/>
            </w:r>
            <w:r>
              <w:rPr>
                <w:noProof/>
                <w:webHidden/>
              </w:rPr>
              <w:fldChar w:fldCharType="begin"/>
            </w:r>
            <w:r>
              <w:rPr>
                <w:noProof/>
                <w:webHidden/>
              </w:rPr>
              <w:instrText xml:space="preserve"> PAGEREF _Toc484160732 \h </w:instrText>
            </w:r>
            <w:r>
              <w:rPr>
                <w:noProof/>
                <w:webHidden/>
              </w:rPr>
            </w:r>
            <w:r>
              <w:rPr>
                <w:noProof/>
                <w:webHidden/>
              </w:rPr>
              <w:fldChar w:fldCharType="separate"/>
            </w:r>
            <w:r>
              <w:rPr>
                <w:noProof/>
                <w:webHidden/>
              </w:rPr>
              <w:t>4</w:t>
            </w:r>
            <w:r>
              <w:rPr>
                <w:noProof/>
                <w:webHidden/>
              </w:rPr>
              <w:fldChar w:fldCharType="end"/>
            </w:r>
          </w:hyperlink>
        </w:p>
        <w:p w:rsidR="00DF24D3" w:rsidRDefault="00DF24D3">
          <w:pPr>
            <w:pStyle w:val="TOC1"/>
            <w:tabs>
              <w:tab w:val="left" w:pos="480"/>
              <w:tab w:val="right" w:leader="dot" w:pos="9350"/>
            </w:tabs>
            <w:rPr>
              <w:rFonts w:eastAsiaTheme="minorEastAsia" w:cstheme="minorBidi"/>
              <w:b w:val="0"/>
              <w:bCs w:val="0"/>
              <w:caps w:val="0"/>
              <w:noProof/>
              <w:sz w:val="22"/>
              <w:szCs w:val="22"/>
            </w:rPr>
          </w:pPr>
          <w:hyperlink w:anchor="_Toc484160733" w:history="1">
            <w:r w:rsidRPr="00344DBC">
              <w:rPr>
                <w:rStyle w:val="Hyperlink"/>
                <w:noProof/>
              </w:rPr>
              <w:t>3.</w:t>
            </w:r>
            <w:r>
              <w:rPr>
                <w:rFonts w:eastAsiaTheme="minorEastAsia" w:cstheme="minorBidi"/>
                <w:b w:val="0"/>
                <w:bCs w:val="0"/>
                <w:caps w:val="0"/>
                <w:noProof/>
                <w:sz w:val="22"/>
                <w:szCs w:val="22"/>
              </w:rPr>
              <w:tab/>
            </w:r>
            <w:r w:rsidRPr="00344DBC">
              <w:rPr>
                <w:rStyle w:val="Hyperlink"/>
                <w:noProof/>
              </w:rPr>
              <w:t>Lessons learned &amp; key principles for reengagement</w:t>
            </w:r>
            <w:r>
              <w:rPr>
                <w:noProof/>
                <w:webHidden/>
              </w:rPr>
              <w:tab/>
            </w:r>
            <w:r>
              <w:rPr>
                <w:noProof/>
                <w:webHidden/>
              </w:rPr>
              <w:fldChar w:fldCharType="begin"/>
            </w:r>
            <w:r>
              <w:rPr>
                <w:noProof/>
                <w:webHidden/>
              </w:rPr>
              <w:instrText xml:space="preserve"> PAGEREF _Toc484160733 \h </w:instrText>
            </w:r>
            <w:r>
              <w:rPr>
                <w:noProof/>
                <w:webHidden/>
              </w:rPr>
            </w:r>
            <w:r>
              <w:rPr>
                <w:noProof/>
                <w:webHidden/>
              </w:rPr>
              <w:fldChar w:fldCharType="separate"/>
            </w:r>
            <w:r>
              <w:rPr>
                <w:noProof/>
                <w:webHidden/>
              </w:rPr>
              <w:t>6</w:t>
            </w:r>
            <w:r>
              <w:rPr>
                <w:noProof/>
                <w:webHidden/>
              </w:rPr>
              <w:fldChar w:fldCharType="end"/>
            </w:r>
          </w:hyperlink>
        </w:p>
        <w:p w:rsidR="00DF24D3" w:rsidRDefault="00DF24D3">
          <w:pPr>
            <w:pStyle w:val="TOC1"/>
            <w:tabs>
              <w:tab w:val="left" w:pos="480"/>
              <w:tab w:val="right" w:leader="dot" w:pos="9350"/>
            </w:tabs>
            <w:rPr>
              <w:rFonts w:eastAsiaTheme="minorEastAsia" w:cstheme="minorBidi"/>
              <w:b w:val="0"/>
              <w:bCs w:val="0"/>
              <w:caps w:val="0"/>
              <w:noProof/>
              <w:sz w:val="22"/>
              <w:szCs w:val="22"/>
            </w:rPr>
          </w:pPr>
          <w:hyperlink w:anchor="_Toc484160734" w:history="1">
            <w:r w:rsidRPr="00344DBC">
              <w:rPr>
                <w:rStyle w:val="Hyperlink"/>
                <w:noProof/>
              </w:rPr>
              <w:t>4.</w:t>
            </w:r>
            <w:r>
              <w:rPr>
                <w:rFonts w:eastAsiaTheme="minorEastAsia" w:cstheme="minorBidi"/>
                <w:b w:val="0"/>
                <w:bCs w:val="0"/>
                <w:caps w:val="0"/>
                <w:noProof/>
                <w:sz w:val="22"/>
                <w:szCs w:val="22"/>
              </w:rPr>
              <w:tab/>
            </w:r>
            <w:r w:rsidRPr="00344DBC">
              <w:rPr>
                <w:rStyle w:val="Hyperlink"/>
                <w:noProof/>
              </w:rPr>
              <w:t>Options for implementation arrangements</w:t>
            </w:r>
            <w:r>
              <w:rPr>
                <w:noProof/>
                <w:webHidden/>
              </w:rPr>
              <w:tab/>
            </w:r>
            <w:r>
              <w:rPr>
                <w:noProof/>
                <w:webHidden/>
              </w:rPr>
              <w:fldChar w:fldCharType="begin"/>
            </w:r>
            <w:r>
              <w:rPr>
                <w:noProof/>
                <w:webHidden/>
              </w:rPr>
              <w:instrText xml:space="preserve"> PAGEREF _Toc484160734 \h </w:instrText>
            </w:r>
            <w:r>
              <w:rPr>
                <w:noProof/>
                <w:webHidden/>
              </w:rPr>
            </w:r>
            <w:r>
              <w:rPr>
                <w:noProof/>
                <w:webHidden/>
              </w:rPr>
              <w:fldChar w:fldCharType="separate"/>
            </w:r>
            <w:r>
              <w:rPr>
                <w:noProof/>
                <w:webHidden/>
              </w:rPr>
              <w:t>9</w:t>
            </w:r>
            <w:r>
              <w:rPr>
                <w:noProof/>
                <w:webHidden/>
              </w:rPr>
              <w:fldChar w:fldCharType="end"/>
            </w:r>
          </w:hyperlink>
        </w:p>
        <w:p w:rsidR="00DF24D3" w:rsidRDefault="00DF24D3">
          <w:pPr>
            <w:pStyle w:val="TOC1"/>
            <w:tabs>
              <w:tab w:val="left" w:pos="480"/>
              <w:tab w:val="right" w:leader="dot" w:pos="9350"/>
            </w:tabs>
            <w:rPr>
              <w:rFonts w:eastAsiaTheme="minorEastAsia" w:cstheme="minorBidi"/>
              <w:b w:val="0"/>
              <w:bCs w:val="0"/>
              <w:caps w:val="0"/>
              <w:noProof/>
              <w:sz w:val="22"/>
              <w:szCs w:val="22"/>
            </w:rPr>
          </w:pPr>
          <w:hyperlink w:anchor="_Toc484160735" w:history="1">
            <w:r w:rsidRPr="00344DBC">
              <w:rPr>
                <w:rStyle w:val="Hyperlink"/>
                <w:noProof/>
              </w:rPr>
              <w:t>5.</w:t>
            </w:r>
            <w:r>
              <w:rPr>
                <w:rFonts w:eastAsiaTheme="minorEastAsia" w:cstheme="minorBidi"/>
                <w:b w:val="0"/>
                <w:bCs w:val="0"/>
                <w:caps w:val="0"/>
                <w:noProof/>
                <w:sz w:val="22"/>
                <w:szCs w:val="22"/>
              </w:rPr>
              <w:tab/>
            </w:r>
            <w:r w:rsidRPr="00344DBC">
              <w:rPr>
                <w:rStyle w:val="Hyperlink"/>
                <w:noProof/>
              </w:rPr>
              <w:t>The way forward: Restoring electricity services in Yemen</w:t>
            </w:r>
            <w:r>
              <w:rPr>
                <w:noProof/>
                <w:webHidden/>
              </w:rPr>
              <w:tab/>
            </w:r>
            <w:r>
              <w:rPr>
                <w:noProof/>
                <w:webHidden/>
              </w:rPr>
              <w:fldChar w:fldCharType="begin"/>
            </w:r>
            <w:r>
              <w:rPr>
                <w:noProof/>
                <w:webHidden/>
              </w:rPr>
              <w:instrText xml:space="preserve"> PAGEREF _Toc484160735 \h </w:instrText>
            </w:r>
            <w:r>
              <w:rPr>
                <w:noProof/>
                <w:webHidden/>
              </w:rPr>
            </w:r>
            <w:r>
              <w:rPr>
                <w:noProof/>
                <w:webHidden/>
              </w:rPr>
              <w:fldChar w:fldCharType="separate"/>
            </w:r>
            <w:r>
              <w:rPr>
                <w:noProof/>
                <w:webHidden/>
              </w:rPr>
              <w:t>13</w:t>
            </w:r>
            <w:r>
              <w:rPr>
                <w:noProof/>
                <w:webHidden/>
              </w:rPr>
              <w:fldChar w:fldCharType="end"/>
            </w:r>
          </w:hyperlink>
        </w:p>
        <w:p w:rsidR="00DF24D3" w:rsidRDefault="00DF24D3">
          <w:pPr>
            <w:pStyle w:val="TOC1"/>
            <w:tabs>
              <w:tab w:val="right" w:leader="dot" w:pos="9350"/>
            </w:tabs>
            <w:rPr>
              <w:rFonts w:eastAsiaTheme="minorEastAsia" w:cstheme="minorBidi"/>
              <w:b w:val="0"/>
              <w:bCs w:val="0"/>
              <w:caps w:val="0"/>
              <w:noProof/>
              <w:sz w:val="22"/>
              <w:szCs w:val="22"/>
            </w:rPr>
          </w:pPr>
          <w:hyperlink w:anchor="_Toc484160736" w:history="1">
            <w:r w:rsidRPr="00344DBC">
              <w:rPr>
                <w:rStyle w:val="Hyperlink"/>
                <w:noProof/>
              </w:rPr>
              <w:t>References</w:t>
            </w:r>
            <w:r>
              <w:rPr>
                <w:noProof/>
                <w:webHidden/>
              </w:rPr>
              <w:tab/>
            </w:r>
            <w:r>
              <w:rPr>
                <w:noProof/>
                <w:webHidden/>
              </w:rPr>
              <w:fldChar w:fldCharType="begin"/>
            </w:r>
            <w:r>
              <w:rPr>
                <w:noProof/>
                <w:webHidden/>
              </w:rPr>
              <w:instrText xml:space="preserve"> PAGEREF _Toc484160736 \h </w:instrText>
            </w:r>
            <w:r>
              <w:rPr>
                <w:noProof/>
                <w:webHidden/>
              </w:rPr>
            </w:r>
            <w:r>
              <w:rPr>
                <w:noProof/>
                <w:webHidden/>
              </w:rPr>
              <w:fldChar w:fldCharType="separate"/>
            </w:r>
            <w:r>
              <w:rPr>
                <w:noProof/>
                <w:webHidden/>
              </w:rPr>
              <w:t>18</w:t>
            </w:r>
            <w:r>
              <w:rPr>
                <w:noProof/>
                <w:webHidden/>
              </w:rPr>
              <w:fldChar w:fldCharType="end"/>
            </w:r>
          </w:hyperlink>
        </w:p>
        <w:p w:rsidR="003217DD" w:rsidRDefault="00530C7F" w:rsidP="00846753">
          <w:r>
            <w:rPr>
              <w:b/>
              <w:bCs/>
              <w:caps/>
              <w:sz w:val="20"/>
              <w:szCs w:val="20"/>
            </w:rPr>
            <w:fldChar w:fldCharType="end"/>
          </w:r>
        </w:p>
      </w:sdtContent>
    </w:sdt>
    <w:p w:rsidR="004F572E" w:rsidRPr="000124AB" w:rsidRDefault="004F572E" w:rsidP="002D7526">
      <w:pPr>
        <w:pStyle w:val="Headingwithoutnumber"/>
        <w:ind w:firstLine="0"/>
      </w:pPr>
      <w:bookmarkStart w:id="1" w:name="_Toc469920098"/>
      <w:bookmarkStart w:id="2" w:name="_Toc484160730"/>
      <w:r w:rsidRPr="000124AB">
        <w:t>Acronyms</w:t>
      </w:r>
      <w:bookmarkEnd w:id="1"/>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6447E0" w:rsidRPr="00175470" w:rsidTr="00E0781A">
        <w:tc>
          <w:tcPr>
            <w:tcW w:w="1975" w:type="dxa"/>
            <w:vAlign w:val="center"/>
          </w:tcPr>
          <w:p w:rsidR="006447E0" w:rsidRDefault="006447E0" w:rsidP="006447E0">
            <w:pPr>
              <w:rPr>
                <w:rFonts w:ascii="Calibri" w:hAnsi="Calibri"/>
                <w:color w:val="000000"/>
              </w:rPr>
            </w:pPr>
            <w:r>
              <w:rPr>
                <w:rFonts w:ascii="Calibri" w:hAnsi="Calibri"/>
                <w:color w:val="000000"/>
              </w:rPr>
              <w:t>ACG</w:t>
            </w:r>
          </w:p>
        </w:tc>
        <w:tc>
          <w:tcPr>
            <w:tcW w:w="7375" w:type="dxa"/>
            <w:vAlign w:val="center"/>
          </w:tcPr>
          <w:p w:rsidR="006447E0" w:rsidRDefault="006447E0" w:rsidP="006447E0">
            <w:pPr>
              <w:rPr>
                <w:rFonts w:ascii="Calibri" w:hAnsi="Calibri"/>
                <w:color w:val="000000"/>
              </w:rPr>
            </w:pPr>
            <w:r>
              <w:rPr>
                <w:rFonts w:ascii="Calibri" w:hAnsi="Calibri"/>
                <w:color w:val="000000"/>
              </w:rPr>
              <w:t>Arab Coordination Group</w:t>
            </w:r>
          </w:p>
        </w:tc>
      </w:tr>
      <w:tr w:rsidR="006447E0" w:rsidRPr="00175470" w:rsidTr="00E0781A">
        <w:tc>
          <w:tcPr>
            <w:tcW w:w="1975" w:type="dxa"/>
            <w:vAlign w:val="center"/>
          </w:tcPr>
          <w:p w:rsidR="006447E0" w:rsidRDefault="006447E0" w:rsidP="006447E0">
            <w:pPr>
              <w:rPr>
                <w:rFonts w:ascii="Calibri" w:hAnsi="Calibri"/>
                <w:color w:val="000000"/>
              </w:rPr>
            </w:pPr>
            <w:r>
              <w:rPr>
                <w:rFonts w:ascii="Calibri" w:hAnsi="Calibri"/>
                <w:color w:val="000000"/>
              </w:rPr>
              <w:t>DNA</w:t>
            </w:r>
          </w:p>
        </w:tc>
        <w:tc>
          <w:tcPr>
            <w:tcW w:w="7375" w:type="dxa"/>
            <w:vAlign w:val="center"/>
          </w:tcPr>
          <w:p w:rsidR="006447E0" w:rsidRDefault="006447E0" w:rsidP="006447E0">
            <w:pPr>
              <w:rPr>
                <w:rFonts w:ascii="Calibri" w:hAnsi="Calibri"/>
                <w:color w:val="000000"/>
              </w:rPr>
            </w:pPr>
            <w:r>
              <w:rPr>
                <w:rFonts w:ascii="Calibri" w:hAnsi="Calibri"/>
                <w:color w:val="000000"/>
              </w:rPr>
              <w:t>Damage and Needs Assessment</w:t>
            </w:r>
          </w:p>
        </w:tc>
      </w:tr>
      <w:tr w:rsidR="002305EE" w:rsidRPr="00175470" w:rsidTr="00E0781A">
        <w:tc>
          <w:tcPr>
            <w:tcW w:w="1975" w:type="dxa"/>
            <w:vAlign w:val="center"/>
          </w:tcPr>
          <w:p w:rsidR="002305EE" w:rsidRDefault="002305EE" w:rsidP="006447E0">
            <w:pPr>
              <w:rPr>
                <w:rFonts w:ascii="Calibri" w:hAnsi="Calibri"/>
                <w:color w:val="000000"/>
              </w:rPr>
            </w:pPr>
            <w:r>
              <w:rPr>
                <w:rFonts w:ascii="Calibri" w:hAnsi="Calibri"/>
                <w:color w:val="000000"/>
              </w:rPr>
              <w:t>EU</w:t>
            </w:r>
          </w:p>
        </w:tc>
        <w:tc>
          <w:tcPr>
            <w:tcW w:w="7375" w:type="dxa"/>
            <w:vAlign w:val="center"/>
          </w:tcPr>
          <w:p w:rsidR="002305EE" w:rsidRDefault="002305EE" w:rsidP="006447E0">
            <w:pPr>
              <w:rPr>
                <w:rFonts w:ascii="Calibri" w:hAnsi="Calibri"/>
                <w:color w:val="000000"/>
              </w:rPr>
            </w:pPr>
            <w:r>
              <w:rPr>
                <w:rFonts w:ascii="Calibri" w:hAnsi="Calibri"/>
                <w:color w:val="000000"/>
              </w:rPr>
              <w:t>European Union</w:t>
            </w:r>
          </w:p>
        </w:tc>
      </w:tr>
      <w:tr w:rsidR="006447E0" w:rsidRPr="00175470" w:rsidTr="00E0781A">
        <w:tc>
          <w:tcPr>
            <w:tcW w:w="1975" w:type="dxa"/>
            <w:vAlign w:val="center"/>
          </w:tcPr>
          <w:p w:rsidR="006447E0" w:rsidRDefault="006447E0" w:rsidP="006447E0">
            <w:pPr>
              <w:rPr>
                <w:rFonts w:ascii="Calibri" w:hAnsi="Calibri"/>
                <w:color w:val="000000"/>
              </w:rPr>
            </w:pPr>
            <w:r>
              <w:rPr>
                <w:rFonts w:ascii="Calibri" w:hAnsi="Calibri"/>
                <w:color w:val="000000"/>
              </w:rPr>
              <w:t>GCC</w:t>
            </w:r>
          </w:p>
        </w:tc>
        <w:tc>
          <w:tcPr>
            <w:tcW w:w="7375" w:type="dxa"/>
            <w:vAlign w:val="center"/>
          </w:tcPr>
          <w:p w:rsidR="006447E0" w:rsidRDefault="006447E0" w:rsidP="006447E0">
            <w:pPr>
              <w:rPr>
                <w:rFonts w:ascii="Calibri" w:hAnsi="Calibri"/>
                <w:color w:val="000000"/>
              </w:rPr>
            </w:pPr>
            <w:r>
              <w:rPr>
                <w:rFonts w:ascii="Calibri" w:hAnsi="Calibri"/>
                <w:color w:val="000000"/>
              </w:rPr>
              <w:t>Gulf Cooperation Council</w:t>
            </w:r>
          </w:p>
        </w:tc>
      </w:tr>
      <w:tr w:rsidR="006447E0" w:rsidRPr="00175470" w:rsidTr="00E0781A">
        <w:tc>
          <w:tcPr>
            <w:tcW w:w="1975" w:type="dxa"/>
            <w:vAlign w:val="center"/>
          </w:tcPr>
          <w:p w:rsidR="006447E0" w:rsidRDefault="006447E0" w:rsidP="006447E0">
            <w:pPr>
              <w:rPr>
                <w:rFonts w:ascii="Calibri" w:hAnsi="Calibri"/>
                <w:color w:val="000000"/>
              </w:rPr>
            </w:pPr>
            <w:r>
              <w:rPr>
                <w:rFonts w:ascii="Calibri" w:hAnsi="Calibri"/>
                <w:color w:val="000000"/>
              </w:rPr>
              <w:t>GDP</w:t>
            </w:r>
          </w:p>
        </w:tc>
        <w:tc>
          <w:tcPr>
            <w:tcW w:w="7375" w:type="dxa"/>
            <w:vAlign w:val="center"/>
          </w:tcPr>
          <w:p w:rsidR="006447E0" w:rsidRDefault="006447E0" w:rsidP="006447E0">
            <w:pPr>
              <w:rPr>
                <w:rFonts w:ascii="Calibri" w:hAnsi="Calibri"/>
                <w:color w:val="000000"/>
              </w:rPr>
            </w:pPr>
            <w:r>
              <w:rPr>
                <w:rFonts w:ascii="Calibri" w:hAnsi="Calibri"/>
                <w:color w:val="000000"/>
              </w:rPr>
              <w:t>Gross Domestic Product</w:t>
            </w:r>
          </w:p>
        </w:tc>
      </w:tr>
      <w:tr w:rsidR="006447E0" w:rsidRPr="00175470" w:rsidTr="00E0781A">
        <w:tc>
          <w:tcPr>
            <w:tcW w:w="1975" w:type="dxa"/>
            <w:vAlign w:val="center"/>
          </w:tcPr>
          <w:p w:rsidR="006447E0" w:rsidRDefault="006447E0" w:rsidP="006447E0">
            <w:pPr>
              <w:rPr>
                <w:rFonts w:ascii="Calibri" w:hAnsi="Calibri"/>
                <w:color w:val="000000"/>
              </w:rPr>
            </w:pPr>
            <w:r>
              <w:rPr>
                <w:rFonts w:ascii="Calibri" w:hAnsi="Calibri"/>
                <w:color w:val="000000"/>
              </w:rPr>
              <w:t>HFO</w:t>
            </w:r>
          </w:p>
        </w:tc>
        <w:tc>
          <w:tcPr>
            <w:tcW w:w="7375" w:type="dxa"/>
            <w:vAlign w:val="center"/>
          </w:tcPr>
          <w:p w:rsidR="006447E0" w:rsidRDefault="006447E0" w:rsidP="006447E0">
            <w:pPr>
              <w:rPr>
                <w:rFonts w:ascii="Calibri" w:hAnsi="Calibri"/>
                <w:color w:val="000000"/>
              </w:rPr>
            </w:pPr>
            <w:r>
              <w:rPr>
                <w:rFonts w:ascii="Calibri" w:hAnsi="Calibri"/>
                <w:color w:val="000000"/>
              </w:rPr>
              <w:t>Heavy Fuel Oil</w:t>
            </w:r>
          </w:p>
        </w:tc>
      </w:tr>
      <w:tr w:rsidR="002305EE" w:rsidRPr="00175470" w:rsidTr="00E0781A">
        <w:tc>
          <w:tcPr>
            <w:tcW w:w="1975" w:type="dxa"/>
            <w:vAlign w:val="center"/>
          </w:tcPr>
          <w:p w:rsidR="002305EE" w:rsidRDefault="002305EE" w:rsidP="006447E0">
            <w:pPr>
              <w:rPr>
                <w:rFonts w:ascii="Calibri" w:hAnsi="Calibri"/>
                <w:color w:val="000000"/>
              </w:rPr>
            </w:pPr>
            <w:r w:rsidRPr="007C2567">
              <w:t>IsDB</w:t>
            </w:r>
          </w:p>
        </w:tc>
        <w:tc>
          <w:tcPr>
            <w:tcW w:w="7375" w:type="dxa"/>
            <w:vAlign w:val="center"/>
          </w:tcPr>
          <w:p w:rsidR="002305EE" w:rsidRDefault="002305EE" w:rsidP="006447E0">
            <w:pPr>
              <w:rPr>
                <w:rFonts w:ascii="Calibri" w:hAnsi="Calibri"/>
                <w:color w:val="000000"/>
              </w:rPr>
            </w:pPr>
            <w:r>
              <w:rPr>
                <w:rFonts w:ascii="Calibri" w:hAnsi="Calibri"/>
                <w:color w:val="000000"/>
              </w:rPr>
              <w:t>Islamic Development Bank</w:t>
            </w:r>
          </w:p>
        </w:tc>
      </w:tr>
      <w:tr w:rsidR="00E830BB" w:rsidRPr="00175470" w:rsidTr="00E0781A">
        <w:tc>
          <w:tcPr>
            <w:tcW w:w="1975" w:type="dxa"/>
            <w:vAlign w:val="center"/>
          </w:tcPr>
          <w:p w:rsidR="00E830BB" w:rsidRDefault="00E830BB" w:rsidP="006447E0">
            <w:pPr>
              <w:rPr>
                <w:rFonts w:ascii="Calibri" w:hAnsi="Calibri"/>
                <w:color w:val="000000"/>
              </w:rPr>
            </w:pPr>
            <w:r>
              <w:rPr>
                <w:rFonts w:ascii="Calibri" w:hAnsi="Calibri"/>
                <w:color w:val="000000"/>
              </w:rPr>
              <w:t>kW</w:t>
            </w:r>
          </w:p>
        </w:tc>
        <w:tc>
          <w:tcPr>
            <w:tcW w:w="7375" w:type="dxa"/>
            <w:vAlign w:val="center"/>
          </w:tcPr>
          <w:p w:rsidR="00E830BB" w:rsidRDefault="00E830BB" w:rsidP="006447E0">
            <w:pPr>
              <w:rPr>
                <w:rFonts w:ascii="Calibri" w:hAnsi="Calibri"/>
                <w:color w:val="000000"/>
              </w:rPr>
            </w:pPr>
            <w:r>
              <w:rPr>
                <w:rFonts w:ascii="Calibri" w:hAnsi="Calibri"/>
                <w:color w:val="000000"/>
              </w:rPr>
              <w:t>Kilowatt</w:t>
            </w:r>
          </w:p>
        </w:tc>
      </w:tr>
      <w:tr w:rsidR="00E830BB" w:rsidRPr="00175470" w:rsidTr="00E0781A">
        <w:tc>
          <w:tcPr>
            <w:tcW w:w="1975" w:type="dxa"/>
            <w:vAlign w:val="center"/>
          </w:tcPr>
          <w:p w:rsidR="00E830BB" w:rsidRDefault="00E830BB" w:rsidP="006447E0">
            <w:pPr>
              <w:rPr>
                <w:rFonts w:ascii="Calibri" w:hAnsi="Calibri"/>
                <w:color w:val="000000"/>
              </w:rPr>
            </w:pPr>
            <w:r>
              <w:rPr>
                <w:rFonts w:ascii="Calibri" w:hAnsi="Calibri"/>
                <w:color w:val="000000"/>
              </w:rPr>
              <w:t>kWh</w:t>
            </w:r>
          </w:p>
        </w:tc>
        <w:tc>
          <w:tcPr>
            <w:tcW w:w="7375" w:type="dxa"/>
            <w:vAlign w:val="center"/>
          </w:tcPr>
          <w:p w:rsidR="00E830BB" w:rsidRDefault="00E830BB" w:rsidP="006447E0">
            <w:pPr>
              <w:rPr>
                <w:rFonts w:ascii="Calibri" w:hAnsi="Calibri"/>
                <w:color w:val="000000"/>
              </w:rPr>
            </w:pPr>
            <w:r>
              <w:rPr>
                <w:rFonts w:ascii="Calibri" w:hAnsi="Calibri"/>
                <w:color w:val="000000"/>
              </w:rPr>
              <w:t>Kilowatthours</w:t>
            </w:r>
          </w:p>
        </w:tc>
      </w:tr>
      <w:tr w:rsidR="00485FB4" w:rsidRPr="00175470" w:rsidTr="00E0781A">
        <w:tc>
          <w:tcPr>
            <w:tcW w:w="1975" w:type="dxa"/>
            <w:vAlign w:val="center"/>
          </w:tcPr>
          <w:p w:rsidR="00485FB4" w:rsidRDefault="00485FB4" w:rsidP="006447E0">
            <w:pPr>
              <w:rPr>
                <w:rFonts w:ascii="Calibri" w:hAnsi="Calibri"/>
                <w:color w:val="000000"/>
              </w:rPr>
            </w:pPr>
            <w:r>
              <w:rPr>
                <w:rFonts w:ascii="Calibri" w:hAnsi="Calibri"/>
                <w:color w:val="000000"/>
              </w:rPr>
              <w:t>MEE</w:t>
            </w:r>
          </w:p>
        </w:tc>
        <w:tc>
          <w:tcPr>
            <w:tcW w:w="7375" w:type="dxa"/>
            <w:vAlign w:val="center"/>
          </w:tcPr>
          <w:p w:rsidR="00485FB4" w:rsidRDefault="00485FB4" w:rsidP="00485FB4">
            <w:pPr>
              <w:rPr>
                <w:rFonts w:ascii="Calibri" w:hAnsi="Calibri"/>
                <w:color w:val="000000"/>
              </w:rPr>
            </w:pPr>
            <w:r>
              <w:t>Ministry of Electricity and Energy</w:t>
            </w:r>
          </w:p>
        </w:tc>
      </w:tr>
      <w:tr w:rsidR="006447E0" w:rsidRPr="00175470" w:rsidTr="00E0781A">
        <w:tc>
          <w:tcPr>
            <w:tcW w:w="1975" w:type="dxa"/>
            <w:vAlign w:val="center"/>
          </w:tcPr>
          <w:p w:rsidR="006447E0" w:rsidRDefault="006447E0" w:rsidP="006447E0">
            <w:pPr>
              <w:rPr>
                <w:rFonts w:ascii="Calibri" w:hAnsi="Calibri"/>
                <w:color w:val="000000"/>
              </w:rPr>
            </w:pPr>
            <w:r>
              <w:rPr>
                <w:rFonts w:ascii="Calibri" w:hAnsi="Calibri"/>
                <w:color w:val="000000"/>
              </w:rPr>
              <w:t>MENA</w:t>
            </w:r>
          </w:p>
        </w:tc>
        <w:tc>
          <w:tcPr>
            <w:tcW w:w="7375" w:type="dxa"/>
            <w:vAlign w:val="center"/>
          </w:tcPr>
          <w:p w:rsidR="006447E0" w:rsidRDefault="006447E0" w:rsidP="006447E0">
            <w:pPr>
              <w:rPr>
                <w:rFonts w:ascii="Calibri" w:hAnsi="Calibri"/>
                <w:color w:val="000000"/>
              </w:rPr>
            </w:pPr>
            <w:r>
              <w:rPr>
                <w:rFonts w:ascii="Calibri" w:hAnsi="Calibri"/>
                <w:color w:val="000000"/>
              </w:rPr>
              <w:t>Middle East &amp; North Africa</w:t>
            </w:r>
          </w:p>
        </w:tc>
      </w:tr>
      <w:tr w:rsidR="00E830BB" w:rsidRPr="00175470" w:rsidTr="00E0781A">
        <w:tc>
          <w:tcPr>
            <w:tcW w:w="1975" w:type="dxa"/>
            <w:vAlign w:val="center"/>
          </w:tcPr>
          <w:p w:rsidR="00E830BB" w:rsidRDefault="00E830BB" w:rsidP="006447E0">
            <w:pPr>
              <w:rPr>
                <w:rFonts w:ascii="Calibri" w:hAnsi="Calibri"/>
                <w:color w:val="000000"/>
              </w:rPr>
            </w:pPr>
            <w:r>
              <w:rPr>
                <w:rFonts w:ascii="Calibri" w:hAnsi="Calibri"/>
                <w:color w:val="000000"/>
              </w:rPr>
              <w:t>MW</w:t>
            </w:r>
          </w:p>
        </w:tc>
        <w:tc>
          <w:tcPr>
            <w:tcW w:w="7375" w:type="dxa"/>
            <w:vAlign w:val="center"/>
          </w:tcPr>
          <w:p w:rsidR="00E830BB" w:rsidRDefault="00E830BB" w:rsidP="006447E0">
            <w:pPr>
              <w:rPr>
                <w:rFonts w:ascii="Calibri" w:hAnsi="Calibri"/>
                <w:color w:val="000000"/>
              </w:rPr>
            </w:pPr>
            <w:r>
              <w:rPr>
                <w:rFonts w:ascii="Calibri" w:hAnsi="Calibri"/>
                <w:color w:val="000000"/>
              </w:rPr>
              <w:t>Megawatt</w:t>
            </w:r>
          </w:p>
        </w:tc>
      </w:tr>
      <w:tr w:rsidR="006447E0" w:rsidRPr="00175470" w:rsidTr="00E0781A">
        <w:tc>
          <w:tcPr>
            <w:tcW w:w="1975" w:type="dxa"/>
            <w:vAlign w:val="center"/>
          </w:tcPr>
          <w:p w:rsidR="006447E0" w:rsidRDefault="006447E0" w:rsidP="006447E0">
            <w:pPr>
              <w:rPr>
                <w:rFonts w:ascii="Calibri" w:hAnsi="Calibri"/>
                <w:color w:val="000000"/>
              </w:rPr>
            </w:pPr>
            <w:r>
              <w:rPr>
                <w:rFonts w:ascii="Calibri" w:hAnsi="Calibri"/>
                <w:color w:val="000000"/>
              </w:rPr>
              <w:t>PCNA</w:t>
            </w:r>
          </w:p>
        </w:tc>
        <w:tc>
          <w:tcPr>
            <w:tcW w:w="7375" w:type="dxa"/>
            <w:vAlign w:val="center"/>
          </w:tcPr>
          <w:p w:rsidR="006447E0" w:rsidRDefault="006447E0" w:rsidP="006447E0">
            <w:pPr>
              <w:rPr>
                <w:rFonts w:ascii="Calibri" w:hAnsi="Calibri"/>
                <w:color w:val="000000"/>
              </w:rPr>
            </w:pPr>
            <w:r>
              <w:rPr>
                <w:rFonts w:ascii="Calibri" w:hAnsi="Calibri"/>
                <w:color w:val="000000"/>
              </w:rPr>
              <w:t>Post-Conflict Needs Assessment</w:t>
            </w:r>
          </w:p>
        </w:tc>
      </w:tr>
      <w:tr w:rsidR="006447E0" w:rsidRPr="00175470" w:rsidTr="00E0781A">
        <w:tc>
          <w:tcPr>
            <w:tcW w:w="1975" w:type="dxa"/>
            <w:vAlign w:val="center"/>
          </w:tcPr>
          <w:p w:rsidR="006447E0" w:rsidRDefault="006447E0" w:rsidP="006447E0">
            <w:pPr>
              <w:rPr>
                <w:rFonts w:ascii="Calibri" w:hAnsi="Calibri"/>
                <w:color w:val="000000"/>
              </w:rPr>
            </w:pPr>
            <w:r>
              <w:rPr>
                <w:rFonts w:ascii="Calibri" w:hAnsi="Calibri"/>
                <w:color w:val="000000"/>
              </w:rPr>
              <w:t>PEC</w:t>
            </w:r>
          </w:p>
        </w:tc>
        <w:tc>
          <w:tcPr>
            <w:tcW w:w="7375" w:type="dxa"/>
            <w:vAlign w:val="center"/>
          </w:tcPr>
          <w:p w:rsidR="006447E0" w:rsidRDefault="006447E0" w:rsidP="006447E0">
            <w:pPr>
              <w:rPr>
                <w:rFonts w:ascii="Calibri" w:hAnsi="Calibri"/>
                <w:color w:val="000000"/>
              </w:rPr>
            </w:pPr>
            <w:r>
              <w:rPr>
                <w:rFonts w:ascii="Calibri" w:hAnsi="Calibri"/>
                <w:color w:val="000000"/>
              </w:rPr>
              <w:t>Public Electricity Corporation</w:t>
            </w:r>
          </w:p>
        </w:tc>
      </w:tr>
      <w:tr w:rsidR="006447E0" w:rsidRPr="00175470" w:rsidTr="00E0781A">
        <w:tc>
          <w:tcPr>
            <w:tcW w:w="1975" w:type="dxa"/>
            <w:vAlign w:val="center"/>
          </w:tcPr>
          <w:p w:rsidR="006447E0" w:rsidRDefault="006447E0" w:rsidP="006447E0">
            <w:pPr>
              <w:rPr>
                <w:rFonts w:ascii="Calibri" w:hAnsi="Calibri"/>
                <w:color w:val="000000"/>
              </w:rPr>
            </w:pPr>
            <w:r>
              <w:rPr>
                <w:rFonts w:ascii="Calibri" w:hAnsi="Calibri"/>
                <w:color w:val="000000"/>
              </w:rPr>
              <w:t>PMU</w:t>
            </w:r>
          </w:p>
        </w:tc>
        <w:tc>
          <w:tcPr>
            <w:tcW w:w="7375" w:type="dxa"/>
            <w:vAlign w:val="center"/>
          </w:tcPr>
          <w:p w:rsidR="006447E0" w:rsidRDefault="006447E0" w:rsidP="006447E0">
            <w:pPr>
              <w:rPr>
                <w:rFonts w:ascii="Calibri" w:hAnsi="Calibri"/>
                <w:color w:val="000000"/>
              </w:rPr>
            </w:pPr>
            <w:r>
              <w:rPr>
                <w:rFonts w:ascii="Calibri" w:hAnsi="Calibri"/>
                <w:color w:val="000000"/>
              </w:rPr>
              <w:t>Project Management Unit</w:t>
            </w:r>
          </w:p>
        </w:tc>
      </w:tr>
      <w:tr w:rsidR="006447E0" w:rsidRPr="00175470" w:rsidTr="00E0781A">
        <w:tc>
          <w:tcPr>
            <w:tcW w:w="1975" w:type="dxa"/>
            <w:vAlign w:val="center"/>
          </w:tcPr>
          <w:p w:rsidR="006447E0" w:rsidRDefault="006447E0" w:rsidP="006447E0">
            <w:pPr>
              <w:rPr>
                <w:rFonts w:ascii="Calibri" w:hAnsi="Calibri"/>
                <w:color w:val="000000"/>
              </w:rPr>
            </w:pPr>
            <w:r>
              <w:rPr>
                <w:rFonts w:ascii="Calibri" w:hAnsi="Calibri"/>
                <w:color w:val="000000"/>
              </w:rPr>
              <w:t>PWP</w:t>
            </w:r>
          </w:p>
        </w:tc>
        <w:tc>
          <w:tcPr>
            <w:tcW w:w="7375" w:type="dxa"/>
            <w:vAlign w:val="center"/>
          </w:tcPr>
          <w:p w:rsidR="006447E0" w:rsidRDefault="006447E0" w:rsidP="006447E0">
            <w:pPr>
              <w:rPr>
                <w:rFonts w:ascii="Calibri" w:hAnsi="Calibri"/>
                <w:color w:val="000000"/>
              </w:rPr>
            </w:pPr>
            <w:r>
              <w:rPr>
                <w:rFonts w:ascii="Calibri" w:hAnsi="Calibri"/>
                <w:color w:val="000000"/>
              </w:rPr>
              <w:t>Public Works Project</w:t>
            </w:r>
          </w:p>
        </w:tc>
      </w:tr>
      <w:tr w:rsidR="006447E0" w:rsidRPr="00175470" w:rsidTr="00E0781A">
        <w:tc>
          <w:tcPr>
            <w:tcW w:w="1975" w:type="dxa"/>
            <w:vAlign w:val="center"/>
          </w:tcPr>
          <w:p w:rsidR="006447E0" w:rsidRDefault="006447E0" w:rsidP="006447E0">
            <w:pPr>
              <w:rPr>
                <w:rFonts w:ascii="Calibri" w:hAnsi="Calibri"/>
                <w:color w:val="000000"/>
              </w:rPr>
            </w:pPr>
            <w:r>
              <w:rPr>
                <w:rFonts w:ascii="Calibri" w:hAnsi="Calibri"/>
                <w:color w:val="000000"/>
              </w:rPr>
              <w:t>REAP</w:t>
            </w:r>
          </w:p>
        </w:tc>
        <w:tc>
          <w:tcPr>
            <w:tcW w:w="7375" w:type="dxa"/>
            <w:vAlign w:val="center"/>
          </w:tcPr>
          <w:p w:rsidR="006447E0" w:rsidRDefault="006447E0" w:rsidP="006447E0">
            <w:pPr>
              <w:rPr>
                <w:rFonts w:ascii="Calibri" w:hAnsi="Calibri"/>
                <w:color w:val="000000"/>
              </w:rPr>
            </w:pPr>
            <w:r>
              <w:rPr>
                <w:rFonts w:ascii="Calibri" w:hAnsi="Calibri"/>
                <w:color w:val="000000"/>
              </w:rPr>
              <w:t>Rural Energy Access Project</w:t>
            </w:r>
          </w:p>
        </w:tc>
      </w:tr>
      <w:tr w:rsidR="006447E0" w:rsidRPr="00175470" w:rsidTr="00E0781A">
        <w:tc>
          <w:tcPr>
            <w:tcW w:w="1975" w:type="dxa"/>
            <w:vAlign w:val="center"/>
          </w:tcPr>
          <w:p w:rsidR="006447E0" w:rsidRDefault="006447E0" w:rsidP="006447E0">
            <w:pPr>
              <w:rPr>
                <w:rFonts w:ascii="Calibri" w:hAnsi="Calibri"/>
                <w:color w:val="000000"/>
              </w:rPr>
            </w:pPr>
            <w:r>
              <w:rPr>
                <w:rFonts w:ascii="Calibri" w:hAnsi="Calibri"/>
                <w:color w:val="000000"/>
              </w:rPr>
              <w:t>SEDF</w:t>
            </w:r>
          </w:p>
        </w:tc>
        <w:tc>
          <w:tcPr>
            <w:tcW w:w="7375" w:type="dxa"/>
            <w:vAlign w:val="center"/>
          </w:tcPr>
          <w:p w:rsidR="006447E0" w:rsidRDefault="006447E0" w:rsidP="006447E0">
            <w:pPr>
              <w:rPr>
                <w:rFonts w:ascii="Calibri" w:hAnsi="Calibri"/>
                <w:color w:val="000000"/>
              </w:rPr>
            </w:pPr>
            <w:r>
              <w:rPr>
                <w:rFonts w:ascii="Calibri" w:hAnsi="Calibri"/>
                <w:color w:val="000000"/>
              </w:rPr>
              <w:t>Small and Micro Enterprises Development Fund</w:t>
            </w:r>
          </w:p>
        </w:tc>
      </w:tr>
      <w:tr w:rsidR="006447E0" w:rsidRPr="00175470" w:rsidTr="00E0781A">
        <w:tc>
          <w:tcPr>
            <w:tcW w:w="1975" w:type="dxa"/>
            <w:vAlign w:val="center"/>
          </w:tcPr>
          <w:p w:rsidR="006447E0" w:rsidRDefault="006447E0" w:rsidP="006447E0">
            <w:pPr>
              <w:rPr>
                <w:rFonts w:ascii="Calibri" w:hAnsi="Calibri"/>
                <w:color w:val="000000"/>
              </w:rPr>
            </w:pPr>
            <w:r>
              <w:rPr>
                <w:rFonts w:ascii="Calibri" w:hAnsi="Calibri"/>
                <w:color w:val="000000"/>
              </w:rPr>
              <w:t>SFD</w:t>
            </w:r>
          </w:p>
        </w:tc>
        <w:tc>
          <w:tcPr>
            <w:tcW w:w="7375" w:type="dxa"/>
            <w:vAlign w:val="center"/>
          </w:tcPr>
          <w:p w:rsidR="006447E0" w:rsidRDefault="006447E0" w:rsidP="006447E0">
            <w:pPr>
              <w:rPr>
                <w:rFonts w:ascii="Calibri" w:hAnsi="Calibri"/>
                <w:color w:val="000000"/>
              </w:rPr>
            </w:pPr>
            <w:r>
              <w:rPr>
                <w:rFonts w:ascii="Calibri" w:hAnsi="Calibri"/>
                <w:color w:val="000000"/>
              </w:rPr>
              <w:t>Social Fund for Development</w:t>
            </w:r>
          </w:p>
        </w:tc>
      </w:tr>
      <w:tr w:rsidR="006447E0" w:rsidRPr="00175470" w:rsidTr="00E0781A">
        <w:tc>
          <w:tcPr>
            <w:tcW w:w="1975" w:type="dxa"/>
            <w:vAlign w:val="center"/>
          </w:tcPr>
          <w:p w:rsidR="006447E0" w:rsidRDefault="006447E0" w:rsidP="006447E0">
            <w:pPr>
              <w:rPr>
                <w:rFonts w:ascii="Calibri" w:hAnsi="Calibri"/>
                <w:color w:val="000000"/>
              </w:rPr>
            </w:pPr>
            <w:r>
              <w:rPr>
                <w:rFonts w:ascii="Calibri" w:hAnsi="Calibri"/>
                <w:color w:val="000000"/>
              </w:rPr>
              <w:t>SMEPS</w:t>
            </w:r>
          </w:p>
        </w:tc>
        <w:tc>
          <w:tcPr>
            <w:tcW w:w="7375" w:type="dxa"/>
            <w:vAlign w:val="center"/>
          </w:tcPr>
          <w:p w:rsidR="006447E0" w:rsidRDefault="006447E0" w:rsidP="006447E0">
            <w:pPr>
              <w:rPr>
                <w:rFonts w:ascii="Calibri" w:hAnsi="Calibri"/>
                <w:color w:val="000000"/>
              </w:rPr>
            </w:pPr>
            <w:r>
              <w:rPr>
                <w:rFonts w:ascii="Calibri" w:hAnsi="Calibri"/>
                <w:color w:val="000000"/>
              </w:rPr>
              <w:t>Small and Micro Enterprise Promotion Service</w:t>
            </w:r>
          </w:p>
        </w:tc>
      </w:tr>
      <w:tr w:rsidR="002305EE" w:rsidRPr="00175470" w:rsidTr="00E0781A">
        <w:tc>
          <w:tcPr>
            <w:tcW w:w="1975" w:type="dxa"/>
            <w:vAlign w:val="center"/>
          </w:tcPr>
          <w:p w:rsidR="002305EE" w:rsidRDefault="002305EE" w:rsidP="006447E0">
            <w:pPr>
              <w:rPr>
                <w:rFonts w:ascii="Calibri" w:hAnsi="Calibri"/>
                <w:color w:val="000000"/>
              </w:rPr>
            </w:pPr>
            <w:r>
              <w:rPr>
                <w:rFonts w:ascii="Calibri" w:hAnsi="Calibri"/>
                <w:color w:val="000000"/>
              </w:rPr>
              <w:t>UN</w:t>
            </w:r>
          </w:p>
        </w:tc>
        <w:tc>
          <w:tcPr>
            <w:tcW w:w="7375" w:type="dxa"/>
            <w:vAlign w:val="center"/>
          </w:tcPr>
          <w:p w:rsidR="002305EE" w:rsidRDefault="002305EE" w:rsidP="006447E0">
            <w:pPr>
              <w:rPr>
                <w:rFonts w:ascii="Calibri" w:hAnsi="Calibri"/>
                <w:color w:val="000000"/>
              </w:rPr>
            </w:pPr>
            <w:r>
              <w:rPr>
                <w:rFonts w:ascii="Calibri" w:hAnsi="Calibri"/>
                <w:color w:val="000000"/>
              </w:rPr>
              <w:t>United Nations</w:t>
            </w:r>
          </w:p>
        </w:tc>
      </w:tr>
    </w:tbl>
    <w:p w:rsidR="000361DE" w:rsidRDefault="000361DE" w:rsidP="00846753"/>
    <w:p w:rsidR="005A4A8E" w:rsidRDefault="005A4A8E">
      <w:pPr>
        <w:spacing w:after="160"/>
        <w:jc w:val="left"/>
        <w:rPr>
          <w:rFonts w:eastAsiaTheme="majorEastAsia" w:cstheme="majorBidi"/>
          <w:b/>
          <w:color w:val="2E74B5" w:themeColor="accent1" w:themeShade="BF"/>
          <w:sz w:val="32"/>
          <w:szCs w:val="32"/>
        </w:rPr>
      </w:pPr>
      <w:r>
        <w:rPr>
          <w:rFonts w:eastAsiaTheme="majorEastAsia" w:cstheme="majorBidi"/>
          <w:b/>
          <w:color w:val="2E74B5" w:themeColor="accent1" w:themeShade="BF"/>
          <w:sz w:val="32"/>
          <w:szCs w:val="32"/>
        </w:rPr>
        <w:br w:type="page"/>
      </w:r>
    </w:p>
    <w:p w:rsidR="005A4A8E" w:rsidRDefault="005A4A8E" w:rsidP="005A4A8E">
      <w:r w:rsidRPr="005A4A8E">
        <w:rPr>
          <w:rFonts w:eastAsiaTheme="majorEastAsia" w:cstheme="majorBidi"/>
          <w:b/>
          <w:color w:val="2E74B5" w:themeColor="accent1" w:themeShade="BF"/>
          <w:sz w:val="32"/>
          <w:szCs w:val="32"/>
        </w:rPr>
        <w:lastRenderedPageBreak/>
        <w:t xml:space="preserve">Acknowledgements </w:t>
      </w:r>
    </w:p>
    <w:p w:rsidR="00C92D13" w:rsidRDefault="005A4A8E" w:rsidP="005A4A8E">
      <w:pPr>
        <w:pStyle w:val="ListParagraph"/>
        <w:numPr>
          <w:ilvl w:val="0"/>
          <w:numId w:val="0"/>
        </w:numPr>
      </w:pPr>
      <w:r>
        <w:t>The note was prepared by a team from the Energy &amp; Extractives Global Practice of the World Bank, which included Joern Huenteler, Ashish Khanna, Sara Badiei, Tyeler Matsuo, Elisabeth Maier and Erik Fernstrom.</w:t>
      </w:r>
      <w:r w:rsidR="00C92D13">
        <w:br w:type="page"/>
      </w:r>
    </w:p>
    <w:p w:rsidR="00895F7C" w:rsidRPr="002D7526" w:rsidRDefault="006746C0" w:rsidP="002D7526">
      <w:pPr>
        <w:pStyle w:val="Heading1"/>
      </w:pPr>
      <w:bookmarkStart w:id="3" w:name="_Toc484160731"/>
      <w:r w:rsidRPr="002D7526">
        <w:lastRenderedPageBreak/>
        <w:t>Background</w:t>
      </w:r>
      <w:bookmarkEnd w:id="3"/>
    </w:p>
    <w:p w:rsidR="00D10718" w:rsidRPr="005D0002" w:rsidRDefault="00D10718" w:rsidP="005D0002">
      <w:pPr>
        <w:pStyle w:val="ListParagraph"/>
      </w:pPr>
      <w:r w:rsidRPr="005D0002">
        <w:rPr>
          <w:b/>
        </w:rPr>
        <w:t xml:space="preserve">Already before the conflict, much of Yemen’s population was deprived of basic </w:t>
      </w:r>
      <w:r w:rsidR="005D0002">
        <w:rPr>
          <w:b/>
        </w:rPr>
        <w:t>electricity</w:t>
      </w:r>
      <w:r w:rsidRPr="005D0002">
        <w:rPr>
          <w:b/>
        </w:rPr>
        <w:t xml:space="preserve"> services</w:t>
      </w:r>
      <w:r w:rsidR="004049A3">
        <w:rPr>
          <w:b/>
        </w:rPr>
        <w:t xml:space="preserve">.  </w:t>
      </w:r>
      <w:r w:rsidRPr="005D0002">
        <w:t>Even before the conflict, Yemen was considered the least electrified country in the MENA region, with a pre-crisis access rate from all sources of only 55 percent</w:t>
      </w:r>
      <w:r w:rsidR="004049A3">
        <w:t xml:space="preserve">.  </w:t>
      </w:r>
      <w:r w:rsidRPr="005D0002">
        <w:t>The country’s per capita electricity consumption stood at 243 kWh in 2013, almost one-sixth of the regional average</w:t>
      </w:r>
      <w:r w:rsidR="007B234D">
        <w:t xml:space="preserve"> </w:t>
      </w:r>
      <w:r w:rsidR="007B234D">
        <w:fldChar w:fldCharType="begin" w:fldLock="1"/>
      </w:r>
      <w:r w:rsidR="007B234D">
        <w:instrText>ADDIN CSL_CITATION { "citationItems" : [ { "id" : "ITEM-1", "itemData" : { "author" : [ { "dropping-particle" : "", "family" : "The World Bank Group", "given" : "", "non-dropping-particle" : "", "parse-names" : false, "suffix" : "" } ], "id" : "ITEM-1", "issued" : { "date-parts" : [ [ "2016" ] ] }, "number-of-pages" : "5-9", "publisher" : "The World Bank Group", "publisher-place" : "Washington, DC", "title" : "Country Engagement Note For Republic of Yemen FY17-FY18", "type" : "book" }, "uris" : [ "http://www.mendeley.com/documents/?uuid=bdd3e78a-f7c8-4d18-a46d-6e4a6abd1b06" ] } ], "mendeley" : { "formattedCitation" : "(The World Bank Group, 2016)", "plainTextFormattedCitation" : "(The World Bank Group, 2016)", "previouslyFormattedCitation" : "(The World Bank Group, 2016)" }, "properties" : { "noteIndex" : 0 }, "schema" : "https://github.com/citation-style-language/schema/raw/master/csl-citation.json" }</w:instrText>
      </w:r>
      <w:r w:rsidR="007B234D">
        <w:fldChar w:fldCharType="separate"/>
      </w:r>
      <w:r w:rsidR="007B234D" w:rsidRPr="007B234D">
        <w:rPr>
          <w:noProof/>
        </w:rPr>
        <w:t>(The World Bank Group, 2016)</w:t>
      </w:r>
      <w:r w:rsidR="007B234D">
        <w:fldChar w:fldCharType="end"/>
      </w:r>
      <w:r w:rsidR="004049A3">
        <w:t xml:space="preserve">.  </w:t>
      </w:r>
      <w:r w:rsidR="008D099F">
        <w:t>Electricity supply and demand were</w:t>
      </w:r>
      <w:r w:rsidR="008D099F" w:rsidRPr="00D10718">
        <w:t xml:space="preserve"> seriously out of balance</w:t>
      </w:r>
      <w:r w:rsidR="004049A3">
        <w:t xml:space="preserve">.  </w:t>
      </w:r>
      <w:r w:rsidR="008D099F" w:rsidRPr="00D10718">
        <w:t>Installed generation capacity was about 1,300 MW in 2015</w:t>
      </w:r>
      <w:r w:rsidR="008D099F">
        <w:t>—</w:t>
      </w:r>
      <w:r w:rsidR="008D099F" w:rsidRPr="00D10718">
        <w:t>20% short of peak demand</w:t>
      </w:r>
      <w:r w:rsidR="008D099F">
        <w:t>—</w:t>
      </w:r>
      <w:r w:rsidRPr="005D0002">
        <w:t>giving only about half the population access to (often unreliable) electricity</w:t>
      </w:r>
      <w:r w:rsidR="004049A3">
        <w:t xml:space="preserve">.  </w:t>
      </w:r>
      <w:r w:rsidRPr="005D0002">
        <w:t>The remainder of the population lack</w:t>
      </w:r>
      <w:r w:rsidR="007B234D">
        <w:t>ed</w:t>
      </w:r>
      <w:r w:rsidRPr="005D0002">
        <w:t xml:space="preserve"> any form of electricity access, with severe consequences for socioeconomic development and poverty.</w:t>
      </w:r>
    </w:p>
    <w:p w:rsidR="00D10718" w:rsidRPr="009C116E" w:rsidRDefault="00D10718" w:rsidP="00AA5726">
      <w:pPr>
        <w:pStyle w:val="ListParagraph"/>
        <w:rPr>
          <w:b/>
        </w:rPr>
      </w:pPr>
      <w:r w:rsidRPr="008D099F">
        <w:rPr>
          <w:b/>
        </w:rPr>
        <w:t xml:space="preserve">There had been little progress in the </w:t>
      </w:r>
      <w:r w:rsidR="00E136C9">
        <w:rPr>
          <w:b/>
        </w:rPr>
        <w:t>electricity</w:t>
      </w:r>
      <w:r w:rsidRPr="008D099F">
        <w:rPr>
          <w:b/>
        </w:rPr>
        <w:t xml:space="preserve"> sector over the last decade</w:t>
      </w:r>
      <w:r w:rsidR="004049A3">
        <w:rPr>
          <w:b/>
        </w:rPr>
        <w:t xml:space="preserve">.  </w:t>
      </w:r>
      <w:r w:rsidRPr="00D10718">
        <w:t>The sector made little progress on improving operational efficiency and quality of service or in reducing high electricity losses, while costing the country over 10 percent of its GDP annually through direct and indirect subsidies</w:t>
      </w:r>
      <w:r w:rsidR="00065386">
        <w:t xml:space="preserve"> </w:t>
      </w:r>
      <w:r w:rsidR="00065386">
        <w:fldChar w:fldCharType="begin" w:fldLock="1"/>
      </w:r>
      <w:r w:rsidR="00065386">
        <w:instrText>ADDIN CSL_CITATION { "citationItems" : [ { "id" : "ITEM-1", "itemData" : { "author" : [ { "dropping-particle" : "", "family" : "The World Bank", "given" : "", "non-dropping-particle" : "", "parse-names" : false, "suffix" : "" } ], "id" : "ITEM-1", "issued" : { "date-parts" : [ [ "2013" ] ] }, "publisher" : "The World Bank", "publisher-place" : "Washington, DC", "title" : "Yemen Power Sector Reform Strategy: Towards Improved Performance and Financial Sustainability Executive", "type" : "book" }, "uris" : [ "http://www.mendeley.com/documents/?uuid=7c0a610e-ce57-4bbe-9a88-4ef501dc43ec" ] } ], "mendeley" : { "formattedCitation" : "(The World Bank, 2013)", "plainTextFormattedCitation" : "(The World Bank, 2013)", "previouslyFormattedCitation" : "(The World Bank, 2013)" }, "properties" : { "noteIndex" : 0 }, "schema" : "https://github.com/citation-style-language/schema/raw/master/csl-citation.json" }</w:instrText>
      </w:r>
      <w:r w:rsidR="00065386">
        <w:fldChar w:fldCharType="separate"/>
      </w:r>
      <w:r w:rsidR="00065386" w:rsidRPr="007B234D">
        <w:rPr>
          <w:noProof/>
        </w:rPr>
        <w:t>(The World Bank, 2013)</w:t>
      </w:r>
      <w:r w:rsidR="00065386">
        <w:fldChar w:fldCharType="end"/>
      </w:r>
      <w:r w:rsidR="004049A3">
        <w:t xml:space="preserve">.  </w:t>
      </w:r>
      <w:r w:rsidR="008D099F">
        <w:t>The country was neither getting the affordable, reliable and sufficient electricity needed to power economic growth, nor was it able to sustainably increase electricity service to more rural areas for poverty reduction</w:t>
      </w:r>
      <w:r w:rsidR="004049A3">
        <w:t xml:space="preserve">.  </w:t>
      </w:r>
      <w:r w:rsidR="00D3529A" w:rsidRPr="00B066FC">
        <w:t xml:space="preserve">No major infrastructure was completed in the </w:t>
      </w:r>
      <w:r w:rsidR="00D3529A">
        <w:t>electricity sector</w:t>
      </w:r>
      <w:r w:rsidR="00D3529A" w:rsidRPr="00B066FC">
        <w:t xml:space="preserve"> sinc</w:t>
      </w:r>
      <w:r w:rsidR="00D3529A">
        <w:t>e the</w:t>
      </w:r>
      <w:r w:rsidR="00660F10">
        <w:t xml:space="preserve"> gas-fired </w:t>
      </w:r>
      <w:r w:rsidR="00D3529A">
        <w:t>Marib power plant, which was contracted in 2005 and came online in 2009</w:t>
      </w:r>
      <w:r w:rsidR="00065386">
        <w:t xml:space="preserve"> </w:t>
      </w:r>
      <w:r w:rsidR="00065386">
        <w:fldChar w:fldCharType="begin" w:fldLock="1"/>
      </w:r>
      <w:r w:rsidR="00065386">
        <w:instrText>ADDIN CSL_CITATION { "citationItems" : [ { "id" : "ITEM-1", "itemData" : { "author" : [ { "dropping-particle" : "", "family" : "The World Bank", "given" : "", "non-dropping-particle" : "", "parse-names" : false, "suffix" : "" } ], "id" : "ITEM-1", "issued" : { "date-parts" : [ [ "2013" ] ] }, "publisher" : "The World Bank", "publisher-place" : "Washington, DC", "title" : "Yemen Power Sector Reform Strategy: Towards Improved Performance and Financial Sustainability Executive", "type" : "book" }, "uris" : [ "http://www.mendeley.com/documents/?uuid=7c0a610e-ce57-4bbe-9a88-4ef501dc43ec" ] } ], "mendeley" : { "formattedCitation" : "(The World Bank, 2013)", "plainTextFormattedCitation" : "(The World Bank, 2013)", "previouslyFormattedCitation" : "(The World Bank, 2013)" }, "properties" : { "noteIndex" : 0 }, "schema" : "https://github.com/citation-style-language/schema/raw/master/csl-citation.json" }</w:instrText>
      </w:r>
      <w:r w:rsidR="00065386">
        <w:fldChar w:fldCharType="separate"/>
      </w:r>
      <w:r w:rsidR="00065386" w:rsidRPr="007B234D">
        <w:rPr>
          <w:noProof/>
        </w:rPr>
        <w:t>(The World Bank, 2013)</w:t>
      </w:r>
      <w:r w:rsidR="00065386">
        <w:fldChar w:fldCharType="end"/>
      </w:r>
      <w:r w:rsidR="004049A3">
        <w:t xml:space="preserve">.  </w:t>
      </w:r>
      <w:r w:rsidR="008D099F">
        <w:t xml:space="preserve">With the exception of the Marib plant, </w:t>
      </w:r>
      <w:r w:rsidRPr="00D10718">
        <w:t xml:space="preserve">all electricity was generated </w:t>
      </w:r>
      <w:r w:rsidR="008D099F">
        <w:t>by</w:t>
      </w:r>
      <w:r w:rsidRPr="00D10718">
        <w:t xml:space="preserve"> old and inefficient HFO/diesel fired plants owned by </w:t>
      </w:r>
      <w:r w:rsidR="008D099F">
        <w:t xml:space="preserve">the </w:t>
      </w:r>
      <w:r w:rsidRPr="00D10718">
        <w:t xml:space="preserve">Public Electricity Corporation </w:t>
      </w:r>
      <w:r w:rsidR="008D099F">
        <w:t xml:space="preserve">(PEC) </w:t>
      </w:r>
      <w:r w:rsidRPr="00D10718">
        <w:t>and small diesel units contracted through short-term rentals with the private suppliers</w:t>
      </w:r>
      <w:r w:rsidR="004049A3">
        <w:t xml:space="preserve">.  </w:t>
      </w:r>
      <w:r w:rsidRPr="00D10718">
        <w:t>In 2010, HFO and diesel fired-power plants accounted for about 70 percent of grid-connected generation</w:t>
      </w:r>
      <w:r w:rsidR="004049A3">
        <w:t xml:space="preserve">.  </w:t>
      </w:r>
      <w:r w:rsidRPr="00D10718">
        <w:t>In addition, there are millions of small diesel units owned by industry, commercial establishments and households to combat the frequent blackouts of the lack of access to the grid-connected electricity</w:t>
      </w:r>
      <w:r w:rsidR="004049A3">
        <w:t xml:space="preserve">.  </w:t>
      </w:r>
      <w:r w:rsidRPr="00D10718">
        <w:t>The key feature of the HFO/diesel dominated power generation systems is the associated high electricity costs and heavy pollution</w:t>
      </w:r>
      <w:r w:rsidR="004049A3">
        <w:t xml:space="preserve">.  </w:t>
      </w:r>
      <w:r w:rsidRPr="00D10718">
        <w:t xml:space="preserve">Despite an average consumer tariff of about US$8 cent/kWh, which is higher than the consumer prices in most MENA countries, </w:t>
      </w:r>
      <w:r w:rsidR="00DE6801">
        <w:t>revenues</w:t>
      </w:r>
      <w:r w:rsidRPr="00D10718">
        <w:t xml:space="preserve"> cover</w:t>
      </w:r>
      <w:r w:rsidR="00DE6801">
        <w:t>ed</w:t>
      </w:r>
      <w:r w:rsidRPr="00D10718">
        <w:t xml:space="preserve"> only about 25 percent of the economic cost of supply</w:t>
      </w:r>
      <w:r w:rsidR="004049A3">
        <w:t xml:space="preserve">.  </w:t>
      </w:r>
      <w:r w:rsidRPr="00D10718">
        <w:t>Even in Sana’a, the service quality was poor with typically 2-3 outages per day for over 4 hours</w:t>
      </w:r>
      <w:r w:rsidR="004049A3">
        <w:t xml:space="preserve">.  </w:t>
      </w:r>
      <w:r w:rsidRPr="00D10718">
        <w:t>Most of the grid-connected consumers in other parts of the country suffer</w:t>
      </w:r>
      <w:r w:rsidR="00DE6801">
        <w:t>ed</w:t>
      </w:r>
      <w:r w:rsidRPr="00D10718">
        <w:t xml:space="preserve"> from more frequent daily load shedding of longer hours</w:t>
      </w:r>
      <w:r w:rsidR="008D099F">
        <w:t xml:space="preserve"> </w:t>
      </w:r>
      <w:r w:rsidR="008D099F">
        <w:fldChar w:fldCharType="begin" w:fldLock="1"/>
      </w:r>
      <w:r w:rsidR="00A66AE9">
        <w:instrText>ADDIN CSL_CITATION { "citationItems" : [ { "id" : "ITEM-1", "itemData" : { "author" : [ { "dropping-particle" : "", "family" : "The World Bank", "given" : "", "non-dropping-particle" : "", "parse-names" : false, "suffix" : "" } ], "id" : "ITEM-1", "issued" : { "date-parts" : [ [ "2013" ] ] }, "publisher" : "The World Bank", "publisher-place" : "Washington, DC", "title" : "Yemen Power Sector Reform Strategy: Towards Improved Performance and Financial Sustainability Executive", "type" : "book" }, "uris" : [ "http://www.mendeley.com/documents/?uuid=7c0a610e-ce57-4bbe-9a88-4ef501dc43ec" ] } ], "mendeley" : { "formattedCitation" : "(The World Bank, 2013)", "plainTextFormattedCitation" : "(The World Bank, 2013)", "previouslyFormattedCitation" : "(The World Bank, 2013)" }, "properties" : { "noteIndex" : 0 }, "schema" : "https://github.com/citation-style-language/schema/raw/master/csl-citation.json" }</w:instrText>
      </w:r>
      <w:r w:rsidR="008D099F">
        <w:fldChar w:fldCharType="separate"/>
      </w:r>
      <w:r w:rsidR="008D099F" w:rsidRPr="007B234D">
        <w:rPr>
          <w:noProof/>
        </w:rPr>
        <w:t>(The World Bank, 2013)</w:t>
      </w:r>
      <w:r w:rsidR="008D099F">
        <w:fldChar w:fldCharType="end"/>
      </w:r>
      <w:r w:rsidRPr="00D10718">
        <w:t>.</w:t>
      </w:r>
    </w:p>
    <w:p w:rsidR="009C116E" w:rsidRDefault="009C116E">
      <w:pPr>
        <w:spacing w:after="160"/>
        <w:jc w:val="left"/>
        <w:rPr>
          <w:b/>
        </w:rPr>
      </w:pPr>
      <w:r>
        <w:rPr>
          <w:b/>
        </w:rPr>
        <w:br w:type="page"/>
      </w:r>
    </w:p>
    <w:p w:rsidR="00A01B37" w:rsidRDefault="00594278" w:rsidP="002D7526">
      <w:pPr>
        <w:pStyle w:val="Heading1"/>
      </w:pPr>
      <w:bookmarkStart w:id="4" w:name="_Toc484160732"/>
      <w:r>
        <w:lastRenderedPageBreak/>
        <w:t>Conflict</w:t>
      </w:r>
      <w:r w:rsidR="00D67113">
        <w:t>-</w:t>
      </w:r>
      <w:r>
        <w:t>related damages and challenges</w:t>
      </w:r>
      <w:bookmarkEnd w:id="4"/>
    </w:p>
    <w:p w:rsidR="00CB49FF" w:rsidRPr="00CB49FF" w:rsidRDefault="00283FCE" w:rsidP="005D0002">
      <w:pPr>
        <w:pStyle w:val="ListParagraph"/>
        <w:rPr>
          <w:b/>
        </w:rPr>
      </w:pPr>
      <w:r w:rsidRPr="00996347">
        <w:rPr>
          <w:b/>
          <w:shd w:val="clear" w:color="auto" w:fill="FFFFFF"/>
        </w:rPr>
        <w:t xml:space="preserve">The </w:t>
      </w:r>
      <w:r w:rsidR="003761EE">
        <w:rPr>
          <w:b/>
          <w:shd w:val="clear" w:color="auto" w:fill="FFFFFF"/>
        </w:rPr>
        <w:t>ongoing conflict</w:t>
      </w:r>
      <w:r w:rsidRPr="00996347">
        <w:rPr>
          <w:b/>
          <w:shd w:val="clear" w:color="auto" w:fill="FFFFFF"/>
        </w:rPr>
        <w:t xml:space="preserve"> has significantly worsened the electricity supply situation from an already low level</w:t>
      </w:r>
      <w:r w:rsidR="00CB49FF">
        <w:rPr>
          <w:b/>
          <w:shd w:val="clear" w:color="auto" w:fill="FFFFFF"/>
        </w:rPr>
        <w:t>, with</w:t>
      </w:r>
      <w:r w:rsidR="00CB49FF" w:rsidRPr="00CB49FF">
        <w:rPr>
          <w:b/>
        </w:rPr>
        <w:t xml:space="preserve"> severe impact</w:t>
      </w:r>
      <w:r w:rsidR="00CB49FF">
        <w:rPr>
          <w:b/>
        </w:rPr>
        <w:t xml:space="preserve"> </w:t>
      </w:r>
      <w:r w:rsidR="00CB49FF" w:rsidRPr="00CB49FF">
        <w:rPr>
          <w:b/>
        </w:rPr>
        <w:t>on health, education, water and sanitation, and the private sector, which all rely heavily on a functioning power supply</w:t>
      </w:r>
      <w:r w:rsidR="004049A3">
        <w:rPr>
          <w:b/>
        </w:rPr>
        <w:t xml:space="preserve">.  </w:t>
      </w:r>
      <w:r w:rsidRPr="007C2567">
        <w:t xml:space="preserve">As documented in the </w:t>
      </w:r>
      <w:r>
        <w:t xml:space="preserve">World </w:t>
      </w:r>
      <w:r w:rsidRPr="007C2567">
        <w:t>Bank</w:t>
      </w:r>
      <w:r w:rsidRPr="007C2567">
        <w:rPr>
          <w:rFonts w:ascii="Calibri" w:hAnsi="Calibri" w:cs="Calibri"/>
        </w:rPr>
        <w:t>’</w:t>
      </w:r>
      <w:r w:rsidRPr="007C2567">
        <w:t xml:space="preserve">s Damage and Needs Assessment (DNA Phase I) and the </w:t>
      </w:r>
      <w:r>
        <w:t>m</w:t>
      </w:r>
      <w:r w:rsidRPr="007C2567">
        <w:t xml:space="preserve">ulti-agency DNA (World Bank, UN, EU and IsDB), the ongoing conflict has significantly </w:t>
      </w:r>
      <w:r w:rsidR="003761EE">
        <w:t>impacted</w:t>
      </w:r>
      <w:r w:rsidRPr="007C2567">
        <w:t xml:space="preserve"> Yemen’s electricity infrastructure and cut off most of Yemen’s population from PEC’s services</w:t>
      </w:r>
      <w:r w:rsidR="004049A3">
        <w:t xml:space="preserve">.  </w:t>
      </w:r>
      <w:r w:rsidRPr="007C2567">
        <w:t>Public electricity supply has been completely shut down in most populated areas and PEC has become virtually bankrupt</w:t>
      </w:r>
      <w:r w:rsidR="004049A3">
        <w:t xml:space="preserve">.  </w:t>
      </w:r>
      <w:r w:rsidRPr="00FA613F">
        <w:t>The current supply of public power capacity</w:t>
      </w:r>
      <w:r>
        <w:t xml:space="preserve"> </w:t>
      </w:r>
      <w:r w:rsidRPr="00FA613F">
        <w:t>is averaging 200–250 MW</w:t>
      </w:r>
      <w:r>
        <w:t>, most of which is supplied to the port cities Aden and Al-Mukalla in the South</w:t>
      </w:r>
      <w:r w:rsidR="007B234D">
        <w:t xml:space="preserve"> </w:t>
      </w:r>
      <w:r w:rsidR="007B234D">
        <w:fldChar w:fldCharType="begin" w:fldLock="1"/>
      </w:r>
      <w:r w:rsidR="007B234D">
        <w:instrText>ADDIN CSL_CITATION { "citationItems" : [ { "id" : "ITEM-1", "itemData" : { "author" : [ { "dropping-particle" : "", "family" : "PEC", "given" : "", "non-dropping-particle" : "", "parse-names" : false, "suffix" : "" } ], "id" : "ITEM-1", "issued" : { "date-parts" : [ [ "2015" ] ] }, "publisher" : "Public Electricity Company (PEC) - Republic of Yemen", "publisher-place" : "Sana'a, Yemen", "title" : "Report on Damages to Power Grid Caused by 2015 Crisis", "type" : "book" }, "uris" : [ "http://www.mendeley.com/documents/?uuid=a512f5ab-46f9-4271-a5dd-6453f1b3461b" ] } ], "mendeley" : { "formattedCitation" : "(PEC, 2015)", "plainTextFormattedCitation" : "(PEC, 2015)", "previouslyFormattedCitation" : "(PEC, 2015)" }, "properties" : { "noteIndex" : 0 }, "schema" : "https://github.com/citation-style-language/schema/raw/master/csl-citation.json" }</w:instrText>
      </w:r>
      <w:r w:rsidR="007B234D">
        <w:fldChar w:fldCharType="separate"/>
      </w:r>
      <w:r w:rsidR="007B234D" w:rsidRPr="007B234D">
        <w:rPr>
          <w:noProof/>
        </w:rPr>
        <w:t>(PEC, 2015)</w:t>
      </w:r>
      <w:r w:rsidR="007B234D">
        <w:fldChar w:fldCharType="end"/>
      </w:r>
      <w:r w:rsidR="004049A3">
        <w:t xml:space="preserve">.  </w:t>
      </w:r>
      <w:r w:rsidRPr="00D41BC4">
        <w:t>The capital Sana’a, which has a demand of around 500 MW, is barely supplied by 40 MW for a few hours a day</w:t>
      </w:r>
      <w:r w:rsidR="0041665A">
        <w:t xml:space="preserve"> </w:t>
      </w:r>
      <w:r w:rsidR="0041665A">
        <w:fldChar w:fldCharType="begin" w:fldLock="1"/>
      </w:r>
      <w:r w:rsidR="007B234D">
        <w:instrText>ADDIN CSL_CITATION { "citationItems" : [ { "id" : "ITEM-1", "itemData" : { "author" : [ { "dropping-particle" : "", "family" : "The World Bank", "given" : "", "non-dropping-particle" : "", "parse-names" : false, "suffix" : "" } ], "id" : "ITEM-1", "issued" : { "date-parts" : [ [ "2016" ] ] }, "publisher" : "The World Bank", "publisher-place" : "Washington, DC", "title" : "Yemen Dynamic Damage and Needs Assessment (DNA): First Phase Report", "type" : "book" }, "uris" : [ "http://www.mendeley.com/documents/?uuid=c7bb181b-5607-4fe9-acc0-0e9bdb055959" ] } ], "mendeley" : { "formattedCitation" : "(The World Bank, 2016a)", "plainTextFormattedCitation" : "(The World Bank, 2016a)", "previouslyFormattedCitation" : "(The World Bank, 2016a)" }, "properties" : { "noteIndex" : 0 }, "schema" : "https://github.com/citation-style-language/schema/raw/master/csl-citation.json" }</w:instrText>
      </w:r>
      <w:r w:rsidR="0041665A">
        <w:fldChar w:fldCharType="separate"/>
      </w:r>
      <w:r w:rsidR="0041665A" w:rsidRPr="0041665A">
        <w:rPr>
          <w:noProof/>
        </w:rPr>
        <w:t>(The World Bank, 2016a)</w:t>
      </w:r>
      <w:r w:rsidR="0041665A">
        <w:fldChar w:fldCharType="end"/>
      </w:r>
      <w:r w:rsidR="004049A3">
        <w:t xml:space="preserve">.  </w:t>
      </w:r>
      <w:r w:rsidRPr="00D41BC4">
        <w:t>The rest of the country, including the port city Al Hodeida, is lacking access to any reliable public energy services</w:t>
      </w:r>
      <w:r w:rsidR="004049A3">
        <w:t xml:space="preserve">.  </w:t>
      </w:r>
      <w:r w:rsidRPr="0028642D">
        <w:t xml:space="preserve">Using fuel sales to electricity plants as an indicator, </w:t>
      </w:r>
      <w:r w:rsidR="00996347">
        <w:t xml:space="preserve">total </w:t>
      </w:r>
      <w:r w:rsidRPr="0028642D">
        <w:t>power generation in 2015</w:t>
      </w:r>
      <w:r w:rsidR="00996347">
        <w:t>, including from PEC and private generators,</w:t>
      </w:r>
      <w:r w:rsidRPr="0028642D">
        <w:t xml:space="preserve"> dropped by 77 percent compared to 2014</w:t>
      </w:r>
      <w:r w:rsidR="00065386">
        <w:t xml:space="preserve"> </w:t>
      </w:r>
      <w:r w:rsidR="00065386">
        <w:fldChar w:fldCharType="begin" w:fldLock="1"/>
      </w:r>
      <w:r w:rsidR="00065386">
        <w:instrText>ADDIN CSL_CITATION { "citationItems" : [ { "id" : "ITEM-1", "itemData" : { "author" : [ { "dropping-particle" : "", "family" : "MOPIC", "given" : "", "non-dropping-particle" : "", "parse-names" : false, "suffix" : "" } ], "id" : "ITEM-1", "issued" : { "date-parts" : [ [ "2016" ] ] }, "publisher" : "Ministry of Planning &amp; International Cooperation (MOPIC)", "publisher-place" : "Sana'a, Yemen", "title" : "Yemen Socio-Economic Update Issue 14, May 2016: Oil Sector Recovery in Yemen Urgently Needed", "type" : "book" }, "uris" : [ "http://www.mendeley.com/documents/?uuid=2ae56f55-1ba2-412c-91a6-f1667d979ef9" ] } ], "mendeley" : { "formattedCitation" : "(MOPIC, 2016)", "plainTextFormattedCitation" : "(MOPIC, 2016)" }, "properties" : { "noteIndex" : 0 }, "schema" : "https://github.com/citation-style-language/schema/raw/master/csl-citation.json" }</w:instrText>
      </w:r>
      <w:r w:rsidR="00065386">
        <w:fldChar w:fldCharType="separate"/>
      </w:r>
      <w:r w:rsidR="00065386" w:rsidRPr="00065386">
        <w:rPr>
          <w:noProof/>
        </w:rPr>
        <w:t>(MOPIC, 2016)</w:t>
      </w:r>
      <w:r w:rsidR="00065386">
        <w:fldChar w:fldCharType="end"/>
      </w:r>
      <w:r w:rsidRPr="0028642D">
        <w:t>.</w:t>
      </w:r>
    </w:p>
    <w:p w:rsidR="0075123B" w:rsidRPr="00996347" w:rsidRDefault="00996347" w:rsidP="00E0781A">
      <w:pPr>
        <w:pStyle w:val="ListParagraph"/>
        <w:rPr>
          <w:shd w:val="clear" w:color="auto" w:fill="FFFFFF"/>
        </w:rPr>
      </w:pPr>
      <w:r w:rsidRPr="00996347">
        <w:rPr>
          <w:b/>
          <w:shd w:val="clear" w:color="auto" w:fill="FFFFFF"/>
        </w:rPr>
        <w:t xml:space="preserve">The top-down model of service delivery has been replaced by a combination of </w:t>
      </w:r>
      <w:r w:rsidR="000219B8" w:rsidRPr="00996347">
        <w:rPr>
          <w:b/>
          <w:shd w:val="clear" w:color="auto" w:fill="FFFFFF"/>
        </w:rPr>
        <w:t>locally managed</w:t>
      </w:r>
      <w:r w:rsidRPr="00996347">
        <w:rPr>
          <w:b/>
          <w:shd w:val="clear" w:color="auto" w:fill="FFFFFF"/>
        </w:rPr>
        <w:t xml:space="preserve"> urban public services and a private-sector driven bottom-up model</w:t>
      </w:r>
      <w:r w:rsidR="004049A3">
        <w:rPr>
          <w:shd w:val="clear" w:color="auto" w:fill="FFFFFF"/>
        </w:rPr>
        <w:t xml:space="preserve">.  </w:t>
      </w:r>
      <w:r>
        <w:rPr>
          <w:shd w:val="clear" w:color="auto" w:fill="FFFFFF"/>
        </w:rPr>
        <w:t>T</w:t>
      </w:r>
      <w:r w:rsidR="0075123B" w:rsidRPr="00996347">
        <w:rPr>
          <w:shd w:val="clear" w:color="auto" w:fill="FFFFFF"/>
        </w:rPr>
        <w:t>he almost complete collapse of public electricity supply and</w:t>
      </w:r>
      <w:r w:rsidR="00CB49FF">
        <w:rPr>
          <w:shd w:val="clear" w:color="auto" w:fill="FFFFFF"/>
        </w:rPr>
        <w:t xml:space="preserve"> limited</w:t>
      </w:r>
      <w:r w:rsidR="0075123B" w:rsidRPr="00996347">
        <w:rPr>
          <w:shd w:val="clear" w:color="auto" w:fill="FFFFFF"/>
        </w:rPr>
        <w:t xml:space="preserve"> fuel availability for diesel generators has spawned a booming industry for small to medium-scale solar systems, especially since 2015</w:t>
      </w:r>
      <w:r w:rsidR="004049A3">
        <w:rPr>
          <w:shd w:val="clear" w:color="auto" w:fill="FFFFFF"/>
        </w:rPr>
        <w:t xml:space="preserve">.  </w:t>
      </w:r>
      <w:r w:rsidR="0075123B" w:rsidRPr="00996347">
        <w:rPr>
          <w:shd w:val="clear" w:color="auto" w:fill="FFFFFF"/>
        </w:rPr>
        <w:t xml:space="preserve">A recent market assessment commissioned by the World Bank estimates that over the last five years, around 1 billion USD has been invested into solar PV systems for the residential sector in </w:t>
      </w:r>
      <w:r w:rsidRPr="00996347">
        <w:rPr>
          <w:shd w:val="clear" w:color="auto" w:fill="FFFFFF"/>
        </w:rPr>
        <w:t>Yemen</w:t>
      </w:r>
      <w:r w:rsidR="004049A3">
        <w:rPr>
          <w:shd w:val="clear" w:color="auto" w:fill="FFFFFF"/>
        </w:rPr>
        <w:t xml:space="preserve">.  </w:t>
      </w:r>
      <w:r w:rsidR="0075123B" w:rsidRPr="00996347">
        <w:rPr>
          <w:shd w:val="clear" w:color="auto" w:fill="FFFFFF"/>
        </w:rPr>
        <w:t xml:space="preserve">Based on interviews, the report estimates the market penetration of PV systems </w:t>
      </w:r>
      <w:r w:rsidR="00505EE6">
        <w:rPr>
          <w:shd w:val="clear" w:color="auto" w:fill="FFFFFF"/>
        </w:rPr>
        <w:t xml:space="preserve">may have reached up to </w:t>
      </w:r>
      <w:r w:rsidR="0075123B" w:rsidRPr="00996347">
        <w:rPr>
          <w:shd w:val="clear" w:color="auto" w:fill="FFFFFF"/>
        </w:rPr>
        <w:t>around 50% of households in rural areas and 75% in urban areas</w:t>
      </w:r>
      <w:r w:rsidR="004049A3">
        <w:rPr>
          <w:shd w:val="clear" w:color="auto" w:fill="FFFFFF"/>
        </w:rPr>
        <w:t xml:space="preserve">.  </w:t>
      </w:r>
      <w:r w:rsidR="0075123B" w:rsidRPr="00996347">
        <w:rPr>
          <w:shd w:val="clear" w:color="auto" w:fill="FFFFFF"/>
        </w:rPr>
        <w:t>The market is entirely driven by the private sector, with a supply chain that ranges from trading houses that import panels, control units and batteries from the GCC to small-scale electronics retailers that expanded their business to solar panels</w:t>
      </w:r>
      <w:r w:rsidR="004049A3">
        <w:rPr>
          <w:shd w:val="clear" w:color="auto" w:fill="FFFFFF"/>
        </w:rPr>
        <w:t xml:space="preserve">.  </w:t>
      </w:r>
      <w:r w:rsidR="0075123B" w:rsidRPr="00996347">
        <w:rPr>
          <w:shd w:val="clear" w:color="auto" w:fill="FFFFFF"/>
        </w:rPr>
        <w:t>In the capital Sana’a alone, over 170 such retailers registered with the Government to enter the solar market over the period 2014 to 2016</w:t>
      </w:r>
      <w:r w:rsidR="004049A3">
        <w:rPr>
          <w:shd w:val="clear" w:color="auto" w:fill="FFFFFF"/>
        </w:rPr>
        <w:t xml:space="preserve">.  </w:t>
      </w:r>
      <w:r w:rsidR="0075123B" w:rsidRPr="00996347">
        <w:rPr>
          <w:shd w:val="clear" w:color="auto" w:fill="FFFFFF"/>
        </w:rPr>
        <w:t>While a supply shortage limited growth until the second quarter of 2015, prices have come down significantly since Q3 2015 as supply has caught up with demand</w:t>
      </w:r>
      <w:r w:rsidR="00065386">
        <w:rPr>
          <w:shd w:val="clear" w:color="auto" w:fill="FFFFFF"/>
        </w:rPr>
        <w:t xml:space="preserve"> </w:t>
      </w:r>
      <w:r w:rsidR="00065386">
        <w:rPr>
          <w:shd w:val="clear" w:color="auto" w:fill="FFFFFF"/>
        </w:rPr>
        <w:fldChar w:fldCharType="begin" w:fldLock="1"/>
      </w:r>
      <w:r w:rsidR="00065386">
        <w:rPr>
          <w:shd w:val="clear" w:color="auto" w:fill="FFFFFF"/>
        </w:rPr>
        <w:instrText>ADDIN CSL_CITATION { "citationItems" : [ { "id" : "ITEM-1", "itemData" : { "author" : [ { "dropping-particle" : "", "family" : "RCREEE", "given" : "", "non-dropping-particle" : "", "parse-names" : false, "suffix" : "" } ], "id" : "ITEM-1", "issued" : { "date-parts" : [ [ "2016" ] ] }, "publisher" : "Regional Centre for Renewable Energy and Energy Efficiency (RCREEE)", "publisher-place" : "Cairo, Egypt", "title" : "Assessment of the Status of Solar PV in Yemen (Phase I): Unpublished Report", "type" : "book" }, "uris" : [ "http://www.mendeley.com/documents/?uuid=22391fdf-a4e2-4c31-83a1-d2b4ce440ec5" ] } ], "mendeley" : { "formattedCitation" : "(RCREEE, 2016)", "plainTextFormattedCitation" : "(RCREEE, 2016)", "previouslyFormattedCitation" : "(RCREEE, 2016)" }, "properties" : { "noteIndex" : 0 }, "schema" : "https://github.com/citation-style-language/schema/raw/master/csl-citation.json" }</w:instrText>
      </w:r>
      <w:r w:rsidR="00065386">
        <w:rPr>
          <w:shd w:val="clear" w:color="auto" w:fill="FFFFFF"/>
        </w:rPr>
        <w:fldChar w:fldCharType="separate"/>
      </w:r>
      <w:r w:rsidR="00065386" w:rsidRPr="00065386">
        <w:rPr>
          <w:noProof/>
          <w:shd w:val="clear" w:color="auto" w:fill="FFFFFF"/>
        </w:rPr>
        <w:t>(RCREEE, 2016)</w:t>
      </w:r>
      <w:r w:rsidR="00065386">
        <w:rPr>
          <w:shd w:val="clear" w:color="auto" w:fill="FFFFFF"/>
        </w:rPr>
        <w:fldChar w:fldCharType="end"/>
      </w:r>
      <w:r w:rsidR="0075123B" w:rsidRPr="00996347">
        <w:rPr>
          <w:shd w:val="clear" w:color="auto" w:fill="FFFFFF"/>
        </w:rPr>
        <w:t>.</w:t>
      </w:r>
    </w:p>
    <w:p w:rsidR="000124AB" w:rsidRDefault="0075123B" w:rsidP="008376B4">
      <w:pPr>
        <w:pStyle w:val="ListParagraph"/>
      </w:pPr>
      <w:r w:rsidRPr="00CB49FF">
        <w:rPr>
          <w:b/>
          <w:shd w:val="clear" w:color="auto" w:fill="FFFFFF"/>
        </w:rPr>
        <w:t>The poor have limited access to solar so far, and there are concerns about the quality of the installed technology</w:t>
      </w:r>
      <w:r w:rsidR="004049A3">
        <w:rPr>
          <w:b/>
          <w:shd w:val="clear" w:color="auto" w:fill="FFFFFF"/>
        </w:rPr>
        <w:t xml:space="preserve">.  </w:t>
      </w:r>
      <w:r w:rsidRPr="00CB49FF">
        <w:rPr>
          <w:shd w:val="clear" w:color="auto" w:fill="FFFFFF"/>
        </w:rPr>
        <w:t>The market assessment found that almost all systems are paid in cash and that debt finance is not readily available to most households</w:t>
      </w:r>
      <w:r w:rsidR="004049A3">
        <w:rPr>
          <w:shd w:val="clear" w:color="auto" w:fill="FFFFFF"/>
        </w:rPr>
        <w:t xml:space="preserve">.  </w:t>
      </w:r>
      <w:r w:rsidRPr="00CB49FF">
        <w:rPr>
          <w:shd w:val="clear" w:color="auto" w:fill="FFFFFF"/>
        </w:rPr>
        <w:t>While several financial institutions offer loans for solar systems, these are often mainly targeted at government employees and costumers able to provide guarantees</w:t>
      </w:r>
      <w:r w:rsidR="004049A3">
        <w:rPr>
          <w:shd w:val="clear" w:color="auto" w:fill="FFFFFF"/>
        </w:rPr>
        <w:t xml:space="preserve">.  </w:t>
      </w:r>
      <w:r w:rsidRPr="00CB49FF">
        <w:rPr>
          <w:shd w:val="clear" w:color="auto" w:fill="FFFFFF"/>
        </w:rPr>
        <w:t>This suggests that access to solar is so far limited for the lower quintiles of the population, especially in rural areas</w:t>
      </w:r>
      <w:r w:rsidR="004049A3">
        <w:rPr>
          <w:shd w:val="clear" w:color="auto" w:fill="FFFFFF"/>
        </w:rPr>
        <w:t xml:space="preserve">.  </w:t>
      </w:r>
      <w:r w:rsidRPr="00CB49FF">
        <w:rPr>
          <w:shd w:val="clear" w:color="auto" w:fill="FFFFFF"/>
        </w:rPr>
        <w:t xml:space="preserve">Furthermore, the market assessment many household solar installations suffer </w:t>
      </w:r>
      <w:r w:rsidRPr="00CB49FF">
        <w:rPr>
          <w:shd w:val="clear" w:color="auto" w:fill="FFFFFF"/>
        </w:rPr>
        <w:lastRenderedPageBreak/>
        <w:t>from high failure rates due to improper system design, poor quality components, and a lack of after-sales service</w:t>
      </w:r>
      <w:r w:rsidR="004049A3">
        <w:rPr>
          <w:shd w:val="clear" w:color="auto" w:fill="FFFFFF"/>
        </w:rPr>
        <w:t xml:space="preserve">.  </w:t>
      </w:r>
      <w:r w:rsidRPr="00CB49FF">
        <w:rPr>
          <w:shd w:val="clear" w:color="auto" w:fill="FFFFFF"/>
        </w:rPr>
        <w:t>Households that gain access to electricity through solar are thus at a risk of losing it again in case the system fails</w:t>
      </w:r>
      <w:r w:rsidR="00065386">
        <w:rPr>
          <w:shd w:val="clear" w:color="auto" w:fill="FFFFFF"/>
        </w:rPr>
        <w:t xml:space="preserve"> </w:t>
      </w:r>
      <w:r w:rsidR="00065386">
        <w:rPr>
          <w:shd w:val="clear" w:color="auto" w:fill="FFFFFF"/>
        </w:rPr>
        <w:fldChar w:fldCharType="begin" w:fldLock="1"/>
      </w:r>
      <w:r w:rsidR="00065386">
        <w:rPr>
          <w:shd w:val="clear" w:color="auto" w:fill="FFFFFF"/>
        </w:rPr>
        <w:instrText>ADDIN CSL_CITATION { "citationItems" : [ { "id" : "ITEM-1", "itemData" : { "author" : [ { "dropping-particle" : "", "family" : "RCREEE", "given" : "", "non-dropping-particle" : "", "parse-names" : false, "suffix" : "" } ], "id" : "ITEM-1", "issued" : { "date-parts" : [ [ "2017" ] ] }, "publisher" : "Regional Centre for Renewable Energy and Energy Efficiency (RCREEE)", "publisher-place" : "Cairo, Egypt", "title" : "Assessment of the Status of Solar PV in Yemen (Phase II): Unpublished Report", "type" : "book" }, "uris" : [ "http://www.mendeley.com/documents/?uuid=a560e368-4e7a-4d50-9a03-c854780a0fe7" ] } ], "mendeley" : { "formattedCitation" : "(RCREEE, 2017)", "plainTextFormattedCitation" : "(RCREEE, 2017)", "previouslyFormattedCitation" : "(RCREEE, 2017)" }, "properties" : { "noteIndex" : 0 }, "schema" : "https://github.com/citation-style-language/schema/raw/master/csl-citation.json" }</w:instrText>
      </w:r>
      <w:r w:rsidR="00065386">
        <w:rPr>
          <w:shd w:val="clear" w:color="auto" w:fill="FFFFFF"/>
        </w:rPr>
        <w:fldChar w:fldCharType="separate"/>
      </w:r>
      <w:r w:rsidR="00065386" w:rsidRPr="00065386">
        <w:rPr>
          <w:noProof/>
          <w:shd w:val="clear" w:color="auto" w:fill="FFFFFF"/>
        </w:rPr>
        <w:t>(RCREEE, 2017)</w:t>
      </w:r>
      <w:r w:rsidR="00065386">
        <w:rPr>
          <w:shd w:val="clear" w:color="auto" w:fill="FFFFFF"/>
        </w:rPr>
        <w:fldChar w:fldCharType="end"/>
      </w:r>
      <w:r w:rsidRPr="00CB49FF">
        <w:rPr>
          <w:shd w:val="clear" w:color="auto" w:fill="FFFFFF"/>
        </w:rPr>
        <w:t>.</w:t>
      </w:r>
    </w:p>
    <w:p w:rsidR="009C116E" w:rsidRPr="00C825CF" w:rsidRDefault="009C116E" w:rsidP="00C825CF">
      <w:r>
        <w:br w:type="page"/>
      </w:r>
    </w:p>
    <w:p w:rsidR="00764599" w:rsidRDefault="00197734" w:rsidP="002D7526">
      <w:pPr>
        <w:pStyle w:val="Heading1"/>
      </w:pPr>
      <w:bookmarkStart w:id="5" w:name="_Toc484160733"/>
      <w:r>
        <w:lastRenderedPageBreak/>
        <w:t>Lessons learned &amp; k</w:t>
      </w:r>
      <w:r w:rsidR="004916BB">
        <w:t xml:space="preserve">ey principles for </w:t>
      </w:r>
      <w:r w:rsidR="00F2291F">
        <w:t>re</w:t>
      </w:r>
      <w:r w:rsidR="00176DD4">
        <w:t>engagement</w:t>
      </w:r>
      <w:bookmarkEnd w:id="5"/>
    </w:p>
    <w:p w:rsidR="00176DD4" w:rsidRPr="002305EE" w:rsidRDefault="00176DD4" w:rsidP="00176DD4">
      <w:pPr>
        <w:pStyle w:val="ListParagraph"/>
        <w:rPr>
          <w:b/>
        </w:rPr>
      </w:pPr>
      <w:r w:rsidRPr="00176DD4">
        <w:rPr>
          <w:b/>
          <w:shd w:val="clear" w:color="auto" w:fill="FFFFFF"/>
        </w:rPr>
        <w:t>Because the limited functionality of the energy sector has severe consequences</w:t>
      </w:r>
      <w:r w:rsidRPr="00176DD4">
        <w:rPr>
          <w:b/>
        </w:rPr>
        <w:t xml:space="preserve"> for other sectors and the overall Yemeni economy, restoring </w:t>
      </w:r>
      <w:r>
        <w:rPr>
          <w:b/>
        </w:rPr>
        <w:t>electricity supply will be a priority for any in-conflict or post-conflict engagement</w:t>
      </w:r>
      <w:r w:rsidR="004049A3">
        <w:rPr>
          <w:b/>
        </w:rPr>
        <w:t xml:space="preserve">.  </w:t>
      </w:r>
      <w:r w:rsidRPr="0093575B">
        <w:t>Reestablishing access to electricity will be a highly visible contribution to restoring public service delivery and critical for restoring peace and revitalizing economic activity</w:t>
      </w:r>
      <w:r w:rsidR="004049A3">
        <w:t xml:space="preserve">.  </w:t>
      </w:r>
      <w:r w:rsidRPr="007C2567">
        <w:t>Moreover, it is likely to contribute to a decrease in productivity, deterioration of the business environment, and reduction in the country’s gross domestic product</w:t>
      </w:r>
      <w:r w:rsidR="004049A3">
        <w:t xml:space="preserve">.  </w:t>
      </w:r>
      <w:r>
        <w:t>Assisting Yemen early on in the reconstruction of Yemen’s electricity system will lay the foundation for long-term engagement to improve governance and resilience in the energy sector, support to livelihoods’ stabilization and recovery, and expand access to sustainable energy.</w:t>
      </w:r>
    </w:p>
    <w:p w:rsidR="00505EE6" w:rsidRPr="00B01A70" w:rsidRDefault="002305EE" w:rsidP="00DA6847">
      <w:pPr>
        <w:pStyle w:val="ListParagraph"/>
      </w:pPr>
      <w:r w:rsidRPr="00505EE6">
        <w:rPr>
          <w:b/>
        </w:rPr>
        <w:t>A recent review of the World Bank’s interventions</w:t>
      </w:r>
      <w:r w:rsidR="002B3518">
        <w:rPr>
          <w:rStyle w:val="FootnoteReference"/>
          <w:b/>
        </w:rPr>
        <w:footnoteReference w:id="1"/>
      </w:r>
      <w:r w:rsidRPr="00505EE6">
        <w:rPr>
          <w:b/>
        </w:rPr>
        <w:t xml:space="preserve"> over the last 15 years in the energy sector concluded that alternative models for procurement and/or project implementation may be needed for in-conflict or post-conflict interventions</w:t>
      </w:r>
      <w:r w:rsidR="004049A3">
        <w:t xml:space="preserve">.  </w:t>
      </w:r>
      <w:r w:rsidR="00817265" w:rsidRPr="00B01A70">
        <w:t xml:space="preserve">The World Bank’s interventions over the last 10 years in the energy sector have been </w:t>
      </w:r>
      <w:r w:rsidR="00817265">
        <w:t xml:space="preserve">largely </w:t>
      </w:r>
      <w:r w:rsidR="00817265" w:rsidRPr="00B01A70">
        <w:t>unsuccessful, in part due to what turned out to be a mismatch between the Bank’s strategy and the governance and institutional capacity in Yemen</w:t>
      </w:r>
      <w:r w:rsidR="0041665A">
        <w:t xml:space="preserve"> </w:t>
      </w:r>
      <w:r w:rsidR="0041665A">
        <w:fldChar w:fldCharType="begin" w:fldLock="1"/>
      </w:r>
      <w:r w:rsidR="007B234D">
        <w:instrText>ADDIN CSL_CITATION { "citationItems" : [ { "id" : "ITEM-1", "itemData" : { "author" : [ { "dropping-particle" : "", "family" : "The World Bank", "given" : "", "non-dropping-particle" : "", "parse-names" : false, "suffix" : "" } ], "id" : "ITEM-1", "issued" : { "date-parts" : [ [ "2016" ] ] }, "publisher" : "The World Bank", "publisher-place" : "Washington, DC", "title" : "The Republic of Yemen: Completion and Learning Review FY2009-FY2014", "type" : "book" }, "uris" : [ "http://www.mendeley.com/documents/?uuid=ef86548e-2e95-4ba1-a6fa-66a15f31a38b" ] } ], "mendeley" : { "formattedCitation" : "(The World Bank, 2016b)", "plainTextFormattedCitation" : "(The World Bank, 2016b)", "previouslyFormattedCitation" : "(The World Bank, 2016b)" }, "properties" : { "noteIndex" : 0 }, "schema" : "https://github.com/citation-style-language/schema/raw/master/csl-citation.json" }</w:instrText>
      </w:r>
      <w:r w:rsidR="0041665A">
        <w:fldChar w:fldCharType="separate"/>
      </w:r>
      <w:r w:rsidR="0041665A" w:rsidRPr="0041665A">
        <w:rPr>
          <w:noProof/>
        </w:rPr>
        <w:t>(The World Bank, 2016b)</w:t>
      </w:r>
      <w:r w:rsidR="0041665A">
        <w:fldChar w:fldCharType="end"/>
      </w:r>
      <w:r w:rsidR="004049A3">
        <w:t xml:space="preserve">. </w:t>
      </w:r>
      <w:r w:rsidR="004049A3" w:rsidRPr="00505EE6">
        <w:t xml:space="preserve"> </w:t>
      </w:r>
      <w:r w:rsidR="00505EE6" w:rsidRPr="00505EE6">
        <w:t>Progress was sluggish despite significant lending made available and technical assistance to the PMUs in the form of engineering consultants hired to support decisions and the procurement process.  The current conflict has led to further weakening of the sector institutions, fragmentation of institutional authority and deteriorated capacity</w:t>
      </w:r>
      <w:r w:rsidR="00505EE6">
        <w:t>.</w:t>
      </w:r>
      <w:r w:rsidR="00505EE6" w:rsidRPr="00505EE6">
        <w:t xml:space="preserve"> </w:t>
      </w:r>
      <w:r w:rsidR="00505EE6">
        <w:t xml:space="preserve"> </w:t>
      </w:r>
      <w:r w:rsidR="00505EE6" w:rsidRPr="00505EE6">
        <w:t xml:space="preserve">The development of the sector more broadly mirrors the Bank’s experience, with only one power plant constructed over the past 10 </w:t>
      </w:r>
      <w:r w:rsidR="00505EE6">
        <w:t xml:space="preserve">years </w:t>
      </w:r>
      <w:r w:rsidR="00505EE6">
        <w:fldChar w:fldCharType="begin" w:fldLock="1"/>
      </w:r>
      <w:r w:rsidR="00505EE6">
        <w:instrText>ADDIN CSL_CITATION { "citationItems" : [ { "id" : "ITEM-1", "itemData" : { "DOI" : "10.1179/136485908X337463", "ISBN" : "9781897071380", "ISSN" : "0003-4983", "PMID" : "10092238", "author" : [ { "dropping-particle" : "", "family" : "The World Bank", "given" : "", "non-dropping-particle" : "", "parse-names" : false, "suffix" : "" } ], "id" : "ITEM-1", "issued" : { "date-parts" : [ [ "2016" ] ] }, "number-of-pages" : "1-3", "publisher" : "The World Bank", "publisher-place" : "Washington, DC", "title" : "RY: Power Sector Project - Implementation Completion Report", "type" : "book" }, "uris" : [ "http://www.mendeley.com/documents/?uuid=49e0f1a1-26a6-4a8a-9bf4-890092c99f3a" ] } ], "mendeley" : { "formattedCitation" : "(The World Bank, 2016c)", "plainTextFormattedCitation" : "(The World Bank, 2016c)", "previouslyFormattedCitation" : "(The World Bank, 2016c)" }, "properties" : { "noteIndex" : 0 }, "schema" : "https://github.com/citation-style-language/schema/raw/master/csl-citation.json" }</w:instrText>
      </w:r>
      <w:r w:rsidR="00505EE6">
        <w:fldChar w:fldCharType="separate"/>
      </w:r>
      <w:r w:rsidR="00505EE6" w:rsidRPr="0041665A">
        <w:rPr>
          <w:noProof/>
        </w:rPr>
        <w:t>(The World Bank, 2016c)</w:t>
      </w:r>
      <w:r w:rsidR="00505EE6">
        <w:fldChar w:fldCharType="end"/>
      </w:r>
      <w:r w:rsidR="00505EE6" w:rsidRPr="00505EE6">
        <w:t>.</w:t>
      </w:r>
      <w:r w:rsidR="00505EE6" w:rsidRPr="00505EE6">
        <w:rPr>
          <w:b/>
        </w:rPr>
        <w:t xml:space="preserve">  </w:t>
      </w:r>
      <w:r w:rsidR="00505EE6" w:rsidRPr="00B066FC">
        <w:t xml:space="preserve">There are </w:t>
      </w:r>
      <w:r w:rsidR="00505EE6">
        <w:t>four</w:t>
      </w:r>
      <w:r w:rsidR="00505EE6" w:rsidRPr="00B066FC">
        <w:t xml:space="preserve"> overarching lessons</w:t>
      </w:r>
      <w:r w:rsidR="00505EE6">
        <w:t>:</w:t>
      </w:r>
    </w:p>
    <w:p w:rsidR="00505EE6" w:rsidRPr="004469B5" w:rsidRDefault="00505EE6" w:rsidP="00505EE6">
      <w:pPr>
        <w:pStyle w:val="ListParagraph"/>
        <w:numPr>
          <w:ilvl w:val="1"/>
          <w:numId w:val="26"/>
        </w:numPr>
        <w:ind w:left="1260"/>
        <w:rPr>
          <w:b/>
        </w:rPr>
      </w:pPr>
      <w:r w:rsidRPr="004469B5">
        <w:rPr>
          <w:b/>
        </w:rPr>
        <w:t>Any new intervention needs to be grounded in a deeper understanding of the institutional capacity to implement and the political economy of the sector</w:t>
      </w:r>
      <w:r>
        <w:rPr>
          <w:b/>
        </w:rPr>
        <w:t xml:space="preserve">.  </w:t>
      </w:r>
      <w:r w:rsidRPr="004469B5">
        <w:t>Most recommendations of previous analytical assessments turned out to be out of sync with the Government’s implementation capacity</w:t>
      </w:r>
      <w:r w:rsidR="00197734">
        <w:t xml:space="preserve"> and failed to take into account diverging interests between ministries (e.g., in the case of gas-to-power)</w:t>
      </w:r>
      <w:r w:rsidRPr="004469B5">
        <w:t>.</w:t>
      </w:r>
    </w:p>
    <w:p w:rsidR="002305EE" w:rsidRPr="003A764F" w:rsidRDefault="00505EE6" w:rsidP="00505EE6">
      <w:pPr>
        <w:pStyle w:val="ListParagraph"/>
        <w:numPr>
          <w:ilvl w:val="1"/>
          <w:numId w:val="26"/>
        </w:numPr>
        <w:ind w:left="1260"/>
      </w:pPr>
      <w:r w:rsidRPr="00505EE6">
        <w:rPr>
          <w:b/>
        </w:rPr>
        <w:t xml:space="preserve">Building bulky, large-scale </w:t>
      </w:r>
      <w:r w:rsidR="00A2616B">
        <w:rPr>
          <w:b/>
        </w:rPr>
        <w:t>electricity</w:t>
      </w:r>
      <w:r w:rsidRPr="00505EE6">
        <w:rPr>
          <w:b/>
        </w:rPr>
        <w:t xml:space="preserve"> infrastructure in Yemen within the existing institutional framework is close to impossible.  </w:t>
      </w:r>
      <w:r w:rsidR="003A764F">
        <w:t>The World Bank’s</w:t>
      </w:r>
      <w:r w:rsidR="003A764F" w:rsidRPr="0075123B">
        <w:t xml:space="preserve"> strategy in Yemen’s electricity</w:t>
      </w:r>
      <w:r w:rsidR="003A764F">
        <w:t xml:space="preserve"> sector</w:t>
      </w:r>
      <w:r w:rsidR="003A764F" w:rsidRPr="0075123B">
        <w:t xml:space="preserve"> in the past decade had been to finance </w:t>
      </w:r>
      <w:r w:rsidR="003A764F">
        <w:t xml:space="preserve">large-scale, </w:t>
      </w:r>
      <w:r w:rsidR="003A764F" w:rsidRPr="0075123B">
        <w:t>public-sector</w:t>
      </w:r>
      <w:r w:rsidR="003A764F">
        <w:t xml:space="preserve"> owned</w:t>
      </w:r>
      <w:r w:rsidR="003A764F" w:rsidRPr="0075123B">
        <w:t xml:space="preserve"> infrastructure</w:t>
      </w:r>
      <w:r w:rsidR="003A764F">
        <w:t xml:space="preserve"> jointly with other donors</w:t>
      </w:r>
      <w:r w:rsidR="003A764F" w:rsidRPr="0075123B">
        <w:t xml:space="preserve">, including from Gulf States, </w:t>
      </w:r>
      <w:r w:rsidR="003A764F" w:rsidRPr="0075123B">
        <w:lastRenderedPageBreak/>
        <w:t>the European Union and international finance institution</w:t>
      </w:r>
      <w:r w:rsidR="003A764F">
        <w:t>s</w:t>
      </w:r>
      <w:r w:rsidR="004049A3">
        <w:t xml:space="preserve">.  </w:t>
      </w:r>
      <w:r w:rsidR="00817265">
        <w:t>However, even before the conflict, t</w:t>
      </w:r>
      <w:r w:rsidR="002305EE">
        <w:t xml:space="preserve">he main public institutions in the energy sector, specifically </w:t>
      </w:r>
      <w:r>
        <w:t>PEC and MEE</w:t>
      </w:r>
      <w:r w:rsidR="002305EE">
        <w:t>, did not have adequate institutional capacity to implement large investments with multiple contracts in a timely manner even before the conflict</w:t>
      </w:r>
      <w:r>
        <w:t xml:space="preserve">. </w:t>
      </w:r>
      <w:r w:rsidR="004049A3">
        <w:t xml:space="preserve"> </w:t>
      </w:r>
      <w:r w:rsidR="002305EE">
        <w:t xml:space="preserve">Progress was </w:t>
      </w:r>
      <w:r>
        <w:t xml:space="preserve">mainly </w:t>
      </w:r>
      <w:r w:rsidR="002305EE">
        <w:t>hindered by</w:t>
      </w:r>
      <w:r w:rsidR="002305EE" w:rsidRPr="00C6643E">
        <w:t>:</w:t>
      </w:r>
      <w:r>
        <w:t xml:space="preserve"> l</w:t>
      </w:r>
      <w:r w:rsidR="002305EE" w:rsidRPr="003A764F">
        <w:t>imited capacity of sector institutions to prepare financeable projects;</w:t>
      </w:r>
      <w:r>
        <w:t xml:space="preserve"> i</w:t>
      </w:r>
      <w:r w:rsidR="002305EE" w:rsidRPr="003A764F">
        <w:t>nability to make timely procurement decisions;</w:t>
      </w:r>
      <w:r>
        <w:t xml:space="preserve"> and p</w:t>
      </w:r>
      <w:r w:rsidR="002305EE" w:rsidRPr="003A764F">
        <w:t>oor execution and supervision of contracts.</w:t>
      </w:r>
      <w:r>
        <w:t xml:space="preserve">  In all likelihood, the situation has worsened since the outbreak of conflict.</w:t>
      </w:r>
    </w:p>
    <w:p w:rsidR="00817265" w:rsidRDefault="00817265" w:rsidP="008376B4">
      <w:pPr>
        <w:pStyle w:val="ListParagraph"/>
        <w:numPr>
          <w:ilvl w:val="1"/>
          <w:numId w:val="26"/>
        </w:numPr>
        <w:ind w:left="1260"/>
        <w:rPr>
          <w:b/>
        </w:rPr>
      </w:pPr>
      <w:r w:rsidRPr="004469B5">
        <w:rPr>
          <w:b/>
        </w:rPr>
        <w:t>New, project-specific public sector institutions created for the purpose of infrastructure development were no panacea</w:t>
      </w:r>
      <w:r w:rsidR="004049A3">
        <w:rPr>
          <w:b/>
        </w:rPr>
        <w:t xml:space="preserve">.  </w:t>
      </w:r>
      <w:r>
        <w:t xml:space="preserve">Examples of such new public sector institutions in the energy sector include institutional vehicles created for implementation of the Rural Energy Access Project (REAP) </w:t>
      </w:r>
      <w:r w:rsidR="004C354D">
        <w:fldChar w:fldCharType="begin" w:fldLock="1"/>
      </w:r>
      <w:r w:rsidR="00877C13">
        <w:instrText>ADDIN CSL_CITATION { "citationItems" : [ { "id" : "ITEM-1", "itemData" : { "author" : [ { "dropping-particle" : "", "family" : "The World Bank", "given" : "", "non-dropping-particle" : "", "parse-names" : false, "suffix" : "" } ], "id" : "ITEM-1", "issued" : { "date-parts" : [ [ "2009" ] ] }, "publisher" : "The World Bank", "publisher-place" : "Washington, DC", "title" : "RY: Rural Energy Access Project - Project Appraisal Document", "type" : "book" }, "uris" : [ "http://www.mendeley.com/documents/?uuid=152309f2-013a-4a75-852d-e5d87c645e1d" ] } ], "mendeley" : { "formattedCitation" : "(The World Bank, 2009)", "plainTextFormattedCitation" : "(The World Bank, 2009)", "previouslyFormattedCitation" : "(The World Bank, 2009)" }, "properties" : { "noteIndex" : 0 }, "schema" : "https://github.com/citation-style-language/schema/raw/master/csl-citation.json" }</w:instrText>
      </w:r>
      <w:r w:rsidR="004C354D">
        <w:fldChar w:fldCharType="separate"/>
      </w:r>
      <w:r w:rsidR="004C354D" w:rsidRPr="004C354D">
        <w:rPr>
          <w:noProof/>
        </w:rPr>
        <w:t>(The World Bank, 2009)</w:t>
      </w:r>
      <w:r w:rsidR="004C354D">
        <w:fldChar w:fldCharType="end"/>
      </w:r>
      <w:r w:rsidR="004C354D">
        <w:t xml:space="preserve"> </w:t>
      </w:r>
      <w:r>
        <w:t>and the Mocha Wind Project</w:t>
      </w:r>
      <w:r w:rsidR="00877C13">
        <w:t xml:space="preserve"> </w:t>
      </w:r>
      <w:r w:rsidR="00877C13">
        <w:fldChar w:fldCharType="begin" w:fldLock="1"/>
      </w:r>
      <w:r w:rsidR="00877C13">
        <w:instrText>ADDIN CSL_CITATION { "citationItems" : [ { "id" : "ITEM-1", "itemData" : { "ISBN" : "2542027161", "author" : [ { "dropping-particle" : "", "family" : "The World Bank", "given" : "", "non-dropping-particle" : "", "parse-names" : false, "suffix" : "" } ], "id" : "ITEM-1", "issued" : { "date-parts" : [ [ "2014" ] ] }, "publisher" : "The World Bank", "publisher-place" : "Washington, DC", "title" : "RY: Mocha Wind Park Project - Project Appraisal Document", "type" : "book" }, "uris" : [ "http://www.mendeley.com/documents/?uuid=238fee9b-70d9-4d78-af9f-6db1f9093dea" ] } ], "mendeley" : { "formattedCitation" : "(The World Bank, 2014)", "plainTextFormattedCitation" : "(The World Bank, 2014)", "previouslyFormattedCitation" : "(The World Bank, 2014)" }, "properties" : { "noteIndex" : 0 }, "schema" : "https://github.com/citation-style-language/schema/raw/master/csl-citation.json" }</w:instrText>
      </w:r>
      <w:r w:rsidR="00877C13">
        <w:fldChar w:fldCharType="separate"/>
      </w:r>
      <w:r w:rsidR="00877C13" w:rsidRPr="00877C13">
        <w:rPr>
          <w:noProof/>
        </w:rPr>
        <w:t>(The World Bank, 2014)</w:t>
      </w:r>
      <w:r w:rsidR="00877C13">
        <w:fldChar w:fldCharType="end"/>
      </w:r>
      <w:r>
        <w:t>, which faced the same capacity and procedural constrains as PEC and M</w:t>
      </w:r>
      <w:r w:rsidR="00505EE6">
        <w:t>EE</w:t>
      </w:r>
      <w:r>
        <w:t>.</w:t>
      </w:r>
    </w:p>
    <w:p w:rsidR="00817265" w:rsidRDefault="00817265" w:rsidP="008376B4">
      <w:pPr>
        <w:pStyle w:val="ListParagraph"/>
        <w:numPr>
          <w:ilvl w:val="1"/>
          <w:numId w:val="26"/>
        </w:numPr>
        <w:ind w:left="1260"/>
        <w:rPr>
          <w:b/>
        </w:rPr>
      </w:pPr>
      <w:r w:rsidRPr="004469B5">
        <w:rPr>
          <w:b/>
        </w:rPr>
        <w:t>Distributed infrastructure investments</w:t>
      </w:r>
      <w:r w:rsidR="005365A8">
        <w:rPr>
          <w:b/>
        </w:rPr>
        <w:t>, while also not as successful as anticipated, tended to</w:t>
      </w:r>
      <w:r w:rsidR="004469B5" w:rsidRPr="004469B5">
        <w:rPr>
          <w:b/>
        </w:rPr>
        <w:t xml:space="preserve"> </w:t>
      </w:r>
      <w:r w:rsidR="00505EE6">
        <w:rPr>
          <w:b/>
        </w:rPr>
        <w:t>work better</w:t>
      </w:r>
      <w:r w:rsidR="004049A3">
        <w:rPr>
          <w:b/>
        </w:rPr>
        <w:t xml:space="preserve">.  </w:t>
      </w:r>
      <w:r>
        <w:t>The distribution grid component of the Power Sector Project, managed by the regional offices of PEC, was the only component of the project that showed some (limited) results</w:t>
      </w:r>
      <w:r w:rsidR="00877C13">
        <w:t xml:space="preserve"> </w:t>
      </w:r>
      <w:r w:rsidR="00877C13">
        <w:fldChar w:fldCharType="begin" w:fldLock="1"/>
      </w:r>
      <w:r w:rsidR="007B234D">
        <w:instrText>ADDIN CSL_CITATION { "citationItems" : [ { "id" : "ITEM-1", "itemData" : { "DOI" : "10.1179/136485908X337463", "ISBN" : "9781897071380", "ISSN" : "0003-4983", "PMID" : "10092238", "author" : [ { "dropping-particle" : "", "family" : "The World Bank", "given" : "", "non-dropping-particle" : "", "parse-names" : false, "suffix" : "" } ], "id" : "ITEM-1", "issued" : { "date-parts" : [ [ "2016" ] ] }, "number-of-pages" : "1-3", "publisher" : "The World Bank", "publisher-place" : "Washington, DC", "title" : "RY: Power Sector Project - Implementation Completion Report", "type" : "book" }, "uris" : [ "http://www.mendeley.com/documents/?uuid=49e0f1a1-26a6-4a8a-9bf4-890092c99f3a" ] } ], "mendeley" : { "formattedCitation" : "(The World Bank, 2016c)", "plainTextFormattedCitation" : "(The World Bank, 2016c)", "previouslyFormattedCitation" : "(The World Bank, 2016c)" }, "properties" : { "noteIndex" : 0 }, "schema" : "https://github.com/citation-style-language/schema/raw/master/csl-citation.json" }</w:instrText>
      </w:r>
      <w:r w:rsidR="00877C13">
        <w:fldChar w:fldCharType="separate"/>
      </w:r>
      <w:r w:rsidR="0041665A" w:rsidRPr="0041665A">
        <w:rPr>
          <w:noProof/>
        </w:rPr>
        <w:t>(The World Bank, 2016c)</w:t>
      </w:r>
      <w:r w:rsidR="00877C13">
        <w:fldChar w:fldCharType="end"/>
      </w:r>
      <w:r w:rsidR="004049A3">
        <w:t xml:space="preserve">.  </w:t>
      </w:r>
      <w:r>
        <w:t>Community-led ownership and management of energy infrastructure, e.g., as attempted under the REAP, can improve responsiveness to local needs but there is no one-size-fits-all institutional model that works across all communities in Yemen</w:t>
      </w:r>
      <w:r w:rsidR="004049A3">
        <w:t xml:space="preserve">.  </w:t>
      </w:r>
      <w:r w:rsidR="00A2616B">
        <w:t>Under such an arrangement, t</w:t>
      </w:r>
      <w:r>
        <w:t>he learning process that is needed to adapt models to local circumstances may slow down a rollout to a national level.</w:t>
      </w:r>
      <w:r w:rsidR="005365A8">
        <w:t xml:space="preserve">  No Bank investments directly supported the private sector.</w:t>
      </w:r>
    </w:p>
    <w:p w:rsidR="007E4C89" w:rsidRPr="00841DD6" w:rsidRDefault="00817265" w:rsidP="007E4C89">
      <w:pPr>
        <w:pStyle w:val="ListParagraph"/>
        <w:rPr>
          <w:b/>
        </w:rPr>
      </w:pPr>
      <w:r w:rsidRPr="00817265">
        <w:rPr>
          <w:b/>
        </w:rPr>
        <w:t>This means that there may be a need to explore alternative models of procurement and financing energy infrastructure investments</w:t>
      </w:r>
      <w:r w:rsidR="004049A3">
        <w:rPr>
          <w:b/>
        </w:rPr>
        <w:t xml:space="preserve">.  </w:t>
      </w:r>
      <w:r w:rsidR="007E4C89" w:rsidRPr="00817265">
        <w:t>Any alternative institutional options for project management should adhere to the following principles:</w:t>
      </w:r>
    </w:p>
    <w:p w:rsidR="007E4C89" w:rsidRDefault="007E4C89" w:rsidP="008376B4">
      <w:pPr>
        <w:pStyle w:val="ListParagraph"/>
        <w:numPr>
          <w:ilvl w:val="1"/>
          <w:numId w:val="26"/>
        </w:numPr>
        <w:ind w:left="1260"/>
      </w:pPr>
      <w:r w:rsidRPr="00136006">
        <w:rPr>
          <w:b/>
        </w:rPr>
        <w:t>Simplicity</w:t>
      </w:r>
      <w:r w:rsidR="004049A3">
        <w:rPr>
          <w:b/>
        </w:rPr>
        <w:t xml:space="preserve">.  </w:t>
      </w:r>
      <w:r w:rsidRPr="00F06A59">
        <w:t xml:space="preserve">In view of the limited government capacity </w:t>
      </w:r>
      <w:r>
        <w:t xml:space="preserve">– and </w:t>
      </w:r>
      <w:r w:rsidRPr="00F06A59">
        <w:t>institutions that make very little use of the capacity that does exist</w:t>
      </w:r>
      <w:r>
        <w:t xml:space="preserve"> – complex institutional arrangements are unlikely to work</w:t>
      </w:r>
      <w:r w:rsidR="004049A3">
        <w:t xml:space="preserve">.  </w:t>
      </w:r>
      <w:r>
        <w:t>If a set of options is pursued in parallel, the portfolio of options has to be assessed in aggregate so as to not overburden the Government.</w:t>
      </w:r>
    </w:p>
    <w:p w:rsidR="007E4C89" w:rsidRDefault="007E4C89" w:rsidP="008376B4">
      <w:pPr>
        <w:pStyle w:val="ListParagraph"/>
        <w:numPr>
          <w:ilvl w:val="1"/>
          <w:numId w:val="26"/>
        </w:numPr>
        <w:ind w:left="1260"/>
      </w:pPr>
      <w:r w:rsidRPr="00136006">
        <w:rPr>
          <w:b/>
        </w:rPr>
        <w:t>Flexibility</w:t>
      </w:r>
      <w:r w:rsidR="004049A3">
        <w:rPr>
          <w:b/>
        </w:rPr>
        <w:t xml:space="preserve">.  </w:t>
      </w:r>
      <w:r w:rsidR="00505EE6">
        <w:t>Interventions</w:t>
      </w:r>
      <w:r w:rsidR="00505EE6" w:rsidRPr="00223533">
        <w:t xml:space="preserve"> should </w:t>
      </w:r>
      <w:r w:rsidRPr="00223533">
        <w:t>seek to map institutions to solutions, rather than pursuing a one-size-fits all approach</w:t>
      </w:r>
      <w:r w:rsidR="004049A3">
        <w:t xml:space="preserve">.  </w:t>
      </w:r>
      <w:r w:rsidRPr="00223533">
        <w:t>Rigidity should be avoided to ensure the institutional arrangement can be adapted to changing realities on the ground.</w:t>
      </w:r>
    </w:p>
    <w:p w:rsidR="007E4C89" w:rsidRDefault="007E4C89" w:rsidP="008376B4">
      <w:pPr>
        <w:pStyle w:val="ListParagraph"/>
        <w:numPr>
          <w:ilvl w:val="1"/>
          <w:numId w:val="26"/>
        </w:numPr>
        <w:ind w:left="1260"/>
      </w:pPr>
      <w:r w:rsidRPr="00136006">
        <w:rPr>
          <w:b/>
        </w:rPr>
        <w:t>Service delivery</w:t>
      </w:r>
      <w:r w:rsidR="004049A3">
        <w:rPr>
          <w:b/>
        </w:rPr>
        <w:t xml:space="preserve">.  </w:t>
      </w:r>
      <w:r w:rsidR="00505EE6">
        <w:t>Interventions</w:t>
      </w:r>
      <w:r w:rsidR="00505EE6" w:rsidRPr="00223533">
        <w:t xml:space="preserve"> should</w:t>
      </w:r>
      <w:r w:rsidR="00C825CF">
        <w:t xml:space="preserve"> </w:t>
      </w:r>
      <w:r w:rsidRPr="00223533">
        <w:t>focus on critical public services, including health services, water supply, street lighting, electricity and fuel supply and schools.</w:t>
      </w:r>
    </w:p>
    <w:p w:rsidR="007E4C89" w:rsidRDefault="007E4C89" w:rsidP="008376B4">
      <w:pPr>
        <w:pStyle w:val="ListParagraph"/>
        <w:numPr>
          <w:ilvl w:val="1"/>
          <w:numId w:val="26"/>
        </w:numPr>
        <w:ind w:left="1260"/>
      </w:pPr>
      <w:r w:rsidRPr="00136006">
        <w:rPr>
          <w:b/>
        </w:rPr>
        <w:lastRenderedPageBreak/>
        <w:t>Pro-poor</w:t>
      </w:r>
      <w:r w:rsidR="004049A3">
        <w:t xml:space="preserve">.  </w:t>
      </w:r>
      <w:r w:rsidR="00505EE6">
        <w:t>Interventions</w:t>
      </w:r>
      <w:r w:rsidR="00505EE6" w:rsidRPr="00223533">
        <w:t xml:space="preserve"> should </w:t>
      </w:r>
      <w:r>
        <w:t xml:space="preserve">prioritize </w:t>
      </w:r>
      <w:r w:rsidRPr="00223533">
        <w:t>services</w:t>
      </w:r>
      <w:r>
        <w:t xml:space="preserve"> that target poor urban households and rural communities.</w:t>
      </w:r>
    </w:p>
    <w:p w:rsidR="007E4C89" w:rsidRPr="008376B4" w:rsidRDefault="007E4C89" w:rsidP="008376B4">
      <w:pPr>
        <w:pStyle w:val="ListParagraph"/>
        <w:numPr>
          <w:ilvl w:val="1"/>
          <w:numId w:val="26"/>
        </w:numPr>
        <w:ind w:left="1260"/>
      </w:pPr>
      <w:r w:rsidRPr="00136006">
        <w:rPr>
          <w:b/>
        </w:rPr>
        <w:t>Innovation</w:t>
      </w:r>
      <w:r w:rsidR="004049A3">
        <w:rPr>
          <w:b/>
        </w:rPr>
        <w:t xml:space="preserve">.  </w:t>
      </w:r>
      <w:r w:rsidR="00505EE6">
        <w:t>Interventions</w:t>
      </w:r>
      <w:r w:rsidRPr="00223533">
        <w:t xml:space="preserve"> should make realistic and practical use of the Bank’s new procurement framework, specifically donor-led procurement and hands-on extended implementation support (HEIS).</w:t>
      </w:r>
    </w:p>
    <w:p w:rsidR="009C116E" w:rsidRPr="00C825CF" w:rsidRDefault="009C116E" w:rsidP="00C825CF">
      <w:r>
        <w:br w:type="page"/>
      </w:r>
    </w:p>
    <w:p w:rsidR="009C116E" w:rsidRDefault="004469B5" w:rsidP="009C116E">
      <w:pPr>
        <w:pStyle w:val="Heading1"/>
      </w:pPr>
      <w:bookmarkStart w:id="6" w:name="_Toc484160734"/>
      <w:r>
        <w:lastRenderedPageBreak/>
        <w:t>Options for i</w:t>
      </w:r>
      <w:r w:rsidR="009C116E">
        <w:t>mplementation arrangements</w:t>
      </w:r>
      <w:bookmarkEnd w:id="6"/>
    </w:p>
    <w:p w:rsidR="009C116E" w:rsidRDefault="009C116E" w:rsidP="009C116E">
      <w:pPr>
        <w:pStyle w:val="ListParagraph"/>
      </w:pPr>
      <w:r w:rsidRPr="00534859">
        <w:rPr>
          <w:b/>
        </w:rPr>
        <w:t>The main risks to any intervention</w:t>
      </w:r>
      <w:r>
        <w:t xml:space="preserve"> </w:t>
      </w:r>
      <w:r w:rsidRPr="00283FCE">
        <w:t xml:space="preserve">relate to (a) the political and security situation, which if it changes significantly may reverse any gains made; (b) the fiduciary and technical capacity of the implementation partners, which may limit the pace at which </w:t>
      </w:r>
      <w:r>
        <w:t>intervention</w:t>
      </w:r>
      <w:r w:rsidRPr="00283FCE">
        <w:t xml:space="preserve"> can be implemented; and (c) the political economy of the sector, as issues such as the non-payment of salaries may limit the pace at which </w:t>
      </w:r>
      <w:r>
        <w:t>any intervention</w:t>
      </w:r>
      <w:r w:rsidRPr="00283FCE">
        <w:t xml:space="preserve"> can be implemented.</w:t>
      </w:r>
    </w:p>
    <w:p w:rsidR="009C116E" w:rsidRDefault="009C116E" w:rsidP="009C116E">
      <w:pPr>
        <w:pStyle w:val="ListParagraph"/>
      </w:pPr>
      <w:r w:rsidRPr="00534859">
        <w:rPr>
          <w:b/>
        </w:rPr>
        <w:t>The institutional arrangements in particular would require careful consideration</w:t>
      </w:r>
      <w:r w:rsidR="004049A3">
        <w:rPr>
          <w:b/>
        </w:rPr>
        <w:t xml:space="preserve">.  </w:t>
      </w:r>
      <w:r w:rsidRPr="00283FCE">
        <w:t>The experience from the Bank’s recent engagement suggests</w:t>
      </w:r>
      <w:r>
        <w:t xml:space="preserve"> that better delivery channels will</w:t>
      </w:r>
      <w:r w:rsidRPr="00283FCE">
        <w:t xml:space="preserve"> be necessary to improve the performance of the energy sector in Yemen</w:t>
      </w:r>
      <w:r w:rsidR="004049A3">
        <w:t xml:space="preserve">.  </w:t>
      </w:r>
      <w:r w:rsidRPr="00283FCE">
        <w:t>Many recommendations of previous analytical assessments turned out to be out of sync with the GoY’s implementation capacity</w:t>
      </w:r>
      <w:r w:rsidR="004049A3">
        <w:t xml:space="preserve">.  </w:t>
      </w:r>
      <w:r w:rsidRPr="00283FCE">
        <w:t>The lending projects for alternative generation sources – mostly grant-financed – were closed largely undisbursed, despite the country’s low generation capacity and the fact that most existing plants run on hugely expensive imported diesel.</w:t>
      </w:r>
    </w:p>
    <w:p w:rsidR="009C116E" w:rsidRPr="00404AD9" w:rsidRDefault="009C116E" w:rsidP="009C116E">
      <w:pPr>
        <w:pStyle w:val="ListParagraph"/>
        <w:rPr>
          <w:b/>
        </w:rPr>
      </w:pPr>
      <w:r w:rsidRPr="00404AD9">
        <w:rPr>
          <w:b/>
        </w:rPr>
        <w:t>Alternative institutional options for project preparation, procurement decisions and execution/contract management for reconstruction of infrastructure projects include:</w:t>
      </w:r>
    </w:p>
    <w:p w:rsidR="009C116E" w:rsidRDefault="009C116E" w:rsidP="009C116E">
      <w:pPr>
        <w:pStyle w:val="ListParagraph"/>
        <w:numPr>
          <w:ilvl w:val="1"/>
          <w:numId w:val="26"/>
        </w:numPr>
        <w:rPr>
          <w:b/>
        </w:rPr>
      </w:pPr>
      <w:r>
        <w:rPr>
          <w:i/>
        </w:rPr>
        <w:t>Centrally coordinated project management b</w:t>
      </w:r>
      <w:r w:rsidRPr="00323F7A">
        <w:t>y a cross-sectoral PMU,</w:t>
      </w:r>
      <w:r>
        <w:rPr>
          <w:i/>
        </w:rPr>
        <w:t xml:space="preserve"> </w:t>
      </w:r>
      <w:r>
        <w:t>which like the Executive Bureau is integrating functions across line ministries, but whose mandate would include not only planning but also project id</w:t>
      </w:r>
      <w:r w:rsidRPr="00FC2B59">
        <w:t>entification, preparation, appraisal and procurement</w:t>
      </w:r>
      <w:r w:rsidR="004049A3">
        <w:t xml:space="preserve">.  </w:t>
      </w:r>
      <w:r w:rsidRPr="00FC2B59">
        <w:t>Such a ‘reconstruction agency’ would be a transitionary structure with a limited mandate (e.g., three-years).</w:t>
      </w:r>
    </w:p>
    <w:p w:rsidR="009C116E" w:rsidRDefault="009C116E" w:rsidP="009C116E">
      <w:pPr>
        <w:pStyle w:val="ListParagraph"/>
        <w:numPr>
          <w:ilvl w:val="1"/>
          <w:numId w:val="26"/>
        </w:numPr>
        <w:rPr>
          <w:b/>
        </w:rPr>
      </w:pPr>
      <w:r w:rsidRPr="0049302E">
        <w:rPr>
          <w:i/>
        </w:rPr>
        <w:t>Donor-led project management</w:t>
      </w:r>
      <w:r>
        <w:t>, where Government is involved in prioritization but donors prepare projects, procure on behalf of the Government and execute/manage contracts directly; hand-over could happen either directly after construction or after a certain time of asset operation (illustrations range from the recently approved emergency project of World Bank managed by UNDP or potential management of projects by donors from Gulf countries).</w:t>
      </w:r>
    </w:p>
    <w:p w:rsidR="009C116E" w:rsidRDefault="009C116E" w:rsidP="009C116E">
      <w:pPr>
        <w:pStyle w:val="ListParagraph"/>
        <w:numPr>
          <w:ilvl w:val="1"/>
          <w:numId w:val="26"/>
        </w:numPr>
        <w:rPr>
          <w:b/>
        </w:rPr>
      </w:pPr>
      <w:r w:rsidRPr="00E24EC9">
        <w:rPr>
          <w:i/>
        </w:rPr>
        <w:t>Private</w:t>
      </w:r>
      <w:r>
        <w:rPr>
          <w:i/>
        </w:rPr>
        <w:t xml:space="preserve"> </w:t>
      </w:r>
      <w:r w:rsidRPr="00E24EC9">
        <w:rPr>
          <w:i/>
        </w:rPr>
        <w:t xml:space="preserve">sector led </w:t>
      </w:r>
      <w:r w:rsidR="00712139">
        <w:rPr>
          <w:i/>
        </w:rPr>
        <w:t>project management</w:t>
      </w:r>
      <w:r>
        <w:t xml:space="preserve">, where the Government or donors would specify general project requirements and institutionalize the fund allocation process but would leave </w:t>
      </w:r>
      <w:r w:rsidR="00712139">
        <w:t>delivery</w:t>
      </w:r>
      <w:r>
        <w:t xml:space="preserve"> to the local private sector</w:t>
      </w:r>
      <w:r w:rsidR="004049A3">
        <w:t xml:space="preserve">.  </w:t>
      </w:r>
      <w:r>
        <w:t>This could work well in sectors that strived despite the conflict, such as solar energy, and where there is a strong business case post-conflict.</w:t>
      </w:r>
    </w:p>
    <w:p w:rsidR="009C116E" w:rsidRDefault="009C116E" w:rsidP="009C116E">
      <w:pPr>
        <w:pStyle w:val="ListParagraph"/>
        <w:numPr>
          <w:ilvl w:val="1"/>
          <w:numId w:val="26"/>
        </w:numPr>
        <w:rPr>
          <w:b/>
        </w:rPr>
      </w:pPr>
      <w:r>
        <w:rPr>
          <w:i/>
        </w:rPr>
        <w:t>Community-led project management,</w:t>
      </w:r>
      <w:r>
        <w:t xml:space="preserve"> where the Government or donors would specify general project requirements and institutionalize the fund allocation </w:t>
      </w:r>
      <w:r>
        <w:lastRenderedPageBreak/>
        <w:t>process but would leave project management to the local communities</w:t>
      </w:r>
      <w:r w:rsidR="004049A3">
        <w:t xml:space="preserve">.  </w:t>
      </w:r>
      <w:r>
        <w:t>The most obvious channel for such an approach would be to expand funding to, and broaden the scope of eligible infrastructure projects of the Social Fund for Development.</w:t>
      </w:r>
    </w:p>
    <w:p w:rsidR="009C116E" w:rsidRDefault="009C116E" w:rsidP="009C116E">
      <w:pPr>
        <w:pStyle w:val="ListParagraph"/>
        <w:numPr>
          <w:ilvl w:val="1"/>
          <w:numId w:val="26"/>
        </w:numPr>
        <w:rPr>
          <w:b/>
        </w:rPr>
      </w:pPr>
      <w:r w:rsidRPr="002D76A7">
        <w:rPr>
          <w:i/>
        </w:rPr>
        <w:t>Sector-led project management with implementation support</w:t>
      </w:r>
      <w:r>
        <w:t>, where the traditional public sector institutions (ministries, SOEs) take responsibility but are supported by internationally funded project management staff that are seconded to the institutions.</w:t>
      </w:r>
    </w:p>
    <w:p w:rsidR="009C116E" w:rsidRPr="009C116E" w:rsidRDefault="009C116E" w:rsidP="009C116E">
      <w:pPr>
        <w:pStyle w:val="ListParagraph"/>
        <w:rPr>
          <w:b/>
        </w:rPr>
      </w:pPr>
      <w:r w:rsidRPr="009C116E">
        <w:rPr>
          <w:b/>
        </w:rPr>
        <w:t xml:space="preserve">The advantages and limitations of the different options are summarized in </w:t>
      </w:r>
      <w:r w:rsidRPr="009C116E">
        <w:rPr>
          <w:b/>
        </w:rPr>
        <w:fldChar w:fldCharType="begin"/>
      </w:r>
      <w:r w:rsidRPr="009C116E">
        <w:rPr>
          <w:b/>
        </w:rPr>
        <w:instrText xml:space="preserve"> REF _Ref459818410 \h  \* MERGEFORMAT </w:instrText>
      </w:r>
      <w:r w:rsidRPr="009C116E">
        <w:rPr>
          <w:b/>
        </w:rPr>
      </w:r>
      <w:r w:rsidRPr="009C116E">
        <w:rPr>
          <w:b/>
        </w:rPr>
        <w:fldChar w:fldCharType="separate"/>
      </w:r>
      <w:r w:rsidRPr="009C116E">
        <w:rPr>
          <w:b/>
        </w:rPr>
        <w:t xml:space="preserve">Table </w:t>
      </w:r>
      <w:r w:rsidRPr="009C116E">
        <w:rPr>
          <w:b/>
          <w:noProof/>
        </w:rPr>
        <w:t>1</w:t>
      </w:r>
      <w:r w:rsidRPr="009C116E">
        <w:rPr>
          <w:b/>
        </w:rPr>
        <w:fldChar w:fldCharType="end"/>
      </w:r>
      <w:r w:rsidRPr="009C116E">
        <w:rPr>
          <w:b/>
        </w:rPr>
        <w:t xml:space="preserve"> below.</w:t>
      </w:r>
    </w:p>
    <w:p w:rsidR="009C116E" w:rsidRPr="00CC7CAC" w:rsidRDefault="009C116E" w:rsidP="009C116E">
      <w:pPr>
        <w:pStyle w:val="Caption"/>
      </w:pPr>
      <w:bookmarkStart w:id="7" w:name="_Ref459818410"/>
      <w:r w:rsidRPr="00CC7CAC">
        <w:t xml:space="preserve">Table </w:t>
      </w:r>
      <w:r w:rsidR="002B625B">
        <w:fldChar w:fldCharType="begin"/>
      </w:r>
      <w:r w:rsidR="002B625B">
        <w:instrText xml:space="preserve"> SEQ Table \* ARABIC </w:instrText>
      </w:r>
      <w:r w:rsidR="002B625B">
        <w:fldChar w:fldCharType="separate"/>
      </w:r>
      <w:r w:rsidRPr="00CC7CAC">
        <w:t>1</w:t>
      </w:r>
      <w:r w:rsidR="002B625B">
        <w:fldChar w:fldCharType="end"/>
      </w:r>
      <w:bookmarkEnd w:id="7"/>
      <w:r w:rsidRPr="00CC7CAC">
        <w:t>: Alternative options for infrastructure project management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40"/>
        <w:gridCol w:w="1550"/>
        <w:gridCol w:w="3420"/>
        <w:gridCol w:w="4050"/>
      </w:tblGrid>
      <w:tr w:rsidR="009C116E" w:rsidTr="00121F5C">
        <w:trPr>
          <w:trHeight w:val="664"/>
        </w:trPr>
        <w:tc>
          <w:tcPr>
            <w:tcW w:w="0" w:type="auto"/>
            <w:vAlign w:val="center"/>
          </w:tcPr>
          <w:p w:rsidR="009C116E" w:rsidRPr="00FB688F" w:rsidRDefault="009C116E" w:rsidP="00121F5C">
            <w:pPr>
              <w:rPr>
                <w:sz w:val="20"/>
              </w:rPr>
            </w:pPr>
          </w:p>
        </w:tc>
        <w:tc>
          <w:tcPr>
            <w:tcW w:w="1550" w:type="dxa"/>
            <w:vAlign w:val="center"/>
          </w:tcPr>
          <w:p w:rsidR="009C116E" w:rsidRPr="00FB688F" w:rsidRDefault="009C116E" w:rsidP="00121F5C">
            <w:pPr>
              <w:rPr>
                <w:sz w:val="20"/>
              </w:rPr>
            </w:pPr>
            <w:r w:rsidRPr="00FB688F">
              <w:rPr>
                <w:sz w:val="20"/>
              </w:rPr>
              <w:t>Option</w:t>
            </w:r>
          </w:p>
        </w:tc>
        <w:tc>
          <w:tcPr>
            <w:tcW w:w="3420" w:type="dxa"/>
            <w:vAlign w:val="center"/>
          </w:tcPr>
          <w:p w:rsidR="009C116E" w:rsidRPr="00FB688F" w:rsidRDefault="009C116E" w:rsidP="00121F5C">
            <w:pPr>
              <w:rPr>
                <w:sz w:val="20"/>
              </w:rPr>
            </w:pPr>
            <w:r w:rsidRPr="00FB688F">
              <w:rPr>
                <w:sz w:val="20"/>
              </w:rPr>
              <w:t>Advantages</w:t>
            </w:r>
          </w:p>
        </w:tc>
        <w:tc>
          <w:tcPr>
            <w:tcW w:w="4050" w:type="dxa"/>
            <w:vAlign w:val="center"/>
          </w:tcPr>
          <w:p w:rsidR="009C116E" w:rsidRPr="00FB688F" w:rsidRDefault="009C116E" w:rsidP="00121F5C">
            <w:pPr>
              <w:rPr>
                <w:sz w:val="20"/>
              </w:rPr>
            </w:pPr>
            <w:r w:rsidRPr="00FB688F">
              <w:rPr>
                <w:sz w:val="20"/>
              </w:rPr>
              <w:t>Limitations</w:t>
            </w:r>
          </w:p>
        </w:tc>
      </w:tr>
      <w:tr w:rsidR="009C116E" w:rsidTr="00121F5C">
        <w:trPr>
          <w:trHeight w:val="225"/>
        </w:trPr>
        <w:tc>
          <w:tcPr>
            <w:tcW w:w="0" w:type="auto"/>
            <w:vAlign w:val="center"/>
          </w:tcPr>
          <w:p w:rsidR="009C116E" w:rsidRPr="00FB688F" w:rsidRDefault="009C116E" w:rsidP="00121F5C">
            <w:pPr>
              <w:rPr>
                <w:sz w:val="20"/>
              </w:rPr>
            </w:pPr>
            <w:r w:rsidRPr="00FB688F">
              <w:rPr>
                <w:sz w:val="20"/>
              </w:rPr>
              <w:t>A</w:t>
            </w:r>
          </w:p>
        </w:tc>
        <w:tc>
          <w:tcPr>
            <w:tcW w:w="1550" w:type="dxa"/>
            <w:vAlign w:val="center"/>
          </w:tcPr>
          <w:p w:rsidR="009C116E" w:rsidRPr="00FB688F" w:rsidRDefault="009C116E" w:rsidP="00121F5C">
            <w:pPr>
              <w:rPr>
                <w:sz w:val="20"/>
              </w:rPr>
            </w:pPr>
            <w:r w:rsidRPr="00FB688F">
              <w:rPr>
                <w:sz w:val="20"/>
              </w:rPr>
              <w:t>Centrally coordinated project management</w:t>
            </w:r>
          </w:p>
        </w:tc>
        <w:tc>
          <w:tcPr>
            <w:tcW w:w="3420" w:type="dxa"/>
            <w:vAlign w:val="center"/>
          </w:tcPr>
          <w:p w:rsidR="009C116E" w:rsidRPr="00E136C9" w:rsidRDefault="009C116E" w:rsidP="00E136C9">
            <w:pPr>
              <w:pStyle w:val="ListParagraph"/>
              <w:numPr>
                <w:ilvl w:val="0"/>
                <w:numId w:val="38"/>
              </w:numPr>
              <w:spacing w:before="0" w:after="0"/>
              <w:ind w:left="360"/>
              <w:rPr>
                <w:sz w:val="20"/>
              </w:rPr>
            </w:pPr>
            <w:r w:rsidRPr="00E136C9">
              <w:rPr>
                <w:sz w:val="20"/>
              </w:rPr>
              <w:t>Could enable high-level coordination to match donor funds and priority needs</w:t>
            </w:r>
          </w:p>
          <w:p w:rsidR="009C116E" w:rsidRPr="00E136C9" w:rsidRDefault="009C116E" w:rsidP="00E136C9">
            <w:pPr>
              <w:pStyle w:val="ListParagraph"/>
              <w:numPr>
                <w:ilvl w:val="0"/>
                <w:numId w:val="38"/>
              </w:numPr>
              <w:spacing w:before="0" w:after="0"/>
              <w:ind w:left="360"/>
              <w:rPr>
                <w:sz w:val="20"/>
              </w:rPr>
            </w:pPr>
            <w:r w:rsidRPr="00E136C9">
              <w:rPr>
                <w:sz w:val="20"/>
              </w:rPr>
              <w:t>Could build on experiences/institutional setup of Executive Bureau</w:t>
            </w:r>
          </w:p>
          <w:p w:rsidR="009C116E" w:rsidRPr="00E136C9" w:rsidRDefault="009C116E" w:rsidP="00E136C9">
            <w:pPr>
              <w:pStyle w:val="ListParagraph"/>
              <w:numPr>
                <w:ilvl w:val="0"/>
                <w:numId w:val="38"/>
              </w:numPr>
              <w:spacing w:before="0" w:after="0"/>
              <w:ind w:left="360"/>
              <w:rPr>
                <w:sz w:val="20"/>
              </w:rPr>
            </w:pPr>
            <w:r w:rsidRPr="00E136C9">
              <w:rPr>
                <w:sz w:val="20"/>
              </w:rPr>
              <w:t>Could be targeted at the poorest citizens</w:t>
            </w:r>
          </w:p>
          <w:p w:rsidR="009C116E" w:rsidRPr="00E136C9" w:rsidRDefault="009C116E" w:rsidP="00E136C9">
            <w:pPr>
              <w:pStyle w:val="ListParagraph"/>
              <w:numPr>
                <w:ilvl w:val="0"/>
                <w:numId w:val="38"/>
              </w:numPr>
              <w:spacing w:before="0" w:after="0"/>
              <w:ind w:left="360"/>
              <w:rPr>
                <w:sz w:val="20"/>
              </w:rPr>
            </w:pPr>
            <w:r w:rsidRPr="00E136C9">
              <w:rPr>
                <w:sz w:val="20"/>
              </w:rPr>
              <w:t>Possibly preferable to some donors</w:t>
            </w:r>
          </w:p>
        </w:tc>
        <w:tc>
          <w:tcPr>
            <w:tcW w:w="4050" w:type="dxa"/>
            <w:vAlign w:val="center"/>
          </w:tcPr>
          <w:p w:rsidR="009C116E" w:rsidRPr="00FB688F" w:rsidRDefault="009C116E" w:rsidP="00E136C9">
            <w:pPr>
              <w:pStyle w:val="ListParagraph"/>
              <w:numPr>
                <w:ilvl w:val="0"/>
                <w:numId w:val="38"/>
              </w:numPr>
              <w:spacing w:before="0" w:after="0"/>
              <w:ind w:left="360"/>
              <w:rPr>
                <w:sz w:val="20"/>
              </w:rPr>
            </w:pPr>
            <w:r w:rsidRPr="00FB688F">
              <w:rPr>
                <w:sz w:val="20"/>
              </w:rPr>
              <w:t>May not be suitable for country with multiple power centers, as likely in post conflict Yemen</w:t>
            </w:r>
          </w:p>
          <w:p w:rsidR="009C116E" w:rsidRPr="00FB688F" w:rsidRDefault="009C116E" w:rsidP="00E136C9">
            <w:pPr>
              <w:pStyle w:val="ListParagraph"/>
              <w:numPr>
                <w:ilvl w:val="0"/>
                <w:numId w:val="38"/>
              </w:numPr>
              <w:spacing w:before="0" w:after="0"/>
              <w:ind w:left="360"/>
              <w:rPr>
                <w:sz w:val="20"/>
              </w:rPr>
            </w:pPr>
            <w:r w:rsidRPr="00FB688F">
              <w:rPr>
                <w:sz w:val="20"/>
              </w:rPr>
              <w:t>Possibly difficult to coordinate with / ensure smooth hand-over to line ministries</w:t>
            </w:r>
          </w:p>
          <w:p w:rsidR="009C116E" w:rsidRPr="00FB688F" w:rsidRDefault="009C116E" w:rsidP="00E136C9">
            <w:pPr>
              <w:pStyle w:val="ListParagraph"/>
              <w:numPr>
                <w:ilvl w:val="0"/>
                <w:numId w:val="38"/>
              </w:numPr>
              <w:spacing w:before="0" w:after="0"/>
              <w:ind w:left="360"/>
              <w:rPr>
                <w:sz w:val="20"/>
              </w:rPr>
            </w:pPr>
            <w:r w:rsidRPr="00FB688F">
              <w:rPr>
                <w:sz w:val="20"/>
              </w:rPr>
              <w:t>Low responsiveness to local needs</w:t>
            </w:r>
          </w:p>
          <w:p w:rsidR="009C116E" w:rsidRPr="00FB688F" w:rsidRDefault="009C116E" w:rsidP="00E136C9">
            <w:pPr>
              <w:pStyle w:val="ListParagraph"/>
              <w:numPr>
                <w:ilvl w:val="0"/>
                <w:numId w:val="38"/>
              </w:numPr>
              <w:spacing w:before="0" w:after="0"/>
              <w:ind w:left="360"/>
              <w:rPr>
                <w:sz w:val="20"/>
              </w:rPr>
            </w:pPr>
            <w:r w:rsidRPr="00FB688F">
              <w:rPr>
                <w:sz w:val="20"/>
              </w:rPr>
              <w:t>Mandate too short for greenfield projects</w:t>
            </w:r>
          </w:p>
          <w:p w:rsidR="009C116E" w:rsidRPr="00FB688F" w:rsidRDefault="009C116E" w:rsidP="00E136C9">
            <w:pPr>
              <w:pStyle w:val="ListParagraph"/>
              <w:numPr>
                <w:ilvl w:val="0"/>
                <w:numId w:val="38"/>
              </w:numPr>
              <w:spacing w:before="0" w:after="0"/>
              <w:ind w:left="360"/>
              <w:rPr>
                <w:sz w:val="20"/>
              </w:rPr>
            </w:pPr>
            <w:r w:rsidRPr="00FB688F">
              <w:rPr>
                <w:sz w:val="20"/>
              </w:rPr>
              <w:t>Mandate too short for asset ownership / supervision</w:t>
            </w:r>
          </w:p>
        </w:tc>
      </w:tr>
      <w:tr w:rsidR="009C116E" w:rsidTr="00121F5C">
        <w:trPr>
          <w:trHeight w:val="438"/>
        </w:trPr>
        <w:tc>
          <w:tcPr>
            <w:tcW w:w="0" w:type="auto"/>
            <w:vAlign w:val="center"/>
          </w:tcPr>
          <w:p w:rsidR="009C116E" w:rsidRPr="00FB688F" w:rsidRDefault="009C116E" w:rsidP="00121F5C">
            <w:pPr>
              <w:rPr>
                <w:sz w:val="20"/>
              </w:rPr>
            </w:pPr>
            <w:r w:rsidRPr="00FB688F">
              <w:rPr>
                <w:sz w:val="20"/>
              </w:rPr>
              <w:t>B</w:t>
            </w:r>
          </w:p>
        </w:tc>
        <w:tc>
          <w:tcPr>
            <w:tcW w:w="1550" w:type="dxa"/>
            <w:vAlign w:val="center"/>
          </w:tcPr>
          <w:p w:rsidR="009C116E" w:rsidRPr="00FB688F" w:rsidRDefault="009C116E" w:rsidP="00121F5C">
            <w:pPr>
              <w:rPr>
                <w:sz w:val="20"/>
              </w:rPr>
            </w:pPr>
            <w:r w:rsidRPr="00FB688F">
              <w:rPr>
                <w:sz w:val="20"/>
              </w:rPr>
              <w:t>Donor-led project management</w:t>
            </w:r>
          </w:p>
        </w:tc>
        <w:tc>
          <w:tcPr>
            <w:tcW w:w="3420" w:type="dxa"/>
            <w:vAlign w:val="center"/>
          </w:tcPr>
          <w:p w:rsidR="009C116E" w:rsidRPr="00FB688F" w:rsidRDefault="009C116E" w:rsidP="00E136C9">
            <w:pPr>
              <w:pStyle w:val="ListParagraph"/>
              <w:numPr>
                <w:ilvl w:val="0"/>
                <w:numId w:val="38"/>
              </w:numPr>
              <w:spacing w:before="0" w:after="0"/>
              <w:ind w:left="360"/>
              <w:rPr>
                <w:sz w:val="20"/>
              </w:rPr>
            </w:pPr>
            <w:r w:rsidRPr="00FB688F">
              <w:rPr>
                <w:sz w:val="20"/>
              </w:rPr>
              <w:t>High capacity to restore infrastructure services rapidly across procurement cycle</w:t>
            </w:r>
          </w:p>
          <w:p w:rsidR="009C116E" w:rsidRPr="00FB688F" w:rsidRDefault="009C116E" w:rsidP="00E136C9">
            <w:pPr>
              <w:pStyle w:val="ListParagraph"/>
              <w:numPr>
                <w:ilvl w:val="0"/>
                <w:numId w:val="38"/>
              </w:numPr>
              <w:spacing w:before="0" w:after="0"/>
              <w:ind w:left="360"/>
              <w:rPr>
                <w:sz w:val="20"/>
              </w:rPr>
            </w:pPr>
            <w:r w:rsidRPr="00FB688F">
              <w:rPr>
                <w:sz w:val="20"/>
              </w:rPr>
              <w:t>Suitable for large infrastructure</w:t>
            </w:r>
          </w:p>
          <w:p w:rsidR="009C116E" w:rsidRPr="00FB688F" w:rsidRDefault="009C116E" w:rsidP="00E136C9">
            <w:pPr>
              <w:pStyle w:val="ListParagraph"/>
              <w:numPr>
                <w:ilvl w:val="0"/>
                <w:numId w:val="38"/>
              </w:numPr>
              <w:spacing w:before="0" w:after="0"/>
              <w:ind w:left="360"/>
              <w:rPr>
                <w:sz w:val="20"/>
              </w:rPr>
            </w:pPr>
            <w:r w:rsidRPr="00FB688F">
              <w:rPr>
                <w:sz w:val="20"/>
              </w:rPr>
              <w:t>Potentially quick restoration of infrastructure</w:t>
            </w:r>
          </w:p>
          <w:p w:rsidR="009C116E" w:rsidRPr="00FB688F" w:rsidRDefault="009C116E" w:rsidP="00E136C9">
            <w:pPr>
              <w:pStyle w:val="ListParagraph"/>
              <w:numPr>
                <w:ilvl w:val="0"/>
                <w:numId w:val="38"/>
              </w:numPr>
              <w:spacing w:before="0" w:after="0"/>
              <w:ind w:left="360"/>
              <w:rPr>
                <w:sz w:val="20"/>
              </w:rPr>
            </w:pPr>
            <w:r w:rsidRPr="00FB688F">
              <w:rPr>
                <w:sz w:val="20"/>
              </w:rPr>
              <w:t>Fits in economic and industrial strategy of some of key donors, may therefore be preferred by donors and lead to greater mobilization of donor resources</w:t>
            </w:r>
          </w:p>
          <w:p w:rsidR="009C116E" w:rsidRPr="00FB688F" w:rsidRDefault="009C116E" w:rsidP="00E136C9">
            <w:pPr>
              <w:pStyle w:val="ListParagraph"/>
              <w:numPr>
                <w:ilvl w:val="0"/>
                <w:numId w:val="38"/>
              </w:numPr>
              <w:spacing w:before="0" w:after="0"/>
              <w:ind w:left="360"/>
              <w:rPr>
                <w:sz w:val="20"/>
              </w:rPr>
            </w:pPr>
            <w:r w:rsidRPr="00FB688F">
              <w:rPr>
                <w:sz w:val="20"/>
              </w:rPr>
              <w:t>Could be targeted at the poorest citizens</w:t>
            </w:r>
          </w:p>
        </w:tc>
        <w:tc>
          <w:tcPr>
            <w:tcW w:w="4050" w:type="dxa"/>
            <w:vAlign w:val="center"/>
          </w:tcPr>
          <w:p w:rsidR="009C116E" w:rsidRPr="00FB688F" w:rsidRDefault="009C116E" w:rsidP="00E136C9">
            <w:pPr>
              <w:pStyle w:val="ListParagraph"/>
              <w:numPr>
                <w:ilvl w:val="0"/>
                <w:numId w:val="38"/>
              </w:numPr>
              <w:spacing w:before="0" w:after="0"/>
              <w:ind w:left="360"/>
              <w:rPr>
                <w:sz w:val="20"/>
              </w:rPr>
            </w:pPr>
            <w:r w:rsidRPr="00FB688F">
              <w:rPr>
                <w:sz w:val="20"/>
              </w:rPr>
              <w:t>Political acceptability within Yemen may be low, especially linked to specific donors</w:t>
            </w:r>
          </w:p>
          <w:p w:rsidR="009C116E" w:rsidRPr="00FB688F" w:rsidRDefault="009C116E" w:rsidP="00E136C9">
            <w:pPr>
              <w:pStyle w:val="ListParagraph"/>
              <w:numPr>
                <w:ilvl w:val="0"/>
                <w:numId w:val="38"/>
              </w:numPr>
              <w:spacing w:before="0" w:after="0"/>
              <w:ind w:left="360"/>
              <w:rPr>
                <w:sz w:val="20"/>
              </w:rPr>
            </w:pPr>
            <w:r w:rsidRPr="00FB688F">
              <w:rPr>
                <w:sz w:val="20"/>
              </w:rPr>
              <w:t>Donor coordination may be difficult</w:t>
            </w:r>
          </w:p>
          <w:p w:rsidR="009C116E" w:rsidRPr="00FB688F" w:rsidRDefault="009C116E" w:rsidP="00E136C9">
            <w:pPr>
              <w:pStyle w:val="ListParagraph"/>
              <w:numPr>
                <w:ilvl w:val="0"/>
                <w:numId w:val="38"/>
              </w:numPr>
              <w:spacing w:before="0" w:after="0"/>
              <w:ind w:left="360"/>
              <w:rPr>
                <w:sz w:val="20"/>
              </w:rPr>
            </w:pPr>
            <w:r w:rsidRPr="00FB688F">
              <w:rPr>
                <w:sz w:val="20"/>
              </w:rPr>
              <w:t>Possibly lower accountability and transparency, depending on donor systems</w:t>
            </w:r>
          </w:p>
          <w:p w:rsidR="009C116E" w:rsidRPr="00FB688F" w:rsidRDefault="009C116E" w:rsidP="00E136C9">
            <w:pPr>
              <w:pStyle w:val="ListParagraph"/>
              <w:numPr>
                <w:ilvl w:val="0"/>
                <w:numId w:val="38"/>
              </w:numPr>
              <w:spacing w:before="0" w:after="0"/>
              <w:ind w:left="360"/>
              <w:rPr>
                <w:sz w:val="20"/>
              </w:rPr>
            </w:pPr>
            <w:r w:rsidRPr="00FB688F">
              <w:rPr>
                <w:sz w:val="20"/>
              </w:rPr>
              <w:t>Sustainability of efforts post construction may be difficult to ensure</w:t>
            </w:r>
          </w:p>
        </w:tc>
      </w:tr>
      <w:tr w:rsidR="009C116E" w:rsidTr="00121F5C">
        <w:trPr>
          <w:trHeight w:val="438"/>
        </w:trPr>
        <w:tc>
          <w:tcPr>
            <w:tcW w:w="0" w:type="auto"/>
            <w:vAlign w:val="center"/>
          </w:tcPr>
          <w:p w:rsidR="009C116E" w:rsidRPr="00FB688F" w:rsidRDefault="009C116E" w:rsidP="00121F5C">
            <w:pPr>
              <w:rPr>
                <w:sz w:val="20"/>
              </w:rPr>
            </w:pPr>
            <w:r w:rsidRPr="00FB688F">
              <w:rPr>
                <w:sz w:val="20"/>
              </w:rPr>
              <w:t>C</w:t>
            </w:r>
          </w:p>
        </w:tc>
        <w:tc>
          <w:tcPr>
            <w:tcW w:w="1550" w:type="dxa"/>
            <w:vAlign w:val="center"/>
          </w:tcPr>
          <w:p w:rsidR="009C116E" w:rsidRPr="00FB688F" w:rsidRDefault="009C116E" w:rsidP="00121F5C">
            <w:pPr>
              <w:rPr>
                <w:sz w:val="20"/>
              </w:rPr>
            </w:pPr>
            <w:r w:rsidRPr="00FB688F">
              <w:rPr>
                <w:sz w:val="20"/>
              </w:rPr>
              <w:t>Private sector-led project management</w:t>
            </w:r>
          </w:p>
        </w:tc>
        <w:tc>
          <w:tcPr>
            <w:tcW w:w="3420" w:type="dxa"/>
            <w:vAlign w:val="center"/>
          </w:tcPr>
          <w:p w:rsidR="009C116E" w:rsidRPr="00FB688F" w:rsidRDefault="009C116E" w:rsidP="00E136C9">
            <w:pPr>
              <w:pStyle w:val="ListParagraph"/>
              <w:numPr>
                <w:ilvl w:val="0"/>
                <w:numId w:val="38"/>
              </w:numPr>
              <w:spacing w:before="0" w:after="0"/>
              <w:ind w:left="360"/>
              <w:rPr>
                <w:sz w:val="20"/>
              </w:rPr>
            </w:pPr>
            <w:r w:rsidRPr="00FB688F">
              <w:rPr>
                <w:sz w:val="20"/>
              </w:rPr>
              <w:t>Resources can be mobilized rapidly</w:t>
            </w:r>
          </w:p>
          <w:p w:rsidR="009C116E" w:rsidRPr="00FB688F" w:rsidRDefault="009C116E" w:rsidP="00E136C9">
            <w:pPr>
              <w:pStyle w:val="ListParagraph"/>
              <w:numPr>
                <w:ilvl w:val="0"/>
                <w:numId w:val="38"/>
              </w:numPr>
              <w:spacing w:before="0" w:after="0"/>
              <w:ind w:left="360"/>
              <w:rPr>
                <w:sz w:val="20"/>
              </w:rPr>
            </w:pPr>
            <w:r w:rsidRPr="00FB688F">
              <w:rPr>
                <w:sz w:val="20"/>
              </w:rPr>
              <w:t>High responsiveness to demand</w:t>
            </w:r>
          </w:p>
          <w:p w:rsidR="009C116E" w:rsidRPr="00FB688F" w:rsidRDefault="009C116E" w:rsidP="00E136C9">
            <w:pPr>
              <w:pStyle w:val="ListParagraph"/>
              <w:numPr>
                <w:ilvl w:val="0"/>
                <w:numId w:val="38"/>
              </w:numPr>
              <w:spacing w:before="0" w:after="0"/>
              <w:ind w:left="360"/>
              <w:rPr>
                <w:sz w:val="20"/>
              </w:rPr>
            </w:pPr>
            <w:r w:rsidRPr="00FB688F">
              <w:rPr>
                <w:sz w:val="20"/>
              </w:rPr>
              <w:t>Strengthening of private sector, provision of employment and diversification of economy as associated benefits</w:t>
            </w:r>
          </w:p>
        </w:tc>
        <w:tc>
          <w:tcPr>
            <w:tcW w:w="4050" w:type="dxa"/>
            <w:vAlign w:val="center"/>
          </w:tcPr>
          <w:p w:rsidR="009C116E" w:rsidRPr="00FB688F" w:rsidRDefault="009C116E" w:rsidP="00E136C9">
            <w:pPr>
              <w:pStyle w:val="ListParagraph"/>
              <w:numPr>
                <w:ilvl w:val="0"/>
                <w:numId w:val="38"/>
              </w:numPr>
              <w:spacing w:before="0" w:after="0"/>
              <w:ind w:left="360"/>
              <w:rPr>
                <w:sz w:val="20"/>
              </w:rPr>
            </w:pPr>
            <w:r w:rsidRPr="00FB688F">
              <w:rPr>
                <w:sz w:val="20"/>
              </w:rPr>
              <w:t>May not reach those with least ability to pay</w:t>
            </w:r>
            <w:r w:rsidR="00712139">
              <w:rPr>
                <w:sz w:val="20"/>
              </w:rPr>
              <w:t xml:space="preserve"> without significant grant support</w:t>
            </w:r>
          </w:p>
          <w:p w:rsidR="009C116E" w:rsidRPr="00FB688F" w:rsidRDefault="009C116E" w:rsidP="00E136C9">
            <w:pPr>
              <w:pStyle w:val="ListParagraph"/>
              <w:numPr>
                <w:ilvl w:val="0"/>
                <w:numId w:val="38"/>
              </w:numPr>
              <w:spacing w:before="0" w:after="0"/>
              <w:ind w:left="360"/>
              <w:rPr>
                <w:sz w:val="20"/>
              </w:rPr>
            </w:pPr>
            <w:r w:rsidRPr="00FB688F">
              <w:rPr>
                <w:sz w:val="20"/>
              </w:rPr>
              <w:t>Lack of local capacity in many fields</w:t>
            </w:r>
          </w:p>
          <w:p w:rsidR="009C116E" w:rsidRPr="00712139" w:rsidRDefault="009C116E" w:rsidP="00712139">
            <w:pPr>
              <w:pStyle w:val="ListParagraph"/>
              <w:numPr>
                <w:ilvl w:val="0"/>
                <w:numId w:val="38"/>
              </w:numPr>
              <w:spacing w:before="0" w:after="0"/>
              <w:ind w:left="360"/>
              <w:rPr>
                <w:sz w:val="20"/>
              </w:rPr>
            </w:pPr>
            <w:r w:rsidRPr="00FB688F">
              <w:rPr>
                <w:sz w:val="20"/>
              </w:rPr>
              <w:t>May not be suitable for larger or greenfield infrastructure</w:t>
            </w:r>
          </w:p>
        </w:tc>
      </w:tr>
      <w:tr w:rsidR="009C116E" w:rsidTr="00121F5C">
        <w:trPr>
          <w:trHeight w:val="438"/>
        </w:trPr>
        <w:tc>
          <w:tcPr>
            <w:tcW w:w="0" w:type="auto"/>
            <w:vAlign w:val="center"/>
          </w:tcPr>
          <w:p w:rsidR="009C116E" w:rsidRPr="00FB688F" w:rsidRDefault="009C116E" w:rsidP="00121F5C">
            <w:pPr>
              <w:rPr>
                <w:sz w:val="20"/>
              </w:rPr>
            </w:pPr>
            <w:r w:rsidRPr="00FB688F">
              <w:rPr>
                <w:sz w:val="20"/>
              </w:rPr>
              <w:t>D</w:t>
            </w:r>
          </w:p>
        </w:tc>
        <w:tc>
          <w:tcPr>
            <w:tcW w:w="1550" w:type="dxa"/>
            <w:vAlign w:val="center"/>
          </w:tcPr>
          <w:p w:rsidR="009C116E" w:rsidRPr="00FB688F" w:rsidRDefault="009C116E" w:rsidP="00121F5C">
            <w:pPr>
              <w:rPr>
                <w:sz w:val="20"/>
              </w:rPr>
            </w:pPr>
            <w:r w:rsidRPr="00FB688F">
              <w:rPr>
                <w:sz w:val="20"/>
              </w:rPr>
              <w:t>Community-led project managem</w:t>
            </w:r>
            <w:r w:rsidR="00885470">
              <w:rPr>
                <w:sz w:val="20"/>
              </w:rPr>
              <w:t xml:space="preserve">ent, </w:t>
            </w:r>
            <w:r w:rsidR="00885470">
              <w:rPr>
                <w:sz w:val="20"/>
              </w:rPr>
              <w:lastRenderedPageBreak/>
              <w:t xml:space="preserve">e.g., </w:t>
            </w:r>
            <w:r w:rsidRPr="00FB688F">
              <w:rPr>
                <w:sz w:val="20"/>
              </w:rPr>
              <w:t>through the Social Fund for Development or a comparable institution</w:t>
            </w:r>
          </w:p>
        </w:tc>
        <w:tc>
          <w:tcPr>
            <w:tcW w:w="3420" w:type="dxa"/>
            <w:vAlign w:val="center"/>
          </w:tcPr>
          <w:p w:rsidR="009C116E" w:rsidRPr="00FB688F" w:rsidRDefault="009C116E" w:rsidP="00E136C9">
            <w:pPr>
              <w:pStyle w:val="ListParagraph"/>
              <w:numPr>
                <w:ilvl w:val="0"/>
                <w:numId w:val="38"/>
              </w:numPr>
              <w:spacing w:before="0" w:after="0"/>
              <w:ind w:left="360"/>
              <w:rPr>
                <w:sz w:val="20"/>
              </w:rPr>
            </w:pPr>
            <w:r w:rsidRPr="00FB688F">
              <w:rPr>
                <w:sz w:val="20"/>
              </w:rPr>
              <w:lastRenderedPageBreak/>
              <w:t>High responsiveness to local needs</w:t>
            </w:r>
          </w:p>
          <w:p w:rsidR="009C116E" w:rsidRPr="00FB688F" w:rsidRDefault="009C116E" w:rsidP="00E136C9">
            <w:pPr>
              <w:pStyle w:val="ListParagraph"/>
              <w:numPr>
                <w:ilvl w:val="0"/>
                <w:numId w:val="38"/>
              </w:numPr>
              <w:spacing w:before="0" w:after="0"/>
              <w:ind w:left="360"/>
              <w:rPr>
                <w:sz w:val="20"/>
              </w:rPr>
            </w:pPr>
            <w:r w:rsidRPr="00FB688F">
              <w:rPr>
                <w:sz w:val="20"/>
              </w:rPr>
              <w:t>Could build on existing institutional setup of SFD</w:t>
            </w:r>
          </w:p>
          <w:p w:rsidR="009C116E" w:rsidRPr="00FB688F" w:rsidRDefault="009C116E" w:rsidP="00E136C9">
            <w:pPr>
              <w:pStyle w:val="ListParagraph"/>
              <w:numPr>
                <w:ilvl w:val="0"/>
                <w:numId w:val="38"/>
              </w:numPr>
              <w:spacing w:before="0" w:after="0"/>
              <w:ind w:left="360"/>
              <w:rPr>
                <w:sz w:val="20"/>
              </w:rPr>
            </w:pPr>
            <w:r w:rsidRPr="00FB688F">
              <w:rPr>
                <w:sz w:val="20"/>
              </w:rPr>
              <w:lastRenderedPageBreak/>
              <w:t>Could be targeted at the poorest citizens</w:t>
            </w:r>
          </w:p>
        </w:tc>
        <w:tc>
          <w:tcPr>
            <w:tcW w:w="4050" w:type="dxa"/>
            <w:vAlign w:val="center"/>
          </w:tcPr>
          <w:p w:rsidR="009C116E" w:rsidRPr="00FB688F" w:rsidRDefault="009C116E" w:rsidP="00E136C9">
            <w:pPr>
              <w:pStyle w:val="ListParagraph"/>
              <w:numPr>
                <w:ilvl w:val="0"/>
                <w:numId w:val="38"/>
              </w:numPr>
              <w:spacing w:before="0" w:after="0"/>
              <w:ind w:left="360"/>
              <w:rPr>
                <w:sz w:val="20"/>
              </w:rPr>
            </w:pPr>
            <w:r w:rsidRPr="00FB688F">
              <w:rPr>
                <w:sz w:val="20"/>
              </w:rPr>
              <w:lastRenderedPageBreak/>
              <w:t>May not be suitable for larger infrastructure</w:t>
            </w:r>
          </w:p>
          <w:p w:rsidR="009C116E" w:rsidRPr="00FB688F" w:rsidRDefault="009C116E" w:rsidP="00E136C9">
            <w:pPr>
              <w:pStyle w:val="ListParagraph"/>
              <w:numPr>
                <w:ilvl w:val="0"/>
                <w:numId w:val="38"/>
              </w:numPr>
              <w:spacing w:before="0" w:after="0"/>
              <w:ind w:left="360"/>
              <w:rPr>
                <w:sz w:val="20"/>
              </w:rPr>
            </w:pPr>
            <w:r w:rsidRPr="00FB688F">
              <w:rPr>
                <w:sz w:val="20"/>
              </w:rPr>
              <w:lastRenderedPageBreak/>
              <w:t>Existing institutions such as PWP and SFD may be overloaded if tasked with reconstruction work across all sectors</w:t>
            </w:r>
          </w:p>
          <w:p w:rsidR="009C116E" w:rsidRPr="00FB688F" w:rsidRDefault="009C116E" w:rsidP="00E136C9">
            <w:pPr>
              <w:pStyle w:val="ListParagraph"/>
              <w:numPr>
                <w:ilvl w:val="0"/>
                <w:numId w:val="38"/>
              </w:numPr>
              <w:spacing w:before="0" w:after="0"/>
              <w:ind w:left="360"/>
              <w:rPr>
                <w:sz w:val="20"/>
              </w:rPr>
            </w:pPr>
            <w:r w:rsidRPr="00FB688F">
              <w:rPr>
                <w:sz w:val="20"/>
              </w:rPr>
              <w:t>Possible conflicts of interest with formal government institutions, as institutions such as PWP and SFD currently exist outside of the formal government structure</w:t>
            </w:r>
          </w:p>
          <w:p w:rsidR="009C116E" w:rsidRPr="00FB688F" w:rsidRDefault="009C116E" w:rsidP="00E136C9">
            <w:pPr>
              <w:pStyle w:val="ListParagraph"/>
              <w:numPr>
                <w:ilvl w:val="0"/>
                <w:numId w:val="38"/>
              </w:numPr>
              <w:spacing w:before="0" w:after="0"/>
              <w:ind w:left="360"/>
              <w:rPr>
                <w:sz w:val="20"/>
              </w:rPr>
            </w:pPr>
            <w:r w:rsidRPr="00FB688F">
              <w:rPr>
                <w:sz w:val="20"/>
              </w:rPr>
              <w:t>Coordination to match donor funds and priority needs possibly more difficult</w:t>
            </w:r>
          </w:p>
        </w:tc>
      </w:tr>
      <w:tr w:rsidR="009C116E" w:rsidTr="00121F5C">
        <w:trPr>
          <w:trHeight w:val="438"/>
        </w:trPr>
        <w:tc>
          <w:tcPr>
            <w:tcW w:w="0" w:type="auto"/>
            <w:vAlign w:val="center"/>
          </w:tcPr>
          <w:p w:rsidR="009C116E" w:rsidRPr="00FB688F" w:rsidRDefault="009C116E" w:rsidP="00121F5C">
            <w:pPr>
              <w:rPr>
                <w:sz w:val="20"/>
              </w:rPr>
            </w:pPr>
            <w:r w:rsidRPr="00FB688F">
              <w:rPr>
                <w:sz w:val="20"/>
              </w:rPr>
              <w:t>F</w:t>
            </w:r>
          </w:p>
        </w:tc>
        <w:tc>
          <w:tcPr>
            <w:tcW w:w="1550" w:type="dxa"/>
            <w:vAlign w:val="center"/>
          </w:tcPr>
          <w:p w:rsidR="009C116E" w:rsidRPr="00FB688F" w:rsidRDefault="009C116E" w:rsidP="00121F5C">
            <w:pPr>
              <w:rPr>
                <w:sz w:val="20"/>
              </w:rPr>
            </w:pPr>
            <w:r w:rsidRPr="00FB688F">
              <w:rPr>
                <w:sz w:val="20"/>
              </w:rPr>
              <w:t>Sector-led project management with implementation support</w:t>
            </w:r>
          </w:p>
        </w:tc>
        <w:tc>
          <w:tcPr>
            <w:tcW w:w="3420" w:type="dxa"/>
            <w:vAlign w:val="center"/>
          </w:tcPr>
          <w:p w:rsidR="009C116E" w:rsidRPr="00FB688F" w:rsidRDefault="009C116E" w:rsidP="00E136C9">
            <w:pPr>
              <w:pStyle w:val="ListParagraph"/>
              <w:numPr>
                <w:ilvl w:val="0"/>
                <w:numId w:val="38"/>
              </w:numPr>
              <w:spacing w:before="0" w:after="0"/>
              <w:ind w:left="360"/>
              <w:rPr>
                <w:sz w:val="20"/>
              </w:rPr>
            </w:pPr>
            <w:r w:rsidRPr="00FB688F">
              <w:rPr>
                <w:sz w:val="20"/>
              </w:rPr>
              <w:t>Capacity building would happen in critical sector institutions</w:t>
            </w:r>
          </w:p>
          <w:p w:rsidR="009C116E" w:rsidRPr="00FB688F" w:rsidRDefault="009C116E" w:rsidP="00E136C9">
            <w:pPr>
              <w:pStyle w:val="ListParagraph"/>
              <w:numPr>
                <w:ilvl w:val="0"/>
                <w:numId w:val="38"/>
              </w:numPr>
              <w:spacing w:before="0" w:after="0"/>
              <w:ind w:left="360"/>
              <w:rPr>
                <w:sz w:val="20"/>
              </w:rPr>
            </w:pPr>
            <w:r w:rsidRPr="00FB688F">
              <w:rPr>
                <w:sz w:val="20"/>
              </w:rPr>
              <w:t>Could be targeted at the poorest citizens</w:t>
            </w:r>
          </w:p>
        </w:tc>
        <w:tc>
          <w:tcPr>
            <w:tcW w:w="4050" w:type="dxa"/>
            <w:vAlign w:val="center"/>
          </w:tcPr>
          <w:p w:rsidR="009C116E" w:rsidRPr="00FB688F" w:rsidRDefault="009C116E" w:rsidP="00E136C9">
            <w:pPr>
              <w:pStyle w:val="ListParagraph"/>
              <w:numPr>
                <w:ilvl w:val="0"/>
                <w:numId w:val="38"/>
              </w:numPr>
              <w:spacing w:before="0" w:after="0"/>
              <w:ind w:left="360"/>
              <w:rPr>
                <w:sz w:val="20"/>
              </w:rPr>
            </w:pPr>
            <w:r w:rsidRPr="00FB688F">
              <w:rPr>
                <w:sz w:val="20"/>
              </w:rPr>
              <w:t>Lack of institutional capacity, especially in the energy sector, make this approach unsuitable for large projects with many contracts</w:t>
            </w:r>
          </w:p>
          <w:p w:rsidR="009C116E" w:rsidRPr="00FB688F" w:rsidRDefault="009C116E" w:rsidP="00E136C9">
            <w:pPr>
              <w:pStyle w:val="ListParagraph"/>
              <w:numPr>
                <w:ilvl w:val="0"/>
                <w:numId w:val="38"/>
              </w:numPr>
              <w:spacing w:before="0" w:after="0"/>
              <w:ind w:left="360"/>
              <w:rPr>
                <w:sz w:val="20"/>
              </w:rPr>
            </w:pPr>
            <w:r w:rsidRPr="00FB688F">
              <w:rPr>
                <w:sz w:val="20"/>
              </w:rPr>
              <w:t>May not be suitable for country with multiple power centers</w:t>
            </w:r>
          </w:p>
        </w:tc>
      </w:tr>
    </w:tbl>
    <w:p w:rsidR="009C116E" w:rsidRPr="003C51AE" w:rsidRDefault="009C116E" w:rsidP="009C116E">
      <w:pPr>
        <w:pStyle w:val="ListParagraph"/>
        <w:rPr>
          <w:b/>
        </w:rPr>
      </w:pPr>
      <w:r w:rsidRPr="00E90C70">
        <w:rPr>
          <w:b/>
        </w:rPr>
        <w:t>The current status of Yemen’s energy sector suggests that a portfolio of options would be most suitable for re-engagemen</w:t>
      </w:r>
      <w:r>
        <w:rPr>
          <w:b/>
        </w:rPr>
        <w:t>t:</w:t>
      </w:r>
    </w:p>
    <w:p w:rsidR="00885470" w:rsidRPr="002C65D7" w:rsidRDefault="00885470" w:rsidP="00885470">
      <w:pPr>
        <w:pStyle w:val="ListParagraph"/>
        <w:numPr>
          <w:ilvl w:val="1"/>
          <w:numId w:val="26"/>
        </w:numPr>
        <w:rPr>
          <w:b/>
        </w:rPr>
      </w:pPr>
      <w:r>
        <w:t xml:space="preserve">Option C (private sector-led) would be most suitable for </w:t>
      </w:r>
      <w:r w:rsidRPr="00E90C70">
        <w:rPr>
          <w:b/>
        </w:rPr>
        <w:t>in-conflict interventions</w:t>
      </w:r>
      <w:r>
        <w:t xml:space="preserve"> to scale up</w:t>
      </w:r>
      <w:r w:rsidRPr="00DB3F05">
        <w:t xml:space="preserve"> distributed energy services</w:t>
      </w:r>
      <w:r>
        <w:t xml:space="preserve"> using solar energy, building</w:t>
      </w:r>
      <w:r w:rsidRPr="0075123B">
        <w:t xml:space="preserve"> on the existing, private-sector driven delivery channels</w:t>
      </w:r>
      <w:r w:rsidR="004049A3">
        <w:t xml:space="preserve">.  </w:t>
      </w:r>
      <w:r>
        <w:t>These could be supported through</w:t>
      </w:r>
      <w:r w:rsidRPr="0075123B">
        <w:t xml:space="preserve"> </w:t>
      </w:r>
      <w:r>
        <w:t xml:space="preserve">external </w:t>
      </w:r>
      <w:r w:rsidRPr="0075123B">
        <w:t xml:space="preserve">funding </w:t>
      </w:r>
      <w:r>
        <w:t xml:space="preserve">provided </w:t>
      </w:r>
      <w:r w:rsidRPr="0075123B">
        <w:t>to consumers through one or several financial intermediaries (private sector or NGOs)</w:t>
      </w:r>
      <w:r w:rsidR="004049A3">
        <w:t xml:space="preserve">.  </w:t>
      </w:r>
      <w:r w:rsidRPr="0075123B">
        <w:t xml:space="preserve">The financial intermediaries </w:t>
      </w:r>
      <w:r>
        <w:t>c</w:t>
      </w:r>
      <w:r w:rsidRPr="0075123B">
        <w:t>ould be selected from the commercial banks and NGOs that already provide financing for solar systems, including the CAC Bank, the Yemen International Bank, the Yemen Commercial Bank, the National Microfinance Foundation, the Al</w:t>
      </w:r>
      <w:r>
        <w:t>-K</w:t>
      </w:r>
      <w:r w:rsidRPr="0075123B">
        <w:t>ura</w:t>
      </w:r>
      <w:r>
        <w:t>i</w:t>
      </w:r>
      <w:r w:rsidRPr="0075123B">
        <w:t>mi Islamic Micro</w:t>
      </w:r>
      <w:r>
        <w:t>f</w:t>
      </w:r>
      <w:r w:rsidRPr="0075123B">
        <w:t>inance, A</w:t>
      </w:r>
      <w:r>
        <w:t>m</w:t>
      </w:r>
      <w:r w:rsidRPr="0075123B">
        <w:t>al Micro</w:t>
      </w:r>
      <w:r>
        <w:t>fi</w:t>
      </w:r>
      <w:r w:rsidRPr="0075123B">
        <w:t xml:space="preserve">nance and the Small and Micro Enterprises Development Fund (SEDF) (or other relevant </w:t>
      </w:r>
      <w:r>
        <w:t xml:space="preserve">national or </w:t>
      </w:r>
      <w:r w:rsidRPr="0075123B">
        <w:t>international NGOs).</w:t>
      </w:r>
    </w:p>
    <w:p w:rsidR="00885470" w:rsidRPr="00D1157B" w:rsidRDefault="00885470" w:rsidP="00885470">
      <w:pPr>
        <w:pStyle w:val="ListParagraph"/>
        <w:numPr>
          <w:ilvl w:val="1"/>
          <w:numId w:val="26"/>
        </w:numPr>
        <w:rPr>
          <w:b/>
        </w:rPr>
      </w:pPr>
      <w:r>
        <w:t>Op</w:t>
      </w:r>
      <w:r w:rsidRPr="00DB3F05">
        <w:t xml:space="preserve">tion D </w:t>
      </w:r>
      <w:r>
        <w:t xml:space="preserve">(Community-led project management) would be suitable for </w:t>
      </w:r>
      <w:r w:rsidRPr="00E90C70">
        <w:rPr>
          <w:b/>
        </w:rPr>
        <w:t>in-conflict or post-conflict intervention</w:t>
      </w:r>
      <w:r>
        <w:t xml:space="preserve"> to scale up</w:t>
      </w:r>
      <w:r w:rsidRPr="00DB3F05">
        <w:t xml:space="preserve"> distributed energy services</w:t>
      </w:r>
      <w:r>
        <w:t xml:space="preserve"> if the program can build on proven, widely adopted institutional model, such as the SFD or the PWP.</w:t>
      </w:r>
    </w:p>
    <w:p w:rsidR="009C116E" w:rsidRPr="00DA6567" w:rsidRDefault="009C116E" w:rsidP="009C116E">
      <w:pPr>
        <w:pStyle w:val="ListParagraph"/>
        <w:numPr>
          <w:ilvl w:val="1"/>
          <w:numId w:val="26"/>
        </w:numPr>
        <w:rPr>
          <w:b/>
        </w:rPr>
      </w:pPr>
      <w:r w:rsidRPr="00DB3F05">
        <w:t>Option B</w:t>
      </w:r>
      <w:r>
        <w:t xml:space="preserve"> (donor-led) could be an alternative for </w:t>
      </w:r>
      <w:r w:rsidRPr="00E90C70">
        <w:rPr>
          <w:b/>
        </w:rPr>
        <w:t>larger-scale infrastructure post conflict</w:t>
      </w:r>
      <w:r>
        <w:t xml:space="preserve"> as the donor-led project management could compensate for the sector institutions’ lack of implementation capacity</w:t>
      </w:r>
      <w:r w:rsidR="004049A3">
        <w:t xml:space="preserve">.  </w:t>
      </w:r>
      <w:r w:rsidRPr="0075123B">
        <w:t>Procurement of the equipment would be done on behalf of the client, either by the Bank or by one of the member institutions of the Arab Coordination Group (ACG)</w:t>
      </w:r>
      <w:r w:rsidR="004049A3">
        <w:t xml:space="preserve">.  </w:t>
      </w:r>
      <w:r w:rsidRPr="0075123B">
        <w:t>Upon delivery, the local implementation partners would install the equipment where needed</w:t>
      </w:r>
      <w:r w:rsidR="004049A3">
        <w:t xml:space="preserve">.  </w:t>
      </w:r>
      <w:r w:rsidRPr="0075123B">
        <w:t>The local implementation partners would be the respective regional divisions of PEC, where these are still functional, or otherwise the municipal authorities.</w:t>
      </w:r>
    </w:p>
    <w:p w:rsidR="009C116E" w:rsidRPr="00885470" w:rsidRDefault="009C116E" w:rsidP="009C116E">
      <w:pPr>
        <w:pStyle w:val="ListParagraph"/>
        <w:numPr>
          <w:ilvl w:val="1"/>
          <w:numId w:val="26"/>
        </w:numPr>
        <w:rPr>
          <w:b/>
        </w:rPr>
      </w:pPr>
      <w:r w:rsidRPr="00DB3F05">
        <w:lastRenderedPageBreak/>
        <w:t xml:space="preserve">Option F (Sector-led project management with implementation support) </w:t>
      </w:r>
      <w:r>
        <w:t xml:space="preserve">would be suitable for </w:t>
      </w:r>
      <w:r w:rsidRPr="00E90C70">
        <w:rPr>
          <w:b/>
        </w:rPr>
        <w:t>larger-scale infrastructure post conflict</w:t>
      </w:r>
      <w:r>
        <w:t>, however</w:t>
      </w:r>
      <w:r w:rsidRPr="00DB3F05">
        <w:t xml:space="preserve"> only with extensive implementation support</w:t>
      </w:r>
      <w:r>
        <w:t>, as the post conflict capacity of PEC and ministry is likely to be further constrained compared to pre conflict.</w:t>
      </w:r>
    </w:p>
    <w:p w:rsidR="00885470" w:rsidRDefault="00885470" w:rsidP="00885470">
      <w:pPr>
        <w:pStyle w:val="ListParagraph"/>
        <w:rPr>
          <w:b/>
        </w:rPr>
      </w:pPr>
      <w:r>
        <w:rPr>
          <w:b/>
        </w:rPr>
        <w:t>Further considerations:</w:t>
      </w:r>
    </w:p>
    <w:p w:rsidR="00885470" w:rsidRPr="00885470" w:rsidRDefault="00885470" w:rsidP="00885470">
      <w:pPr>
        <w:pStyle w:val="ListParagraph"/>
        <w:numPr>
          <w:ilvl w:val="1"/>
          <w:numId w:val="26"/>
        </w:numPr>
      </w:pPr>
      <w:r w:rsidRPr="00885470">
        <w:t>Monitoring and evaluation (M&amp;E) could be arranged through a third party, such as a local or international NGO active in the targeted areas or a private contractor</w:t>
      </w:r>
      <w:r w:rsidR="004049A3">
        <w:t xml:space="preserve">.  </w:t>
      </w:r>
      <w:r>
        <w:t>This would be particularly relevant for in-conflict interventions</w:t>
      </w:r>
      <w:r w:rsidRPr="00885470">
        <w:t>.</w:t>
      </w:r>
    </w:p>
    <w:p w:rsidR="00885470" w:rsidRPr="00885470" w:rsidRDefault="00885470" w:rsidP="00885470">
      <w:pPr>
        <w:pStyle w:val="ListParagraph"/>
        <w:numPr>
          <w:ilvl w:val="1"/>
          <w:numId w:val="26"/>
        </w:numPr>
        <w:rPr>
          <w:b/>
        </w:rPr>
      </w:pPr>
      <w:r>
        <w:t xml:space="preserve">Post-conflict interventions </w:t>
      </w:r>
      <w:r w:rsidR="009C116E">
        <w:t xml:space="preserve">would have to be consistent with (or done as part of) the government’s </w:t>
      </w:r>
      <w:r w:rsidR="009C116E" w:rsidRPr="004A5463">
        <w:t>Post-Conflict Needs Assessment (PCNA)</w:t>
      </w:r>
      <w:r w:rsidR="009C116E">
        <w:t>.</w:t>
      </w:r>
    </w:p>
    <w:p w:rsidR="00885470" w:rsidRPr="00885470" w:rsidRDefault="009C116E" w:rsidP="00885470">
      <w:pPr>
        <w:pStyle w:val="ListParagraph"/>
        <w:numPr>
          <w:ilvl w:val="1"/>
          <w:numId w:val="26"/>
        </w:numPr>
        <w:rPr>
          <w:b/>
        </w:rPr>
      </w:pPr>
      <w:r w:rsidRPr="00B01A70">
        <w:t xml:space="preserve">Procurement </w:t>
      </w:r>
      <w:r>
        <w:t>under any</w:t>
      </w:r>
      <w:r w:rsidRPr="00B01A70">
        <w:t xml:space="preserve"> </w:t>
      </w:r>
      <w:r>
        <w:t xml:space="preserve">of the </w:t>
      </w:r>
      <w:r w:rsidR="00885470">
        <w:t>post-conflict</w:t>
      </w:r>
      <w:r w:rsidRPr="00B01A70">
        <w:t xml:space="preserve"> option</w:t>
      </w:r>
      <w:r>
        <w:t>s</w:t>
      </w:r>
      <w:r w:rsidRPr="00B01A70">
        <w:t xml:space="preserve"> </w:t>
      </w:r>
      <w:r>
        <w:t xml:space="preserve">also </w:t>
      </w:r>
      <w:r w:rsidR="00885470">
        <w:t>has</w:t>
      </w:r>
      <w:r w:rsidRPr="00B01A70">
        <w:t xml:space="preserve"> to be consistent with Yemen’s legal framework, which has, among others, relatively stringent requirements for procurement approval.</w:t>
      </w:r>
    </w:p>
    <w:p w:rsidR="009C116E" w:rsidRPr="00885470" w:rsidRDefault="009C116E" w:rsidP="00885470">
      <w:pPr>
        <w:pStyle w:val="ListParagraph"/>
        <w:numPr>
          <w:ilvl w:val="1"/>
          <w:numId w:val="26"/>
        </w:numPr>
        <w:rPr>
          <w:b/>
        </w:rPr>
      </w:pPr>
      <w:r w:rsidRPr="003C51AE">
        <w:t>Ultimately, the choice of institutional arrangement for post-conflict infrastructure investment has to be made by the Government</w:t>
      </w:r>
      <w:r w:rsidR="004049A3">
        <w:t xml:space="preserve">.  </w:t>
      </w:r>
      <w:r>
        <w:t>However, donors can facilitate decision by fleshing out technically sound options.</w:t>
      </w:r>
    </w:p>
    <w:p w:rsidR="004469B5" w:rsidRPr="00C825CF" w:rsidRDefault="004469B5" w:rsidP="00C825CF">
      <w:r>
        <w:br w:type="page"/>
      </w:r>
    </w:p>
    <w:p w:rsidR="007E4C89" w:rsidRDefault="004469B5" w:rsidP="007E4C89">
      <w:pPr>
        <w:pStyle w:val="Heading1"/>
      </w:pPr>
      <w:bookmarkStart w:id="8" w:name="_Toc484160735"/>
      <w:r>
        <w:lastRenderedPageBreak/>
        <w:t xml:space="preserve">The way forward: </w:t>
      </w:r>
      <w:r w:rsidR="007E4C89">
        <w:t xml:space="preserve">Restoring electricity services </w:t>
      </w:r>
      <w:r w:rsidR="00F2291F">
        <w:t>in</w:t>
      </w:r>
      <w:r w:rsidR="007E4C89">
        <w:t xml:space="preserve"> Yemen</w:t>
      </w:r>
      <w:bookmarkEnd w:id="8"/>
    </w:p>
    <w:p w:rsidR="004049A3" w:rsidRPr="004049A3" w:rsidRDefault="004049A3" w:rsidP="001B3201">
      <w:pPr>
        <w:pStyle w:val="ListParagraph"/>
      </w:pPr>
      <w:r>
        <w:rPr>
          <w:b/>
        </w:rPr>
        <w:t>T</w:t>
      </w:r>
      <w:r w:rsidR="001B3201" w:rsidRPr="003F025D">
        <w:rPr>
          <w:b/>
        </w:rPr>
        <w:t xml:space="preserve">he current status of </w:t>
      </w:r>
      <w:r w:rsidR="00FF159E">
        <w:rPr>
          <w:b/>
        </w:rPr>
        <w:t xml:space="preserve">information on </w:t>
      </w:r>
      <w:r w:rsidR="001B3201" w:rsidRPr="003F025D">
        <w:rPr>
          <w:b/>
        </w:rPr>
        <w:t>the electricity sector and the sector institutions suggests that</w:t>
      </w:r>
      <w:r w:rsidR="00FF159E">
        <w:rPr>
          <w:b/>
        </w:rPr>
        <w:t xml:space="preserve"> </w:t>
      </w:r>
      <w:r w:rsidR="001B3201" w:rsidRPr="003F025D">
        <w:rPr>
          <w:b/>
        </w:rPr>
        <w:t>interventions</w:t>
      </w:r>
      <w:r w:rsidR="00FF159E">
        <w:rPr>
          <w:b/>
        </w:rPr>
        <w:t xml:space="preserve"> </w:t>
      </w:r>
      <w:r w:rsidR="001B3201" w:rsidRPr="003F025D">
        <w:rPr>
          <w:b/>
        </w:rPr>
        <w:t xml:space="preserve">to restore access to affordable electricity should </w:t>
      </w:r>
      <w:r>
        <w:rPr>
          <w:b/>
        </w:rPr>
        <w:t>be prioritized as follows:</w:t>
      </w:r>
    </w:p>
    <w:p w:rsidR="004049A3" w:rsidRDefault="004049A3" w:rsidP="007C5949">
      <w:pPr>
        <w:pStyle w:val="ListParagraph"/>
        <w:numPr>
          <w:ilvl w:val="1"/>
          <w:numId w:val="26"/>
        </w:numPr>
      </w:pPr>
      <w:r w:rsidRPr="004049A3">
        <w:rPr>
          <w:b/>
          <w:i/>
        </w:rPr>
        <w:t>Immediate term (3 months</w:t>
      </w:r>
      <w:r>
        <w:rPr>
          <w:b/>
          <w:i/>
        </w:rPr>
        <w:t xml:space="preserve"> </w:t>
      </w:r>
      <w:r w:rsidR="00C825CF">
        <w:rPr>
          <w:b/>
          <w:i/>
        </w:rPr>
        <w:t>and</w:t>
      </w:r>
      <w:r>
        <w:rPr>
          <w:b/>
          <w:i/>
        </w:rPr>
        <w:t xml:space="preserve"> more</w:t>
      </w:r>
      <w:r w:rsidRPr="004049A3">
        <w:rPr>
          <w:b/>
          <w:i/>
        </w:rPr>
        <w:t>):</w:t>
      </w:r>
      <w:r>
        <w:t xml:space="preserve">  Expand access to privately-supplied, distributed energy services, especially solar; Restore electricity services to critical facilities in health, water and agriculture sectors, even if rudimentary</w:t>
      </w:r>
    </w:p>
    <w:p w:rsidR="004049A3" w:rsidRDefault="004049A3" w:rsidP="00862200">
      <w:pPr>
        <w:pStyle w:val="ListParagraph"/>
        <w:numPr>
          <w:ilvl w:val="1"/>
          <w:numId w:val="26"/>
        </w:numPr>
      </w:pPr>
      <w:r w:rsidRPr="004049A3">
        <w:rPr>
          <w:b/>
          <w:i/>
        </w:rPr>
        <w:t>Short term (1 yea</w:t>
      </w:r>
      <w:r>
        <w:rPr>
          <w:b/>
          <w:i/>
        </w:rPr>
        <w:t xml:space="preserve">r </w:t>
      </w:r>
      <w:r w:rsidR="00C825CF">
        <w:rPr>
          <w:b/>
          <w:i/>
        </w:rPr>
        <w:t>and</w:t>
      </w:r>
      <w:r>
        <w:rPr>
          <w:b/>
          <w:i/>
        </w:rPr>
        <w:t xml:space="preserve"> more</w:t>
      </w:r>
      <w:r w:rsidRPr="004049A3">
        <w:rPr>
          <w:b/>
          <w:i/>
        </w:rPr>
        <w:t xml:space="preserve">):  </w:t>
      </w:r>
      <w:r>
        <w:t>R</w:t>
      </w:r>
      <w:r w:rsidRPr="004049A3">
        <w:t>estore</w:t>
      </w:r>
      <w:r>
        <w:t xml:space="preserve"> public electricity supply in selected urban grids; Strengthen capacity of public institutions on a municipal/regional level to provide electricity services</w:t>
      </w:r>
    </w:p>
    <w:p w:rsidR="004049A3" w:rsidRDefault="004049A3" w:rsidP="00EB4D85">
      <w:pPr>
        <w:pStyle w:val="ListParagraph"/>
        <w:numPr>
          <w:ilvl w:val="1"/>
          <w:numId w:val="26"/>
        </w:numPr>
      </w:pPr>
      <w:r w:rsidRPr="004049A3">
        <w:rPr>
          <w:b/>
          <w:i/>
        </w:rPr>
        <w:t>Medium term (5 year</w:t>
      </w:r>
      <w:r w:rsidR="00C825CF">
        <w:rPr>
          <w:b/>
          <w:i/>
        </w:rPr>
        <w:t>s and more</w:t>
      </w:r>
      <w:r w:rsidRPr="004049A3">
        <w:rPr>
          <w:b/>
          <w:i/>
        </w:rPr>
        <w:t xml:space="preserve">):  </w:t>
      </w:r>
      <w:r>
        <w:t>Restore functionality of national grid; Strengthen capacity of national electricity sector institutions, including the Public Electricity Company, to provide electricity services.</w:t>
      </w:r>
    </w:p>
    <w:p w:rsidR="004049A3" w:rsidRDefault="004049A3" w:rsidP="002103B7">
      <w:pPr>
        <w:pStyle w:val="ListParagraph"/>
      </w:pPr>
      <w:r w:rsidRPr="004049A3">
        <w:rPr>
          <w:b/>
        </w:rPr>
        <w:t xml:space="preserve">The proposed priorities represent sequential steps the electricity system is re-built from the bottom up, both technically and institutionally. </w:t>
      </w:r>
      <w:r>
        <w:rPr>
          <w:b/>
        </w:rPr>
        <w:t xml:space="preserve"> </w:t>
      </w:r>
      <w:r>
        <w:t>Physically, the approach would prioritize in the immediate term technical solutions that already work on the ground (solar) and then move to increasingly ambitious solutions (from small off-grid systems, to urban/regional grids, to a national grid).  This approach is based on the evidence about the current state of the infrastructure (mostly small off-grid systems and some public supply within sub-national grids), which will take time to rebuild.  Institutionally, the priority would be to focus in the immediate term on the supply chains that have emerged as coping mechanisms during the conflict and only gradually move towards institutionally more difficult solutions: i.e., moving from (i) working with the current bottom-up, private-sector driven solution gradually towards (ii) involving municipal a</w:t>
      </w:r>
      <w:r w:rsidR="00BF1E21">
        <w:t xml:space="preserve">nd regional public authorities </w:t>
      </w:r>
      <w:r>
        <w:t>and eventually (iii) working w</w:t>
      </w:r>
      <w:r w:rsidR="004E3CED">
        <w:t xml:space="preserve">ith the national </w:t>
      </w:r>
      <w:r w:rsidR="00BF1E21">
        <w:t xml:space="preserve">public </w:t>
      </w:r>
      <w:r w:rsidR="004E3CED">
        <w:t>utility (PEC).</w:t>
      </w:r>
    </w:p>
    <w:p w:rsidR="00E5174F" w:rsidRDefault="00E5174F" w:rsidP="00505935">
      <w:pPr>
        <w:pStyle w:val="ListParagraph"/>
        <w:rPr>
          <w:b/>
          <w:i/>
          <w:shd w:val="clear" w:color="auto" w:fill="FFFFFF"/>
        </w:rPr>
        <w:sectPr w:rsidR="00E5174F" w:rsidSect="00C92D13">
          <w:footerReference w:type="default" r:id="rId12"/>
          <w:pgSz w:w="12240" w:h="15840"/>
          <w:pgMar w:top="1440" w:right="1440" w:bottom="1440" w:left="1440" w:header="720" w:footer="720" w:gutter="0"/>
          <w:pgNumType w:start="1"/>
          <w:cols w:space="720"/>
          <w:titlePg/>
          <w:docGrid w:linePitch="360"/>
        </w:sectPr>
      </w:pPr>
      <w:r w:rsidRPr="00F348C0">
        <w:rPr>
          <w:b/>
        </w:rPr>
        <w:t xml:space="preserve">The proposed priorities and sequencing are underpinned by </w:t>
      </w:r>
      <w:r w:rsidR="00F348C0" w:rsidRPr="00F348C0">
        <w:rPr>
          <w:b/>
        </w:rPr>
        <w:t>a</w:t>
      </w:r>
      <w:r w:rsidR="00BF1E21" w:rsidRPr="00F348C0">
        <w:rPr>
          <w:b/>
        </w:rPr>
        <w:t xml:space="preserve"> </w:t>
      </w:r>
      <w:r w:rsidRPr="00F348C0">
        <w:rPr>
          <w:b/>
        </w:rPr>
        <w:t>vi</w:t>
      </w:r>
      <w:r w:rsidR="00BF1E21" w:rsidRPr="00F348C0">
        <w:rPr>
          <w:b/>
        </w:rPr>
        <w:t>sion for</w:t>
      </w:r>
      <w:r w:rsidR="00F348C0" w:rsidRPr="00F348C0">
        <w:rPr>
          <w:b/>
        </w:rPr>
        <w:t xml:space="preserve"> Yemen’s power sector that involves a stronger role for the private sector and more decentralized service provision. </w:t>
      </w:r>
      <w:r w:rsidR="00F348C0">
        <w:rPr>
          <w:b/>
        </w:rPr>
        <w:t xml:space="preserve"> </w:t>
      </w:r>
      <w:r w:rsidR="001D1544" w:rsidRPr="001D1544">
        <w:t xml:space="preserve">Service delivery in Yemen’s power sector has traditionally been public-sector driven and centrally coordinated (see </w:t>
      </w:r>
      <w:r w:rsidR="001D1544" w:rsidRPr="001D1544">
        <w:fldChar w:fldCharType="begin"/>
      </w:r>
      <w:r w:rsidR="001D1544" w:rsidRPr="001D1544">
        <w:instrText xml:space="preserve"> REF _Ref482206455 \h </w:instrText>
      </w:r>
      <w:r w:rsidR="001D1544">
        <w:instrText xml:space="preserve"> \* MERGEFORMAT </w:instrText>
      </w:r>
      <w:r w:rsidR="001D1544" w:rsidRPr="001D1544">
        <w:fldChar w:fldCharType="separate"/>
      </w:r>
      <w:r w:rsidR="001D1544" w:rsidRPr="001D1544">
        <w:t xml:space="preserve">Figure </w:t>
      </w:r>
      <w:r w:rsidR="001D1544" w:rsidRPr="001D1544">
        <w:rPr>
          <w:noProof/>
        </w:rPr>
        <w:t>1</w:t>
      </w:r>
      <w:r w:rsidR="001D1544" w:rsidRPr="001D1544">
        <w:fldChar w:fldCharType="end"/>
      </w:r>
      <w:r w:rsidR="001D1544" w:rsidRPr="001D1544">
        <w:t xml:space="preserve"> for a stylized illustration).  The conflict has turned this picture upside down, as the population’s coping mechanisms are decentralized and to a significant extent driven by the private sector.</w:t>
      </w:r>
      <w:r w:rsidR="001D1544">
        <w:t xml:space="preserve">  </w:t>
      </w:r>
      <w:r w:rsidR="00C825CF" w:rsidRPr="00505935">
        <w:t>The proposed approach for reengagement would focus on strengthening the decentralized service delivery model</w:t>
      </w:r>
      <w:r w:rsidR="00505935" w:rsidRPr="00505935">
        <w:t>s</w:t>
      </w:r>
      <w:r w:rsidR="00C825CF" w:rsidRPr="00505935">
        <w:t xml:space="preserve"> that ha</w:t>
      </w:r>
      <w:r w:rsidR="00505935" w:rsidRPr="00505935">
        <w:t>ve</w:t>
      </w:r>
      <w:r w:rsidR="00C825CF" w:rsidRPr="00505935">
        <w:t xml:space="preserve"> emerged during the conflict</w:t>
      </w:r>
      <w:r w:rsidR="00505935">
        <w:t>, with a view to gradually complementing decentralized service supply with nation-wide service supply from PEC (</w:t>
      </w:r>
      <w:r w:rsidR="00505935" w:rsidRPr="001D1544">
        <w:fldChar w:fldCharType="begin"/>
      </w:r>
      <w:r w:rsidR="00505935" w:rsidRPr="001D1544">
        <w:instrText xml:space="preserve"> REF _Ref482206455 \h </w:instrText>
      </w:r>
      <w:r w:rsidR="00505935">
        <w:instrText xml:space="preserve"> \* MERGEFORMAT </w:instrText>
      </w:r>
      <w:r w:rsidR="00505935" w:rsidRPr="001D1544">
        <w:fldChar w:fldCharType="separate"/>
      </w:r>
      <w:r w:rsidR="00505935" w:rsidRPr="001D1544">
        <w:t xml:space="preserve">Figure </w:t>
      </w:r>
      <w:r w:rsidR="00505935" w:rsidRPr="001D1544">
        <w:rPr>
          <w:noProof/>
        </w:rPr>
        <w:t>1</w:t>
      </w:r>
      <w:r w:rsidR="00505935" w:rsidRPr="001D1544">
        <w:fldChar w:fldCharType="end"/>
      </w:r>
      <w:r w:rsidR="00505935">
        <w:t>c).</w:t>
      </w:r>
    </w:p>
    <w:p w:rsidR="00E5174F" w:rsidRDefault="00E5174F" w:rsidP="00E5174F">
      <w:pPr>
        <w:pStyle w:val="Caption"/>
      </w:pPr>
      <w:bookmarkStart w:id="9" w:name="_Ref482206455"/>
      <w:r>
        <w:lastRenderedPageBreak/>
        <w:t xml:space="preserve">Figure </w:t>
      </w:r>
      <w:r w:rsidR="002B625B">
        <w:fldChar w:fldCharType="begin"/>
      </w:r>
      <w:r w:rsidR="002B625B">
        <w:instrText xml:space="preserve"> SEQ Figure \* ARABIC </w:instrText>
      </w:r>
      <w:r w:rsidR="002B625B">
        <w:fldChar w:fldCharType="separate"/>
      </w:r>
      <w:r>
        <w:rPr>
          <w:noProof/>
        </w:rPr>
        <w:t>1</w:t>
      </w:r>
      <w:r w:rsidR="002B625B">
        <w:rPr>
          <w:noProof/>
        </w:rPr>
        <w:fldChar w:fldCharType="end"/>
      </w:r>
      <w:bookmarkEnd w:id="9"/>
      <w:r w:rsidR="00BF1E21">
        <w:t xml:space="preserve">: Service delivery channels in </w:t>
      </w:r>
      <w:r>
        <w:t>Yemen’s electric</w:t>
      </w:r>
      <w:bookmarkStart w:id="10" w:name="_GoBack"/>
      <w:bookmarkEnd w:id="10"/>
      <w:r>
        <w:t xml:space="preserve">ity sector.  </w:t>
      </w:r>
      <w:r w:rsidR="00BF1E21">
        <w:t>The proposed sector interventions in the immediate to medium-term would focus on strengthening t</w:t>
      </w:r>
      <w:r>
        <w:t xml:space="preserve">he </w:t>
      </w:r>
      <w:r w:rsidR="00BF1E21">
        <w:t>decentralized</w:t>
      </w:r>
      <w:r>
        <w:t xml:space="preserve"> service delivery model that has emerged during the conflict (marked in red in figure b).</w:t>
      </w:r>
    </w:p>
    <w:p w:rsidR="00E5174F" w:rsidRDefault="00E5174F" w:rsidP="00E5174F">
      <w:r w:rsidRPr="00775004">
        <w:rPr>
          <w:noProof/>
        </w:rPr>
        <w:drawing>
          <wp:inline distT="0" distB="0" distL="0" distR="0" wp14:anchorId="0DB189DA" wp14:editId="6F021CED">
            <wp:extent cx="9144000" cy="38154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0" cy="3815439"/>
                    </a:xfrm>
                    <a:prstGeom prst="rect">
                      <a:avLst/>
                    </a:prstGeom>
                    <a:noFill/>
                    <a:ln>
                      <a:noFill/>
                    </a:ln>
                  </pic:spPr>
                </pic:pic>
              </a:graphicData>
            </a:graphic>
          </wp:inline>
        </w:drawing>
      </w:r>
    </w:p>
    <w:p w:rsidR="00E5174F" w:rsidRPr="005C1059" w:rsidRDefault="00E5174F" w:rsidP="00E5174F">
      <w:pPr>
        <w:rPr>
          <w:bCs/>
          <w:i/>
          <w:sz w:val="18"/>
          <w:szCs w:val="18"/>
        </w:rPr>
      </w:pPr>
      <w:r w:rsidRPr="005C1059">
        <w:rPr>
          <w:bCs/>
          <w:i/>
          <w:sz w:val="18"/>
          <w:szCs w:val="18"/>
        </w:rPr>
        <w:t>Source: Authors</w:t>
      </w:r>
      <w:r>
        <w:rPr>
          <w:bCs/>
          <w:i/>
          <w:sz w:val="18"/>
          <w:szCs w:val="18"/>
        </w:rPr>
        <w:t>’ elaboration</w:t>
      </w:r>
      <w:r w:rsidRPr="005C1059">
        <w:rPr>
          <w:bCs/>
          <w:i/>
          <w:sz w:val="18"/>
          <w:szCs w:val="18"/>
        </w:rPr>
        <w:t>.</w:t>
      </w:r>
    </w:p>
    <w:p w:rsidR="00E5174F" w:rsidRDefault="00E5174F" w:rsidP="00E5174F">
      <w:pPr>
        <w:spacing w:after="160"/>
        <w:jc w:val="left"/>
        <w:rPr>
          <w:b/>
          <w:i/>
          <w:shd w:val="clear" w:color="auto" w:fill="FFFFFF"/>
        </w:rPr>
        <w:sectPr w:rsidR="00E5174F" w:rsidSect="008C7167">
          <w:pgSz w:w="15840" w:h="12240" w:orient="landscape"/>
          <w:pgMar w:top="1728" w:right="720" w:bottom="720" w:left="720" w:header="720" w:footer="720" w:gutter="0"/>
          <w:cols w:space="720"/>
          <w:docGrid w:linePitch="360"/>
        </w:sectPr>
      </w:pPr>
    </w:p>
    <w:p w:rsidR="00F348C0" w:rsidRDefault="00505935" w:rsidP="005517AD">
      <w:pPr>
        <w:pStyle w:val="ListParagraph"/>
      </w:pPr>
      <w:r w:rsidRPr="00505935">
        <w:rPr>
          <w:b/>
        </w:rPr>
        <w:lastRenderedPageBreak/>
        <w:t xml:space="preserve">Implementation of the immediate and medium-term priorities is proposed through two interventions supporting existing supply chains in the private sector (solar) and public sector (urban public grid supply). </w:t>
      </w:r>
      <w:r>
        <w:rPr>
          <w:b/>
        </w:rPr>
        <w:t xml:space="preserve"> </w:t>
      </w:r>
      <w:r w:rsidR="00F348C0" w:rsidRPr="00505935">
        <w:rPr>
          <w:i/>
        </w:rPr>
        <w:t>First</w:t>
      </w:r>
      <w:r w:rsidR="00F348C0">
        <w:t xml:space="preserve">, to expand access to solar energy for </w:t>
      </w:r>
      <w:r w:rsidR="00F348C0" w:rsidRPr="001B3201">
        <w:t>the rural and urban population</w:t>
      </w:r>
      <w:r w:rsidR="00F348C0">
        <w:t xml:space="preserve"> by levering the private sector supply chain that has emerged during the conflict.  Second, to </w:t>
      </w:r>
      <w:r w:rsidR="00F348C0" w:rsidRPr="001B3201">
        <w:t>provide fun</w:t>
      </w:r>
      <w:r w:rsidR="00F348C0">
        <w:t xml:space="preserve">ding and advice to what were the former regional offices of PEC (municipal level) </w:t>
      </w:r>
      <w:r w:rsidR="00F348C0" w:rsidRPr="001B3201">
        <w:t xml:space="preserve">to repair and reconstruct the heavily damaged </w:t>
      </w:r>
      <w:r w:rsidR="00F348C0">
        <w:t>urban</w:t>
      </w:r>
      <w:r w:rsidR="00F348C0" w:rsidRPr="001B3201">
        <w:t xml:space="preserve"> </w:t>
      </w:r>
      <w:r w:rsidR="003761EE">
        <w:t>electricity</w:t>
      </w:r>
      <w:r w:rsidR="00F348C0" w:rsidRPr="001B3201">
        <w:t xml:space="preserve"> </w:t>
      </w:r>
      <w:r w:rsidR="003761EE">
        <w:t>systems</w:t>
      </w:r>
      <w:r w:rsidR="00F348C0">
        <w:t xml:space="preserve">.  </w:t>
      </w:r>
      <w:r w:rsidR="00F348C0" w:rsidRPr="001B3201">
        <w:t>A strong emphasis would be on restoring the quality of public services such as street lighting, water pumping, telecommunications, government services, health, education, etc</w:t>
      </w:r>
      <w:r w:rsidR="00F348C0">
        <w:t>.</w:t>
      </w:r>
    </w:p>
    <w:p w:rsidR="004E3CED" w:rsidRDefault="004E3CED" w:rsidP="004E3CED">
      <w:pPr>
        <w:pStyle w:val="ListParagraph"/>
        <w:numPr>
          <w:ilvl w:val="0"/>
          <w:numId w:val="0"/>
        </w:numPr>
        <w:rPr>
          <w:b/>
          <w:i/>
          <w:shd w:val="clear" w:color="auto" w:fill="FFFFFF"/>
        </w:rPr>
      </w:pPr>
      <w:r>
        <w:rPr>
          <w:b/>
          <w:i/>
          <w:shd w:val="clear" w:color="auto" w:fill="FFFFFF"/>
        </w:rPr>
        <w:t>Expanding access to s</w:t>
      </w:r>
      <w:r w:rsidRPr="003F025D">
        <w:rPr>
          <w:b/>
          <w:i/>
          <w:shd w:val="clear" w:color="auto" w:fill="FFFFFF"/>
        </w:rPr>
        <w:t>olar power</w:t>
      </w:r>
      <w:r>
        <w:rPr>
          <w:b/>
          <w:i/>
          <w:shd w:val="clear" w:color="auto" w:fill="FFFFFF"/>
        </w:rPr>
        <w:t xml:space="preserve"> through the private-sector</w:t>
      </w:r>
    </w:p>
    <w:p w:rsidR="004E3CED" w:rsidRDefault="004E3CED" w:rsidP="008A631A">
      <w:pPr>
        <w:pStyle w:val="ListParagraph"/>
      </w:pPr>
      <w:r w:rsidRPr="008A631A">
        <w:rPr>
          <w:b/>
        </w:rPr>
        <w:t>Given the difficulties in developing new generation assets or expanding energy access over last decade, there is an opportunity to take advantage of the emerging solar supply chain to provide decentralized power under a model driven by local citizens and private sector.</w:t>
      </w:r>
      <w:r w:rsidRPr="004E3CED">
        <w:t xml:space="preserve">  </w:t>
      </w:r>
      <w:r w:rsidRPr="0075123B">
        <w:t>Distributed solar has been one of the few thriving industries in Yemen during the past two years and is a rare success story for the private sector in the conflict</w:t>
      </w:r>
      <w:r>
        <w:t xml:space="preserve">.  </w:t>
      </w:r>
      <w:r w:rsidRPr="0075123B">
        <w:t>However, access has been uneven, with most systems being owned by better-off households in urban areas.</w:t>
      </w:r>
    </w:p>
    <w:p w:rsidR="00505935" w:rsidRDefault="00505935" w:rsidP="007F5225">
      <w:pPr>
        <w:pStyle w:val="ListParagraph"/>
      </w:pPr>
      <w:r w:rsidRPr="00505935">
        <w:rPr>
          <w:b/>
        </w:rPr>
        <w:t>The intervention would aim to expand access to electricity to low-income households and providers of critical public services.</w:t>
      </w:r>
      <w:r>
        <w:t xml:space="preserve">  The first supported product range would be small-scale systems for low-income households.  These systems suffice for lighting, phone charging and a few simple appliances.  In other regions, the Bank has had good experiences with pre-selected and vetted suppliers and technical specifications.  The proposed project would aim to replicate this experience in Yemen.  The second supported product range would be slightly larger systems for providers of critical service providers. Only relatively few public service providers have so far adopted solar systems, with many relying on diesel despite the shortages of fuel. The proposed intervention would aim to use solar to expand electricity access for public services such as street lighting, water pumping, telecommunications, government services, health and education. Most of these would require slightly larger systems, either with larger batteries or designed as solar-diesel hybrids.</w:t>
      </w:r>
    </w:p>
    <w:p w:rsidR="00505935" w:rsidRDefault="00505935" w:rsidP="004448D6">
      <w:pPr>
        <w:pStyle w:val="ListParagraph"/>
      </w:pPr>
      <w:r w:rsidRPr="008278C9">
        <w:rPr>
          <w:b/>
        </w:rPr>
        <w:t xml:space="preserve">The project would provide funding to </w:t>
      </w:r>
      <w:r w:rsidR="008278C9" w:rsidRPr="008278C9">
        <w:rPr>
          <w:b/>
        </w:rPr>
        <w:t xml:space="preserve">the supply chain and </w:t>
      </w:r>
      <w:r w:rsidRPr="008278C9">
        <w:rPr>
          <w:b/>
        </w:rPr>
        <w:t xml:space="preserve">consumers through one or </w:t>
      </w:r>
      <w:r w:rsidR="008278C9" w:rsidRPr="008278C9">
        <w:rPr>
          <w:b/>
        </w:rPr>
        <w:t>several financial intermediaries</w:t>
      </w:r>
      <w:r w:rsidRPr="008278C9">
        <w:rPr>
          <w:b/>
        </w:rPr>
        <w:t>.</w:t>
      </w:r>
      <w:r w:rsidR="008278C9" w:rsidRPr="008278C9">
        <w:rPr>
          <w:b/>
        </w:rPr>
        <w:t xml:space="preserve"> </w:t>
      </w:r>
      <w:r w:rsidRPr="008278C9">
        <w:rPr>
          <w:b/>
        </w:rPr>
        <w:t xml:space="preserve"> </w:t>
      </w:r>
      <w:r>
        <w:t xml:space="preserve">The financial intermediaries would be selected from the commercial banks and NGOs that already provide financing for solar systems, including the CAC Bank, the Yemen International Bank, the Yemen Commercial Bank, the National Microfinance Foundation, the Alkurami Islamic Micro Finance, Azal Micro Finance and the Small and Micro Enterprises Development Fund (SEDF) (or other relevant international </w:t>
      </w:r>
      <w:r>
        <w:lastRenderedPageBreak/>
        <w:t>NGOs).</w:t>
      </w:r>
      <w:r w:rsidR="008278C9">
        <w:t xml:space="preserve">  </w:t>
      </w:r>
      <w:r>
        <w:t>Monitoring and evaluation (M&amp;E) would be arranged through a third party, such as a local or international NGO active in the targeted areas or a private contractor.</w:t>
      </w:r>
    </w:p>
    <w:p w:rsidR="004E3CED" w:rsidRPr="008278C9" w:rsidRDefault="004E3CED" w:rsidP="008C0142">
      <w:pPr>
        <w:pStyle w:val="ListParagraph"/>
        <w:rPr>
          <w:b/>
        </w:rPr>
      </w:pPr>
      <w:r w:rsidRPr="008278C9">
        <w:rPr>
          <w:b/>
        </w:rPr>
        <w:t>Expanding and sustaining access to solar power could be part of a “new social compact” in the electricity sector</w:t>
      </w:r>
      <w:r w:rsidR="008278C9" w:rsidRPr="008278C9">
        <w:rPr>
          <w:b/>
        </w:rPr>
        <w:t xml:space="preserve"> and </w:t>
      </w:r>
      <w:r w:rsidRPr="008278C9">
        <w:rPr>
          <w:b/>
        </w:rPr>
        <w:t xml:space="preserve">contribute to building more inclusive, bottom up service delivery driven by the private sector.  </w:t>
      </w:r>
      <w:r w:rsidRPr="0075123B">
        <w:t>Expanding distributed energy creates jobs, strengthen the private sector, provide a more resilient energy infrastructure and reduce the need for fuel import, refining and transport</w:t>
      </w:r>
      <w:r>
        <w:t xml:space="preserve">.  </w:t>
      </w:r>
      <w:r w:rsidRPr="0075123B">
        <w:t xml:space="preserve">It could also reduce costs: While electricity from distributed renewable energy sources would initially be </w:t>
      </w:r>
      <w:r w:rsidR="00F348C0" w:rsidRPr="0075123B">
        <w:t>costlier</w:t>
      </w:r>
      <w:r w:rsidRPr="0075123B">
        <w:t xml:space="preserve"> than </w:t>
      </w:r>
      <w:r w:rsidR="008278C9">
        <w:t>national</w:t>
      </w:r>
      <w:r w:rsidRPr="0075123B">
        <w:t xml:space="preserve"> grid-electricity tariffs in Yemen, it is more affordable than electricity from the informal system of diesel generators, which is the only real alternative for most people in low-access regions</w:t>
      </w:r>
      <w:r w:rsidR="008278C9">
        <w:t>.</w:t>
      </w:r>
    </w:p>
    <w:p w:rsidR="002305EE" w:rsidRPr="003F025D" w:rsidRDefault="002305EE" w:rsidP="002305EE">
      <w:pPr>
        <w:pStyle w:val="ListParagraph"/>
        <w:numPr>
          <w:ilvl w:val="0"/>
          <w:numId w:val="0"/>
        </w:numPr>
        <w:rPr>
          <w:b/>
          <w:i/>
        </w:rPr>
      </w:pPr>
      <w:r w:rsidRPr="003F025D">
        <w:rPr>
          <w:b/>
          <w:i/>
        </w:rPr>
        <w:t>Urban grid rehabilitation</w:t>
      </w:r>
      <w:r w:rsidR="004E3CED">
        <w:rPr>
          <w:b/>
          <w:i/>
        </w:rPr>
        <w:t xml:space="preserve"> through the public sector</w:t>
      </w:r>
    </w:p>
    <w:p w:rsidR="00CB49FF" w:rsidRPr="00335A5F" w:rsidRDefault="00CB49FF" w:rsidP="00CB49FF">
      <w:pPr>
        <w:pStyle w:val="ListParagraph"/>
        <w:rPr>
          <w:b/>
        </w:rPr>
      </w:pPr>
      <w:r w:rsidRPr="00996347">
        <w:rPr>
          <w:b/>
          <w:shd w:val="clear" w:color="auto" w:fill="FFFFFF"/>
        </w:rPr>
        <w:t>Many of the major transmission linkages in the country are damaged, suggesting that grid-based electricity supply has to be restored on a regional level first before moving to the national level</w:t>
      </w:r>
      <w:r w:rsidR="004049A3">
        <w:rPr>
          <w:b/>
          <w:shd w:val="clear" w:color="auto" w:fill="FFFFFF"/>
        </w:rPr>
        <w:t xml:space="preserve">.  </w:t>
      </w:r>
      <w:r w:rsidRPr="00335A5F">
        <w:t xml:space="preserve">Government reports </w:t>
      </w:r>
      <w:r>
        <w:t>indicate that all surveyed transmission lines in the country had suffered at least partial damage by October 2015</w:t>
      </w:r>
      <w:r w:rsidR="004049A3">
        <w:t xml:space="preserve">.  </w:t>
      </w:r>
      <w:r>
        <w:t>It is very likely that the situation has only deteriorated since then</w:t>
      </w:r>
      <w:r w:rsidR="004049A3">
        <w:t xml:space="preserve">.  </w:t>
      </w:r>
      <w:r>
        <w:t>Experience from the Power Sector Project suggests that restoring interregional transmission will require international contractors as local firms do not have enough capacity</w:t>
      </w:r>
      <w:r w:rsidR="004049A3">
        <w:t xml:space="preserve">.  </w:t>
      </w:r>
      <w:r>
        <w:t>These will be hesitant to return to Yemen even after peace is restored</w:t>
      </w:r>
      <w:r w:rsidR="004049A3">
        <w:t xml:space="preserve">.  </w:t>
      </w:r>
      <w:r>
        <w:t xml:space="preserve">The only </w:t>
      </w:r>
      <w:r w:rsidR="003761EE">
        <w:t>feasible</w:t>
      </w:r>
      <w:r>
        <w:t xml:space="preserve"> approach to restoring grid-based power supply may therefore be to start from municipal ‘island grids’ and then gradually expand the reach of supply through interconnections.</w:t>
      </w:r>
    </w:p>
    <w:p w:rsidR="00CB49FF" w:rsidRPr="0034126C" w:rsidRDefault="00CB49FF" w:rsidP="00CB49FF">
      <w:pPr>
        <w:pStyle w:val="ListParagraph"/>
        <w:rPr>
          <w:b/>
        </w:rPr>
      </w:pPr>
      <w:r w:rsidRPr="00996347">
        <w:rPr>
          <w:b/>
          <w:shd w:val="clear" w:color="auto" w:fill="FFFFFF"/>
        </w:rPr>
        <w:t xml:space="preserve">The DNA also points to severe damage to the urban </w:t>
      </w:r>
      <w:r w:rsidR="003761EE">
        <w:rPr>
          <w:b/>
          <w:shd w:val="clear" w:color="auto" w:fill="FFFFFF"/>
        </w:rPr>
        <w:t>electricity</w:t>
      </w:r>
      <w:r w:rsidRPr="00996347">
        <w:rPr>
          <w:b/>
          <w:shd w:val="clear" w:color="auto" w:fill="FFFFFF"/>
        </w:rPr>
        <w:t xml:space="preserve"> </w:t>
      </w:r>
      <w:r w:rsidR="003761EE">
        <w:rPr>
          <w:b/>
          <w:shd w:val="clear" w:color="auto" w:fill="FFFFFF"/>
        </w:rPr>
        <w:t>systems</w:t>
      </w:r>
      <w:r w:rsidRPr="00996347">
        <w:rPr>
          <w:b/>
          <w:shd w:val="clear" w:color="auto" w:fill="FFFFFF"/>
        </w:rPr>
        <w:t>, which</w:t>
      </w:r>
      <w:r w:rsidRPr="00996347">
        <w:rPr>
          <w:b/>
        </w:rPr>
        <w:t xml:space="preserve"> suggests </w:t>
      </w:r>
      <w:r w:rsidR="003761EE">
        <w:rPr>
          <w:b/>
        </w:rPr>
        <w:t>that</w:t>
      </w:r>
      <w:r w:rsidRPr="00996347">
        <w:rPr>
          <w:b/>
        </w:rPr>
        <w:t xml:space="preserve"> all major cities require significant </w:t>
      </w:r>
      <w:r w:rsidR="003761EE">
        <w:rPr>
          <w:b/>
        </w:rPr>
        <w:t xml:space="preserve">reconstruction and </w:t>
      </w:r>
      <w:r w:rsidRPr="00996347">
        <w:rPr>
          <w:b/>
        </w:rPr>
        <w:t>rehabilitation</w:t>
      </w:r>
      <w:r w:rsidR="003761EE">
        <w:rPr>
          <w:b/>
        </w:rPr>
        <w:t xml:space="preserve"> efforts</w:t>
      </w:r>
      <w:r w:rsidRPr="00996347">
        <w:rPr>
          <w:b/>
        </w:rPr>
        <w:t xml:space="preserve"> to restore urban power supply</w:t>
      </w:r>
      <w:r w:rsidR="004049A3">
        <w:rPr>
          <w:b/>
        </w:rPr>
        <w:t xml:space="preserve">.  </w:t>
      </w:r>
      <w:r w:rsidRPr="004D2752">
        <w:t xml:space="preserve">The DNA </w:t>
      </w:r>
      <w:r>
        <w:t xml:space="preserve">only </w:t>
      </w:r>
      <w:r w:rsidRPr="004D2752">
        <w:t>contains information on the status of the distribution substations in Aden, Taiz, and Sana’a</w:t>
      </w:r>
      <w:r>
        <w:t>, but this</w:t>
      </w:r>
      <w:r w:rsidRPr="004D2752">
        <w:t xml:space="preserve"> information offers insights into the status of the distribution grid overall</w:t>
      </w:r>
      <w:r w:rsidR="004049A3">
        <w:t xml:space="preserve">.  </w:t>
      </w:r>
      <w:r w:rsidRPr="004D2752">
        <w:t xml:space="preserve">In Aden, Taiz, and Sana’a, 25 percent, 50 percent, and </w:t>
      </w:r>
      <w:r>
        <w:t>37</w:t>
      </w:r>
      <w:r w:rsidRPr="004D2752">
        <w:t xml:space="preserve"> percent, respectively, of the surveyed distribution substations are known to have suffered partial or comp</w:t>
      </w:r>
      <w:r>
        <w:t>lete damage as of October 2015.</w:t>
      </w:r>
    </w:p>
    <w:p w:rsidR="00DA6567" w:rsidRDefault="00DA6567" w:rsidP="00DA6567">
      <w:pPr>
        <w:pStyle w:val="ListParagraph"/>
      </w:pPr>
      <w:r w:rsidRPr="00DA6567">
        <w:rPr>
          <w:b/>
        </w:rPr>
        <w:t xml:space="preserve">Municipal authorities </w:t>
      </w:r>
      <w:r w:rsidR="004049A3">
        <w:rPr>
          <w:b/>
        </w:rPr>
        <w:t>will</w:t>
      </w:r>
      <w:r w:rsidRPr="00DA6567">
        <w:rPr>
          <w:b/>
        </w:rPr>
        <w:t xml:space="preserve"> need material and equipment to rehabilitate the heavily damaged urban distribution networks</w:t>
      </w:r>
      <w:r w:rsidR="004049A3">
        <w:rPr>
          <w:b/>
        </w:rPr>
        <w:t xml:space="preserve">.  </w:t>
      </w:r>
      <w:r w:rsidR="004E3CED">
        <w:t>Providing these materials</w:t>
      </w:r>
      <w:r w:rsidRPr="0075123B">
        <w:t xml:space="preserve"> would allow grid-based electricity supply to be restored within specific parts of the country, as a precursor for a broader effort to restore supply across the transmission grid</w:t>
      </w:r>
      <w:r w:rsidR="004049A3">
        <w:t xml:space="preserve">.  </w:t>
      </w:r>
      <w:r w:rsidRPr="0075123B">
        <w:t xml:space="preserve">The focus </w:t>
      </w:r>
      <w:r>
        <w:t>sh</w:t>
      </w:r>
      <w:r w:rsidRPr="0075123B">
        <w:t>ould be on standardized grid components and material that can be procured rapidly</w:t>
      </w:r>
      <w:r w:rsidR="004049A3">
        <w:t xml:space="preserve">.  </w:t>
      </w:r>
      <w:r w:rsidRPr="0075123B">
        <w:t xml:space="preserve">Components to be supplied include but are not limited to (a) mobile, ‘plug and play’ 33/11 kV substations; (b) distributed generation sets, including solar-diesel hybrid systems; (c) overhead line hardware; (d) compact distribution transformers and low-voltage </w:t>
      </w:r>
      <w:r w:rsidRPr="0075123B">
        <w:lastRenderedPageBreak/>
        <w:t>substations; (e) switchgears, lighting arrestors, and fuses; and (f) aluminum and copper conductors</w:t>
      </w:r>
      <w:r w:rsidR="004049A3">
        <w:t xml:space="preserve">.  </w:t>
      </w:r>
      <w:r w:rsidRPr="0075123B">
        <w:t xml:space="preserve">In </w:t>
      </w:r>
      <w:r w:rsidR="004E3CED" w:rsidRPr="0075123B">
        <w:t>general,</w:t>
      </w:r>
      <w:r w:rsidRPr="0075123B">
        <w:t xml:space="preserve"> the</w:t>
      </w:r>
      <w:r>
        <w:t>se</w:t>
      </w:r>
      <w:r w:rsidRPr="0075123B">
        <w:t xml:space="preserve"> components are relatively easy to move around, as even the larger components such as substations are available in skid-mounted or containerized designs</w:t>
      </w:r>
      <w:r w:rsidR="004049A3">
        <w:t xml:space="preserve">.  </w:t>
      </w:r>
      <w:r w:rsidRPr="0075123B">
        <w:t>However, substations would still require relatively good roads to be supplied to the target destination</w:t>
      </w:r>
      <w:r w:rsidR="004049A3">
        <w:t xml:space="preserve">.  </w:t>
      </w:r>
      <w:r w:rsidRPr="0075123B">
        <w:t xml:space="preserve">Hence the focus </w:t>
      </w:r>
      <w:r>
        <w:t xml:space="preserve">in the short-term should be </w:t>
      </w:r>
      <w:r w:rsidRPr="0075123B">
        <w:t>on ports to facilitate rapid delivery of the material to the implementing agencies</w:t>
      </w:r>
      <w:r w:rsidR="004049A3">
        <w:t xml:space="preserve">.  </w:t>
      </w:r>
      <w:r w:rsidRPr="0075123B">
        <w:t>Yemen’s distribution grid is relatively standardized across the country, with most regions relying on 33/11 kV voltage levels.</w:t>
      </w:r>
    </w:p>
    <w:p w:rsidR="00DA6567" w:rsidRDefault="00DA6567" w:rsidP="00DA6567">
      <w:pPr>
        <w:pStyle w:val="ListParagraph"/>
      </w:pPr>
      <w:r w:rsidRPr="00DA6567">
        <w:rPr>
          <w:b/>
        </w:rPr>
        <w:t>A strong emphasis should be on restoring the electricity supply to critical public services such as street lighting, water pumping, telecommunications, government services, health and education</w:t>
      </w:r>
      <w:r w:rsidR="004049A3">
        <w:rPr>
          <w:b/>
        </w:rPr>
        <w:t xml:space="preserve">.  </w:t>
      </w:r>
      <w:r>
        <w:t>This would be achieved by prioritizing</w:t>
      </w:r>
      <w:r w:rsidRPr="0075123B">
        <w:t xml:space="preserve"> those districts and parts of the grid that offer the highest dividend in terms of restoring public services, e.g., circuits that connect hospitals or water infrastructure.</w:t>
      </w:r>
    </w:p>
    <w:p w:rsidR="00E5174F" w:rsidRDefault="00DA6567" w:rsidP="00E5174F">
      <w:pPr>
        <w:pStyle w:val="ListParagraph"/>
      </w:pPr>
      <w:r w:rsidRPr="0034126C">
        <w:rPr>
          <w:b/>
        </w:rPr>
        <w:t>Strengthening service delivery on a municipal level would contribute to a more decentralized service delivery model and build capacity that is critical for the reconstruction phase</w:t>
      </w:r>
      <w:r w:rsidR="004049A3">
        <w:rPr>
          <w:b/>
        </w:rPr>
        <w:t xml:space="preserve">.  </w:t>
      </w:r>
      <w:r w:rsidRPr="0075123B">
        <w:t>Yemen’s authorities have struggled for decades to expand energy access through the expansion of the national grid, and recurring conflicts have repeatedly set back whatever small progress was being made</w:t>
      </w:r>
      <w:r w:rsidR="004049A3">
        <w:t xml:space="preserve">.  </w:t>
      </w:r>
      <w:r w:rsidRPr="0075123B">
        <w:t xml:space="preserve">A protracted conflict would mean that a centralized, nation-wide electricity grid is a distant prospect and electricity supply would for a foreseeable future be provided through a mix of private sector driven distributed energy, in particular solar and diesel, and smaller ‘island’ grids in urban population centers that are operated by what are now the regional units of </w:t>
      </w:r>
      <w:r w:rsidR="00885470">
        <w:t>PEC</w:t>
      </w:r>
      <w:r w:rsidRPr="0075123B">
        <w:t xml:space="preserve"> Strengthening the service delivery capacity of these units—both technically and institutionally—will be critical to restore electricity</w:t>
      </w:r>
      <w:r>
        <w:t xml:space="preserve"> supply over the coming years.</w:t>
      </w:r>
    </w:p>
    <w:p w:rsidR="00E5174F" w:rsidRDefault="00E5174F">
      <w:pPr>
        <w:spacing w:after="160"/>
        <w:jc w:val="left"/>
      </w:pPr>
      <w:r>
        <w:br w:type="page"/>
      </w:r>
    </w:p>
    <w:p w:rsidR="0075123B" w:rsidRDefault="00404AD9" w:rsidP="00E5174F">
      <w:pPr>
        <w:pStyle w:val="Headingwithoutnumber"/>
      </w:pPr>
      <w:bookmarkStart w:id="11" w:name="_Toc484160736"/>
      <w:r>
        <w:lastRenderedPageBreak/>
        <w:t>References</w:t>
      </w:r>
      <w:bookmarkEnd w:id="11"/>
    </w:p>
    <w:p w:rsidR="00065386" w:rsidRPr="00065386" w:rsidRDefault="00A66AE9" w:rsidP="00065386">
      <w:pPr>
        <w:widowControl w:val="0"/>
        <w:autoSpaceDE w:val="0"/>
        <w:autoSpaceDN w:val="0"/>
        <w:adjustRightInd w:val="0"/>
        <w:spacing w:before="240" w:after="240" w:line="240" w:lineRule="auto"/>
        <w:ind w:left="480" w:hanging="480"/>
        <w:rPr>
          <w:rFonts w:ascii="Calibri" w:hAnsi="Calibri"/>
          <w:noProof/>
        </w:rPr>
      </w:pPr>
      <w:r>
        <w:fldChar w:fldCharType="begin" w:fldLock="1"/>
      </w:r>
      <w:r>
        <w:instrText xml:space="preserve">ADDIN Mendeley Bibliography CSL_BIBLIOGRAPHY </w:instrText>
      </w:r>
      <w:r>
        <w:fldChar w:fldCharType="separate"/>
      </w:r>
      <w:r w:rsidR="00065386" w:rsidRPr="00065386">
        <w:rPr>
          <w:rFonts w:ascii="Calibri" w:hAnsi="Calibri"/>
          <w:noProof/>
        </w:rPr>
        <w:t>MOPIC, 2016</w:t>
      </w:r>
      <w:r w:rsidR="004049A3">
        <w:rPr>
          <w:rFonts w:ascii="Calibri" w:hAnsi="Calibri"/>
          <w:noProof/>
        </w:rPr>
        <w:t xml:space="preserve">.  </w:t>
      </w:r>
      <w:r w:rsidR="00065386" w:rsidRPr="00065386">
        <w:rPr>
          <w:rFonts w:ascii="Calibri" w:hAnsi="Calibri"/>
          <w:noProof/>
        </w:rPr>
        <w:t>Yemen Socio-Economic Update Issue 14, May 2016: Oil Sector Recovery in Yemen Urgently Needed</w:t>
      </w:r>
      <w:r w:rsidR="004049A3">
        <w:rPr>
          <w:rFonts w:ascii="Calibri" w:hAnsi="Calibri"/>
          <w:noProof/>
        </w:rPr>
        <w:t xml:space="preserve">.  </w:t>
      </w:r>
      <w:r w:rsidR="00065386" w:rsidRPr="00065386">
        <w:rPr>
          <w:rFonts w:ascii="Calibri" w:hAnsi="Calibri"/>
          <w:noProof/>
        </w:rPr>
        <w:t>Ministry of Planning &amp; International Cooperation (MOPIC), Sana’a, Yemen.</w:t>
      </w:r>
    </w:p>
    <w:p w:rsidR="00065386" w:rsidRPr="00065386" w:rsidRDefault="00065386" w:rsidP="00065386">
      <w:pPr>
        <w:widowControl w:val="0"/>
        <w:autoSpaceDE w:val="0"/>
        <w:autoSpaceDN w:val="0"/>
        <w:adjustRightInd w:val="0"/>
        <w:spacing w:before="240" w:after="240" w:line="240" w:lineRule="auto"/>
        <w:ind w:left="480" w:hanging="480"/>
        <w:rPr>
          <w:rFonts w:ascii="Calibri" w:hAnsi="Calibri"/>
          <w:noProof/>
        </w:rPr>
      </w:pPr>
      <w:r w:rsidRPr="00065386">
        <w:rPr>
          <w:rFonts w:ascii="Calibri" w:hAnsi="Calibri"/>
          <w:noProof/>
        </w:rPr>
        <w:t>PEC, 2015</w:t>
      </w:r>
      <w:r w:rsidR="004049A3">
        <w:rPr>
          <w:rFonts w:ascii="Calibri" w:hAnsi="Calibri"/>
          <w:noProof/>
        </w:rPr>
        <w:t xml:space="preserve">.  </w:t>
      </w:r>
      <w:r w:rsidRPr="00065386">
        <w:rPr>
          <w:rFonts w:ascii="Calibri" w:hAnsi="Calibri"/>
          <w:noProof/>
        </w:rPr>
        <w:t>Report on Damages to Power Grid Caused by 2015 Crisis</w:t>
      </w:r>
      <w:r w:rsidR="004049A3">
        <w:rPr>
          <w:rFonts w:ascii="Calibri" w:hAnsi="Calibri"/>
          <w:noProof/>
        </w:rPr>
        <w:t xml:space="preserve">.  </w:t>
      </w:r>
      <w:r w:rsidRPr="00065386">
        <w:rPr>
          <w:rFonts w:ascii="Calibri" w:hAnsi="Calibri"/>
          <w:noProof/>
        </w:rPr>
        <w:t>Public Electricity Company (PEC) - Republic of Yemen, Sana’a, Yemen.</w:t>
      </w:r>
    </w:p>
    <w:p w:rsidR="00065386" w:rsidRPr="00065386" w:rsidRDefault="00065386" w:rsidP="00065386">
      <w:pPr>
        <w:widowControl w:val="0"/>
        <w:autoSpaceDE w:val="0"/>
        <w:autoSpaceDN w:val="0"/>
        <w:adjustRightInd w:val="0"/>
        <w:spacing w:before="240" w:after="240" w:line="240" w:lineRule="auto"/>
        <w:ind w:left="480" w:hanging="480"/>
        <w:rPr>
          <w:rFonts w:ascii="Calibri" w:hAnsi="Calibri"/>
          <w:noProof/>
        </w:rPr>
      </w:pPr>
      <w:r w:rsidRPr="00065386">
        <w:rPr>
          <w:rFonts w:ascii="Calibri" w:hAnsi="Calibri"/>
          <w:noProof/>
        </w:rPr>
        <w:t>RCREEE, 2017</w:t>
      </w:r>
      <w:r w:rsidR="004049A3">
        <w:rPr>
          <w:rFonts w:ascii="Calibri" w:hAnsi="Calibri"/>
          <w:noProof/>
        </w:rPr>
        <w:t xml:space="preserve">.  </w:t>
      </w:r>
      <w:r w:rsidRPr="00065386">
        <w:rPr>
          <w:rFonts w:ascii="Calibri" w:hAnsi="Calibri"/>
          <w:noProof/>
        </w:rPr>
        <w:t>Assessment of the Status of Solar PV in Yemen (Phase II): Unpublished Report</w:t>
      </w:r>
      <w:r w:rsidR="004049A3">
        <w:rPr>
          <w:rFonts w:ascii="Calibri" w:hAnsi="Calibri"/>
          <w:noProof/>
        </w:rPr>
        <w:t xml:space="preserve">.  </w:t>
      </w:r>
      <w:r w:rsidRPr="00065386">
        <w:rPr>
          <w:rFonts w:ascii="Calibri" w:hAnsi="Calibri"/>
          <w:noProof/>
        </w:rPr>
        <w:t>Regional Centre for Renewable Energy and Energy Efficiency (RCREEE), Cairo, Egypt.</w:t>
      </w:r>
    </w:p>
    <w:p w:rsidR="00065386" w:rsidRPr="00065386" w:rsidRDefault="00065386" w:rsidP="00065386">
      <w:pPr>
        <w:widowControl w:val="0"/>
        <w:autoSpaceDE w:val="0"/>
        <w:autoSpaceDN w:val="0"/>
        <w:adjustRightInd w:val="0"/>
        <w:spacing w:before="240" w:after="240" w:line="240" w:lineRule="auto"/>
        <w:ind w:left="480" w:hanging="480"/>
        <w:rPr>
          <w:rFonts w:ascii="Calibri" w:hAnsi="Calibri"/>
          <w:noProof/>
        </w:rPr>
      </w:pPr>
      <w:r w:rsidRPr="00065386">
        <w:rPr>
          <w:rFonts w:ascii="Calibri" w:hAnsi="Calibri"/>
          <w:noProof/>
        </w:rPr>
        <w:t>RCREEE, 2016</w:t>
      </w:r>
      <w:r w:rsidR="004049A3">
        <w:rPr>
          <w:rFonts w:ascii="Calibri" w:hAnsi="Calibri"/>
          <w:noProof/>
        </w:rPr>
        <w:t xml:space="preserve">.  </w:t>
      </w:r>
      <w:r w:rsidRPr="00065386">
        <w:rPr>
          <w:rFonts w:ascii="Calibri" w:hAnsi="Calibri"/>
          <w:noProof/>
        </w:rPr>
        <w:t>Assessment of the Status of Solar PV in Yemen (Phase I): Unpublished Report</w:t>
      </w:r>
      <w:r w:rsidR="004049A3">
        <w:rPr>
          <w:rFonts w:ascii="Calibri" w:hAnsi="Calibri"/>
          <w:noProof/>
        </w:rPr>
        <w:t xml:space="preserve">.  </w:t>
      </w:r>
      <w:r w:rsidRPr="00065386">
        <w:rPr>
          <w:rFonts w:ascii="Calibri" w:hAnsi="Calibri"/>
          <w:noProof/>
        </w:rPr>
        <w:t>Regional Centre for Renewable Energy and Energy Efficiency (RCREEE), Cairo, Egypt.</w:t>
      </w:r>
    </w:p>
    <w:p w:rsidR="00065386" w:rsidRPr="00065386" w:rsidRDefault="00065386" w:rsidP="00065386">
      <w:pPr>
        <w:widowControl w:val="0"/>
        <w:autoSpaceDE w:val="0"/>
        <w:autoSpaceDN w:val="0"/>
        <w:adjustRightInd w:val="0"/>
        <w:spacing w:before="240" w:after="240" w:line="240" w:lineRule="auto"/>
        <w:ind w:left="480" w:hanging="480"/>
        <w:rPr>
          <w:rFonts w:ascii="Calibri" w:hAnsi="Calibri"/>
          <w:noProof/>
        </w:rPr>
      </w:pPr>
      <w:r w:rsidRPr="00065386">
        <w:rPr>
          <w:rFonts w:ascii="Calibri" w:hAnsi="Calibri"/>
          <w:noProof/>
        </w:rPr>
        <w:t>The World Bank, 2016a</w:t>
      </w:r>
      <w:r w:rsidR="004049A3">
        <w:rPr>
          <w:rFonts w:ascii="Calibri" w:hAnsi="Calibri"/>
          <w:noProof/>
        </w:rPr>
        <w:t xml:space="preserve">.  </w:t>
      </w:r>
      <w:r w:rsidRPr="00065386">
        <w:rPr>
          <w:rFonts w:ascii="Calibri" w:hAnsi="Calibri"/>
          <w:noProof/>
        </w:rPr>
        <w:t>Yemen Dynamic Damage and Needs Assessment (DNA): First Phase Report</w:t>
      </w:r>
      <w:r w:rsidR="004049A3">
        <w:rPr>
          <w:rFonts w:ascii="Calibri" w:hAnsi="Calibri"/>
          <w:noProof/>
        </w:rPr>
        <w:t xml:space="preserve">.  </w:t>
      </w:r>
      <w:r w:rsidRPr="00065386">
        <w:rPr>
          <w:rFonts w:ascii="Calibri" w:hAnsi="Calibri"/>
          <w:noProof/>
        </w:rPr>
        <w:t>The World Bank, Washington, DC.</w:t>
      </w:r>
    </w:p>
    <w:p w:rsidR="00065386" w:rsidRPr="00065386" w:rsidRDefault="00065386" w:rsidP="00065386">
      <w:pPr>
        <w:widowControl w:val="0"/>
        <w:autoSpaceDE w:val="0"/>
        <w:autoSpaceDN w:val="0"/>
        <w:adjustRightInd w:val="0"/>
        <w:spacing w:before="240" w:after="240" w:line="240" w:lineRule="auto"/>
        <w:ind w:left="480" w:hanging="480"/>
        <w:rPr>
          <w:rFonts w:ascii="Calibri" w:hAnsi="Calibri"/>
          <w:noProof/>
        </w:rPr>
      </w:pPr>
      <w:r w:rsidRPr="00065386">
        <w:rPr>
          <w:rFonts w:ascii="Calibri" w:hAnsi="Calibri"/>
          <w:noProof/>
        </w:rPr>
        <w:t>The World Bank, 2016b</w:t>
      </w:r>
      <w:r w:rsidR="004049A3">
        <w:rPr>
          <w:rFonts w:ascii="Calibri" w:hAnsi="Calibri"/>
          <w:noProof/>
        </w:rPr>
        <w:t xml:space="preserve">.  </w:t>
      </w:r>
      <w:r w:rsidRPr="00065386">
        <w:rPr>
          <w:rFonts w:ascii="Calibri" w:hAnsi="Calibri"/>
          <w:noProof/>
        </w:rPr>
        <w:t>The Republic of Yemen: Completion and Learning Review FY2009-FY2014</w:t>
      </w:r>
      <w:r w:rsidR="004049A3">
        <w:rPr>
          <w:rFonts w:ascii="Calibri" w:hAnsi="Calibri"/>
          <w:noProof/>
        </w:rPr>
        <w:t xml:space="preserve">.  </w:t>
      </w:r>
      <w:r w:rsidRPr="00065386">
        <w:rPr>
          <w:rFonts w:ascii="Calibri" w:hAnsi="Calibri"/>
          <w:noProof/>
        </w:rPr>
        <w:t>The World Bank, Washington, DC.</w:t>
      </w:r>
    </w:p>
    <w:p w:rsidR="00065386" w:rsidRPr="00065386" w:rsidRDefault="00065386" w:rsidP="00065386">
      <w:pPr>
        <w:widowControl w:val="0"/>
        <w:autoSpaceDE w:val="0"/>
        <w:autoSpaceDN w:val="0"/>
        <w:adjustRightInd w:val="0"/>
        <w:spacing w:before="240" w:after="240" w:line="240" w:lineRule="auto"/>
        <w:ind w:left="480" w:hanging="480"/>
        <w:rPr>
          <w:rFonts w:ascii="Calibri" w:hAnsi="Calibri"/>
          <w:noProof/>
        </w:rPr>
      </w:pPr>
      <w:r w:rsidRPr="00065386">
        <w:rPr>
          <w:rFonts w:ascii="Calibri" w:hAnsi="Calibri"/>
          <w:noProof/>
        </w:rPr>
        <w:t>The World Bank, 2016c</w:t>
      </w:r>
      <w:r w:rsidR="004049A3">
        <w:rPr>
          <w:rFonts w:ascii="Calibri" w:hAnsi="Calibri"/>
          <w:noProof/>
        </w:rPr>
        <w:t xml:space="preserve">.  </w:t>
      </w:r>
      <w:r w:rsidRPr="00065386">
        <w:rPr>
          <w:rFonts w:ascii="Calibri" w:hAnsi="Calibri"/>
          <w:noProof/>
        </w:rPr>
        <w:t>RY: Power Sector Project - Implementation Completion Report</w:t>
      </w:r>
      <w:r w:rsidR="004049A3">
        <w:rPr>
          <w:rFonts w:ascii="Calibri" w:hAnsi="Calibri"/>
          <w:noProof/>
        </w:rPr>
        <w:t xml:space="preserve">.  </w:t>
      </w:r>
      <w:r w:rsidRPr="00065386">
        <w:rPr>
          <w:rFonts w:ascii="Calibri" w:hAnsi="Calibri"/>
          <w:noProof/>
        </w:rPr>
        <w:t>The World Bank, Washington, DC</w:t>
      </w:r>
      <w:r w:rsidR="004049A3">
        <w:rPr>
          <w:rFonts w:ascii="Calibri" w:hAnsi="Calibri"/>
          <w:noProof/>
        </w:rPr>
        <w:t xml:space="preserve">.  </w:t>
      </w:r>
      <w:r w:rsidRPr="00065386">
        <w:rPr>
          <w:rFonts w:ascii="Calibri" w:hAnsi="Calibri"/>
          <w:noProof/>
        </w:rPr>
        <w:t>doi:10.1179/136485908X337463</w:t>
      </w:r>
    </w:p>
    <w:p w:rsidR="00065386" w:rsidRPr="00065386" w:rsidRDefault="00065386" w:rsidP="00065386">
      <w:pPr>
        <w:widowControl w:val="0"/>
        <w:autoSpaceDE w:val="0"/>
        <w:autoSpaceDN w:val="0"/>
        <w:adjustRightInd w:val="0"/>
        <w:spacing w:before="240" w:after="240" w:line="240" w:lineRule="auto"/>
        <w:ind w:left="480" w:hanging="480"/>
        <w:rPr>
          <w:rFonts w:ascii="Calibri" w:hAnsi="Calibri"/>
          <w:noProof/>
        </w:rPr>
      </w:pPr>
      <w:r w:rsidRPr="00065386">
        <w:rPr>
          <w:rFonts w:ascii="Calibri" w:hAnsi="Calibri"/>
          <w:noProof/>
        </w:rPr>
        <w:t>The World Bank, 2014</w:t>
      </w:r>
      <w:r w:rsidR="004049A3">
        <w:rPr>
          <w:rFonts w:ascii="Calibri" w:hAnsi="Calibri"/>
          <w:noProof/>
        </w:rPr>
        <w:t xml:space="preserve">.  </w:t>
      </w:r>
      <w:r w:rsidRPr="00065386">
        <w:rPr>
          <w:rFonts w:ascii="Calibri" w:hAnsi="Calibri"/>
          <w:noProof/>
        </w:rPr>
        <w:t>RY: Mocha Wind Park Project - Project Appraisal Document</w:t>
      </w:r>
      <w:r w:rsidR="004049A3">
        <w:rPr>
          <w:rFonts w:ascii="Calibri" w:hAnsi="Calibri"/>
          <w:noProof/>
        </w:rPr>
        <w:t xml:space="preserve">.  </w:t>
      </w:r>
      <w:r w:rsidRPr="00065386">
        <w:rPr>
          <w:rFonts w:ascii="Calibri" w:hAnsi="Calibri"/>
          <w:noProof/>
        </w:rPr>
        <w:t>The World Bank, Washington, DC.</w:t>
      </w:r>
    </w:p>
    <w:p w:rsidR="00065386" w:rsidRPr="00065386" w:rsidRDefault="00065386" w:rsidP="00065386">
      <w:pPr>
        <w:widowControl w:val="0"/>
        <w:autoSpaceDE w:val="0"/>
        <w:autoSpaceDN w:val="0"/>
        <w:adjustRightInd w:val="0"/>
        <w:spacing w:before="240" w:after="240" w:line="240" w:lineRule="auto"/>
        <w:ind w:left="480" w:hanging="480"/>
        <w:rPr>
          <w:rFonts w:ascii="Calibri" w:hAnsi="Calibri"/>
          <w:noProof/>
        </w:rPr>
      </w:pPr>
      <w:r w:rsidRPr="00065386">
        <w:rPr>
          <w:rFonts w:ascii="Calibri" w:hAnsi="Calibri"/>
          <w:noProof/>
        </w:rPr>
        <w:t>The World Bank, 2013</w:t>
      </w:r>
      <w:r w:rsidR="004049A3">
        <w:rPr>
          <w:rFonts w:ascii="Calibri" w:hAnsi="Calibri"/>
          <w:noProof/>
        </w:rPr>
        <w:t xml:space="preserve">.  </w:t>
      </w:r>
      <w:r w:rsidRPr="00065386">
        <w:rPr>
          <w:rFonts w:ascii="Calibri" w:hAnsi="Calibri"/>
          <w:noProof/>
        </w:rPr>
        <w:t>Yemen Power Sector Reform Strategy: Towards Improved Performance and Financial Sustainability Executive</w:t>
      </w:r>
      <w:r w:rsidR="004049A3">
        <w:rPr>
          <w:rFonts w:ascii="Calibri" w:hAnsi="Calibri"/>
          <w:noProof/>
        </w:rPr>
        <w:t xml:space="preserve">.  </w:t>
      </w:r>
      <w:r w:rsidRPr="00065386">
        <w:rPr>
          <w:rFonts w:ascii="Calibri" w:hAnsi="Calibri"/>
          <w:noProof/>
        </w:rPr>
        <w:t>The World Bank, Washington, DC.</w:t>
      </w:r>
    </w:p>
    <w:p w:rsidR="00065386" w:rsidRPr="00065386" w:rsidRDefault="00065386" w:rsidP="00065386">
      <w:pPr>
        <w:widowControl w:val="0"/>
        <w:autoSpaceDE w:val="0"/>
        <w:autoSpaceDN w:val="0"/>
        <w:adjustRightInd w:val="0"/>
        <w:spacing w:before="240" w:after="240" w:line="240" w:lineRule="auto"/>
        <w:ind w:left="480" w:hanging="480"/>
        <w:rPr>
          <w:rFonts w:ascii="Calibri" w:hAnsi="Calibri"/>
          <w:noProof/>
        </w:rPr>
      </w:pPr>
      <w:r w:rsidRPr="00065386">
        <w:rPr>
          <w:rFonts w:ascii="Calibri" w:hAnsi="Calibri"/>
          <w:noProof/>
        </w:rPr>
        <w:t>The World Bank, 2009</w:t>
      </w:r>
      <w:r w:rsidR="004049A3">
        <w:rPr>
          <w:rFonts w:ascii="Calibri" w:hAnsi="Calibri"/>
          <w:noProof/>
        </w:rPr>
        <w:t xml:space="preserve">.  </w:t>
      </w:r>
      <w:r w:rsidRPr="00065386">
        <w:rPr>
          <w:rFonts w:ascii="Calibri" w:hAnsi="Calibri"/>
          <w:noProof/>
        </w:rPr>
        <w:t>RY: Rural Energy Access Project - Project Appraisal Document</w:t>
      </w:r>
      <w:r w:rsidR="004049A3">
        <w:rPr>
          <w:rFonts w:ascii="Calibri" w:hAnsi="Calibri"/>
          <w:noProof/>
        </w:rPr>
        <w:t xml:space="preserve">.  </w:t>
      </w:r>
      <w:r w:rsidRPr="00065386">
        <w:rPr>
          <w:rFonts w:ascii="Calibri" w:hAnsi="Calibri"/>
          <w:noProof/>
        </w:rPr>
        <w:t>The World Bank, Washington, DC.</w:t>
      </w:r>
    </w:p>
    <w:p w:rsidR="00065386" w:rsidRPr="00065386" w:rsidRDefault="00065386" w:rsidP="00065386">
      <w:pPr>
        <w:widowControl w:val="0"/>
        <w:autoSpaceDE w:val="0"/>
        <w:autoSpaceDN w:val="0"/>
        <w:adjustRightInd w:val="0"/>
        <w:spacing w:before="240" w:after="240" w:line="240" w:lineRule="auto"/>
        <w:ind w:left="480" w:hanging="480"/>
        <w:rPr>
          <w:rFonts w:ascii="Calibri" w:hAnsi="Calibri"/>
          <w:noProof/>
        </w:rPr>
      </w:pPr>
      <w:r w:rsidRPr="00065386">
        <w:rPr>
          <w:rFonts w:ascii="Calibri" w:hAnsi="Calibri"/>
          <w:noProof/>
        </w:rPr>
        <w:t>The World Bank Group, 2016</w:t>
      </w:r>
      <w:r w:rsidR="004049A3">
        <w:rPr>
          <w:rFonts w:ascii="Calibri" w:hAnsi="Calibri"/>
          <w:noProof/>
        </w:rPr>
        <w:t xml:space="preserve">.  </w:t>
      </w:r>
      <w:r w:rsidRPr="00065386">
        <w:rPr>
          <w:rFonts w:ascii="Calibri" w:hAnsi="Calibri"/>
          <w:noProof/>
        </w:rPr>
        <w:t>Country Engagement Note For Republic of Yemen FY17-FY18</w:t>
      </w:r>
      <w:r w:rsidR="004049A3">
        <w:rPr>
          <w:rFonts w:ascii="Calibri" w:hAnsi="Calibri"/>
          <w:noProof/>
        </w:rPr>
        <w:t xml:space="preserve">.  </w:t>
      </w:r>
      <w:r w:rsidRPr="00065386">
        <w:rPr>
          <w:rFonts w:ascii="Calibri" w:hAnsi="Calibri"/>
          <w:noProof/>
        </w:rPr>
        <w:t>The World Bank Group, Washington, DC.</w:t>
      </w:r>
    </w:p>
    <w:p w:rsidR="00D621E6" w:rsidRPr="00D621E6" w:rsidRDefault="00A66AE9" w:rsidP="00A66AE9">
      <w:r>
        <w:fldChar w:fldCharType="end"/>
      </w:r>
    </w:p>
    <w:sectPr w:rsidR="00D621E6" w:rsidRPr="00D621E6" w:rsidSect="008C716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25B" w:rsidRDefault="002B625B" w:rsidP="00846753">
      <w:r>
        <w:separator/>
      </w:r>
    </w:p>
  </w:endnote>
  <w:endnote w:type="continuationSeparator" w:id="0">
    <w:p w:rsidR="002B625B" w:rsidRDefault="002B625B" w:rsidP="0084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042"/>
    </w:tblGrid>
    <w:tr w:rsidR="007568BF">
      <w:tblPrEx>
        <w:tblCellMar>
          <w:top w:w="0" w:type="dxa"/>
          <w:bottom w:w="0" w:type="dxa"/>
        </w:tblCellMar>
      </w:tblPrEx>
      <w:tc>
        <w:tcPr>
          <w:tcW w:w="11042" w:type="dxa"/>
          <w:tcBorders>
            <w:top w:val="nil"/>
            <w:left w:val="nil"/>
            <w:bottom w:val="nil"/>
            <w:right w:val="nil"/>
          </w:tcBorders>
          <w:shd w:val="clear" w:color="auto" w:fill="FFFFFF"/>
          <w:vAlign w:val="bottom"/>
        </w:tcPr>
        <w:p w:rsidR="007568BF" w:rsidRDefault="007568BF">
          <w:pPr>
            <w:spacing w:line="320" w:lineRule="atLeast"/>
            <w:rPr>
              <w:sz w:val="20"/>
              <w:szCs w:val="20"/>
            </w:rPr>
          </w:pPr>
          <w:r>
            <w:rPr>
              <w:sz w:val="20"/>
              <w:szCs w:val="20"/>
            </w:rPr>
            <w:t>Document of the World Bank</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8294C" w:rsidP="00C74878">
    <w:pPr>
      <w:pStyle w:val="Footer"/>
      <w:jc w:val="center"/>
    </w:pPr>
    <w:r>
      <w:rPr>
        <w:color w:val="7F7F7F" w:themeColor="background1" w:themeShade="7F"/>
        <w:spacing w:val="60"/>
      </w:rPr>
      <w:t>Page</w:t>
    </w:r>
    <w:r>
      <w:t xml:space="preserve"> | </w:t>
    </w:r>
    <w:r>
      <w:fldChar w:fldCharType="begin"/>
    </w:r>
    <w:r w:rsidRPr="00ED6982">
      <w:instrText xml:space="preserve"> PAGE   \* MERGEFORMAT </w:instrText>
    </w:r>
    <w:r>
      <w:fldChar w:fldCharType="separate"/>
    </w:r>
    <w:r w:rsidR="00DF24D3" w:rsidRPr="00DF24D3">
      <w:rPr>
        <w:b/>
        <w:bCs/>
        <w:noProof/>
      </w:rPr>
      <w:t>4</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931951"/>
      <w:docPartObj>
        <w:docPartGallery w:val="Page Numbers (Bottom of Page)"/>
        <w:docPartUnique/>
      </w:docPartObj>
    </w:sdtPr>
    <w:sdtEndPr>
      <w:rPr>
        <w:noProof/>
      </w:rPr>
    </w:sdtEndPr>
    <w:sdtContent>
      <w:p w:rsidR="00AA5726" w:rsidRDefault="00AA5726" w:rsidP="00066A9B">
        <w:pPr>
          <w:pStyle w:val="PageNumber1"/>
        </w:pPr>
        <w:r w:rsidRPr="00D42792">
          <w:fldChar w:fldCharType="begin"/>
        </w:r>
        <w:r w:rsidRPr="00D42792">
          <w:instrText xml:space="preserve"> PAGE   \* MERGEFORMAT </w:instrText>
        </w:r>
        <w:r w:rsidRPr="00D42792">
          <w:fldChar w:fldCharType="separate"/>
        </w:r>
        <w:r w:rsidR="00DF24D3">
          <w:rPr>
            <w:noProof/>
          </w:rPr>
          <w:t>18</w:t>
        </w:r>
        <w:r w:rsidRPr="00D4279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25B" w:rsidRDefault="002B625B" w:rsidP="00846753">
      <w:r>
        <w:separator/>
      </w:r>
    </w:p>
  </w:footnote>
  <w:footnote w:type="continuationSeparator" w:id="0">
    <w:p w:rsidR="002B625B" w:rsidRDefault="002B625B" w:rsidP="00846753">
      <w:r>
        <w:continuationSeparator/>
      </w:r>
    </w:p>
  </w:footnote>
  <w:footnote w:id="1">
    <w:p w:rsidR="00AA5726" w:rsidRDefault="00AA5726">
      <w:pPr>
        <w:pStyle w:val="FootnoteText"/>
      </w:pPr>
      <w:r>
        <w:rPr>
          <w:rStyle w:val="FootnoteReference"/>
        </w:rPr>
        <w:footnoteRef/>
      </w:r>
      <w:r>
        <w:t xml:space="preserve"> </w:t>
      </w:r>
      <w:r w:rsidRPr="002B3518">
        <w:t>The Bank approved three IPFs with a total volume of US$90mn between 2006 and 2012</w:t>
      </w:r>
      <w:r w:rsidR="004049A3">
        <w:t xml:space="preserve">.  </w:t>
      </w:r>
      <w:r w:rsidRPr="002B3518">
        <w:t>Disbursement for all three projects was very slow as decision making in the sector institutions, especially in procurement, took much longer than expecte</w:t>
      </w:r>
      <w:r>
        <w:t>d</w:t>
      </w:r>
      <w:r w:rsidR="004049A3">
        <w:t xml:space="preserve">.  </w:t>
      </w:r>
      <w:r>
        <w:t xml:space="preserve">None of the projects delivered much in terms of </w:t>
      </w:r>
      <w:r w:rsidRPr="002B3518">
        <w:t>measurable outcomes.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D56"/>
    <w:multiLevelType w:val="hybridMultilevel"/>
    <w:tmpl w:val="343C2834"/>
    <w:lvl w:ilvl="0" w:tplc="014058F2">
      <w:start w:val="1"/>
      <w:numFmt w:val="decimal"/>
      <w:lvlText w:val="%1."/>
      <w:lvlJc w:val="left"/>
      <w:pPr>
        <w:ind w:left="540" w:hanging="360"/>
      </w:pPr>
      <w:rPr>
        <w:b/>
        <w:bCs/>
        <w:i/>
        <w:iCs/>
      </w:rPr>
    </w:lvl>
    <w:lvl w:ilvl="1" w:tplc="B7B64696">
      <w:start w:val="1"/>
      <w:numFmt w:val="lowerLetter"/>
      <w:lvlText w:val="%2."/>
      <w:lvlJc w:val="left"/>
      <w:pPr>
        <w:ind w:left="1260" w:hanging="360"/>
      </w:pPr>
      <w:rPr>
        <w:b/>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5681969"/>
    <w:multiLevelType w:val="hybridMultilevel"/>
    <w:tmpl w:val="72045BF4"/>
    <w:lvl w:ilvl="0" w:tplc="014058F2">
      <w:start w:val="1"/>
      <w:numFmt w:val="decimal"/>
      <w:lvlText w:val="%1."/>
      <w:lvlJc w:val="left"/>
      <w:pPr>
        <w:ind w:left="540" w:hanging="360"/>
      </w:pPr>
      <w:rPr>
        <w:b/>
        <w:bCs/>
        <w:i/>
        <w:iCs/>
      </w:rPr>
    </w:lvl>
    <w:lvl w:ilvl="1" w:tplc="B7B64696">
      <w:start w:val="1"/>
      <w:numFmt w:val="lowerLetter"/>
      <w:lvlText w:val="%2."/>
      <w:lvlJc w:val="left"/>
      <w:pPr>
        <w:ind w:left="1260" w:hanging="360"/>
      </w:pPr>
      <w:rPr>
        <w:b/>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78C41A7"/>
    <w:multiLevelType w:val="hybridMultilevel"/>
    <w:tmpl w:val="E1D2E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51451D"/>
    <w:multiLevelType w:val="hybridMultilevel"/>
    <w:tmpl w:val="46B64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0F4AE5"/>
    <w:multiLevelType w:val="hybridMultilevel"/>
    <w:tmpl w:val="ED12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70D1D"/>
    <w:multiLevelType w:val="hybridMultilevel"/>
    <w:tmpl w:val="902092A4"/>
    <w:lvl w:ilvl="0" w:tplc="014058F2">
      <w:start w:val="1"/>
      <w:numFmt w:val="decimal"/>
      <w:lvlText w:val="%1."/>
      <w:lvlJc w:val="left"/>
      <w:pPr>
        <w:ind w:left="540" w:hanging="360"/>
      </w:pPr>
      <w:rPr>
        <w:b/>
        <w:bCs/>
        <w:i/>
        <w:i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4105CA9"/>
    <w:multiLevelType w:val="hybridMultilevel"/>
    <w:tmpl w:val="979A6F8A"/>
    <w:lvl w:ilvl="0" w:tplc="6E1E0BE2">
      <w:start w:val="1"/>
      <w:numFmt w:val="decimal"/>
      <w:lvlText w:val="%1.     "/>
      <w:lvlJc w:val="left"/>
      <w:pPr>
        <w:tabs>
          <w:tab w:val="num" w:pos="720"/>
        </w:tabs>
        <w:ind w:left="0" w:firstLine="0"/>
      </w:pPr>
      <w:rPr>
        <w:rFonts w:ascii="Times New Roman" w:hAnsi="Times New Roman" w:cs="Times New Roman" w:hint="default"/>
        <w:b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275595"/>
    <w:multiLevelType w:val="hybridMultilevel"/>
    <w:tmpl w:val="046E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17A89"/>
    <w:multiLevelType w:val="hybridMultilevel"/>
    <w:tmpl w:val="4C7EDE6A"/>
    <w:lvl w:ilvl="0" w:tplc="1D9E83F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10728"/>
    <w:multiLevelType w:val="multilevel"/>
    <w:tmpl w:val="82BE2754"/>
    <w:lvl w:ilvl="0">
      <w:start w:val="1"/>
      <w:numFmt w:val="decimal"/>
      <w:lvlText w:val="%1."/>
      <w:lvlJc w:val="left"/>
      <w:pPr>
        <w:ind w:left="720" w:hanging="360"/>
      </w:pPr>
      <w:rPr>
        <w:b/>
        <w:bCs/>
        <w:color w:val="0070C0"/>
        <w:sz w:val="32"/>
        <w:szCs w:val="32"/>
      </w:rPr>
    </w:lvl>
    <w:lvl w:ilvl="1">
      <w:start w:val="1"/>
      <w:numFmt w:val="bullet"/>
      <w:lvlText w:val=""/>
      <w:lvlJc w:val="left"/>
      <w:pPr>
        <w:ind w:left="1080" w:hanging="720"/>
      </w:pPr>
      <w:rPr>
        <w:rFonts w:ascii="Symbol" w:hAnsi="Symbol"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341DD7"/>
    <w:multiLevelType w:val="hybridMultilevel"/>
    <w:tmpl w:val="C33096F6"/>
    <w:lvl w:ilvl="0" w:tplc="014058F2">
      <w:start w:val="1"/>
      <w:numFmt w:val="decimal"/>
      <w:lvlText w:val="%1."/>
      <w:lvlJc w:val="left"/>
      <w:pPr>
        <w:ind w:left="540" w:hanging="360"/>
      </w:pPr>
      <w:rPr>
        <w:b/>
        <w:bCs/>
        <w:i/>
        <w:i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AA8551C"/>
    <w:multiLevelType w:val="hybridMultilevel"/>
    <w:tmpl w:val="7E3644F8"/>
    <w:lvl w:ilvl="0" w:tplc="970AECC8">
      <w:start w:val="1"/>
      <w:numFmt w:val="decimal"/>
      <w:pStyle w:val="ListParagraph"/>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E72E0"/>
    <w:multiLevelType w:val="hybridMultilevel"/>
    <w:tmpl w:val="8F007860"/>
    <w:lvl w:ilvl="0" w:tplc="014058F2">
      <w:start w:val="1"/>
      <w:numFmt w:val="decimal"/>
      <w:lvlText w:val="%1."/>
      <w:lvlJc w:val="left"/>
      <w:pPr>
        <w:ind w:left="360" w:hanging="360"/>
      </w:pPr>
      <w:rPr>
        <w:b/>
        <w:bCs/>
        <w:i/>
        <w:i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8434088"/>
    <w:multiLevelType w:val="hybridMultilevel"/>
    <w:tmpl w:val="07164C64"/>
    <w:lvl w:ilvl="0" w:tplc="1EBA0886">
      <w:start w:val="1"/>
      <w:numFmt w:val="decimal"/>
      <w:lvlText w:val="%1."/>
      <w:lvlJc w:val="left"/>
      <w:pPr>
        <w:ind w:left="720" w:hanging="360"/>
      </w:pPr>
      <w:rPr>
        <w:rFonts w:hint="default"/>
        <w:b/>
        <w:bCs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56A4F"/>
    <w:multiLevelType w:val="hybridMultilevel"/>
    <w:tmpl w:val="27DC9C86"/>
    <w:lvl w:ilvl="0" w:tplc="70D8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35C40"/>
    <w:multiLevelType w:val="multilevel"/>
    <w:tmpl w:val="86DE945C"/>
    <w:lvl w:ilvl="0">
      <w:start w:val="1"/>
      <w:numFmt w:val="decimal"/>
      <w:pStyle w:val="Heading1"/>
      <w:lvlText w:val="%1."/>
      <w:lvlJc w:val="left"/>
      <w:pPr>
        <w:ind w:left="720" w:hanging="360"/>
      </w:pPr>
      <w:rPr>
        <w:b/>
        <w:bCs/>
        <w:color w:val="0070C0"/>
        <w:sz w:val="32"/>
        <w:szCs w:val="32"/>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B55ACB"/>
    <w:multiLevelType w:val="hybridMultilevel"/>
    <w:tmpl w:val="1C1CA266"/>
    <w:lvl w:ilvl="0" w:tplc="014058F2">
      <w:start w:val="1"/>
      <w:numFmt w:val="decimal"/>
      <w:lvlText w:val="%1."/>
      <w:lvlJc w:val="left"/>
      <w:pPr>
        <w:ind w:left="360" w:hanging="360"/>
      </w:pPr>
      <w:rPr>
        <w:b/>
        <w:bCs/>
        <w:i/>
        <w:iCs/>
      </w:rPr>
    </w:lvl>
    <w:lvl w:ilvl="1" w:tplc="B7B64696">
      <w:start w:val="1"/>
      <w:numFmt w:val="lowerLetter"/>
      <w:lvlText w:val="%2."/>
      <w:lvlJc w:val="left"/>
      <w:pPr>
        <w:ind w:left="1260" w:hanging="360"/>
      </w:pPr>
      <w:rPr>
        <w:b/>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BCD68B3"/>
    <w:multiLevelType w:val="hybridMultilevel"/>
    <w:tmpl w:val="4A12EB00"/>
    <w:lvl w:ilvl="0" w:tplc="014058F2">
      <w:start w:val="1"/>
      <w:numFmt w:val="decimal"/>
      <w:lvlText w:val="%1."/>
      <w:lvlJc w:val="left"/>
      <w:pPr>
        <w:ind w:left="540" w:hanging="360"/>
      </w:pPr>
      <w:rPr>
        <w:b/>
        <w:bCs/>
        <w:i/>
        <w:i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49130AF"/>
    <w:multiLevelType w:val="hybridMultilevel"/>
    <w:tmpl w:val="4BB0F4B2"/>
    <w:lvl w:ilvl="0" w:tplc="014058F2">
      <w:start w:val="1"/>
      <w:numFmt w:val="decimal"/>
      <w:lvlText w:val="%1."/>
      <w:lvlJc w:val="left"/>
      <w:pPr>
        <w:ind w:left="540" w:hanging="360"/>
      </w:pPr>
      <w:rPr>
        <w:b/>
        <w:bCs/>
        <w:i/>
        <w:i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8941B3D"/>
    <w:multiLevelType w:val="hybridMultilevel"/>
    <w:tmpl w:val="8D628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67481"/>
    <w:multiLevelType w:val="hybridMultilevel"/>
    <w:tmpl w:val="030E687A"/>
    <w:lvl w:ilvl="0" w:tplc="014058F2">
      <w:start w:val="1"/>
      <w:numFmt w:val="decimal"/>
      <w:lvlText w:val="%1."/>
      <w:lvlJc w:val="left"/>
      <w:pPr>
        <w:ind w:left="540" w:hanging="360"/>
      </w:pPr>
      <w:rPr>
        <w:b/>
        <w:bCs/>
        <w:i/>
        <w:i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E403637"/>
    <w:multiLevelType w:val="hybridMultilevel"/>
    <w:tmpl w:val="38D23CA4"/>
    <w:lvl w:ilvl="0" w:tplc="014058F2">
      <w:start w:val="1"/>
      <w:numFmt w:val="decimal"/>
      <w:lvlText w:val="%1."/>
      <w:lvlJc w:val="left"/>
      <w:pPr>
        <w:ind w:left="720" w:hanging="360"/>
      </w:pPr>
      <w:rPr>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43362"/>
    <w:multiLevelType w:val="hybridMultilevel"/>
    <w:tmpl w:val="042E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3E610C"/>
    <w:multiLevelType w:val="hybridMultilevel"/>
    <w:tmpl w:val="8698E3B2"/>
    <w:lvl w:ilvl="0" w:tplc="04090001">
      <w:start w:val="1"/>
      <w:numFmt w:val="bullet"/>
      <w:lvlText w:val=""/>
      <w:lvlJc w:val="left"/>
      <w:pPr>
        <w:ind w:left="1080" w:hanging="360"/>
      </w:pPr>
      <w:rPr>
        <w:rFonts w:ascii="Symbol" w:hAnsi="Symbol"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3A413C"/>
    <w:multiLevelType w:val="hybridMultilevel"/>
    <w:tmpl w:val="BFA24E94"/>
    <w:lvl w:ilvl="0" w:tplc="014058F2">
      <w:start w:val="1"/>
      <w:numFmt w:val="decimal"/>
      <w:lvlText w:val="%1."/>
      <w:lvlJc w:val="left"/>
      <w:pPr>
        <w:ind w:left="540" w:hanging="360"/>
      </w:pPr>
      <w:rPr>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36AE2"/>
    <w:multiLevelType w:val="hybridMultilevel"/>
    <w:tmpl w:val="D24ADA74"/>
    <w:lvl w:ilvl="0" w:tplc="897E15DA">
      <w:start w:val="1"/>
      <w:numFmt w:val="decimal"/>
      <w:lvlText w:val="%1."/>
      <w:lvlJc w:val="left"/>
      <w:pPr>
        <w:ind w:left="720" w:hanging="360"/>
      </w:pPr>
      <w:rPr>
        <w:rFonts w:asciiTheme="majorBidi" w:eastAsia="Times New Roman" w:hAnsiTheme="majorBidi" w:cstheme="majorBidi" w:hint="default"/>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83108"/>
    <w:multiLevelType w:val="hybridMultilevel"/>
    <w:tmpl w:val="EAA2DA08"/>
    <w:lvl w:ilvl="0" w:tplc="F5CEA90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D0934"/>
    <w:multiLevelType w:val="hybridMultilevel"/>
    <w:tmpl w:val="790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A15FA"/>
    <w:multiLevelType w:val="hybridMultilevel"/>
    <w:tmpl w:val="1F1E0A84"/>
    <w:lvl w:ilvl="0" w:tplc="04090013">
      <w:start w:val="1"/>
      <w:numFmt w:val="upperRoman"/>
      <w:pStyle w:val="ParagraphNumbering"/>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561EC9"/>
    <w:multiLevelType w:val="hybridMultilevel"/>
    <w:tmpl w:val="8866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4"/>
  </w:num>
  <w:num w:numId="4">
    <w:abstractNumId w:val="26"/>
  </w:num>
  <w:num w:numId="5">
    <w:abstractNumId w:val="29"/>
  </w:num>
  <w:num w:numId="6">
    <w:abstractNumId w:val="22"/>
  </w:num>
  <w:num w:numId="7">
    <w:abstractNumId w:val="15"/>
  </w:num>
  <w:num w:numId="8">
    <w:abstractNumId w:val="16"/>
  </w:num>
  <w:num w:numId="9">
    <w:abstractNumId w:val="13"/>
  </w:num>
  <w:num w:numId="10">
    <w:abstractNumId w:val="6"/>
  </w:num>
  <w:num w:numId="11">
    <w:abstractNumId w:val="25"/>
  </w:num>
  <w:num w:numId="12">
    <w:abstractNumId w:val="17"/>
  </w:num>
  <w:num w:numId="13">
    <w:abstractNumId w:val="5"/>
  </w:num>
  <w:num w:numId="14">
    <w:abstractNumId w:val="2"/>
  </w:num>
  <w:num w:numId="15">
    <w:abstractNumId w:val="18"/>
  </w:num>
  <w:num w:numId="16">
    <w:abstractNumId w:val="21"/>
  </w:num>
  <w:num w:numId="17">
    <w:abstractNumId w:val="10"/>
  </w:num>
  <w:num w:numId="18">
    <w:abstractNumId w:val="9"/>
  </w:num>
  <w:num w:numId="19">
    <w:abstractNumId w:val="20"/>
  </w:num>
  <w:num w:numId="20">
    <w:abstractNumId w:val="0"/>
  </w:num>
  <w:num w:numId="21">
    <w:abstractNumId w:val="1"/>
  </w:num>
  <w:num w:numId="22">
    <w:abstractNumId w:val="12"/>
  </w:num>
  <w:num w:numId="23">
    <w:abstractNumId w:val="24"/>
  </w:num>
  <w:num w:numId="24">
    <w:abstractNumId w:val="3"/>
  </w:num>
  <w:num w:numId="25">
    <w:abstractNumId w:val="7"/>
  </w:num>
  <w:num w:numId="26">
    <w:abstractNumId w:val="11"/>
  </w:num>
  <w:num w:numId="27">
    <w:abstractNumId w:val="23"/>
  </w:num>
  <w:num w:numId="28">
    <w:abstractNumId w:val="27"/>
  </w:num>
  <w:num w:numId="29">
    <w:abstractNumId w:val="19"/>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lvlOverride w:ilvl="0">
      <w:startOverride w:val="1"/>
    </w:lvlOverride>
  </w:num>
  <w:num w:numId="38">
    <w:abstractNumId w:val="4"/>
  </w:num>
  <w:num w:numId="39">
    <w:abstractNumId w:val="11"/>
  </w:num>
  <w:num w:numId="40">
    <w:abstractNumId w:val="11"/>
  </w:num>
  <w:num w:numId="41">
    <w:abstractNumId w:val="11"/>
  </w:num>
  <w:num w:numId="42">
    <w:abstractNumId w:val="15"/>
  </w:num>
  <w:num w:numId="43">
    <w:abstractNumId w:val="11"/>
    <w:lvlOverride w:ilvl="0">
      <w:startOverride w:val="1"/>
    </w:lvlOverride>
  </w:num>
  <w:num w:numId="4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04"/>
    <w:rsid w:val="00001674"/>
    <w:rsid w:val="0000267D"/>
    <w:rsid w:val="00002718"/>
    <w:rsid w:val="000028E7"/>
    <w:rsid w:val="00002A83"/>
    <w:rsid w:val="00010965"/>
    <w:rsid w:val="00011FDE"/>
    <w:rsid w:val="000124AB"/>
    <w:rsid w:val="00012B02"/>
    <w:rsid w:val="00013E17"/>
    <w:rsid w:val="000145F4"/>
    <w:rsid w:val="0001588E"/>
    <w:rsid w:val="00016381"/>
    <w:rsid w:val="00017BD0"/>
    <w:rsid w:val="000219B8"/>
    <w:rsid w:val="000246F5"/>
    <w:rsid w:val="00026D44"/>
    <w:rsid w:val="000315EC"/>
    <w:rsid w:val="000361DE"/>
    <w:rsid w:val="00036338"/>
    <w:rsid w:val="000458A9"/>
    <w:rsid w:val="00046EB2"/>
    <w:rsid w:val="00051A7C"/>
    <w:rsid w:val="00051DCC"/>
    <w:rsid w:val="00053D50"/>
    <w:rsid w:val="00055406"/>
    <w:rsid w:val="00056B19"/>
    <w:rsid w:val="00056F11"/>
    <w:rsid w:val="0006410B"/>
    <w:rsid w:val="00065386"/>
    <w:rsid w:val="0006608F"/>
    <w:rsid w:val="000661BE"/>
    <w:rsid w:val="00066A9B"/>
    <w:rsid w:val="00070931"/>
    <w:rsid w:val="0007115D"/>
    <w:rsid w:val="00071382"/>
    <w:rsid w:val="00071500"/>
    <w:rsid w:val="000739E3"/>
    <w:rsid w:val="00077D2D"/>
    <w:rsid w:val="00082142"/>
    <w:rsid w:val="00086E57"/>
    <w:rsid w:val="00090ADC"/>
    <w:rsid w:val="00090CB4"/>
    <w:rsid w:val="0009104B"/>
    <w:rsid w:val="00091086"/>
    <w:rsid w:val="000914C5"/>
    <w:rsid w:val="00091723"/>
    <w:rsid w:val="00091C4B"/>
    <w:rsid w:val="0009209B"/>
    <w:rsid w:val="000920CB"/>
    <w:rsid w:val="000A4187"/>
    <w:rsid w:val="000A45D4"/>
    <w:rsid w:val="000B106D"/>
    <w:rsid w:val="000B6720"/>
    <w:rsid w:val="000B6FF4"/>
    <w:rsid w:val="000C0068"/>
    <w:rsid w:val="000C0589"/>
    <w:rsid w:val="000C1038"/>
    <w:rsid w:val="000C148C"/>
    <w:rsid w:val="000C172B"/>
    <w:rsid w:val="000C25C1"/>
    <w:rsid w:val="000C48D8"/>
    <w:rsid w:val="000C5BE9"/>
    <w:rsid w:val="000C738E"/>
    <w:rsid w:val="000D2D70"/>
    <w:rsid w:val="000D5184"/>
    <w:rsid w:val="000D7031"/>
    <w:rsid w:val="000E138F"/>
    <w:rsid w:val="000E17FB"/>
    <w:rsid w:val="000E28B7"/>
    <w:rsid w:val="000E2E90"/>
    <w:rsid w:val="000E57B2"/>
    <w:rsid w:val="000F2DE2"/>
    <w:rsid w:val="000F4D1B"/>
    <w:rsid w:val="000F500C"/>
    <w:rsid w:val="000F64F9"/>
    <w:rsid w:val="000F6F52"/>
    <w:rsid w:val="001014B4"/>
    <w:rsid w:val="0010371E"/>
    <w:rsid w:val="00103E2E"/>
    <w:rsid w:val="001043FC"/>
    <w:rsid w:val="001066F1"/>
    <w:rsid w:val="001069DA"/>
    <w:rsid w:val="001100D7"/>
    <w:rsid w:val="00111DCE"/>
    <w:rsid w:val="00115A55"/>
    <w:rsid w:val="00117B0E"/>
    <w:rsid w:val="00120C02"/>
    <w:rsid w:val="00121DA6"/>
    <w:rsid w:val="001245E7"/>
    <w:rsid w:val="001310CB"/>
    <w:rsid w:val="0013377A"/>
    <w:rsid w:val="001344BA"/>
    <w:rsid w:val="00135E35"/>
    <w:rsid w:val="00136006"/>
    <w:rsid w:val="001374F9"/>
    <w:rsid w:val="00141960"/>
    <w:rsid w:val="00141966"/>
    <w:rsid w:val="00144783"/>
    <w:rsid w:val="00146092"/>
    <w:rsid w:val="00146BA3"/>
    <w:rsid w:val="001478C9"/>
    <w:rsid w:val="00150B06"/>
    <w:rsid w:val="001545BC"/>
    <w:rsid w:val="00154F36"/>
    <w:rsid w:val="00154F6A"/>
    <w:rsid w:val="001572D6"/>
    <w:rsid w:val="00160D87"/>
    <w:rsid w:val="00162058"/>
    <w:rsid w:val="00163FB6"/>
    <w:rsid w:val="00164B4C"/>
    <w:rsid w:val="00164DBB"/>
    <w:rsid w:val="00165375"/>
    <w:rsid w:val="00166610"/>
    <w:rsid w:val="0016766F"/>
    <w:rsid w:val="0017252C"/>
    <w:rsid w:val="00175470"/>
    <w:rsid w:val="00176DD4"/>
    <w:rsid w:val="0018015D"/>
    <w:rsid w:val="0018065B"/>
    <w:rsid w:val="00180796"/>
    <w:rsid w:val="0018460D"/>
    <w:rsid w:val="00184C7C"/>
    <w:rsid w:val="00186FA4"/>
    <w:rsid w:val="00190A51"/>
    <w:rsid w:val="00191E6B"/>
    <w:rsid w:val="00191E87"/>
    <w:rsid w:val="001933E7"/>
    <w:rsid w:val="00197734"/>
    <w:rsid w:val="00197871"/>
    <w:rsid w:val="001A778F"/>
    <w:rsid w:val="001B3201"/>
    <w:rsid w:val="001C05C6"/>
    <w:rsid w:val="001C0680"/>
    <w:rsid w:val="001C15CA"/>
    <w:rsid w:val="001C2C5C"/>
    <w:rsid w:val="001C36EF"/>
    <w:rsid w:val="001C3DA8"/>
    <w:rsid w:val="001C5D34"/>
    <w:rsid w:val="001C6516"/>
    <w:rsid w:val="001C6EA6"/>
    <w:rsid w:val="001C7BE7"/>
    <w:rsid w:val="001D03B3"/>
    <w:rsid w:val="001D1544"/>
    <w:rsid w:val="001E04D1"/>
    <w:rsid w:val="001E3F34"/>
    <w:rsid w:val="001E4080"/>
    <w:rsid w:val="001E4CE5"/>
    <w:rsid w:val="001E4E6C"/>
    <w:rsid w:val="001E5999"/>
    <w:rsid w:val="001F17F7"/>
    <w:rsid w:val="001F288E"/>
    <w:rsid w:val="001F3A20"/>
    <w:rsid w:val="001F3D85"/>
    <w:rsid w:val="001F76D0"/>
    <w:rsid w:val="002037A4"/>
    <w:rsid w:val="00203EC2"/>
    <w:rsid w:val="00205E13"/>
    <w:rsid w:val="00205FB8"/>
    <w:rsid w:val="00207114"/>
    <w:rsid w:val="00207B1B"/>
    <w:rsid w:val="00211A7B"/>
    <w:rsid w:val="00212E1D"/>
    <w:rsid w:val="00213606"/>
    <w:rsid w:val="00213640"/>
    <w:rsid w:val="002161A1"/>
    <w:rsid w:val="00216CFE"/>
    <w:rsid w:val="00217C96"/>
    <w:rsid w:val="00220DA8"/>
    <w:rsid w:val="0022107C"/>
    <w:rsid w:val="00221D57"/>
    <w:rsid w:val="00224A11"/>
    <w:rsid w:val="002305EE"/>
    <w:rsid w:val="002339F1"/>
    <w:rsid w:val="0023447B"/>
    <w:rsid w:val="00234C8A"/>
    <w:rsid w:val="00236C6A"/>
    <w:rsid w:val="00237CFA"/>
    <w:rsid w:val="00240C8B"/>
    <w:rsid w:val="00246C11"/>
    <w:rsid w:val="00250ADC"/>
    <w:rsid w:val="00255C81"/>
    <w:rsid w:val="00256A2D"/>
    <w:rsid w:val="00256E67"/>
    <w:rsid w:val="00260156"/>
    <w:rsid w:val="00262073"/>
    <w:rsid w:val="00263071"/>
    <w:rsid w:val="00263348"/>
    <w:rsid w:val="00263806"/>
    <w:rsid w:val="00263831"/>
    <w:rsid w:val="00265968"/>
    <w:rsid w:val="0027172B"/>
    <w:rsid w:val="00271F6E"/>
    <w:rsid w:val="00274D1A"/>
    <w:rsid w:val="0027631F"/>
    <w:rsid w:val="00277DD1"/>
    <w:rsid w:val="00283311"/>
    <w:rsid w:val="00283FCE"/>
    <w:rsid w:val="00284DA2"/>
    <w:rsid w:val="002856F1"/>
    <w:rsid w:val="00287F68"/>
    <w:rsid w:val="00290DA9"/>
    <w:rsid w:val="002916FC"/>
    <w:rsid w:val="00291D68"/>
    <w:rsid w:val="002937EC"/>
    <w:rsid w:val="0029420C"/>
    <w:rsid w:val="00294FD1"/>
    <w:rsid w:val="00297B04"/>
    <w:rsid w:val="002A07DB"/>
    <w:rsid w:val="002A0E18"/>
    <w:rsid w:val="002A38BC"/>
    <w:rsid w:val="002A621F"/>
    <w:rsid w:val="002B1A07"/>
    <w:rsid w:val="002B3518"/>
    <w:rsid w:val="002B625B"/>
    <w:rsid w:val="002B65DC"/>
    <w:rsid w:val="002B7476"/>
    <w:rsid w:val="002C05BE"/>
    <w:rsid w:val="002C23D6"/>
    <w:rsid w:val="002C65D7"/>
    <w:rsid w:val="002D343A"/>
    <w:rsid w:val="002D4E32"/>
    <w:rsid w:val="002D7526"/>
    <w:rsid w:val="002E0104"/>
    <w:rsid w:val="002E02EE"/>
    <w:rsid w:val="002E161C"/>
    <w:rsid w:val="002E274B"/>
    <w:rsid w:val="002E2E2E"/>
    <w:rsid w:val="002E463D"/>
    <w:rsid w:val="002E665A"/>
    <w:rsid w:val="002F4547"/>
    <w:rsid w:val="002F4B29"/>
    <w:rsid w:val="00304121"/>
    <w:rsid w:val="003043F2"/>
    <w:rsid w:val="00304484"/>
    <w:rsid w:val="0030673C"/>
    <w:rsid w:val="00310418"/>
    <w:rsid w:val="00310665"/>
    <w:rsid w:val="003118ED"/>
    <w:rsid w:val="00313213"/>
    <w:rsid w:val="00313357"/>
    <w:rsid w:val="00313D8D"/>
    <w:rsid w:val="003146FF"/>
    <w:rsid w:val="003217DD"/>
    <w:rsid w:val="00321A8D"/>
    <w:rsid w:val="00321F22"/>
    <w:rsid w:val="00324BD6"/>
    <w:rsid w:val="00325DAE"/>
    <w:rsid w:val="00326B0A"/>
    <w:rsid w:val="00327235"/>
    <w:rsid w:val="0033093A"/>
    <w:rsid w:val="00330E7B"/>
    <w:rsid w:val="00333E9A"/>
    <w:rsid w:val="00333F00"/>
    <w:rsid w:val="00334B19"/>
    <w:rsid w:val="00335178"/>
    <w:rsid w:val="0034126C"/>
    <w:rsid w:val="00343788"/>
    <w:rsid w:val="00343836"/>
    <w:rsid w:val="00354B83"/>
    <w:rsid w:val="00356015"/>
    <w:rsid w:val="003614EC"/>
    <w:rsid w:val="00361971"/>
    <w:rsid w:val="0036429D"/>
    <w:rsid w:val="003650CB"/>
    <w:rsid w:val="00365AEE"/>
    <w:rsid w:val="00367A5F"/>
    <w:rsid w:val="00370D93"/>
    <w:rsid w:val="00374C01"/>
    <w:rsid w:val="00374D06"/>
    <w:rsid w:val="00374D25"/>
    <w:rsid w:val="003761EE"/>
    <w:rsid w:val="003801CB"/>
    <w:rsid w:val="00382872"/>
    <w:rsid w:val="00383485"/>
    <w:rsid w:val="00384AED"/>
    <w:rsid w:val="0038511B"/>
    <w:rsid w:val="00385773"/>
    <w:rsid w:val="00386A8E"/>
    <w:rsid w:val="00390A4D"/>
    <w:rsid w:val="00390C47"/>
    <w:rsid w:val="003A03A7"/>
    <w:rsid w:val="003A0AE6"/>
    <w:rsid w:val="003A26D4"/>
    <w:rsid w:val="003A5BD8"/>
    <w:rsid w:val="003A6FB2"/>
    <w:rsid w:val="003A764F"/>
    <w:rsid w:val="003A78B2"/>
    <w:rsid w:val="003B24CB"/>
    <w:rsid w:val="003B32A1"/>
    <w:rsid w:val="003B48CC"/>
    <w:rsid w:val="003B62D9"/>
    <w:rsid w:val="003B7E15"/>
    <w:rsid w:val="003C1B12"/>
    <w:rsid w:val="003C444F"/>
    <w:rsid w:val="003C5031"/>
    <w:rsid w:val="003C53BD"/>
    <w:rsid w:val="003C70AA"/>
    <w:rsid w:val="003D193A"/>
    <w:rsid w:val="003D1A44"/>
    <w:rsid w:val="003D2476"/>
    <w:rsid w:val="003D308C"/>
    <w:rsid w:val="003D5369"/>
    <w:rsid w:val="003D6359"/>
    <w:rsid w:val="003E1026"/>
    <w:rsid w:val="003E2F7E"/>
    <w:rsid w:val="003E31E1"/>
    <w:rsid w:val="003E61CE"/>
    <w:rsid w:val="003E6435"/>
    <w:rsid w:val="003F025D"/>
    <w:rsid w:val="003F0D58"/>
    <w:rsid w:val="003F4448"/>
    <w:rsid w:val="003F59E3"/>
    <w:rsid w:val="003F60BE"/>
    <w:rsid w:val="004049A3"/>
    <w:rsid w:val="00404AD9"/>
    <w:rsid w:val="004066E8"/>
    <w:rsid w:val="00410A4C"/>
    <w:rsid w:val="00410F50"/>
    <w:rsid w:val="004130D7"/>
    <w:rsid w:val="00413721"/>
    <w:rsid w:val="00415DD4"/>
    <w:rsid w:val="0041665A"/>
    <w:rsid w:val="00422138"/>
    <w:rsid w:val="00423F7A"/>
    <w:rsid w:val="004256A9"/>
    <w:rsid w:val="004264F5"/>
    <w:rsid w:val="00426C15"/>
    <w:rsid w:val="00426C84"/>
    <w:rsid w:val="0042775A"/>
    <w:rsid w:val="004305E8"/>
    <w:rsid w:val="00431DA0"/>
    <w:rsid w:val="0043352A"/>
    <w:rsid w:val="0043773D"/>
    <w:rsid w:val="0044207B"/>
    <w:rsid w:val="004426F8"/>
    <w:rsid w:val="00443BCA"/>
    <w:rsid w:val="004469B5"/>
    <w:rsid w:val="004523E3"/>
    <w:rsid w:val="00453A30"/>
    <w:rsid w:val="00453B0D"/>
    <w:rsid w:val="00453C2D"/>
    <w:rsid w:val="00456298"/>
    <w:rsid w:val="0046058F"/>
    <w:rsid w:val="00460E77"/>
    <w:rsid w:val="004627CC"/>
    <w:rsid w:val="00464800"/>
    <w:rsid w:val="00465E0C"/>
    <w:rsid w:val="00465EDA"/>
    <w:rsid w:val="0047276A"/>
    <w:rsid w:val="00472AD0"/>
    <w:rsid w:val="0047694E"/>
    <w:rsid w:val="004775A9"/>
    <w:rsid w:val="00477FD6"/>
    <w:rsid w:val="004808F0"/>
    <w:rsid w:val="004813B5"/>
    <w:rsid w:val="00482D32"/>
    <w:rsid w:val="00485FB4"/>
    <w:rsid w:val="0048791A"/>
    <w:rsid w:val="0049120A"/>
    <w:rsid w:val="004916BB"/>
    <w:rsid w:val="00492271"/>
    <w:rsid w:val="00492A60"/>
    <w:rsid w:val="004957BE"/>
    <w:rsid w:val="0049612F"/>
    <w:rsid w:val="004A0EFD"/>
    <w:rsid w:val="004A44F9"/>
    <w:rsid w:val="004A7DBE"/>
    <w:rsid w:val="004B0CB0"/>
    <w:rsid w:val="004B43E6"/>
    <w:rsid w:val="004B64C2"/>
    <w:rsid w:val="004B70D0"/>
    <w:rsid w:val="004C354D"/>
    <w:rsid w:val="004C3FB9"/>
    <w:rsid w:val="004D059D"/>
    <w:rsid w:val="004D33CF"/>
    <w:rsid w:val="004D3579"/>
    <w:rsid w:val="004E05B7"/>
    <w:rsid w:val="004E0748"/>
    <w:rsid w:val="004E2C13"/>
    <w:rsid w:val="004E3373"/>
    <w:rsid w:val="004E3CED"/>
    <w:rsid w:val="004E3D50"/>
    <w:rsid w:val="004E3D86"/>
    <w:rsid w:val="004E4D0F"/>
    <w:rsid w:val="004E4FA1"/>
    <w:rsid w:val="004E65F4"/>
    <w:rsid w:val="004E77A2"/>
    <w:rsid w:val="004E7D93"/>
    <w:rsid w:val="004F1055"/>
    <w:rsid w:val="004F1DA4"/>
    <w:rsid w:val="004F3A57"/>
    <w:rsid w:val="004F572E"/>
    <w:rsid w:val="004F6E25"/>
    <w:rsid w:val="004F7071"/>
    <w:rsid w:val="004F7AE6"/>
    <w:rsid w:val="005056F5"/>
    <w:rsid w:val="00505935"/>
    <w:rsid w:val="00505AFB"/>
    <w:rsid w:val="00505EE6"/>
    <w:rsid w:val="005118C1"/>
    <w:rsid w:val="00512456"/>
    <w:rsid w:val="00512660"/>
    <w:rsid w:val="00513284"/>
    <w:rsid w:val="00515B39"/>
    <w:rsid w:val="00517F65"/>
    <w:rsid w:val="00521296"/>
    <w:rsid w:val="00522207"/>
    <w:rsid w:val="00522E17"/>
    <w:rsid w:val="00524E2F"/>
    <w:rsid w:val="0052529E"/>
    <w:rsid w:val="0052761B"/>
    <w:rsid w:val="00530C7F"/>
    <w:rsid w:val="00530CD5"/>
    <w:rsid w:val="005330C3"/>
    <w:rsid w:val="00534859"/>
    <w:rsid w:val="00534935"/>
    <w:rsid w:val="005358AB"/>
    <w:rsid w:val="00535EAB"/>
    <w:rsid w:val="005365A8"/>
    <w:rsid w:val="00540FF1"/>
    <w:rsid w:val="00546DEE"/>
    <w:rsid w:val="00550294"/>
    <w:rsid w:val="00550C7E"/>
    <w:rsid w:val="00551431"/>
    <w:rsid w:val="00552AE5"/>
    <w:rsid w:val="00554214"/>
    <w:rsid w:val="005549AC"/>
    <w:rsid w:val="00554E85"/>
    <w:rsid w:val="00556331"/>
    <w:rsid w:val="00561AE2"/>
    <w:rsid w:val="0056295A"/>
    <w:rsid w:val="00567B36"/>
    <w:rsid w:val="00571030"/>
    <w:rsid w:val="00572D8A"/>
    <w:rsid w:val="005757BB"/>
    <w:rsid w:val="00575B58"/>
    <w:rsid w:val="00577B67"/>
    <w:rsid w:val="005805C1"/>
    <w:rsid w:val="005815B3"/>
    <w:rsid w:val="00581648"/>
    <w:rsid w:val="005828BB"/>
    <w:rsid w:val="00582ED6"/>
    <w:rsid w:val="00585D6E"/>
    <w:rsid w:val="00590ADF"/>
    <w:rsid w:val="00594208"/>
    <w:rsid w:val="00594278"/>
    <w:rsid w:val="00596AC1"/>
    <w:rsid w:val="005A0AC1"/>
    <w:rsid w:val="005A3F69"/>
    <w:rsid w:val="005A40AF"/>
    <w:rsid w:val="005A4A8E"/>
    <w:rsid w:val="005A57B4"/>
    <w:rsid w:val="005A77B2"/>
    <w:rsid w:val="005B2258"/>
    <w:rsid w:val="005B5DEB"/>
    <w:rsid w:val="005B72A1"/>
    <w:rsid w:val="005B7BC6"/>
    <w:rsid w:val="005C1059"/>
    <w:rsid w:val="005C3784"/>
    <w:rsid w:val="005C4CFB"/>
    <w:rsid w:val="005D0002"/>
    <w:rsid w:val="005D07CE"/>
    <w:rsid w:val="005D07D8"/>
    <w:rsid w:val="005D40E5"/>
    <w:rsid w:val="005D48D9"/>
    <w:rsid w:val="005E0BDE"/>
    <w:rsid w:val="005E1470"/>
    <w:rsid w:val="005E31DF"/>
    <w:rsid w:val="005E36AB"/>
    <w:rsid w:val="005E6481"/>
    <w:rsid w:val="005E6BB9"/>
    <w:rsid w:val="005F04B1"/>
    <w:rsid w:val="005F1389"/>
    <w:rsid w:val="005F1B1F"/>
    <w:rsid w:val="005F2B31"/>
    <w:rsid w:val="005F2EDB"/>
    <w:rsid w:val="0060360C"/>
    <w:rsid w:val="00606750"/>
    <w:rsid w:val="00607524"/>
    <w:rsid w:val="00611A6C"/>
    <w:rsid w:val="00611B56"/>
    <w:rsid w:val="00613733"/>
    <w:rsid w:val="00613DFD"/>
    <w:rsid w:val="00614C4A"/>
    <w:rsid w:val="006157A8"/>
    <w:rsid w:val="00617CDB"/>
    <w:rsid w:val="00620B25"/>
    <w:rsid w:val="00621D35"/>
    <w:rsid w:val="00621F04"/>
    <w:rsid w:val="006226C3"/>
    <w:rsid w:val="00624258"/>
    <w:rsid w:val="00625377"/>
    <w:rsid w:val="00626452"/>
    <w:rsid w:val="00626CB7"/>
    <w:rsid w:val="006270DE"/>
    <w:rsid w:val="006273ED"/>
    <w:rsid w:val="00633130"/>
    <w:rsid w:val="00634486"/>
    <w:rsid w:val="00635B1A"/>
    <w:rsid w:val="00641583"/>
    <w:rsid w:val="00643A51"/>
    <w:rsid w:val="006447E0"/>
    <w:rsid w:val="00645838"/>
    <w:rsid w:val="006500A9"/>
    <w:rsid w:val="00654A58"/>
    <w:rsid w:val="00660F10"/>
    <w:rsid w:val="00661131"/>
    <w:rsid w:val="0066146A"/>
    <w:rsid w:val="00661CFF"/>
    <w:rsid w:val="00662B1C"/>
    <w:rsid w:val="00664748"/>
    <w:rsid w:val="00665C9B"/>
    <w:rsid w:val="00671FF2"/>
    <w:rsid w:val="0067275E"/>
    <w:rsid w:val="006743E9"/>
    <w:rsid w:val="006746C0"/>
    <w:rsid w:val="006776EC"/>
    <w:rsid w:val="00677B88"/>
    <w:rsid w:val="00681504"/>
    <w:rsid w:val="00685E46"/>
    <w:rsid w:val="00686047"/>
    <w:rsid w:val="006900CE"/>
    <w:rsid w:val="00690CF8"/>
    <w:rsid w:val="00694A79"/>
    <w:rsid w:val="00695F30"/>
    <w:rsid w:val="006A4D53"/>
    <w:rsid w:val="006A51A8"/>
    <w:rsid w:val="006B24C4"/>
    <w:rsid w:val="006B25AC"/>
    <w:rsid w:val="006B33B2"/>
    <w:rsid w:val="006B3402"/>
    <w:rsid w:val="006B6EB7"/>
    <w:rsid w:val="006C18CA"/>
    <w:rsid w:val="006C3B6D"/>
    <w:rsid w:val="006C42CE"/>
    <w:rsid w:val="006C5F86"/>
    <w:rsid w:val="006D09EC"/>
    <w:rsid w:val="006D40D6"/>
    <w:rsid w:val="006D55D3"/>
    <w:rsid w:val="006D6ED1"/>
    <w:rsid w:val="006D70F8"/>
    <w:rsid w:val="006E0B2E"/>
    <w:rsid w:val="006E222C"/>
    <w:rsid w:val="006E2427"/>
    <w:rsid w:val="006E4773"/>
    <w:rsid w:val="006E56BC"/>
    <w:rsid w:val="006E6F82"/>
    <w:rsid w:val="006E7F6A"/>
    <w:rsid w:val="006F17A8"/>
    <w:rsid w:val="006F1BD3"/>
    <w:rsid w:val="006F271F"/>
    <w:rsid w:val="006F3921"/>
    <w:rsid w:val="006F4AB2"/>
    <w:rsid w:val="007013B7"/>
    <w:rsid w:val="00703219"/>
    <w:rsid w:val="00703491"/>
    <w:rsid w:val="00703989"/>
    <w:rsid w:val="007102AB"/>
    <w:rsid w:val="007106D5"/>
    <w:rsid w:val="007108F5"/>
    <w:rsid w:val="00712139"/>
    <w:rsid w:val="00713372"/>
    <w:rsid w:val="00717625"/>
    <w:rsid w:val="00721AF8"/>
    <w:rsid w:val="00723789"/>
    <w:rsid w:val="0072550D"/>
    <w:rsid w:val="00726042"/>
    <w:rsid w:val="00730C90"/>
    <w:rsid w:val="00733FD9"/>
    <w:rsid w:val="0073462B"/>
    <w:rsid w:val="00737E00"/>
    <w:rsid w:val="00741153"/>
    <w:rsid w:val="00741596"/>
    <w:rsid w:val="00742440"/>
    <w:rsid w:val="0074266E"/>
    <w:rsid w:val="0074274B"/>
    <w:rsid w:val="00742D0E"/>
    <w:rsid w:val="007444CB"/>
    <w:rsid w:val="007453B2"/>
    <w:rsid w:val="00747AB1"/>
    <w:rsid w:val="00750335"/>
    <w:rsid w:val="0075078D"/>
    <w:rsid w:val="00750CC3"/>
    <w:rsid w:val="0075123B"/>
    <w:rsid w:val="0075269A"/>
    <w:rsid w:val="007528B6"/>
    <w:rsid w:val="007547CA"/>
    <w:rsid w:val="007568BF"/>
    <w:rsid w:val="00756F75"/>
    <w:rsid w:val="00757C15"/>
    <w:rsid w:val="0076265E"/>
    <w:rsid w:val="00763152"/>
    <w:rsid w:val="0076423F"/>
    <w:rsid w:val="00764599"/>
    <w:rsid w:val="00774578"/>
    <w:rsid w:val="0077498A"/>
    <w:rsid w:val="0077522F"/>
    <w:rsid w:val="00775F8D"/>
    <w:rsid w:val="00783308"/>
    <w:rsid w:val="007837D9"/>
    <w:rsid w:val="00790DA2"/>
    <w:rsid w:val="0079649F"/>
    <w:rsid w:val="007A001F"/>
    <w:rsid w:val="007A2EC1"/>
    <w:rsid w:val="007A3260"/>
    <w:rsid w:val="007A345A"/>
    <w:rsid w:val="007A3CBB"/>
    <w:rsid w:val="007B234D"/>
    <w:rsid w:val="007B2CD0"/>
    <w:rsid w:val="007B4C34"/>
    <w:rsid w:val="007B6389"/>
    <w:rsid w:val="007B703F"/>
    <w:rsid w:val="007C44ED"/>
    <w:rsid w:val="007C758D"/>
    <w:rsid w:val="007C7B0C"/>
    <w:rsid w:val="007D0A94"/>
    <w:rsid w:val="007D182F"/>
    <w:rsid w:val="007D38DE"/>
    <w:rsid w:val="007D3A7A"/>
    <w:rsid w:val="007D4C89"/>
    <w:rsid w:val="007E3BD2"/>
    <w:rsid w:val="007E4C89"/>
    <w:rsid w:val="007E715D"/>
    <w:rsid w:val="007E7C25"/>
    <w:rsid w:val="007F04B6"/>
    <w:rsid w:val="007F3268"/>
    <w:rsid w:val="007F33E8"/>
    <w:rsid w:val="007F589F"/>
    <w:rsid w:val="007F5ADA"/>
    <w:rsid w:val="007F7C7F"/>
    <w:rsid w:val="00807289"/>
    <w:rsid w:val="00807613"/>
    <w:rsid w:val="00807AEC"/>
    <w:rsid w:val="0081068C"/>
    <w:rsid w:val="00817265"/>
    <w:rsid w:val="00817DD5"/>
    <w:rsid w:val="008206FF"/>
    <w:rsid w:val="0082248F"/>
    <w:rsid w:val="008278C9"/>
    <w:rsid w:val="00830E1C"/>
    <w:rsid w:val="008310D0"/>
    <w:rsid w:val="008311E1"/>
    <w:rsid w:val="0083509C"/>
    <w:rsid w:val="0083709D"/>
    <w:rsid w:val="008376B4"/>
    <w:rsid w:val="008408C0"/>
    <w:rsid w:val="00841DD6"/>
    <w:rsid w:val="00842909"/>
    <w:rsid w:val="00845DCD"/>
    <w:rsid w:val="00846753"/>
    <w:rsid w:val="00853FCC"/>
    <w:rsid w:val="00853FFC"/>
    <w:rsid w:val="00855063"/>
    <w:rsid w:val="0085543E"/>
    <w:rsid w:val="008557B1"/>
    <w:rsid w:val="00857C76"/>
    <w:rsid w:val="00860059"/>
    <w:rsid w:val="00860351"/>
    <w:rsid w:val="00866097"/>
    <w:rsid w:val="00866BF7"/>
    <w:rsid w:val="00870FD5"/>
    <w:rsid w:val="0087161C"/>
    <w:rsid w:val="00871D25"/>
    <w:rsid w:val="00872306"/>
    <w:rsid w:val="00873982"/>
    <w:rsid w:val="00875512"/>
    <w:rsid w:val="00875DA8"/>
    <w:rsid w:val="008769E0"/>
    <w:rsid w:val="00877C13"/>
    <w:rsid w:val="00883625"/>
    <w:rsid w:val="00883A1F"/>
    <w:rsid w:val="00884654"/>
    <w:rsid w:val="00885470"/>
    <w:rsid w:val="00887979"/>
    <w:rsid w:val="008920FA"/>
    <w:rsid w:val="00895F7C"/>
    <w:rsid w:val="008967E2"/>
    <w:rsid w:val="00896BB4"/>
    <w:rsid w:val="00896D51"/>
    <w:rsid w:val="00897015"/>
    <w:rsid w:val="008A0758"/>
    <w:rsid w:val="008A1B47"/>
    <w:rsid w:val="008A2A84"/>
    <w:rsid w:val="008A2C42"/>
    <w:rsid w:val="008A366A"/>
    <w:rsid w:val="008A44DA"/>
    <w:rsid w:val="008A4B85"/>
    <w:rsid w:val="008A5580"/>
    <w:rsid w:val="008A631A"/>
    <w:rsid w:val="008A6B1C"/>
    <w:rsid w:val="008A72F6"/>
    <w:rsid w:val="008B30E8"/>
    <w:rsid w:val="008B3B3F"/>
    <w:rsid w:val="008B40EA"/>
    <w:rsid w:val="008B7886"/>
    <w:rsid w:val="008C0340"/>
    <w:rsid w:val="008C1757"/>
    <w:rsid w:val="008C3545"/>
    <w:rsid w:val="008C4AE3"/>
    <w:rsid w:val="008C6BE2"/>
    <w:rsid w:val="008C6EF8"/>
    <w:rsid w:val="008C7167"/>
    <w:rsid w:val="008D099F"/>
    <w:rsid w:val="008D28D3"/>
    <w:rsid w:val="008D50E0"/>
    <w:rsid w:val="008E08B7"/>
    <w:rsid w:val="008E32DE"/>
    <w:rsid w:val="008E450B"/>
    <w:rsid w:val="008E483C"/>
    <w:rsid w:val="008E4F60"/>
    <w:rsid w:val="008F1110"/>
    <w:rsid w:val="008F1227"/>
    <w:rsid w:val="008F3560"/>
    <w:rsid w:val="008F4D44"/>
    <w:rsid w:val="008F6FEE"/>
    <w:rsid w:val="008F7427"/>
    <w:rsid w:val="0090229B"/>
    <w:rsid w:val="00914E99"/>
    <w:rsid w:val="00922A8D"/>
    <w:rsid w:val="00922C9E"/>
    <w:rsid w:val="00923C1F"/>
    <w:rsid w:val="00923FE2"/>
    <w:rsid w:val="00925112"/>
    <w:rsid w:val="0092737D"/>
    <w:rsid w:val="00930A4A"/>
    <w:rsid w:val="00933FCA"/>
    <w:rsid w:val="00934091"/>
    <w:rsid w:val="00934C50"/>
    <w:rsid w:val="0093597E"/>
    <w:rsid w:val="00936C59"/>
    <w:rsid w:val="00937473"/>
    <w:rsid w:val="00941799"/>
    <w:rsid w:val="00943AB7"/>
    <w:rsid w:val="00946071"/>
    <w:rsid w:val="0095155C"/>
    <w:rsid w:val="00953647"/>
    <w:rsid w:val="00954271"/>
    <w:rsid w:val="009629BA"/>
    <w:rsid w:val="009651AB"/>
    <w:rsid w:val="00966705"/>
    <w:rsid w:val="00967736"/>
    <w:rsid w:val="00970FC1"/>
    <w:rsid w:val="009727AD"/>
    <w:rsid w:val="009730FD"/>
    <w:rsid w:val="00973B07"/>
    <w:rsid w:val="0097789E"/>
    <w:rsid w:val="00980D58"/>
    <w:rsid w:val="0098112F"/>
    <w:rsid w:val="00981FCC"/>
    <w:rsid w:val="009828F1"/>
    <w:rsid w:val="009856E4"/>
    <w:rsid w:val="00985CEA"/>
    <w:rsid w:val="009864CE"/>
    <w:rsid w:val="00987259"/>
    <w:rsid w:val="00991B4C"/>
    <w:rsid w:val="009921BA"/>
    <w:rsid w:val="0099386B"/>
    <w:rsid w:val="00995E71"/>
    <w:rsid w:val="00996175"/>
    <w:rsid w:val="00996347"/>
    <w:rsid w:val="009A19C0"/>
    <w:rsid w:val="009A3BB1"/>
    <w:rsid w:val="009A4396"/>
    <w:rsid w:val="009A64F7"/>
    <w:rsid w:val="009A6B18"/>
    <w:rsid w:val="009A6B50"/>
    <w:rsid w:val="009A77FF"/>
    <w:rsid w:val="009B1914"/>
    <w:rsid w:val="009B1A4A"/>
    <w:rsid w:val="009B1B78"/>
    <w:rsid w:val="009B4456"/>
    <w:rsid w:val="009C116E"/>
    <w:rsid w:val="009C1266"/>
    <w:rsid w:val="009C1CD3"/>
    <w:rsid w:val="009C7E8D"/>
    <w:rsid w:val="009D27D6"/>
    <w:rsid w:val="009D34C5"/>
    <w:rsid w:val="009D4104"/>
    <w:rsid w:val="009D4796"/>
    <w:rsid w:val="009D7637"/>
    <w:rsid w:val="009D7E9D"/>
    <w:rsid w:val="009E23C9"/>
    <w:rsid w:val="009E33B1"/>
    <w:rsid w:val="009E48C7"/>
    <w:rsid w:val="009E5D52"/>
    <w:rsid w:val="009E646B"/>
    <w:rsid w:val="009E7BB1"/>
    <w:rsid w:val="009F3A05"/>
    <w:rsid w:val="009F5EB2"/>
    <w:rsid w:val="009F6D38"/>
    <w:rsid w:val="00A01725"/>
    <w:rsid w:val="00A01B37"/>
    <w:rsid w:val="00A01DA9"/>
    <w:rsid w:val="00A02160"/>
    <w:rsid w:val="00A03214"/>
    <w:rsid w:val="00A03E31"/>
    <w:rsid w:val="00A05F49"/>
    <w:rsid w:val="00A069F9"/>
    <w:rsid w:val="00A145E3"/>
    <w:rsid w:val="00A15CFC"/>
    <w:rsid w:val="00A179AB"/>
    <w:rsid w:val="00A204AE"/>
    <w:rsid w:val="00A23351"/>
    <w:rsid w:val="00A2616B"/>
    <w:rsid w:val="00A266EB"/>
    <w:rsid w:val="00A269E9"/>
    <w:rsid w:val="00A312BF"/>
    <w:rsid w:val="00A36EA4"/>
    <w:rsid w:val="00A377E8"/>
    <w:rsid w:val="00A41452"/>
    <w:rsid w:val="00A415DE"/>
    <w:rsid w:val="00A422BC"/>
    <w:rsid w:val="00A42C0D"/>
    <w:rsid w:val="00A4526F"/>
    <w:rsid w:val="00A46B8B"/>
    <w:rsid w:val="00A47503"/>
    <w:rsid w:val="00A478EB"/>
    <w:rsid w:val="00A51192"/>
    <w:rsid w:val="00A52A54"/>
    <w:rsid w:val="00A57068"/>
    <w:rsid w:val="00A57704"/>
    <w:rsid w:val="00A60A05"/>
    <w:rsid w:val="00A61242"/>
    <w:rsid w:val="00A61FB1"/>
    <w:rsid w:val="00A627C8"/>
    <w:rsid w:val="00A6459D"/>
    <w:rsid w:val="00A648C7"/>
    <w:rsid w:val="00A64CC4"/>
    <w:rsid w:val="00A64ED5"/>
    <w:rsid w:val="00A65ED5"/>
    <w:rsid w:val="00A66AE9"/>
    <w:rsid w:val="00A71D1B"/>
    <w:rsid w:val="00A7248A"/>
    <w:rsid w:val="00A728F5"/>
    <w:rsid w:val="00A75C47"/>
    <w:rsid w:val="00A76B82"/>
    <w:rsid w:val="00A77749"/>
    <w:rsid w:val="00A80F03"/>
    <w:rsid w:val="00A81547"/>
    <w:rsid w:val="00A82E65"/>
    <w:rsid w:val="00A83300"/>
    <w:rsid w:val="00A83B6A"/>
    <w:rsid w:val="00A84535"/>
    <w:rsid w:val="00A86382"/>
    <w:rsid w:val="00A87670"/>
    <w:rsid w:val="00A8798B"/>
    <w:rsid w:val="00A94E04"/>
    <w:rsid w:val="00A956E4"/>
    <w:rsid w:val="00AA1C6F"/>
    <w:rsid w:val="00AA23F4"/>
    <w:rsid w:val="00AA47F1"/>
    <w:rsid w:val="00AA5726"/>
    <w:rsid w:val="00AA5B18"/>
    <w:rsid w:val="00AA6527"/>
    <w:rsid w:val="00AA653E"/>
    <w:rsid w:val="00AA6A49"/>
    <w:rsid w:val="00AB289C"/>
    <w:rsid w:val="00AB29EB"/>
    <w:rsid w:val="00AB3A6E"/>
    <w:rsid w:val="00AB424C"/>
    <w:rsid w:val="00AC10F2"/>
    <w:rsid w:val="00AC1AE4"/>
    <w:rsid w:val="00AC4A30"/>
    <w:rsid w:val="00AC6595"/>
    <w:rsid w:val="00AC7E2F"/>
    <w:rsid w:val="00AD15EC"/>
    <w:rsid w:val="00AD1CDF"/>
    <w:rsid w:val="00AD36A7"/>
    <w:rsid w:val="00AD3726"/>
    <w:rsid w:val="00AD5C76"/>
    <w:rsid w:val="00AD686C"/>
    <w:rsid w:val="00AE3FE2"/>
    <w:rsid w:val="00AF25B0"/>
    <w:rsid w:val="00AF2D6F"/>
    <w:rsid w:val="00AF5CD3"/>
    <w:rsid w:val="00AF6200"/>
    <w:rsid w:val="00AF675C"/>
    <w:rsid w:val="00AF6B19"/>
    <w:rsid w:val="00AF7F2E"/>
    <w:rsid w:val="00B0291C"/>
    <w:rsid w:val="00B04497"/>
    <w:rsid w:val="00B04566"/>
    <w:rsid w:val="00B04820"/>
    <w:rsid w:val="00B1080B"/>
    <w:rsid w:val="00B10C38"/>
    <w:rsid w:val="00B124B6"/>
    <w:rsid w:val="00B13789"/>
    <w:rsid w:val="00B164D9"/>
    <w:rsid w:val="00B208FD"/>
    <w:rsid w:val="00B24627"/>
    <w:rsid w:val="00B31861"/>
    <w:rsid w:val="00B3313D"/>
    <w:rsid w:val="00B3351E"/>
    <w:rsid w:val="00B3639F"/>
    <w:rsid w:val="00B36B2E"/>
    <w:rsid w:val="00B412D6"/>
    <w:rsid w:val="00B431D7"/>
    <w:rsid w:val="00B439FA"/>
    <w:rsid w:val="00B52956"/>
    <w:rsid w:val="00B535AF"/>
    <w:rsid w:val="00B542EF"/>
    <w:rsid w:val="00B57968"/>
    <w:rsid w:val="00B57C17"/>
    <w:rsid w:val="00B612C7"/>
    <w:rsid w:val="00B62761"/>
    <w:rsid w:val="00B637FA"/>
    <w:rsid w:val="00B66553"/>
    <w:rsid w:val="00B73A7B"/>
    <w:rsid w:val="00B73AB1"/>
    <w:rsid w:val="00B751A6"/>
    <w:rsid w:val="00B7539A"/>
    <w:rsid w:val="00B756C4"/>
    <w:rsid w:val="00B7609D"/>
    <w:rsid w:val="00B8259B"/>
    <w:rsid w:val="00B82E77"/>
    <w:rsid w:val="00B84536"/>
    <w:rsid w:val="00B84AAC"/>
    <w:rsid w:val="00B85206"/>
    <w:rsid w:val="00B860B1"/>
    <w:rsid w:val="00B869EB"/>
    <w:rsid w:val="00B934C4"/>
    <w:rsid w:val="00BA2067"/>
    <w:rsid w:val="00BA6FD2"/>
    <w:rsid w:val="00BB25D8"/>
    <w:rsid w:val="00BB4BBF"/>
    <w:rsid w:val="00BB4D0C"/>
    <w:rsid w:val="00BB5960"/>
    <w:rsid w:val="00BB5E62"/>
    <w:rsid w:val="00BB626F"/>
    <w:rsid w:val="00BC5B4C"/>
    <w:rsid w:val="00BC6140"/>
    <w:rsid w:val="00BC678D"/>
    <w:rsid w:val="00BC7C55"/>
    <w:rsid w:val="00BD0012"/>
    <w:rsid w:val="00BD121C"/>
    <w:rsid w:val="00BD5575"/>
    <w:rsid w:val="00BD597E"/>
    <w:rsid w:val="00BD6DBE"/>
    <w:rsid w:val="00BD75CB"/>
    <w:rsid w:val="00BD7C38"/>
    <w:rsid w:val="00BD7D40"/>
    <w:rsid w:val="00BE1FED"/>
    <w:rsid w:val="00BE295A"/>
    <w:rsid w:val="00BE2CAF"/>
    <w:rsid w:val="00BE434D"/>
    <w:rsid w:val="00BF1E21"/>
    <w:rsid w:val="00BF1FEF"/>
    <w:rsid w:val="00BF5C2F"/>
    <w:rsid w:val="00C001DE"/>
    <w:rsid w:val="00C023B0"/>
    <w:rsid w:val="00C0592F"/>
    <w:rsid w:val="00C10306"/>
    <w:rsid w:val="00C11C8C"/>
    <w:rsid w:val="00C129EE"/>
    <w:rsid w:val="00C160E2"/>
    <w:rsid w:val="00C16DB6"/>
    <w:rsid w:val="00C1709C"/>
    <w:rsid w:val="00C21545"/>
    <w:rsid w:val="00C264A0"/>
    <w:rsid w:val="00C34278"/>
    <w:rsid w:val="00C41444"/>
    <w:rsid w:val="00C4180D"/>
    <w:rsid w:val="00C444B6"/>
    <w:rsid w:val="00C44AF3"/>
    <w:rsid w:val="00C50599"/>
    <w:rsid w:val="00C51793"/>
    <w:rsid w:val="00C5280C"/>
    <w:rsid w:val="00C540F1"/>
    <w:rsid w:val="00C55C4B"/>
    <w:rsid w:val="00C56348"/>
    <w:rsid w:val="00C57AD3"/>
    <w:rsid w:val="00C57C4D"/>
    <w:rsid w:val="00C60494"/>
    <w:rsid w:val="00C61198"/>
    <w:rsid w:val="00C62336"/>
    <w:rsid w:val="00C647CB"/>
    <w:rsid w:val="00C6522B"/>
    <w:rsid w:val="00C726F3"/>
    <w:rsid w:val="00C727EE"/>
    <w:rsid w:val="00C73A7A"/>
    <w:rsid w:val="00C73D96"/>
    <w:rsid w:val="00C74175"/>
    <w:rsid w:val="00C74878"/>
    <w:rsid w:val="00C80929"/>
    <w:rsid w:val="00C825CF"/>
    <w:rsid w:val="00C83481"/>
    <w:rsid w:val="00C83FF3"/>
    <w:rsid w:val="00C87CBD"/>
    <w:rsid w:val="00C91F16"/>
    <w:rsid w:val="00C92D13"/>
    <w:rsid w:val="00C94A6F"/>
    <w:rsid w:val="00C965B6"/>
    <w:rsid w:val="00CA5E98"/>
    <w:rsid w:val="00CB07FD"/>
    <w:rsid w:val="00CB3126"/>
    <w:rsid w:val="00CB377E"/>
    <w:rsid w:val="00CB3E8F"/>
    <w:rsid w:val="00CB49FF"/>
    <w:rsid w:val="00CB4E66"/>
    <w:rsid w:val="00CB5D2B"/>
    <w:rsid w:val="00CB66C2"/>
    <w:rsid w:val="00CC7445"/>
    <w:rsid w:val="00CC7519"/>
    <w:rsid w:val="00CC7CAC"/>
    <w:rsid w:val="00CD2718"/>
    <w:rsid w:val="00CD35B1"/>
    <w:rsid w:val="00CD3D05"/>
    <w:rsid w:val="00CE5CDF"/>
    <w:rsid w:val="00CE631D"/>
    <w:rsid w:val="00CE7C17"/>
    <w:rsid w:val="00CF2849"/>
    <w:rsid w:val="00CF4F88"/>
    <w:rsid w:val="00CF51D2"/>
    <w:rsid w:val="00CF62B1"/>
    <w:rsid w:val="00CF6A41"/>
    <w:rsid w:val="00D0789C"/>
    <w:rsid w:val="00D10718"/>
    <w:rsid w:val="00D10801"/>
    <w:rsid w:val="00D1157B"/>
    <w:rsid w:val="00D11811"/>
    <w:rsid w:val="00D12B69"/>
    <w:rsid w:val="00D159C2"/>
    <w:rsid w:val="00D16F2C"/>
    <w:rsid w:val="00D20C76"/>
    <w:rsid w:val="00D23015"/>
    <w:rsid w:val="00D25A13"/>
    <w:rsid w:val="00D25B65"/>
    <w:rsid w:val="00D268C2"/>
    <w:rsid w:val="00D27DD9"/>
    <w:rsid w:val="00D32124"/>
    <w:rsid w:val="00D32A02"/>
    <w:rsid w:val="00D335BF"/>
    <w:rsid w:val="00D33AD4"/>
    <w:rsid w:val="00D3529A"/>
    <w:rsid w:val="00D359CE"/>
    <w:rsid w:val="00D35D2B"/>
    <w:rsid w:val="00D36105"/>
    <w:rsid w:val="00D36E22"/>
    <w:rsid w:val="00D419C8"/>
    <w:rsid w:val="00D42792"/>
    <w:rsid w:val="00D4529F"/>
    <w:rsid w:val="00D457AC"/>
    <w:rsid w:val="00D45A6C"/>
    <w:rsid w:val="00D46846"/>
    <w:rsid w:val="00D5348E"/>
    <w:rsid w:val="00D5437C"/>
    <w:rsid w:val="00D61481"/>
    <w:rsid w:val="00D617F6"/>
    <w:rsid w:val="00D621E6"/>
    <w:rsid w:val="00D62324"/>
    <w:rsid w:val="00D6399A"/>
    <w:rsid w:val="00D63FD4"/>
    <w:rsid w:val="00D66302"/>
    <w:rsid w:val="00D66D24"/>
    <w:rsid w:val="00D67113"/>
    <w:rsid w:val="00D70105"/>
    <w:rsid w:val="00D7180D"/>
    <w:rsid w:val="00D737BD"/>
    <w:rsid w:val="00D77A73"/>
    <w:rsid w:val="00D81B14"/>
    <w:rsid w:val="00D81FF0"/>
    <w:rsid w:val="00D822F3"/>
    <w:rsid w:val="00D83861"/>
    <w:rsid w:val="00D879DA"/>
    <w:rsid w:val="00D91794"/>
    <w:rsid w:val="00D927C2"/>
    <w:rsid w:val="00D92C41"/>
    <w:rsid w:val="00D93497"/>
    <w:rsid w:val="00D94852"/>
    <w:rsid w:val="00D94F20"/>
    <w:rsid w:val="00D97621"/>
    <w:rsid w:val="00DA0994"/>
    <w:rsid w:val="00DA09E0"/>
    <w:rsid w:val="00DA583F"/>
    <w:rsid w:val="00DA6567"/>
    <w:rsid w:val="00DA7102"/>
    <w:rsid w:val="00DB07E2"/>
    <w:rsid w:val="00DB131C"/>
    <w:rsid w:val="00DB3F0E"/>
    <w:rsid w:val="00DB42E0"/>
    <w:rsid w:val="00DB4AFC"/>
    <w:rsid w:val="00DC014A"/>
    <w:rsid w:val="00DC06A8"/>
    <w:rsid w:val="00DC247C"/>
    <w:rsid w:val="00DC3090"/>
    <w:rsid w:val="00DC30C8"/>
    <w:rsid w:val="00DC4399"/>
    <w:rsid w:val="00DC5915"/>
    <w:rsid w:val="00DC6A4E"/>
    <w:rsid w:val="00DC728F"/>
    <w:rsid w:val="00DD2655"/>
    <w:rsid w:val="00DD57A2"/>
    <w:rsid w:val="00DD62DD"/>
    <w:rsid w:val="00DE1087"/>
    <w:rsid w:val="00DE1958"/>
    <w:rsid w:val="00DE1A24"/>
    <w:rsid w:val="00DE39B7"/>
    <w:rsid w:val="00DE6801"/>
    <w:rsid w:val="00DF013E"/>
    <w:rsid w:val="00DF0295"/>
    <w:rsid w:val="00DF24D3"/>
    <w:rsid w:val="00DF336A"/>
    <w:rsid w:val="00DF5ADE"/>
    <w:rsid w:val="00E01AAD"/>
    <w:rsid w:val="00E01D23"/>
    <w:rsid w:val="00E05381"/>
    <w:rsid w:val="00E05981"/>
    <w:rsid w:val="00E0690F"/>
    <w:rsid w:val="00E0781A"/>
    <w:rsid w:val="00E136C9"/>
    <w:rsid w:val="00E151CA"/>
    <w:rsid w:val="00E23272"/>
    <w:rsid w:val="00E244E8"/>
    <w:rsid w:val="00E26038"/>
    <w:rsid w:val="00E30C86"/>
    <w:rsid w:val="00E30F4D"/>
    <w:rsid w:val="00E4190B"/>
    <w:rsid w:val="00E47621"/>
    <w:rsid w:val="00E5174F"/>
    <w:rsid w:val="00E51D98"/>
    <w:rsid w:val="00E5305C"/>
    <w:rsid w:val="00E5764F"/>
    <w:rsid w:val="00E62B09"/>
    <w:rsid w:val="00E644B3"/>
    <w:rsid w:val="00E65FEF"/>
    <w:rsid w:val="00E67233"/>
    <w:rsid w:val="00E67FB2"/>
    <w:rsid w:val="00E70129"/>
    <w:rsid w:val="00E772EB"/>
    <w:rsid w:val="00E80135"/>
    <w:rsid w:val="00E80314"/>
    <w:rsid w:val="00E80928"/>
    <w:rsid w:val="00E830BB"/>
    <w:rsid w:val="00E84033"/>
    <w:rsid w:val="00E8606A"/>
    <w:rsid w:val="00E87115"/>
    <w:rsid w:val="00E90C70"/>
    <w:rsid w:val="00E92FD8"/>
    <w:rsid w:val="00E93556"/>
    <w:rsid w:val="00E96189"/>
    <w:rsid w:val="00E96304"/>
    <w:rsid w:val="00E96CE8"/>
    <w:rsid w:val="00E9793C"/>
    <w:rsid w:val="00EA0D9F"/>
    <w:rsid w:val="00EA2289"/>
    <w:rsid w:val="00EA5B8D"/>
    <w:rsid w:val="00EB0BC8"/>
    <w:rsid w:val="00EB1EB2"/>
    <w:rsid w:val="00EB1EC9"/>
    <w:rsid w:val="00EB6706"/>
    <w:rsid w:val="00EC0388"/>
    <w:rsid w:val="00EC2EA5"/>
    <w:rsid w:val="00EC5BD2"/>
    <w:rsid w:val="00EC6470"/>
    <w:rsid w:val="00EC64CD"/>
    <w:rsid w:val="00ED5CA1"/>
    <w:rsid w:val="00ED60CF"/>
    <w:rsid w:val="00EE28F1"/>
    <w:rsid w:val="00EE4CC1"/>
    <w:rsid w:val="00EE6A96"/>
    <w:rsid w:val="00EE75B7"/>
    <w:rsid w:val="00EF2654"/>
    <w:rsid w:val="00EF4320"/>
    <w:rsid w:val="00EF7347"/>
    <w:rsid w:val="00EF7EE3"/>
    <w:rsid w:val="00F02F40"/>
    <w:rsid w:val="00F030DB"/>
    <w:rsid w:val="00F052D2"/>
    <w:rsid w:val="00F103D4"/>
    <w:rsid w:val="00F108E1"/>
    <w:rsid w:val="00F110A3"/>
    <w:rsid w:val="00F130EC"/>
    <w:rsid w:val="00F17DE8"/>
    <w:rsid w:val="00F22310"/>
    <w:rsid w:val="00F2291F"/>
    <w:rsid w:val="00F27FF8"/>
    <w:rsid w:val="00F33D83"/>
    <w:rsid w:val="00F348C0"/>
    <w:rsid w:val="00F364DF"/>
    <w:rsid w:val="00F41169"/>
    <w:rsid w:val="00F452B7"/>
    <w:rsid w:val="00F453B8"/>
    <w:rsid w:val="00F47EDB"/>
    <w:rsid w:val="00F52FE9"/>
    <w:rsid w:val="00F54A0A"/>
    <w:rsid w:val="00F569CF"/>
    <w:rsid w:val="00F63EC2"/>
    <w:rsid w:val="00F64141"/>
    <w:rsid w:val="00F6557C"/>
    <w:rsid w:val="00F65EA8"/>
    <w:rsid w:val="00F71C20"/>
    <w:rsid w:val="00F75944"/>
    <w:rsid w:val="00F767BC"/>
    <w:rsid w:val="00F80078"/>
    <w:rsid w:val="00F8270E"/>
    <w:rsid w:val="00F8294C"/>
    <w:rsid w:val="00F9187D"/>
    <w:rsid w:val="00F926C4"/>
    <w:rsid w:val="00F960A6"/>
    <w:rsid w:val="00FA0849"/>
    <w:rsid w:val="00FA0AAB"/>
    <w:rsid w:val="00FA3615"/>
    <w:rsid w:val="00FA42D4"/>
    <w:rsid w:val="00FA4760"/>
    <w:rsid w:val="00FA6DEB"/>
    <w:rsid w:val="00FA7796"/>
    <w:rsid w:val="00FB15BA"/>
    <w:rsid w:val="00FB1895"/>
    <w:rsid w:val="00FB4338"/>
    <w:rsid w:val="00FB53B9"/>
    <w:rsid w:val="00FB688F"/>
    <w:rsid w:val="00FB7C67"/>
    <w:rsid w:val="00FC2B06"/>
    <w:rsid w:val="00FC2D5B"/>
    <w:rsid w:val="00FC5D07"/>
    <w:rsid w:val="00FD0456"/>
    <w:rsid w:val="00FD25DD"/>
    <w:rsid w:val="00FD2FE0"/>
    <w:rsid w:val="00FD6692"/>
    <w:rsid w:val="00FD6AB9"/>
    <w:rsid w:val="00FD7AEE"/>
    <w:rsid w:val="00FE04F5"/>
    <w:rsid w:val="00FE3E89"/>
    <w:rsid w:val="00FE4365"/>
    <w:rsid w:val="00FE62C0"/>
    <w:rsid w:val="00FE6C0B"/>
    <w:rsid w:val="00FF0E5B"/>
    <w:rsid w:val="00FF1161"/>
    <w:rsid w:val="00FF159E"/>
    <w:rsid w:val="00FF2198"/>
    <w:rsid w:val="00FF31A3"/>
    <w:rsid w:val="00FF6116"/>
    <w:rsid w:val="00FF6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7303E"/>
  <w15:chartTrackingRefBased/>
  <w15:docId w15:val="{20AD8DFA-94A9-4D63-8BE6-D06FCAB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6A9B"/>
    <w:pPr>
      <w:spacing w:after="0"/>
      <w:jc w:val="both"/>
    </w:pPr>
    <w:rPr>
      <w:rFonts w:cs="Times New Roman"/>
      <w:sz w:val="24"/>
      <w:szCs w:val="24"/>
    </w:rPr>
  </w:style>
  <w:style w:type="paragraph" w:styleId="Heading1">
    <w:name w:val="heading 1"/>
    <w:basedOn w:val="Normal"/>
    <w:next w:val="ListParagraph"/>
    <w:link w:val="Heading1Char"/>
    <w:uiPriority w:val="9"/>
    <w:qFormat/>
    <w:rsid w:val="002D7526"/>
    <w:pPr>
      <w:numPr>
        <w:numId w:val="7"/>
      </w:numPr>
      <w:spacing w:before="240" w:after="360"/>
      <w:outlineLvl w:val="0"/>
    </w:pPr>
    <w:rPr>
      <w:rFonts w:eastAsia="Times New Roman" w:cstheme="majorBidi"/>
      <w:b/>
      <w:color w:val="2E74B5" w:themeColor="accent1" w:themeShade="BF"/>
      <w:sz w:val="32"/>
      <w:szCs w:val="32"/>
    </w:rPr>
  </w:style>
  <w:style w:type="paragraph" w:styleId="Heading2">
    <w:name w:val="heading 2"/>
    <w:basedOn w:val="ListParagraph"/>
    <w:next w:val="Body"/>
    <w:link w:val="Heading2Char"/>
    <w:qFormat/>
    <w:rsid w:val="00374D25"/>
    <w:pPr>
      <w:numPr>
        <w:numId w:val="2"/>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002"/>
    <w:pPr>
      <w:numPr>
        <w:numId w:val="26"/>
      </w:numPr>
      <w:spacing w:before="240" w:after="240"/>
    </w:pPr>
  </w:style>
  <w:style w:type="paragraph" w:styleId="NoSpacing">
    <w:name w:val="No Spacing"/>
    <w:uiPriority w:val="1"/>
    <w:qFormat/>
    <w:rsid w:val="00071500"/>
    <w:pPr>
      <w:spacing w:after="0" w:line="240" w:lineRule="auto"/>
    </w:pPr>
  </w:style>
  <w:style w:type="table" w:styleId="TableGrid">
    <w:name w:val="Table Grid"/>
    <w:basedOn w:val="TableNormal"/>
    <w:uiPriority w:val="39"/>
    <w:rsid w:val="00F13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77A"/>
    <w:pPr>
      <w:tabs>
        <w:tab w:val="center" w:pos="4680"/>
        <w:tab w:val="right" w:pos="9360"/>
      </w:tabs>
      <w:spacing w:line="240" w:lineRule="auto"/>
    </w:pPr>
  </w:style>
  <w:style w:type="character" w:customStyle="1" w:styleId="HeaderChar">
    <w:name w:val="Header Char"/>
    <w:basedOn w:val="DefaultParagraphFont"/>
    <w:link w:val="Header"/>
    <w:uiPriority w:val="99"/>
    <w:rsid w:val="0013377A"/>
  </w:style>
  <w:style w:type="paragraph" w:styleId="Footer">
    <w:name w:val="footer"/>
    <w:basedOn w:val="Normal"/>
    <w:link w:val="FooterChar"/>
    <w:uiPriority w:val="99"/>
    <w:unhideWhenUsed/>
    <w:rsid w:val="0013377A"/>
    <w:pPr>
      <w:tabs>
        <w:tab w:val="center" w:pos="4680"/>
        <w:tab w:val="right" w:pos="9360"/>
      </w:tabs>
      <w:spacing w:line="240" w:lineRule="auto"/>
    </w:pPr>
  </w:style>
  <w:style w:type="character" w:customStyle="1" w:styleId="FooterChar">
    <w:name w:val="Footer Char"/>
    <w:basedOn w:val="DefaultParagraphFont"/>
    <w:link w:val="Footer"/>
    <w:uiPriority w:val="99"/>
    <w:rsid w:val="0013377A"/>
  </w:style>
  <w:style w:type="paragraph" w:styleId="FootnoteText">
    <w:name w:val="footnote text"/>
    <w:basedOn w:val="Normal"/>
    <w:link w:val="FootnoteTextChar"/>
    <w:uiPriority w:val="99"/>
    <w:unhideWhenUsed/>
    <w:rsid w:val="00492271"/>
    <w:pPr>
      <w:spacing w:line="240" w:lineRule="auto"/>
    </w:pPr>
    <w:rPr>
      <w:sz w:val="20"/>
      <w:szCs w:val="20"/>
    </w:rPr>
  </w:style>
  <w:style w:type="character" w:customStyle="1" w:styleId="FootnoteTextChar">
    <w:name w:val="Footnote Text Char"/>
    <w:basedOn w:val="DefaultParagraphFont"/>
    <w:link w:val="FootnoteText"/>
    <w:uiPriority w:val="99"/>
    <w:rsid w:val="00492271"/>
    <w:rPr>
      <w:sz w:val="20"/>
      <w:szCs w:val="20"/>
    </w:rPr>
  </w:style>
  <w:style w:type="character" w:styleId="FootnoteReference">
    <w:name w:val="footnote reference"/>
    <w:basedOn w:val="DefaultParagraphFont"/>
    <w:uiPriority w:val="99"/>
    <w:unhideWhenUsed/>
    <w:rsid w:val="00492271"/>
    <w:rPr>
      <w:vertAlign w:val="superscript"/>
    </w:rPr>
  </w:style>
  <w:style w:type="character" w:styleId="CommentReference">
    <w:name w:val="annotation reference"/>
    <w:basedOn w:val="DefaultParagraphFont"/>
    <w:uiPriority w:val="99"/>
    <w:semiHidden/>
    <w:unhideWhenUsed/>
    <w:rsid w:val="00DD62DD"/>
    <w:rPr>
      <w:sz w:val="16"/>
      <w:szCs w:val="16"/>
    </w:rPr>
  </w:style>
  <w:style w:type="paragraph" w:styleId="CommentText">
    <w:name w:val="annotation text"/>
    <w:basedOn w:val="Normal"/>
    <w:link w:val="CommentTextChar"/>
    <w:uiPriority w:val="99"/>
    <w:unhideWhenUsed/>
    <w:rsid w:val="00DD62DD"/>
    <w:pPr>
      <w:spacing w:line="240" w:lineRule="auto"/>
    </w:pPr>
    <w:rPr>
      <w:sz w:val="20"/>
      <w:szCs w:val="20"/>
    </w:rPr>
  </w:style>
  <w:style w:type="character" w:customStyle="1" w:styleId="CommentTextChar">
    <w:name w:val="Comment Text Char"/>
    <w:basedOn w:val="DefaultParagraphFont"/>
    <w:link w:val="CommentText"/>
    <w:uiPriority w:val="99"/>
    <w:rsid w:val="00DD62DD"/>
    <w:rPr>
      <w:sz w:val="20"/>
      <w:szCs w:val="20"/>
    </w:rPr>
  </w:style>
  <w:style w:type="paragraph" w:styleId="CommentSubject">
    <w:name w:val="annotation subject"/>
    <w:basedOn w:val="CommentText"/>
    <w:next w:val="CommentText"/>
    <w:link w:val="CommentSubjectChar"/>
    <w:uiPriority w:val="99"/>
    <w:semiHidden/>
    <w:unhideWhenUsed/>
    <w:rsid w:val="00DD62DD"/>
    <w:rPr>
      <w:b/>
      <w:bCs/>
    </w:rPr>
  </w:style>
  <w:style w:type="character" w:customStyle="1" w:styleId="CommentSubjectChar">
    <w:name w:val="Comment Subject Char"/>
    <w:basedOn w:val="CommentTextChar"/>
    <w:link w:val="CommentSubject"/>
    <w:uiPriority w:val="99"/>
    <w:semiHidden/>
    <w:rsid w:val="00DD62DD"/>
    <w:rPr>
      <w:b/>
      <w:bCs/>
      <w:sz w:val="20"/>
      <w:szCs w:val="20"/>
    </w:rPr>
  </w:style>
  <w:style w:type="paragraph" w:styleId="BalloonText">
    <w:name w:val="Balloon Text"/>
    <w:basedOn w:val="Normal"/>
    <w:link w:val="BalloonTextChar"/>
    <w:uiPriority w:val="99"/>
    <w:semiHidden/>
    <w:unhideWhenUsed/>
    <w:rsid w:val="00DD62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DD"/>
    <w:rPr>
      <w:rFonts w:ascii="Segoe UI" w:hAnsi="Segoe UI" w:cs="Segoe UI"/>
      <w:sz w:val="18"/>
      <w:szCs w:val="18"/>
    </w:rPr>
  </w:style>
  <w:style w:type="character" w:customStyle="1" w:styleId="Heading2Char">
    <w:name w:val="Heading 2 Char"/>
    <w:basedOn w:val="DefaultParagraphFont"/>
    <w:link w:val="Heading2"/>
    <w:rsid w:val="00374D25"/>
    <w:rPr>
      <w:rFonts w:ascii="Times New Roman" w:hAnsi="Times New Roman" w:cs="Times New Roman"/>
      <w:b/>
    </w:rPr>
  </w:style>
  <w:style w:type="paragraph" w:customStyle="1" w:styleId="Body">
    <w:name w:val="Body"/>
    <w:rsid w:val="00517F65"/>
    <w:pPr>
      <w:spacing w:after="0" w:line="240" w:lineRule="auto"/>
    </w:pPr>
    <w:rPr>
      <w:rFonts w:ascii="Helvetica" w:eastAsia="ヒラギノ角ゴ Pro W3" w:hAnsi="Helvetica" w:cs="Times New Roman"/>
      <w:color w:val="000000"/>
      <w:sz w:val="24"/>
      <w:szCs w:val="20"/>
    </w:rPr>
  </w:style>
  <w:style w:type="paragraph" w:styleId="DocumentMap">
    <w:name w:val="Document Map"/>
    <w:basedOn w:val="Normal"/>
    <w:link w:val="DocumentMapChar"/>
    <w:uiPriority w:val="99"/>
    <w:semiHidden/>
    <w:unhideWhenUsed/>
    <w:rsid w:val="009E646B"/>
    <w:pPr>
      <w:spacing w:line="240" w:lineRule="auto"/>
    </w:pPr>
  </w:style>
  <w:style w:type="character" w:customStyle="1" w:styleId="DocumentMapChar">
    <w:name w:val="Document Map Char"/>
    <w:basedOn w:val="DefaultParagraphFont"/>
    <w:link w:val="DocumentMap"/>
    <w:uiPriority w:val="99"/>
    <w:semiHidden/>
    <w:rsid w:val="009E646B"/>
    <w:rPr>
      <w:rFonts w:ascii="Times New Roman" w:hAnsi="Times New Roman" w:cs="Times New Roman"/>
      <w:sz w:val="24"/>
      <w:szCs w:val="24"/>
    </w:rPr>
  </w:style>
  <w:style w:type="character" w:customStyle="1" w:styleId="Heading1Char">
    <w:name w:val="Heading 1 Char"/>
    <w:basedOn w:val="DefaultParagraphFont"/>
    <w:link w:val="Heading1"/>
    <w:uiPriority w:val="9"/>
    <w:rsid w:val="002D7526"/>
    <w:rPr>
      <w:rFonts w:eastAsia="Times New Roman" w:cstheme="majorBidi"/>
      <w:b/>
      <w:color w:val="2E74B5" w:themeColor="accent1" w:themeShade="BF"/>
      <w:sz w:val="32"/>
      <w:szCs w:val="32"/>
    </w:rPr>
  </w:style>
  <w:style w:type="paragraph" w:styleId="Caption">
    <w:name w:val="caption"/>
    <w:next w:val="Normal"/>
    <w:link w:val="CaptionChar"/>
    <w:uiPriority w:val="35"/>
    <w:unhideWhenUsed/>
    <w:qFormat/>
    <w:rsid w:val="00CC7CAC"/>
    <w:pPr>
      <w:keepNext/>
      <w:keepLines/>
      <w:spacing w:after="200" w:line="240" w:lineRule="auto"/>
      <w:jc w:val="center"/>
    </w:pPr>
    <w:rPr>
      <w:rFonts w:cs="Times New Roman"/>
      <w:b/>
      <w:bCs/>
      <w:sz w:val="18"/>
      <w:szCs w:val="18"/>
    </w:rPr>
  </w:style>
  <w:style w:type="character" w:customStyle="1" w:styleId="CaptionChar">
    <w:name w:val="Caption Char"/>
    <w:basedOn w:val="DefaultParagraphFont"/>
    <w:link w:val="Caption"/>
    <w:uiPriority w:val="35"/>
    <w:rsid w:val="00CC7CAC"/>
    <w:rPr>
      <w:rFonts w:cs="Times New Roman"/>
      <w:b/>
      <w:bCs/>
      <w:sz w:val="18"/>
      <w:szCs w:val="18"/>
    </w:rPr>
  </w:style>
  <w:style w:type="character" w:styleId="SubtleReference">
    <w:name w:val="Subtle Reference"/>
    <w:aliases w:val="Référence"/>
    <w:uiPriority w:val="31"/>
    <w:qFormat/>
    <w:rsid w:val="0001588E"/>
    <w:rPr>
      <w:i/>
      <w:color w:val="000000"/>
      <w:sz w:val="20"/>
      <w:szCs w:val="20"/>
    </w:rPr>
  </w:style>
  <w:style w:type="paragraph" w:styleId="TOCHeading">
    <w:name w:val="TOC Heading"/>
    <w:basedOn w:val="Heading1"/>
    <w:next w:val="Normal"/>
    <w:uiPriority w:val="39"/>
    <w:unhideWhenUsed/>
    <w:qFormat/>
    <w:rsid w:val="00CD35B1"/>
    <w:pPr>
      <w:keepNext/>
      <w:keepLines/>
      <w:spacing w:before="480" w:line="276" w:lineRule="auto"/>
      <w:jc w:val="left"/>
      <w:outlineLvl w:val="9"/>
    </w:pPr>
    <w:rPr>
      <w:rFonts w:asciiTheme="majorHAnsi" w:eastAsiaTheme="majorEastAsia" w:hAnsiTheme="majorHAnsi"/>
      <w:bCs/>
      <w:szCs w:val="28"/>
      <w:lang w:val="fr-FR" w:eastAsia="fr-FR"/>
    </w:rPr>
  </w:style>
  <w:style w:type="paragraph" w:styleId="TOC1">
    <w:name w:val="toc 1"/>
    <w:basedOn w:val="Normal"/>
    <w:next w:val="Normal"/>
    <w:autoRedefine/>
    <w:uiPriority w:val="39"/>
    <w:unhideWhenUsed/>
    <w:rsid w:val="00EC0388"/>
    <w:pPr>
      <w:spacing w:before="120" w:after="120"/>
      <w:jc w:val="left"/>
    </w:pPr>
    <w:rPr>
      <w:b/>
      <w:bCs/>
      <w:caps/>
      <w:sz w:val="20"/>
      <w:szCs w:val="20"/>
    </w:rPr>
  </w:style>
  <w:style w:type="paragraph" w:styleId="TOC2">
    <w:name w:val="toc 2"/>
    <w:basedOn w:val="Normal"/>
    <w:next w:val="Normal"/>
    <w:autoRedefine/>
    <w:uiPriority w:val="39"/>
    <w:unhideWhenUsed/>
    <w:rsid w:val="007D38DE"/>
    <w:pPr>
      <w:ind w:left="240"/>
      <w:jc w:val="left"/>
    </w:pPr>
    <w:rPr>
      <w:smallCaps/>
      <w:sz w:val="20"/>
      <w:szCs w:val="20"/>
    </w:rPr>
  </w:style>
  <w:style w:type="character" w:styleId="Hyperlink">
    <w:name w:val="Hyperlink"/>
    <w:basedOn w:val="DefaultParagraphFont"/>
    <w:uiPriority w:val="99"/>
    <w:unhideWhenUsed/>
    <w:rsid w:val="00CD35B1"/>
    <w:rPr>
      <w:color w:val="0563C1" w:themeColor="hyperlink"/>
      <w:u w:val="single"/>
    </w:rPr>
  </w:style>
  <w:style w:type="paragraph" w:styleId="TOC3">
    <w:name w:val="toc 3"/>
    <w:basedOn w:val="Normal"/>
    <w:next w:val="Normal"/>
    <w:autoRedefine/>
    <w:uiPriority w:val="39"/>
    <w:unhideWhenUsed/>
    <w:rsid w:val="00CD35B1"/>
    <w:pPr>
      <w:ind w:left="480"/>
      <w:jc w:val="left"/>
    </w:pPr>
    <w:rPr>
      <w:i/>
      <w:iCs/>
      <w:sz w:val="20"/>
      <w:szCs w:val="20"/>
    </w:rPr>
  </w:style>
  <w:style w:type="paragraph" w:styleId="TOC4">
    <w:name w:val="toc 4"/>
    <w:basedOn w:val="Normal"/>
    <w:next w:val="Normal"/>
    <w:autoRedefine/>
    <w:uiPriority w:val="39"/>
    <w:unhideWhenUsed/>
    <w:rsid w:val="00CD35B1"/>
    <w:pPr>
      <w:ind w:left="720"/>
      <w:jc w:val="left"/>
    </w:pPr>
    <w:rPr>
      <w:sz w:val="18"/>
      <w:szCs w:val="18"/>
    </w:rPr>
  </w:style>
  <w:style w:type="paragraph" w:styleId="TOC5">
    <w:name w:val="toc 5"/>
    <w:basedOn w:val="Normal"/>
    <w:next w:val="Normal"/>
    <w:autoRedefine/>
    <w:uiPriority w:val="39"/>
    <w:unhideWhenUsed/>
    <w:rsid w:val="00CD35B1"/>
    <w:pPr>
      <w:ind w:left="960"/>
      <w:jc w:val="left"/>
    </w:pPr>
    <w:rPr>
      <w:sz w:val="18"/>
      <w:szCs w:val="18"/>
    </w:rPr>
  </w:style>
  <w:style w:type="paragraph" w:styleId="TOC6">
    <w:name w:val="toc 6"/>
    <w:basedOn w:val="Normal"/>
    <w:next w:val="Normal"/>
    <w:autoRedefine/>
    <w:uiPriority w:val="39"/>
    <w:unhideWhenUsed/>
    <w:rsid w:val="00CD35B1"/>
    <w:pPr>
      <w:ind w:left="1200"/>
      <w:jc w:val="left"/>
    </w:pPr>
    <w:rPr>
      <w:sz w:val="18"/>
      <w:szCs w:val="18"/>
    </w:rPr>
  </w:style>
  <w:style w:type="paragraph" w:styleId="TOC7">
    <w:name w:val="toc 7"/>
    <w:basedOn w:val="Normal"/>
    <w:next w:val="Normal"/>
    <w:autoRedefine/>
    <w:uiPriority w:val="39"/>
    <w:unhideWhenUsed/>
    <w:rsid w:val="00CD35B1"/>
    <w:pPr>
      <w:ind w:left="1440"/>
      <w:jc w:val="left"/>
    </w:pPr>
    <w:rPr>
      <w:sz w:val="18"/>
      <w:szCs w:val="18"/>
    </w:rPr>
  </w:style>
  <w:style w:type="paragraph" w:styleId="TOC8">
    <w:name w:val="toc 8"/>
    <w:basedOn w:val="Normal"/>
    <w:next w:val="Normal"/>
    <w:autoRedefine/>
    <w:uiPriority w:val="39"/>
    <w:unhideWhenUsed/>
    <w:rsid w:val="00CD35B1"/>
    <w:pPr>
      <w:ind w:left="1680"/>
      <w:jc w:val="left"/>
    </w:pPr>
    <w:rPr>
      <w:sz w:val="18"/>
      <w:szCs w:val="18"/>
    </w:rPr>
  </w:style>
  <w:style w:type="paragraph" w:styleId="TOC9">
    <w:name w:val="toc 9"/>
    <w:basedOn w:val="Normal"/>
    <w:next w:val="Normal"/>
    <w:autoRedefine/>
    <w:uiPriority w:val="39"/>
    <w:unhideWhenUsed/>
    <w:rsid w:val="00CD35B1"/>
    <w:pPr>
      <w:ind w:left="1920"/>
      <w:jc w:val="left"/>
    </w:pPr>
    <w:rPr>
      <w:sz w:val="18"/>
      <w:szCs w:val="18"/>
    </w:rPr>
  </w:style>
  <w:style w:type="table" w:styleId="TableGridLight">
    <w:name w:val="Grid Table Light"/>
    <w:basedOn w:val="TableNormal"/>
    <w:uiPriority w:val="40"/>
    <w:rsid w:val="007A34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5">
    <w:name w:val="Grid Table 4 Accent 5"/>
    <w:basedOn w:val="TableNormal"/>
    <w:uiPriority w:val="49"/>
    <w:rsid w:val="007A345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PlainTable1">
    <w:name w:val="Plain Table 1"/>
    <w:basedOn w:val="TableNormal"/>
    <w:uiPriority w:val="41"/>
    <w:rsid w:val="00BE43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Numbering">
    <w:name w:val="Paragraph Numbering"/>
    <w:basedOn w:val="Normal"/>
    <w:link w:val="ParagraphNumberingChar"/>
    <w:uiPriority w:val="1"/>
    <w:qFormat/>
    <w:rsid w:val="00C023B0"/>
    <w:pPr>
      <w:numPr>
        <w:numId w:val="1"/>
      </w:numPr>
      <w:spacing w:after="240" w:line="240" w:lineRule="auto"/>
      <w:jc w:val="left"/>
    </w:pPr>
    <w:rPr>
      <w:rFonts w:eastAsia="Times New Roman"/>
    </w:rPr>
  </w:style>
  <w:style w:type="character" w:customStyle="1" w:styleId="ParagraphNumberingChar">
    <w:name w:val="Paragraph Numbering Char"/>
    <w:basedOn w:val="DefaultParagraphFont"/>
    <w:link w:val="ParagraphNumbering"/>
    <w:uiPriority w:val="1"/>
    <w:rsid w:val="00C023B0"/>
    <w:rPr>
      <w:rFonts w:ascii="Times New Roman" w:eastAsia="Times New Roman" w:hAnsi="Times New Roman" w:cs="Times New Roman"/>
      <w:sz w:val="24"/>
      <w:szCs w:val="24"/>
    </w:rPr>
  </w:style>
  <w:style w:type="paragraph" w:customStyle="1" w:styleId="Default">
    <w:name w:val="Default"/>
    <w:rsid w:val="00895F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withoutnumber">
    <w:name w:val="Heading without number"/>
    <w:basedOn w:val="Heading1"/>
    <w:qFormat/>
    <w:rsid w:val="00846753"/>
    <w:pPr>
      <w:numPr>
        <w:numId w:val="0"/>
      </w:numPr>
      <w:ind w:left="360" w:hanging="360"/>
    </w:pPr>
    <w:rPr>
      <w:rFonts w:eastAsiaTheme="majorEastAsia"/>
    </w:rPr>
  </w:style>
  <w:style w:type="paragraph" w:customStyle="1" w:styleId="Section">
    <w:name w:val="Section"/>
    <w:basedOn w:val="Normal"/>
    <w:next w:val="Normal"/>
    <w:qFormat/>
    <w:rsid w:val="00E51D98"/>
    <w:pPr>
      <w:pBdr>
        <w:bottom w:val="single" w:sz="4" w:space="1" w:color="002060"/>
      </w:pBdr>
      <w:spacing w:after="160"/>
      <w:ind w:left="288"/>
      <w:jc w:val="left"/>
    </w:pPr>
    <w:rPr>
      <w:b/>
      <w:color w:val="0070C0"/>
    </w:rPr>
  </w:style>
  <w:style w:type="paragraph" w:customStyle="1" w:styleId="Tabletext">
    <w:name w:val="Table text"/>
    <w:basedOn w:val="Normal"/>
    <w:qFormat/>
    <w:rsid w:val="002D7526"/>
    <w:pPr>
      <w:spacing w:line="240" w:lineRule="auto"/>
    </w:pPr>
  </w:style>
  <w:style w:type="paragraph" w:customStyle="1" w:styleId="ReportNo">
    <w:name w:val="Report No."/>
    <w:basedOn w:val="Normal"/>
    <w:qFormat/>
    <w:rsid w:val="007B4C34"/>
    <w:pPr>
      <w:jc w:val="right"/>
    </w:pPr>
    <w:rPr>
      <w:b/>
      <w:noProof/>
    </w:rPr>
  </w:style>
  <w:style w:type="paragraph" w:customStyle="1" w:styleId="Titlegraphic">
    <w:name w:val="Title graphic"/>
    <w:basedOn w:val="Normal"/>
    <w:qFormat/>
    <w:rsid w:val="007B4C34"/>
    <w:pPr>
      <w:jc w:val="center"/>
    </w:pPr>
    <w:rPr>
      <w:noProof/>
    </w:rPr>
  </w:style>
  <w:style w:type="paragraph" w:customStyle="1" w:styleId="Titlepagetext">
    <w:name w:val="Title page text"/>
    <w:basedOn w:val="Normal"/>
    <w:qFormat/>
    <w:rsid w:val="007B4C34"/>
    <w:pPr>
      <w:jc w:val="center"/>
    </w:pPr>
    <w:rPr>
      <w:b/>
      <w:color w:val="0070C0"/>
      <w:sz w:val="40"/>
    </w:rPr>
  </w:style>
  <w:style w:type="paragraph" w:customStyle="1" w:styleId="Titledate">
    <w:name w:val="Title date"/>
    <w:basedOn w:val="Titlepagetext"/>
    <w:qFormat/>
    <w:rsid w:val="003D2476"/>
    <w:rPr>
      <w:sz w:val="32"/>
    </w:rPr>
  </w:style>
  <w:style w:type="paragraph" w:customStyle="1" w:styleId="PageNumber1">
    <w:name w:val="Page Number1"/>
    <w:basedOn w:val="Footer"/>
    <w:qFormat/>
    <w:rsid w:val="00066A9B"/>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37252">
      <w:bodyDiv w:val="1"/>
      <w:marLeft w:val="0"/>
      <w:marRight w:val="0"/>
      <w:marTop w:val="0"/>
      <w:marBottom w:val="0"/>
      <w:divBdr>
        <w:top w:val="none" w:sz="0" w:space="0" w:color="auto"/>
        <w:left w:val="none" w:sz="0" w:space="0" w:color="auto"/>
        <w:bottom w:val="none" w:sz="0" w:space="0" w:color="auto"/>
        <w:right w:val="none" w:sz="0" w:space="0" w:color="auto"/>
      </w:divBdr>
    </w:div>
    <w:div w:id="160348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ubrights@worldbank.org" TargetMode="External"/><Relationship Id="rId4" Type="http://schemas.openxmlformats.org/officeDocument/2006/relationships/settings" Target="settings.xml"/><Relationship Id="rId9" Type="http://schemas.openxmlformats.org/officeDocument/2006/relationships/hyperlink" Target="http://www.copyright.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2FAA2-12F3-453C-B3F6-75BFF6D1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7409</Words>
  <Characters>42237</Characters>
  <Application>Microsoft Office Word</Application>
  <DocSecurity>0</DocSecurity>
  <Lines>351</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Halewood</dc:creator>
  <cp:keywords/>
  <dc:description/>
  <cp:lastModifiedBy>Joern Huenteler</cp:lastModifiedBy>
  <cp:revision>2</cp:revision>
  <cp:lastPrinted>2017-01-10T22:28:00Z</cp:lastPrinted>
  <dcterms:created xsi:type="dcterms:W3CDTF">2017-06-02T13:58:00Z</dcterms:created>
  <dcterms:modified xsi:type="dcterms:W3CDTF">2017-06-02T13:58:00Z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joernhuenteler@googlemail.com@www.mendeley.com</vt:lpwstr>
  </property>
  <property fmtid="{D5CDD505-2E9C-101B-9397-08002B2CF9AE}" pid="4" name="Mendeley Citation Style_1">
    <vt:lpwstr>http://www.zotero.org/styles/research-policy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http://www.zotero.org/styles/research-policy</vt:lpwstr>
  </property>
  <property fmtid="{D5CDD505-2E9C-101B-9397-08002B2CF9AE}" pid="24" name="Mendeley Recent Style Name 9_1">
    <vt:lpwstr>Research Policy</vt:lpwstr>
  </property>
</Properties>
</file>