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olors4.xml" ContentType="application/vnd.ms-office.chartcolorstyle+xml"/>
  <Override PartName="/word/charts/style4.xml" ContentType="application/vnd.ms-office.chartstyle+xml"/>
  <Override PartName="/word/theme/theme1.xml" ContentType="application/vnd.openxmlformats-officedocument.theme+xml"/>
  <Override PartName="/word/charts/colors3.xml" ContentType="application/vnd.ms-office.chartcolorstyle+xml"/>
  <Override PartName="/word/charts/style3.xml" ContentType="application/vnd.ms-office.chartstyl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charts/chart6.xml" ContentType="application/vnd.openxmlformats-officedocument.drawingml.chart+xml"/>
  <Override PartName="/word/charts/colors2.xml" ContentType="application/vnd.ms-office.chartcolorstyle+xml"/>
  <Override PartName="/word/charts/chart3.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98552" w14:textId="77777777" w:rsidR="00654268" w:rsidRDefault="00654268" w:rsidP="001E7A0C">
      <w:pPr>
        <w:jc w:val="center"/>
        <w:rPr>
          <w:b/>
          <w:sz w:val="24"/>
          <w:szCs w:val="24"/>
        </w:rPr>
      </w:pPr>
      <w:bookmarkStart w:id="0" w:name="_GoBack"/>
      <w:bookmarkEnd w:id="0"/>
    </w:p>
    <w:p w14:paraId="5DB20A01" w14:textId="77777777" w:rsidR="00414719" w:rsidRDefault="00414719" w:rsidP="001E7A0C">
      <w:pPr>
        <w:jc w:val="center"/>
        <w:rPr>
          <w:b/>
          <w:sz w:val="24"/>
          <w:szCs w:val="24"/>
        </w:rPr>
      </w:pPr>
    </w:p>
    <w:p w14:paraId="5D13AE40" w14:textId="77777777" w:rsidR="00414719" w:rsidRDefault="00414719" w:rsidP="001E7A0C">
      <w:pPr>
        <w:jc w:val="center"/>
        <w:rPr>
          <w:b/>
          <w:sz w:val="24"/>
          <w:szCs w:val="24"/>
        </w:rPr>
      </w:pPr>
    </w:p>
    <w:p w14:paraId="40CA3D7F" w14:textId="1A07A9C3" w:rsidR="00654268" w:rsidRPr="006A2C19" w:rsidRDefault="0035462F" w:rsidP="001E7A0C">
      <w:pPr>
        <w:jc w:val="center"/>
        <w:rPr>
          <w:b/>
          <w:smallCaps/>
          <w:sz w:val="40"/>
          <w:szCs w:val="24"/>
        </w:rPr>
      </w:pPr>
      <w:r w:rsidRPr="006A2C19">
        <w:rPr>
          <w:b/>
          <w:smallCaps/>
          <w:sz w:val="40"/>
          <w:szCs w:val="24"/>
        </w:rPr>
        <w:t xml:space="preserve">Measuring </w:t>
      </w:r>
      <w:r w:rsidR="006A177B" w:rsidRPr="006A2C19">
        <w:rPr>
          <w:b/>
          <w:smallCaps/>
          <w:sz w:val="40"/>
          <w:szCs w:val="24"/>
        </w:rPr>
        <w:t xml:space="preserve">Inclusive </w:t>
      </w:r>
      <w:r w:rsidR="001E7A0C" w:rsidRPr="006A2C19">
        <w:rPr>
          <w:b/>
          <w:smallCaps/>
          <w:sz w:val="40"/>
          <w:szCs w:val="24"/>
        </w:rPr>
        <w:t>Green Growth</w:t>
      </w:r>
    </w:p>
    <w:p w14:paraId="7C350D77" w14:textId="55A9F710" w:rsidR="00654268" w:rsidRDefault="00654268" w:rsidP="001E7A0C">
      <w:pPr>
        <w:jc w:val="center"/>
        <w:rPr>
          <w:b/>
          <w:sz w:val="24"/>
          <w:szCs w:val="24"/>
        </w:rPr>
      </w:pPr>
      <w:r>
        <w:rPr>
          <w:b/>
          <w:sz w:val="24"/>
          <w:szCs w:val="24"/>
        </w:rPr>
        <w:t>March 2018</w:t>
      </w:r>
    </w:p>
    <w:p w14:paraId="4BA2CAF5" w14:textId="4EBA84C3" w:rsidR="00414719" w:rsidRDefault="00414719" w:rsidP="001E7A0C">
      <w:pPr>
        <w:jc w:val="center"/>
        <w:rPr>
          <w:b/>
          <w:sz w:val="24"/>
          <w:szCs w:val="24"/>
        </w:rPr>
      </w:pPr>
    </w:p>
    <w:p w14:paraId="5F3BD3E3" w14:textId="77777777" w:rsidR="00414719" w:rsidRDefault="00414719" w:rsidP="001E7A0C">
      <w:pPr>
        <w:jc w:val="center"/>
        <w:rPr>
          <w:b/>
          <w:sz w:val="24"/>
          <w:szCs w:val="24"/>
        </w:rPr>
      </w:pPr>
    </w:p>
    <w:p w14:paraId="37F6DA5F" w14:textId="77777777" w:rsidR="00414719" w:rsidRDefault="00414719" w:rsidP="00414719">
      <w:pPr>
        <w:pStyle w:val="NormalWeb"/>
        <w:spacing w:line="276" w:lineRule="auto"/>
        <w:jc w:val="both"/>
      </w:pPr>
      <w:r w:rsidRPr="006A2C19">
        <w:rPr>
          <w:i/>
        </w:rPr>
        <w:t>Inclusive and sustainable growth requires innovative methods and policies to overcome unsustainable development practices. Breaking from the historic development model to promote “clean” growth is necessary to ensure that developing countries do not degrade their environment as their economies grow, yet the measurement of this factor remains elusive in development work. To ease a shift in development practices, it is then crucial to develop meaningful measures of “Green Growth” to compare economic and environmental change over time. Here, we propose a multi-stage exercise to understand Green Growth, beginning with benchmarking national environmental stocks and ambient conditions. We then develop an approach to observe decoupling trends between environmental externalities and economic growth to better understand how a country’s environmental and economic performance relate to one another at macroeconomic and sectoral levels. Based on the results of our baseline and decoupling exercises, we develop hypotheses to explain the observed relationships between economic and environmental indicators and the foundational factors that may underlie them. We explore these hypotheses through policy implications and methodological requirements, with the ultimate goal of explaining relationships related to developmental impacts on ecosystems. To illustrate this process, we focus on selected EU countries, drawing upon and complimenting World Bank Systematic Country Diagnostic</w:t>
      </w:r>
      <w:r w:rsidRPr="006A2C19">
        <w:rPr>
          <w:rStyle w:val="FootnoteReference"/>
          <w:i/>
        </w:rPr>
        <w:footnoteReference w:customMarkFollows="1" w:id="1"/>
        <w:t>[1]</w:t>
      </w:r>
      <w:r w:rsidRPr="006A2C19">
        <w:rPr>
          <w:i/>
        </w:rPr>
        <w:t xml:space="preserve"> reports for Romania, Croatia, and Poland. Through this exercise, we conclude that the examination of baseline conditions and decoupling are useful tools for informed policymaking, and that with the availability of further refined data, Green Growth analyses can move toward understanding causal relationships between economic growth and environmental impacts, for which any one part of the analysis does not provide on its own</w:t>
      </w:r>
      <w:r>
        <w:t>.</w:t>
      </w:r>
    </w:p>
    <w:p w14:paraId="6A928FE1" w14:textId="3DC46919" w:rsidR="00812CB7" w:rsidRDefault="00812CB7" w:rsidP="006A2C19">
      <w:pPr>
        <w:rPr>
          <w:b/>
          <w:sz w:val="24"/>
          <w:szCs w:val="24"/>
        </w:rPr>
      </w:pPr>
    </w:p>
    <w:p w14:paraId="3300C258" w14:textId="77777777" w:rsidR="006A2C19" w:rsidRDefault="006A2C19" w:rsidP="006A2C19">
      <w:pPr>
        <w:rPr>
          <w:b/>
          <w:sz w:val="24"/>
          <w:szCs w:val="24"/>
        </w:rPr>
      </w:pPr>
    </w:p>
    <w:sdt>
      <w:sdtPr>
        <w:rPr>
          <w:rFonts w:asciiTheme="minorHAnsi" w:eastAsiaTheme="minorHAnsi" w:hAnsiTheme="minorHAnsi" w:cstheme="minorBidi"/>
          <w:color w:val="auto"/>
          <w:sz w:val="22"/>
          <w:szCs w:val="22"/>
        </w:rPr>
        <w:id w:val="567922409"/>
        <w:docPartObj>
          <w:docPartGallery w:val="Table of Contents"/>
          <w:docPartUnique/>
        </w:docPartObj>
      </w:sdtPr>
      <w:sdtEndPr>
        <w:rPr>
          <w:b/>
          <w:bCs/>
          <w:noProof/>
        </w:rPr>
      </w:sdtEndPr>
      <w:sdtContent>
        <w:p w14:paraId="40115368" w14:textId="39618528" w:rsidR="00654268" w:rsidRDefault="00654268">
          <w:pPr>
            <w:pStyle w:val="TOCHeading"/>
          </w:pPr>
          <w:r>
            <w:t>Contents</w:t>
          </w:r>
        </w:p>
        <w:p w14:paraId="7881178D" w14:textId="5AEEB207" w:rsidR="00414719" w:rsidRDefault="0065426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8020573" w:history="1">
            <w:r w:rsidR="00414719" w:rsidRPr="004C67A5">
              <w:rPr>
                <w:rStyle w:val="Hyperlink"/>
                <w:noProof/>
              </w:rPr>
              <w:t>Figures</w:t>
            </w:r>
            <w:r w:rsidR="00414719">
              <w:rPr>
                <w:noProof/>
                <w:webHidden/>
              </w:rPr>
              <w:tab/>
            </w:r>
            <w:r w:rsidR="00414719">
              <w:rPr>
                <w:noProof/>
                <w:webHidden/>
              </w:rPr>
              <w:fldChar w:fldCharType="begin"/>
            </w:r>
            <w:r w:rsidR="00414719">
              <w:rPr>
                <w:noProof/>
                <w:webHidden/>
              </w:rPr>
              <w:instrText xml:space="preserve"> PAGEREF _Toc508020573 \h </w:instrText>
            </w:r>
            <w:r w:rsidR="00414719">
              <w:rPr>
                <w:noProof/>
                <w:webHidden/>
              </w:rPr>
            </w:r>
            <w:r w:rsidR="00414719">
              <w:rPr>
                <w:noProof/>
                <w:webHidden/>
              </w:rPr>
              <w:fldChar w:fldCharType="separate"/>
            </w:r>
            <w:r w:rsidR="006A2C19">
              <w:rPr>
                <w:noProof/>
                <w:webHidden/>
              </w:rPr>
              <w:t>3</w:t>
            </w:r>
            <w:r w:rsidR="00414719">
              <w:rPr>
                <w:noProof/>
                <w:webHidden/>
              </w:rPr>
              <w:fldChar w:fldCharType="end"/>
            </w:r>
          </w:hyperlink>
        </w:p>
        <w:p w14:paraId="0B716D98" w14:textId="05D53AD2" w:rsidR="00414719" w:rsidRDefault="00654382">
          <w:pPr>
            <w:pStyle w:val="TOC1"/>
            <w:tabs>
              <w:tab w:val="right" w:leader="dot" w:pos="9350"/>
            </w:tabs>
            <w:rPr>
              <w:rFonts w:eastAsiaTheme="minorEastAsia"/>
              <w:noProof/>
            </w:rPr>
          </w:pPr>
          <w:hyperlink w:anchor="_Toc508020574" w:history="1">
            <w:r w:rsidR="00414719" w:rsidRPr="004C67A5">
              <w:rPr>
                <w:rStyle w:val="Hyperlink"/>
                <w:noProof/>
              </w:rPr>
              <w:t>Introduction</w:t>
            </w:r>
            <w:r w:rsidR="00414719">
              <w:rPr>
                <w:noProof/>
                <w:webHidden/>
              </w:rPr>
              <w:tab/>
            </w:r>
            <w:r w:rsidR="00414719">
              <w:rPr>
                <w:noProof/>
                <w:webHidden/>
              </w:rPr>
              <w:fldChar w:fldCharType="begin"/>
            </w:r>
            <w:r w:rsidR="00414719">
              <w:rPr>
                <w:noProof/>
                <w:webHidden/>
              </w:rPr>
              <w:instrText xml:space="preserve"> PAGEREF _Toc508020574 \h </w:instrText>
            </w:r>
            <w:r w:rsidR="00414719">
              <w:rPr>
                <w:noProof/>
                <w:webHidden/>
              </w:rPr>
            </w:r>
            <w:r w:rsidR="00414719">
              <w:rPr>
                <w:noProof/>
                <w:webHidden/>
              </w:rPr>
              <w:fldChar w:fldCharType="separate"/>
            </w:r>
            <w:r w:rsidR="006A2C19">
              <w:rPr>
                <w:noProof/>
                <w:webHidden/>
              </w:rPr>
              <w:t>4</w:t>
            </w:r>
            <w:r w:rsidR="00414719">
              <w:rPr>
                <w:noProof/>
                <w:webHidden/>
              </w:rPr>
              <w:fldChar w:fldCharType="end"/>
            </w:r>
          </w:hyperlink>
        </w:p>
        <w:p w14:paraId="19860CF4" w14:textId="50E26235" w:rsidR="00414719" w:rsidRDefault="00654382">
          <w:pPr>
            <w:pStyle w:val="TOC1"/>
            <w:tabs>
              <w:tab w:val="right" w:leader="dot" w:pos="9350"/>
            </w:tabs>
            <w:rPr>
              <w:rFonts w:eastAsiaTheme="minorEastAsia"/>
              <w:noProof/>
            </w:rPr>
          </w:pPr>
          <w:hyperlink w:anchor="_Toc508020575" w:history="1">
            <w:r w:rsidR="00414719" w:rsidRPr="004C67A5">
              <w:rPr>
                <w:rStyle w:val="Hyperlink"/>
                <w:noProof/>
              </w:rPr>
              <w:t>Benchmarking Environmental Quality through Wealth, Natural Capital and Baseline Conditions</w:t>
            </w:r>
            <w:r w:rsidR="00414719">
              <w:rPr>
                <w:noProof/>
                <w:webHidden/>
              </w:rPr>
              <w:tab/>
            </w:r>
            <w:r w:rsidR="00414719">
              <w:rPr>
                <w:noProof/>
                <w:webHidden/>
              </w:rPr>
              <w:fldChar w:fldCharType="begin"/>
            </w:r>
            <w:r w:rsidR="00414719">
              <w:rPr>
                <w:noProof/>
                <w:webHidden/>
              </w:rPr>
              <w:instrText xml:space="preserve"> PAGEREF _Toc508020575 \h </w:instrText>
            </w:r>
            <w:r w:rsidR="00414719">
              <w:rPr>
                <w:noProof/>
                <w:webHidden/>
              </w:rPr>
            </w:r>
            <w:r w:rsidR="00414719">
              <w:rPr>
                <w:noProof/>
                <w:webHidden/>
              </w:rPr>
              <w:fldChar w:fldCharType="separate"/>
            </w:r>
            <w:r w:rsidR="006A2C19">
              <w:rPr>
                <w:noProof/>
                <w:webHidden/>
              </w:rPr>
              <w:t>5</w:t>
            </w:r>
            <w:r w:rsidR="00414719">
              <w:rPr>
                <w:noProof/>
                <w:webHidden/>
              </w:rPr>
              <w:fldChar w:fldCharType="end"/>
            </w:r>
          </w:hyperlink>
        </w:p>
        <w:p w14:paraId="46ABB0FA" w14:textId="4BBEE589" w:rsidR="00414719" w:rsidRDefault="00654382">
          <w:pPr>
            <w:pStyle w:val="TOC2"/>
            <w:tabs>
              <w:tab w:val="right" w:leader="dot" w:pos="9350"/>
            </w:tabs>
            <w:rPr>
              <w:rFonts w:eastAsiaTheme="minorEastAsia"/>
              <w:noProof/>
            </w:rPr>
          </w:pPr>
          <w:hyperlink w:anchor="_Toc508020576" w:history="1">
            <w:r w:rsidR="00414719" w:rsidRPr="004C67A5">
              <w:rPr>
                <w:rStyle w:val="Hyperlink"/>
                <w:noProof/>
              </w:rPr>
              <w:t>Natural Capital</w:t>
            </w:r>
            <w:r w:rsidR="00414719">
              <w:rPr>
                <w:noProof/>
                <w:webHidden/>
              </w:rPr>
              <w:tab/>
            </w:r>
            <w:r w:rsidR="00414719">
              <w:rPr>
                <w:noProof/>
                <w:webHidden/>
              </w:rPr>
              <w:fldChar w:fldCharType="begin"/>
            </w:r>
            <w:r w:rsidR="00414719">
              <w:rPr>
                <w:noProof/>
                <w:webHidden/>
              </w:rPr>
              <w:instrText xml:space="preserve"> PAGEREF _Toc508020576 \h </w:instrText>
            </w:r>
            <w:r w:rsidR="00414719">
              <w:rPr>
                <w:noProof/>
                <w:webHidden/>
              </w:rPr>
            </w:r>
            <w:r w:rsidR="00414719">
              <w:rPr>
                <w:noProof/>
                <w:webHidden/>
              </w:rPr>
              <w:fldChar w:fldCharType="separate"/>
            </w:r>
            <w:r w:rsidR="006A2C19">
              <w:rPr>
                <w:noProof/>
                <w:webHidden/>
              </w:rPr>
              <w:t>6</w:t>
            </w:r>
            <w:r w:rsidR="00414719">
              <w:rPr>
                <w:noProof/>
                <w:webHidden/>
              </w:rPr>
              <w:fldChar w:fldCharType="end"/>
            </w:r>
          </w:hyperlink>
        </w:p>
        <w:p w14:paraId="43B13379" w14:textId="2CA8E757" w:rsidR="00414719" w:rsidRDefault="00654382">
          <w:pPr>
            <w:pStyle w:val="TOC2"/>
            <w:tabs>
              <w:tab w:val="right" w:leader="dot" w:pos="9350"/>
            </w:tabs>
            <w:rPr>
              <w:rFonts w:eastAsiaTheme="minorEastAsia"/>
              <w:noProof/>
            </w:rPr>
          </w:pPr>
          <w:hyperlink w:anchor="_Toc508020577" w:history="1">
            <w:r w:rsidR="00414719" w:rsidRPr="004C67A5">
              <w:rPr>
                <w:rStyle w:val="Hyperlink"/>
                <w:noProof/>
              </w:rPr>
              <w:t>Adjusted Net Savings</w:t>
            </w:r>
            <w:r w:rsidR="00414719">
              <w:rPr>
                <w:noProof/>
                <w:webHidden/>
              </w:rPr>
              <w:tab/>
            </w:r>
            <w:r w:rsidR="00414719">
              <w:rPr>
                <w:noProof/>
                <w:webHidden/>
              </w:rPr>
              <w:fldChar w:fldCharType="begin"/>
            </w:r>
            <w:r w:rsidR="00414719">
              <w:rPr>
                <w:noProof/>
                <w:webHidden/>
              </w:rPr>
              <w:instrText xml:space="preserve"> PAGEREF _Toc508020577 \h </w:instrText>
            </w:r>
            <w:r w:rsidR="00414719">
              <w:rPr>
                <w:noProof/>
                <w:webHidden/>
              </w:rPr>
            </w:r>
            <w:r w:rsidR="00414719">
              <w:rPr>
                <w:noProof/>
                <w:webHidden/>
              </w:rPr>
              <w:fldChar w:fldCharType="separate"/>
            </w:r>
            <w:r w:rsidR="006A2C19">
              <w:rPr>
                <w:noProof/>
                <w:webHidden/>
              </w:rPr>
              <w:t>8</w:t>
            </w:r>
            <w:r w:rsidR="00414719">
              <w:rPr>
                <w:noProof/>
                <w:webHidden/>
              </w:rPr>
              <w:fldChar w:fldCharType="end"/>
            </w:r>
          </w:hyperlink>
        </w:p>
        <w:p w14:paraId="00107BD5" w14:textId="62523748" w:rsidR="00414719" w:rsidRDefault="00654382">
          <w:pPr>
            <w:pStyle w:val="TOC2"/>
            <w:tabs>
              <w:tab w:val="right" w:leader="dot" w:pos="9350"/>
            </w:tabs>
            <w:rPr>
              <w:rFonts w:eastAsiaTheme="minorEastAsia"/>
              <w:noProof/>
            </w:rPr>
          </w:pPr>
          <w:hyperlink w:anchor="_Toc508020578" w:history="1">
            <w:r w:rsidR="00414719" w:rsidRPr="004C67A5">
              <w:rPr>
                <w:rStyle w:val="Hyperlink"/>
                <w:noProof/>
              </w:rPr>
              <w:t>Baseline Conditions</w:t>
            </w:r>
            <w:r w:rsidR="00414719">
              <w:rPr>
                <w:noProof/>
                <w:webHidden/>
              </w:rPr>
              <w:tab/>
            </w:r>
            <w:r w:rsidR="00414719">
              <w:rPr>
                <w:noProof/>
                <w:webHidden/>
              </w:rPr>
              <w:fldChar w:fldCharType="begin"/>
            </w:r>
            <w:r w:rsidR="00414719">
              <w:rPr>
                <w:noProof/>
                <w:webHidden/>
              </w:rPr>
              <w:instrText xml:space="preserve"> PAGEREF _Toc508020578 \h </w:instrText>
            </w:r>
            <w:r w:rsidR="00414719">
              <w:rPr>
                <w:noProof/>
                <w:webHidden/>
              </w:rPr>
            </w:r>
            <w:r w:rsidR="00414719">
              <w:rPr>
                <w:noProof/>
                <w:webHidden/>
              </w:rPr>
              <w:fldChar w:fldCharType="separate"/>
            </w:r>
            <w:r w:rsidR="006A2C19">
              <w:rPr>
                <w:noProof/>
                <w:webHidden/>
              </w:rPr>
              <w:t>11</w:t>
            </w:r>
            <w:r w:rsidR="00414719">
              <w:rPr>
                <w:noProof/>
                <w:webHidden/>
              </w:rPr>
              <w:fldChar w:fldCharType="end"/>
            </w:r>
          </w:hyperlink>
        </w:p>
        <w:p w14:paraId="136B49D0" w14:textId="65065894" w:rsidR="00414719" w:rsidRDefault="00654382">
          <w:pPr>
            <w:pStyle w:val="TOC2"/>
            <w:tabs>
              <w:tab w:val="right" w:leader="dot" w:pos="9350"/>
            </w:tabs>
            <w:rPr>
              <w:rFonts w:eastAsiaTheme="minorEastAsia"/>
              <w:noProof/>
            </w:rPr>
          </w:pPr>
          <w:hyperlink w:anchor="_Toc508020579" w:history="1">
            <w:r w:rsidR="00414719" w:rsidRPr="004C67A5">
              <w:rPr>
                <w:rStyle w:val="Hyperlink"/>
                <w:noProof/>
              </w:rPr>
              <w:t>Examining Beyond the Baseline</w:t>
            </w:r>
            <w:r w:rsidR="00414719">
              <w:rPr>
                <w:noProof/>
                <w:webHidden/>
              </w:rPr>
              <w:tab/>
            </w:r>
            <w:r w:rsidR="00414719">
              <w:rPr>
                <w:noProof/>
                <w:webHidden/>
              </w:rPr>
              <w:fldChar w:fldCharType="begin"/>
            </w:r>
            <w:r w:rsidR="00414719">
              <w:rPr>
                <w:noProof/>
                <w:webHidden/>
              </w:rPr>
              <w:instrText xml:space="preserve"> PAGEREF _Toc508020579 \h </w:instrText>
            </w:r>
            <w:r w:rsidR="00414719">
              <w:rPr>
                <w:noProof/>
                <w:webHidden/>
              </w:rPr>
            </w:r>
            <w:r w:rsidR="00414719">
              <w:rPr>
                <w:noProof/>
                <w:webHidden/>
              </w:rPr>
              <w:fldChar w:fldCharType="separate"/>
            </w:r>
            <w:r w:rsidR="006A2C19">
              <w:rPr>
                <w:noProof/>
                <w:webHidden/>
              </w:rPr>
              <w:t>15</w:t>
            </w:r>
            <w:r w:rsidR="00414719">
              <w:rPr>
                <w:noProof/>
                <w:webHidden/>
              </w:rPr>
              <w:fldChar w:fldCharType="end"/>
            </w:r>
          </w:hyperlink>
        </w:p>
        <w:p w14:paraId="15FB6338" w14:textId="584430A5" w:rsidR="00414719" w:rsidRDefault="00654382">
          <w:pPr>
            <w:pStyle w:val="TOC1"/>
            <w:tabs>
              <w:tab w:val="right" w:leader="dot" w:pos="9350"/>
            </w:tabs>
            <w:rPr>
              <w:rFonts w:eastAsiaTheme="minorEastAsia"/>
              <w:noProof/>
            </w:rPr>
          </w:pPr>
          <w:hyperlink w:anchor="_Toc508020580" w:history="1">
            <w:r w:rsidR="00414719" w:rsidRPr="004C67A5">
              <w:rPr>
                <w:rStyle w:val="Hyperlink"/>
                <w:noProof/>
              </w:rPr>
              <w:t>Green Growth Decoupling Tool</w:t>
            </w:r>
            <w:r w:rsidR="00414719">
              <w:rPr>
                <w:noProof/>
                <w:webHidden/>
              </w:rPr>
              <w:tab/>
            </w:r>
            <w:r w:rsidR="00414719">
              <w:rPr>
                <w:noProof/>
                <w:webHidden/>
              </w:rPr>
              <w:fldChar w:fldCharType="begin"/>
            </w:r>
            <w:r w:rsidR="00414719">
              <w:rPr>
                <w:noProof/>
                <w:webHidden/>
              </w:rPr>
              <w:instrText xml:space="preserve"> PAGEREF _Toc508020580 \h </w:instrText>
            </w:r>
            <w:r w:rsidR="00414719">
              <w:rPr>
                <w:noProof/>
                <w:webHidden/>
              </w:rPr>
            </w:r>
            <w:r w:rsidR="00414719">
              <w:rPr>
                <w:noProof/>
                <w:webHidden/>
              </w:rPr>
              <w:fldChar w:fldCharType="separate"/>
            </w:r>
            <w:r w:rsidR="006A2C19">
              <w:rPr>
                <w:noProof/>
                <w:webHidden/>
              </w:rPr>
              <w:t>15</w:t>
            </w:r>
            <w:r w:rsidR="00414719">
              <w:rPr>
                <w:noProof/>
                <w:webHidden/>
              </w:rPr>
              <w:fldChar w:fldCharType="end"/>
            </w:r>
          </w:hyperlink>
        </w:p>
        <w:p w14:paraId="681A1461" w14:textId="01D3535D" w:rsidR="00414719" w:rsidRDefault="00654382">
          <w:pPr>
            <w:pStyle w:val="TOC2"/>
            <w:tabs>
              <w:tab w:val="right" w:leader="dot" w:pos="9350"/>
            </w:tabs>
            <w:rPr>
              <w:rFonts w:eastAsiaTheme="minorEastAsia"/>
              <w:noProof/>
            </w:rPr>
          </w:pPr>
          <w:hyperlink w:anchor="_Toc508020581" w:history="1">
            <w:r w:rsidR="00414719" w:rsidRPr="004C67A5">
              <w:rPr>
                <w:rStyle w:val="Hyperlink"/>
                <w:noProof/>
              </w:rPr>
              <w:t>Analysis at the Macroeconomic Level (Aggregate Analysis)</w:t>
            </w:r>
            <w:r w:rsidR="00414719">
              <w:rPr>
                <w:noProof/>
                <w:webHidden/>
              </w:rPr>
              <w:tab/>
            </w:r>
            <w:r w:rsidR="00414719">
              <w:rPr>
                <w:noProof/>
                <w:webHidden/>
              </w:rPr>
              <w:fldChar w:fldCharType="begin"/>
            </w:r>
            <w:r w:rsidR="00414719">
              <w:rPr>
                <w:noProof/>
                <w:webHidden/>
              </w:rPr>
              <w:instrText xml:space="preserve"> PAGEREF _Toc508020581 \h </w:instrText>
            </w:r>
            <w:r w:rsidR="00414719">
              <w:rPr>
                <w:noProof/>
                <w:webHidden/>
              </w:rPr>
            </w:r>
            <w:r w:rsidR="00414719">
              <w:rPr>
                <w:noProof/>
                <w:webHidden/>
              </w:rPr>
              <w:fldChar w:fldCharType="separate"/>
            </w:r>
            <w:r w:rsidR="006A2C19">
              <w:rPr>
                <w:noProof/>
                <w:webHidden/>
              </w:rPr>
              <w:t>15</w:t>
            </w:r>
            <w:r w:rsidR="00414719">
              <w:rPr>
                <w:noProof/>
                <w:webHidden/>
              </w:rPr>
              <w:fldChar w:fldCharType="end"/>
            </w:r>
          </w:hyperlink>
        </w:p>
        <w:p w14:paraId="4B8CCE5C" w14:textId="4A626468" w:rsidR="00414719" w:rsidRDefault="00654382">
          <w:pPr>
            <w:pStyle w:val="TOC2"/>
            <w:tabs>
              <w:tab w:val="right" w:leader="dot" w:pos="9350"/>
            </w:tabs>
            <w:rPr>
              <w:rFonts w:eastAsiaTheme="minorEastAsia"/>
              <w:noProof/>
            </w:rPr>
          </w:pPr>
          <w:hyperlink w:anchor="_Toc508020582" w:history="1">
            <w:r w:rsidR="00414719" w:rsidRPr="004C67A5">
              <w:rPr>
                <w:rStyle w:val="Hyperlink"/>
                <w:noProof/>
              </w:rPr>
              <w:t>Sector Level Analysis</w:t>
            </w:r>
            <w:r w:rsidR="00414719">
              <w:rPr>
                <w:noProof/>
                <w:webHidden/>
              </w:rPr>
              <w:tab/>
            </w:r>
            <w:r w:rsidR="00414719">
              <w:rPr>
                <w:noProof/>
                <w:webHidden/>
              </w:rPr>
              <w:fldChar w:fldCharType="begin"/>
            </w:r>
            <w:r w:rsidR="00414719">
              <w:rPr>
                <w:noProof/>
                <w:webHidden/>
              </w:rPr>
              <w:instrText xml:space="preserve"> PAGEREF _Toc508020582 \h </w:instrText>
            </w:r>
            <w:r w:rsidR="00414719">
              <w:rPr>
                <w:noProof/>
                <w:webHidden/>
              </w:rPr>
            </w:r>
            <w:r w:rsidR="00414719">
              <w:rPr>
                <w:noProof/>
                <w:webHidden/>
              </w:rPr>
              <w:fldChar w:fldCharType="separate"/>
            </w:r>
            <w:r w:rsidR="006A2C19">
              <w:rPr>
                <w:noProof/>
                <w:webHidden/>
              </w:rPr>
              <w:t>16</w:t>
            </w:r>
            <w:r w:rsidR="00414719">
              <w:rPr>
                <w:noProof/>
                <w:webHidden/>
              </w:rPr>
              <w:fldChar w:fldCharType="end"/>
            </w:r>
          </w:hyperlink>
        </w:p>
        <w:p w14:paraId="73D5701E" w14:textId="55DC075A" w:rsidR="00414719" w:rsidRDefault="00654382">
          <w:pPr>
            <w:pStyle w:val="TOC3"/>
            <w:tabs>
              <w:tab w:val="right" w:leader="dot" w:pos="9350"/>
            </w:tabs>
            <w:rPr>
              <w:rFonts w:eastAsiaTheme="minorEastAsia"/>
              <w:noProof/>
            </w:rPr>
          </w:pPr>
          <w:hyperlink w:anchor="_Toc508020583" w:history="1">
            <w:r w:rsidR="00414719" w:rsidRPr="004C67A5">
              <w:rPr>
                <w:rStyle w:val="Hyperlink"/>
                <w:noProof/>
              </w:rPr>
              <w:t>Economic Sector and Green Growth Indicators</w:t>
            </w:r>
            <w:r w:rsidR="00414719">
              <w:rPr>
                <w:noProof/>
                <w:webHidden/>
              </w:rPr>
              <w:tab/>
            </w:r>
            <w:r w:rsidR="00414719">
              <w:rPr>
                <w:noProof/>
                <w:webHidden/>
              </w:rPr>
              <w:fldChar w:fldCharType="begin"/>
            </w:r>
            <w:r w:rsidR="00414719">
              <w:rPr>
                <w:noProof/>
                <w:webHidden/>
              </w:rPr>
              <w:instrText xml:space="preserve"> PAGEREF _Toc508020583 \h </w:instrText>
            </w:r>
            <w:r w:rsidR="00414719">
              <w:rPr>
                <w:noProof/>
                <w:webHidden/>
              </w:rPr>
            </w:r>
            <w:r w:rsidR="00414719">
              <w:rPr>
                <w:noProof/>
                <w:webHidden/>
              </w:rPr>
              <w:fldChar w:fldCharType="separate"/>
            </w:r>
            <w:r w:rsidR="006A2C19">
              <w:rPr>
                <w:noProof/>
                <w:webHidden/>
              </w:rPr>
              <w:t>17</w:t>
            </w:r>
            <w:r w:rsidR="00414719">
              <w:rPr>
                <w:noProof/>
                <w:webHidden/>
              </w:rPr>
              <w:fldChar w:fldCharType="end"/>
            </w:r>
          </w:hyperlink>
        </w:p>
        <w:p w14:paraId="5E3B20CA" w14:textId="732356C1" w:rsidR="00414719" w:rsidRDefault="00654382">
          <w:pPr>
            <w:pStyle w:val="TOC3"/>
            <w:tabs>
              <w:tab w:val="right" w:leader="dot" w:pos="9350"/>
            </w:tabs>
            <w:rPr>
              <w:rFonts w:eastAsiaTheme="minorEastAsia"/>
              <w:noProof/>
            </w:rPr>
          </w:pPr>
          <w:hyperlink w:anchor="_Toc508020584" w:history="1">
            <w:r w:rsidR="00414719" w:rsidRPr="004C67A5">
              <w:rPr>
                <w:rStyle w:val="Hyperlink"/>
                <w:noProof/>
              </w:rPr>
              <w:t>Presentation and Functionality</w:t>
            </w:r>
            <w:r w:rsidR="00414719">
              <w:rPr>
                <w:noProof/>
                <w:webHidden/>
              </w:rPr>
              <w:tab/>
            </w:r>
            <w:r w:rsidR="00414719">
              <w:rPr>
                <w:noProof/>
                <w:webHidden/>
              </w:rPr>
              <w:fldChar w:fldCharType="begin"/>
            </w:r>
            <w:r w:rsidR="00414719">
              <w:rPr>
                <w:noProof/>
                <w:webHidden/>
              </w:rPr>
              <w:instrText xml:space="preserve"> PAGEREF _Toc508020584 \h </w:instrText>
            </w:r>
            <w:r w:rsidR="00414719">
              <w:rPr>
                <w:noProof/>
                <w:webHidden/>
              </w:rPr>
            </w:r>
            <w:r w:rsidR="00414719">
              <w:rPr>
                <w:noProof/>
                <w:webHidden/>
              </w:rPr>
              <w:fldChar w:fldCharType="separate"/>
            </w:r>
            <w:r w:rsidR="006A2C19">
              <w:rPr>
                <w:noProof/>
                <w:webHidden/>
              </w:rPr>
              <w:t>18</w:t>
            </w:r>
            <w:r w:rsidR="00414719">
              <w:rPr>
                <w:noProof/>
                <w:webHidden/>
              </w:rPr>
              <w:fldChar w:fldCharType="end"/>
            </w:r>
          </w:hyperlink>
        </w:p>
        <w:p w14:paraId="1D65C2D2" w14:textId="57B54CE6" w:rsidR="00414719" w:rsidRDefault="00654382">
          <w:pPr>
            <w:pStyle w:val="TOC3"/>
            <w:tabs>
              <w:tab w:val="right" w:leader="dot" w:pos="9350"/>
            </w:tabs>
            <w:rPr>
              <w:rFonts w:eastAsiaTheme="minorEastAsia"/>
              <w:noProof/>
            </w:rPr>
          </w:pPr>
          <w:hyperlink w:anchor="_Toc508020585" w:history="1">
            <w:r w:rsidR="00414719" w:rsidRPr="004C67A5">
              <w:rPr>
                <w:rStyle w:val="Hyperlink"/>
                <w:noProof/>
              </w:rPr>
              <w:t>Scorecard Presenting the Externality Share and Decoupling Performance</w:t>
            </w:r>
            <w:r w:rsidR="00414719">
              <w:rPr>
                <w:noProof/>
                <w:webHidden/>
              </w:rPr>
              <w:tab/>
            </w:r>
            <w:r w:rsidR="00414719">
              <w:rPr>
                <w:noProof/>
                <w:webHidden/>
              </w:rPr>
              <w:fldChar w:fldCharType="begin"/>
            </w:r>
            <w:r w:rsidR="00414719">
              <w:rPr>
                <w:noProof/>
                <w:webHidden/>
              </w:rPr>
              <w:instrText xml:space="preserve"> PAGEREF _Toc508020585 \h </w:instrText>
            </w:r>
            <w:r w:rsidR="00414719">
              <w:rPr>
                <w:noProof/>
                <w:webHidden/>
              </w:rPr>
            </w:r>
            <w:r w:rsidR="00414719">
              <w:rPr>
                <w:noProof/>
                <w:webHidden/>
              </w:rPr>
              <w:fldChar w:fldCharType="separate"/>
            </w:r>
            <w:r w:rsidR="006A2C19">
              <w:rPr>
                <w:noProof/>
                <w:webHidden/>
              </w:rPr>
              <w:t>23</w:t>
            </w:r>
            <w:r w:rsidR="00414719">
              <w:rPr>
                <w:noProof/>
                <w:webHidden/>
              </w:rPr>
              <w:fldChar w:fldCharType="end"/>
            </w:r>
          </w:hyperlink>
        </w:p>
        <w:p w14:paraId="63EFB92B" w14:textId="6D061F01" w:rsidR="00414719" w:rsidRDefault="00654382">
          <w:pPr>
            <w:pStyle w:val="TOC2"/>
            <w:tabs>
              <w:tab w:val="right" w:leader="dot" w:pos="9350"/>
            </w:tabs>
            <w:rPr>
              <w:rFonts w:eastAsiaTheme="minorEastAsia"/>
              <w:noProof/>
            </w:rPr>
          </w:pPr>
          <w:hyperlink w:anchor="_Toc508020586" w:history="1">
            <w:r w:rsidR="00414719" w:rsidRPr="004C67A5">
              <w:rPr>
                <w:rStyle w:val="Hyperlink"/>
                <w:noProof/>
              </w:rPr>
              <w:t>Hypothesizing the Drivers of Decoupling Trends</w:t>
            </w:r>
            <w:r w:rsidR="00414719">
              <w:rPr>
                <w:noProof/>
                <w:webHidden/>
              </w:rPr>
              <w:tab/>
            </w:r>
            <w:r w:rsidR="00414719">
              <w:rPr>
                <w:noProof/>
                <w:webHidden/>
              </w:rPr>
              <w:fldChar w:fldCharType="begin"/>
            </w:r>
            <w:r w:rsidR="00414719">
              <w:rPr>
                <w:noProof/>
                <w:webHidden/>
              </w:rPr>
              <w:instrText xml:space="preserve"> PAGEREF _Toc508020586 \h </w:instrText>
            </w:r>
            <w:r w:rsidR="00414719">
              <w:rPr>
                <w:noProof/>
                <w:webHidden/>
              </w:rPr>
            </w:r>
            <w:r w:rsidR="00414719">
              <w:rPr>
                <w:noProof/>
                <w:webHidden/>
              </w:rPr>
              <w:fldChar w:fldCharType="separate"/>
            </w:r>
            <w:r w:rsidR="006A2C19">
              <w:rPr>
                <w:noProof/>
                <w:webHidden/>
              </w:rPr>
              <w:t>24</w:t>
            </w:r>
            <w:r w:rsidR="00414719">
              <w:rPr>
                <w:noProof/>
                <w:webHidden/>
              </w:rPr>
              <w:fldChar w:fldCharType="end"/>
            </w:r>
          </w:hyperlink>
        </w:p>
        <w:p w14:paraId="7E9FA060" w14:textId="229D8D15" w:rsidR="00414719" w:rsidRDefault="00654382">
          <w:pPr>
            <w:pStyle w:val="TOC1"/>
            <w:tabs>
              <w:tab w:val="right" w:leader="dot" w:pos="9350"/>
            </w:tabs>
            <w:rPr>
              <w:rFonts w:eastAsiaTheme="minorEastAsia"/>
              <w:noProof/>
            </w:rPr>
          </w:pPr>
          <w:hyperlink w:anchor="_Toc508020587" w:history="1">
            <w:r w:rsidR="00414719" w:rsidRPr="004C67A5">
              <w:rPr>
                <w:rStyle w:val="Hyperlink"/>
                <w:noProof/>
              </w:rPr>
              <w:t>Policy Implications</w:t>
            </w:r>
            <w:r w:rsidR="00414719">
              <w:rPr>
                <w:noProof/>
                <w:webHidden/>
              </w:rPr>
              <w:tab/>
            </w:r>
            <w:r w:rsidR="00414719">
              <w:rPr>
                <w:noProof/>
                <w:webHidden/>
              </w:rPr>
              <w:fldChar w:fldCharType="begin"/>
            </w:r>
            <w:r w:rsidR="00414719">
              <w:rPr>
                <w:noProof/>
                <w:webHidden/>
              </w:rPr>
              <w:instrText xml:space="preserve"> PAGEREF _Toc508020587 \h </w:instrText>
            </w:r>
            <w:r w:rsidR="00414719">
              <w:rPr>
                <w:noProof/>
                <w:webHidden/>
              </w:rPr>
            </w:r>
            <w:r w:rsidR="00414719">
              <w:rPr>
                <w:noProof/>
                <w:webHidden/>
              </w:rPr>
              <w:fldChar w:fldCharType="separate"/>
            </w:r>
            <w:r w:rsidR="006A2C19">
              <w:rPr>
                <w:noProof/>
                <w:webHidden/>
              </w:rPr>
              <w:t>27</w:t>
            </w:r>
            <w:r w:rsidR="00414719">
              <w:rPr>
                <w:noProof/>
                <w:webHidden/>
              </w:rPr>
              <w:fldChar w:fldCharType="end"/>
            </w:r>
          </w:hyperlink>
        </w:p>
        <w:p w14:paraId="4CD88972" w14:textId="7E61EA1F" w:rsidR="00414719" w:rsidRDefault="00654382">
          <w:pPr>
            <w:pStyle w:val="TOC1"/>
            <w:tabs>
              <w:tab w:val="right" w:leader="dot" w:pos="9350"/>
            </w:tabs>
            <w:rPr>
              <w:rFonts w:eastAsiaTheme="minorEastAsia"/>
              <w:noProof/>
            </w:rPr>
          </w:pPr>
          <w:hyperlink w:anchor="_Toc508020588" w:history="1">
            <w:r w:rsidR="00414719" w:rsidRPr="004C67A5">
              <w:rPr>
                <w:rStyle w:val="Hyperlink"/>
                <w:noProof/>
              </w:rPr>
              <w:t>A Way Forward: Data, Methods and Tools</w:t>
            </w:r>
            <w:r w:rsidR="00414719">
              <w:rPr>
                <w:noProof/>
                <w:webHidden/>
              </w:rPr>
              <w:tab/>
            </w:r>
            <w:r w:rsidR="00414719">
              <w:rPr>
                <w:noProof/>
                <w:webHidden/>
              </w:rPr>
              <w:fldChar w:fldCharType="begin"/>
            </w:r>
            <w:r w:rsidR="00414719">
              <w:rPr>
                <w:noProof/>
                <w:webHidden/>
              </w:rPr>
              <w:instrText xml:space="preserve"> PAGEREF _Toc508020588 \h </w:instrText>
            </w:r>
            <w:r w:rsidR="00414719">
              <w:rPr>
                <w:noProof/>
                <w:webHidden/>
              </w:rPr>
            </w:r>
            <w:r w:rsidR="00414719">
              <w:rPr>
                <w:noProof/>
                <w:webHidden/>
              </w:rPr>
              <w:fldChar w:fldCharType="separate"/>
            </w:r>
            <w:r w:rsidR="006A2C19">
              <w:rPr>
                <w:noProof/>
                <w:webHidden/>
              </w:rPr>
              <w:t>28</w:t>
            </w:r>
            <w:r w:rsidR="00414719">
              <w:rPr>
                <w:noProof/>
                <w:webHidden/>
              </w:rPr>
              <w:fldChar w:fldCharType="end"/>
            </w:r>
          </w:hyperlink>
        </w:p>
        <w:p w14:paraId="2A1DBCF2" w14:textId="2760CC28" w:rsidR="00414719" w:rsidRDefault="00654382">
          <w:pPr>
            <w:pStyle w:val="TOC1"/>
            <w:tabs>
              <w:tab w:val="right" w:leader="dot" w:pos="9350"/>
            </w:tabs>
            <w:rPr>
              <w:rFonts w:eastAsiaTheme="minorEastAsia"/>
              <w:noProof/>
            </w:rPr>
          </w:pPr>
          <w:hyperlink w:anchor="_Toc508020589" w:history="1">
            <w:r w:rsidR="00414719" w:rsidRPr="004C67A5">
              <w:rPr>
                <w:rStyle w:val="Hyperlink"/>
                <w:noProof/>
              </w:rPr>
              <w:t>Conclusions</w:t>
            </w:r>
            <w:r w:rsidR="00414719">
              <w:rPr>
                <w:noProof/>
                <w:webHidden/>
              </w:rPr>
              <w:tab/>
            </w:r>
            <w:r w:rsidR="00414719">
              <w:rPr>
                <w:noProof/>
                <w:webHidden/>
              </w:rPr>
              <w:fldChar w:fldCharType="begin"/>
            </w:r>
            <w:r w:rsidR="00414719">
              <w:rPr>
                <w:noProof/>
                <w:webHidden/>
              </w:rPr>
              <w:instrText xml:space="preserve"> PAGEREF _Toc508020589 \h </w:instrText>
            </w:r>
            <w:r w:rsidR="00414719">
              <w:rPr>
                <w:noProof/>
                <w:webHidden/>
              </w:rPr>
            </w:r>
            <w:r w:rsidR="00414719">
              <w:rPr>
                <w:noProof/>
                <w:webHidden/>
              </w:rPr>
              <w:fldChar w:fldCharType="separate"/>
            </w:r>
            <w:r w:rsidR="006A2C19">
              <w:rPr>
                <w:noProof/>
                <w:webHidden/>
              </w:rPr>
              <w:t>29</w:t>
            </w:r>
            <w:r w:rsidR="00414719">
              <w:rPr>
                <w:noProof/>
                <w:webHidden/>
              </w:rPr>
              <w:fldChar w:fldCharType="end"/>
            </w:r>
          </w:hyperlink>
        </w:p>
        <w:p w14:paraId="51E66448" w14:textId="5171DFC3" w:rsidR="00414719" w:rsidRDefault="00654382">
          <w:pPr>
            <w:pStyle w:val="TOC1"/>
            <w:tabs>
              <w:tab w:val="right" w:leader="dot" w:pos="9350"/>
            </w:tabs>
            <w:rPr>
              <w:rFonts w:eastAsiaTheme="minorEastAsia"/>
              <w:noProof/>
            </w:rPr>
          </w:pPr>
          <w:hyperlink w:anchor="_Toc508020590" w:history="1">
            <w:r w:rsidR="00414719" w:rsidRPr="004C67A5">
              <w:rPr>
                <w:rStyle w:val="Hyperlink"/>
                <w:noProof/>
              </w:rPr>
              <w:t>References</w:t>
            </w:r>
            <w:r w:rsidR="00414719">
              <w:rPr>
                <w:noProof/>
                <w:webHidden/>
              </w:rPr>
              <w:tab/>
            </w:r>
            <w:r w:rsidR="00414719">
              <w:rPr>
                <w:noProof/>
                <w:webHidden/>
              </w:rPr>
              <w:fldChar w:fldCharType="begin"/>
            </w:r>
            <w:r w:rsidR="00414719">
              <w:rPr>
                <w:noProof/>
                <w:webHidden/>
              </w:rPr>
              <w:instrText xml:space="preserve"> PAGEREF _Toc508020590 \h </w:instrText>
            </w:r>
            <w:r w:rsidR="00414719">
              <w:rPr>
                <w:noProof/>
                <w:webHidden/>
              </w:rPr>
            </w:r>
            <w:r w:rsidR="00414719">
              <w:rPr>
                <w:noProof/>
                <w:webHidden/>
              </w:rPr>
              <w:fldChar w:fldCharType="separate"/>
            </w:r>
            <w:r w:rsidR="006A2C19">
              <w:rPr>
                <w:noProof/>
                <w:webHidden/>
              </w:rPr>
              <w:t>30</w:t>
            </w:r>
            <w:r w:rsidR="00414719">
              <w:rPr>
                <w:noProof/>
                <w:webHidden/>
              </w:rPr>
              <w:fldChar w:fldCharType="end"/>
            </w:r>
          </w:hyperlink>
        </w:p>
        <w:p w14:paraId="0EA20C3B" w14:textId="1EB0542B" w:rsidR="00414719" w:rsidRDefault="00654382">
          <w:pPr>
            <w:pStyle w:val="TOC1"/>
            <w:tabs>
              <w:tab w:val="right" w:leader="dot" w:pos="9350"/>
            </w:tabs>
            <w:rPr>
              <w:rFonts w:eastAsiaTheme="minorEastAsia"/>
              <w:noProof/>
            </w:rPr>
          </w:pPr>
          <w:hyperlink w:anchor="_Toc508020591" w:history="1">
            <w:r w:rsidR="00414719" w:rsidRPr="004C67A5">
              <w:rPr>
                <w:rStyle w:val="Hyperlink"/>
                <w:noProof/>
              </w:rPr>
              <w:t>Appendix 1. Definitions of Economic and Green Growth Indicators</w:t>
            </w:r>
            <w:r w:rsidR="00414719">
              <w:rPr>
                <w:noProof/>
                <w:webHidden/>
              </w:rPr>
              <w:tab/>
            </w:r>
            <w:r w:rsidR="00414719">
              <w:rPr>
                <w:noProof/>
                <w:webHidden/>
              </w:rPr>
              <w:fldChar w:fldCharType="begin"/>
            </w:r>
            <w:r w:rsidR="00414719">
              <w:rPr>
                <w:noProof/>
                <w:webHidden/>
              </w:rPr>
              <w:instrText xml:space="preserve"> PAGEREF _Toc508020591 \h </w:instrText>
            </w:r>
            <w:r w:rsidR="00414719">
              <w:rPr>
                <w:noProof/>
                <w:webHidden/>
              </w:rPr>
            </w:r>
            <w:r w:rsidR="00414719">
              <w:rPr>
                <w:noProof/>
                <w:webHidden/>
              </w:rPr>
              <w:fldChar w:fldCharType="separate"/>
            </w:r>
            <w:r w:rsidR="006A2C19">
              <w:rPr>
                <w:noProof/>
                <w:webHidden/>
              </w:rPr>
              <w:t>31</w:t>
            </w:r>
            <w:r w:rsidR="00414719">
              <w:rPr>
                <w:noProof/>
                <w:webHidden/>
              </w:rPr>
              <w:fldChar w:fldCharType="end"/>
            </w:r>
          </w:hyperlink>
        </w:p>
        <w:p w14:paraId="79BBE063" w14:textId="3C8883C7" w:rsidR="00414719" w:rsidRDefault="00654382">
          <w:pPr>
            <w:pStyle w:val="TOC2"/>
            <w:tabs>
              <w:tab w:val="right" w:leader="dot" w:pos="9350"/>
            </w:tabs>
            <w:rPr>
              <w:rFonts w:eastAsiaTheme="minorEastAsia"/>
              <w:noProof/>
            </w:rPr>
          </w:pPr>
          <w:hyperlink w:anchor="_Toc508020592" w:history="1">
            <w:r w:rsidR="00414719" w:rsidRPr="004C67A5">
              <w:rPr>
                <w:rStyle w:val="Hyperlink"/>
                <w:noProof/>
              </w:rPr>
              <w:t>Macroeconomic indicators</w:t>
            </w:r>
            <w:r w:rsidR="00414719">
              <w:rPr>
                <w:noProof/>
                <w:webHidden/>
              </w:rPr>
              <w:tab/>
            </w:r>
            <w:r w:rsidR="00414719">
              <w:rPr>
                <w:noProof/>
                <w:webHidden/>
              </w:rPr>
              <w:fldChar w:fldCharType="begin"/>
            </w:r>
            <w:r w:rsidR="00414719">
              <w:rPr>
                <w:noProof/>
                <w:webHidden/>
              </w:rPr>
              <w:instrText xml:space="preserve"> PAGEREF _Toc508020592 \h </w:instrText>
            </w:r>
            <w:r w:rsidR="00414719">
              <w:rPr>
                <w:noProof/>
                <w:webHidden/>
              </w:rPr>
            </w:r>
            <w:r w:rsidR="00414719">
              <w:rPr>
                <w:noProof/>
                <w:webHidden/>
              </w:rPr>
              <w:fldChar w:fldCharType="separate"/>
            </w:r>
            <w:r w:rsidR="006A2C19">
              <w:rPr>
                <w:noProof/>
                <w:webHidden/>
              </w:rPr>
              <w:t>31</w:t>
            </w:r>
            <w:r w:rsidR="00414719">
              <w:rPr>
                <w:noProof/>
                <w:webHidden/>
              </w:rPr>
              <w:fldChar w:fldCharType="end"/>
            </w:r>
          </w:hyperlink>
        </w:p>
        <w:p w14:paraId="379C3592" w14:textId="5C567D24" w:rsidR="00414719" w:rsidRDefault="00654382">
          <w:pPr>
            <w:pStyle w:val="TOC2"/>
            <w:tabs>
              <w:tab w:val="right" w:leader="dot" w:pos="9350"/>
            </w:tabs>
            <w:rPr>
              <w:rFonts w:eastAsiaTheme="minorEastAsia"/>
              <w:noProof/>
            </w:rPr>
          </w:pPr>
          <w:hyperlink w:anchor="_Toc508020593" w:history="1">
            <w:r w:rsidR="00414719" w:rsidRPr="004C67A5">
              <w:rPr>
                <w:rStyle w:val="Hyperlink"/>
                <w:noProof/>
              </w:rPr>
              <w:t>Sectoral Indicators</w:t>
            </w:r>
            <w:r w:rsidR="00414719">
              <w:rPr>
                <w:noProof/>
                <w:webHidden/>
              </w:rPr>
              <w:tab/>
            </w:r>
            <w:r w:rsidR="00414719">
              <w:rPr>
                <w:noProof/>
                <w:webHidden/>
              </w:rPr>
              <w:fldChar w:fldCharType="begin"/>
            </w:r>
            <w:r w:rsidR="00414719">
              <w:rPr>
                <w:noProof/>
                <w:webHidden/>
              </w:rPr>
              <w:instrText xml:space="preserve"> PAGEREF _Toc508020593 \h </w:instrText>
            </w:r>
            <w:r w:rsidR="00414719">
              <w:rPr>
                <w:noProof/>
                <w:webHidden/>
              </w:rPr>
            </w:r>
            <w:r w:rsidR="00414719">
              <w:rPr>
                <w:noProof/>
                <w:webHidden/>
              </w:rPr>
              <w:fldChar w:fldCharType="separate"/>
            </w:r>
            <w:r w:rsidR="006A2C19">
              <w:rPr>
                <w:noProof/>
                <w:webHidden/>
              </w:rPr>
              <w:t>31</w:t>
            </w:r>
            <w:r w:rsidR="00414719">
              <w:rPr>
                <w:noProof/>
                <w:webHidden/>
              </w:rPr>
              <w:fldChar w:fldCharType="end"/>
            </w:r>
          </w:hyperlink>
        </w:p>
        <w:p w14:paraId="7EBFE266" w14:textId="479C8159" w:rsidR="00414719" w:rsidRDefault="00654382">
          <w:pPr>
            <w:pStyle w:val="TOC1"/>
            <w:tabs>
              <w:tab w:val="right" w:leader="dot" w:pos="9350"/>
            </w:tabs>
            <w:rPr>
              <w:rFonts w:eastAsiaTheme="minorEastAsia"/>
              <w:noProof/>
            </w:rPr>
          </w:pPr>
          <w:hyperlink w:anchor="_Toc508020594" w:history="1">
            <w:r w:rsidR="00414719" w:rsidRPr="004C67A5">
              <w:rPr>
                <w:rStyle w:val="Hyperlink"/>
                <w:noProof/>
              </w:rPr>
              <w:t>Appendix 2. Expanded Explanation of Decoupling Types</w:t>
            </w:r>
            <w:r w:rsidR="00414719">
              <w:rPr>
                <w:noProof/>
                <w:webHidden/>
              </w:rPr>
              <w:tab/>
            </w:r>
            <w:r w:rsidR="00414719">
              <w:rPr>
                <w:noProof/>
                <w:webHidden/>
              </w:rPr>
              <w:fldChar w:fldCharType="begin"/>
            </w:r>
            <w:r w:rsidR="00414719">
              <w:rPr>
                <w:noProof/>
                <w:webHidden/>
              </w:rPr>
              <w:instrText xml:space="preserve"> PAGEREF _Toc508020594 \h </w:instrText>
            </w:r>
            <w:r w:rsidR="00414719">
              <w:rPr>
                <w:noProof/>
                <w:webHidden/>
              </w:rPr>
            </w:r>
            <w:r w:rsidR="00414719">
              <w:rPr>
                <w:noProof/>
                <w:webHidden/>
              </w:rPr>
              <w:fldChar w:fldCharType="separate"/>
            </w:r>
            <w:r w:rsidR="006A2C19">
              <w:rPr>
                <w:noProof/>
                <w:webHidden/>
              </w:rPr>
              <w:t>33</w:t>
            </w:r>
            <w:r w:rsidR="00414719">
              <w:rPr>
                <w:noProof/>
                <w:webHidden/>
              </w:rPr>
              <w:fldChar w:fldCharType="end"/>
            </w:r>
          </w:hyperlink>
        </w:p>
        <w:p w14:paraId="225D6462" w14:textId="5A28AA6A" w:rsidR="00414719" w:rsidRDefault="00654382">
          <w:pPr>
            <w:pStyle w:val="TOC1"/>
            <w:tabs>
              <w:tab w:val="right" w:leader="dot" w:pos="9350"/>
            </w:tabs>
            <w:rPr>
              <w:rFonts w:eastAsiaTheme="minorEastAsia"/>
              <w:noProof/>
            </w:rPr>
          </w:pPr>
          <w:hyperlink w:anchor="_Toc508020595" w:history="1">
            <w:r w:rsidR="00414719" w:rsidRPr="004C67A5">
              <w:rPr>
                <w:rStyle w:val="Hyperlink"/>
                <w:noProof/>
              </w:rPr>
              <w:t>Appendix 3. Comparison between Decoupling Measures and Intensity Approach</w:t>
            </w:r>
            <w:r w:rsidR="00414719">
              <w:rPr>
                <w:noProof/>
                <w:webHidden/>
              </w:rPr>
              <w:tab/>
            </w:r>
            <w:r w:rsidR="00414719">
              <w:rPr>
                <w:noProof/>
                <w:webHidden/>
              </w:rPr>
              <w:fldChar w:fldCharType="begin"/>
            </w:r>
            <w:r w:rsidR="00414719">
              <w:rPr>
                <w:noProof/>
                <w:webHidden/>
              </w:rPr>
              <w:instrText xml:space="preserve"> PAGEREF _Toc508020595 \h </w:instrText>
            </w:r>
            <w:r w:rsidR="00414719">
              <w:rPr>
                <w:noProof/>
                <w:webHidden/>
              </w:rPr>
            </w:r>
            <w:r w:rsidR="00414719">
              <w:rPr>
                <w:noProof/>
                <w:webHidden/>
              </w:rPr>
              <w:fldChar w:fldCharType="separate"/>
            </w:r>
            <w:r w:rsidR="006A2C19">
              <w:rPr>
                <w:noProof/>
                <w:webHidden/>
              </w:rPr>
              <w:t>34</w:t>
            </w:r>
            <w:r w:rsidR="00414719">
              <w:rPr>
                <w:noProof/>
                <w:webHidden/>
              </w:rPr>
              <w:fldChar w:fldCharType="end"/>
            </w:r>
          </w:hyperlink>
        </w:p>
        <w:p w14:paraId="73B99784" w14:textId="7F9E571E" w:rsidR="00654268" w:rsidRDefault="00654268">
          <w:r>
            <w:rPr>
              <w:b/>
              <w:bCs/>
              <w:noProof/>
            </w:rPr>
            <w:fldChar w:fldCharType="end"/>
          </w:r>
        </w:p>
      </w:sdtContent>
    </w:sdt>
    <w:p w14:paraId="0CA07106" w14:textId="77777777" w:rsidR="00632DB8" w:rsidRDefault="00632DB8">
      <w:pPr>
        <w:rPr>
          <w:rFonts w:asciiTheme="majorHAnsi" w:eastAsiaTheme="majorEastAsia" w:hAnsiTheme="majorHAnsi" w:cstheme="majorBidi"/>
          <w:color w:val="2E74B5" w:themeColor="accent1" w:themeShade="BF"/>
          <w:sz w:val="32"/>
          <w:szCs w:val="32"/>
        </w:rPr>
      </w:pPr>
      <w:r>
        <w:br w:type="page"/>
      </w:r>
    </w:p>
    <w:p w14:paraId="465DBDEF" w14:textId="011E90AA" w:rsidR="00632DB8" w:rsidRDefault="00632DB8" w:rsidP="00632DB8">
      <w:pPr>
        <w:pStyle w:val="Heading1"/>
      </w:pPr>
      <w:bookmarkStart w:id="1" w:name="_Toc508020573"/>
      <w:r>
        <w:lastRenderedPageBreak/>
        <w:t>Figures</w:t>
      </w:r>
      <w:bookmarkEnd w:id="1"/>
    </w:p>
    <w:p w14:paraId="0FE2CDC5" w14:textId="447BB1D6" w:rsidR="000F3E74" w:rsidRPr="000F3E74" w:rsidRDefault="00632DB8" w:rsidP="000F3E74">
      <w:pPr>
        <w:pStyle w:val="TOC1"/>
        <w:tabs>
          <w:tab w:val="right" w:leader="dot" w:pos="9350"/>
        </w:tabs>
        <w:rPr>
          <w:rStyle w:val="Hyperlink"/>
        </w:rPr>
      </w:pPr>
      <w:r w:rsidRPr="00632DB8">
        <w:rPr>
          <w:rStyle w:val="Hyperlink"/>
          <w:noProof/>
        </w:rPr>
        <w:fldChar w:fldCharType="begin"/>
      </w:r>
      <w:r w:rsidRPr="00632DB8">
        <w:rPr>
          <w:rStyle w:val="Hyperlink"/>
          <w:noProof/>
        </w:rPr>
        <w:instrText xml:space="preserve"> TOC \h \z \c "Figure" </w:instrText>
      </w:r>
      <w:r w:rsidRPr="00632DB8">
        <w:rPr>
          <w:rStyle w:val="Hyperlink"/>
          <w:noProof/>
        </w:rPr>
        <w:fldChar w:fldCharType="separate"/>
      </w:r>
      <w:hyperlink r:id="rId8" w:anchor="_Toc508013107" w:history="1">
        <w:r w:rsidR="000F3E74" w:rsidRPr="008A1141">
          <w:rPr>
            <w:rStyle w:val="Hyperlink"/>
            <w:noProof/>
          </w:rPr>
          <w:t>Figure 1: Flow of Analysis</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_Toc508013107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5</w:t>
        </w:r>
        <w:r w:rsidR="000F3E74" w:rsidRPr="000F3E74">
          <w:rPr>
            <w:rStyle w:val="Hyperlink"/>
            <w:webHidden/>
          </w:rPr>
          <w:fldChar w:fldCharType="end"/>
        </w:r>
      </w:hyperlink>
    </w:p>
    <w:p w14:paraId="0AFCA6F5" w14:textId="4C1E726B" w:rsidR="000F3E74" w:rsidRPr="000F3E74" w:rsidRDefault="00654382" w:rsidP="000F3E74">
      <w:pPr>
        <w:pStyle w:val="TOC1"/>
        <w:tabs>
          <w:tab w:val="right" w:leader="dot" w:pos="9350"/>
        </w:tabs>
        <w:rPr>
          <w:rStyle w:val="Hyperlink"/>
        </w:rPr>
      </w:pPr>
      <w:hyperlink w:anchor="_Toc508013108" w:history="1">
        <w:r w:rsidR="000F3E74" w:rsidRPr="000F3E74">
          <w:rPr>
            <w:rStyle w:val="Hyperlink"/>
            <w:noProof/>
          </w:rPr>
          <w:t>Figure 2. Change in the composition of Romania’s total wealth over time</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_Toc508013108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6</w:t>
        </w:r>
        <w:r w:rsidR="000F3E74" w:rsidRPr="000F3E74">
          <w:rPr>
            <w:rStyle w:val="Hyperlink"/>
            <w:webHidden/>
          </w:rPr>
          <w:fldChar w:fldCharType="end"/>
        </w:r>
      </w:hyperlink>
    </w:p>
    <w:p w14:paraId="199DB4D0" w14:textId="0D57505B" w:rsidR="000F3E74" w:rsidRPr="000F3E74" w:rsidRDefault="00654382" w:rsidP="000F3E74">
      <w:pPr>
        <w:pStyle w:val="TOC1"/>
        <w:tabs>
          <w:tab w:val="right" w:leader="dot" w:pos="9350"/>
        </w:tabs>
        <w:rPr>
          <w:rStyle w:val="Hyperlink"/>
        </w:rPr>
      </w:pPr>
      <w:hyperlink w:anchor="_Toc508013109" w:history="1">
        <w:r w:rsidR="000F3E74" w:rsidRPr="008A1141">
          <w:rPr>
            <w:rStyle w:val="Hyperlink"/>
            <w:noProof/>
          </w:rPr>
          <w:t>Figure 3. Change in Romania’s cropland and urban area, 1995-2015</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_Toc508013109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7</w:t>
        </w:r>
        <w:r w:rsidR="000F3E74" w:rsidRPr="000F3E74">
          <w:rPr>
            <w:rStyle w:val="Hyperlink"/>
            <w:webHidden/>
          </w:rPr>
          <w:fldChar w:fldCharType="end"/>
        </w:r>
      </w:hyperlink>
    </w:p>
    <w:p w14:paraId="522E3EB1" w14:textId="7F44C2B6" w:rsidR="000F3E74" w:rsidRPr="000F3E74" w:rsidRDefault="00654382" w:rsidP="000F3E74">
      <w:pPr>
        <w:pStyle w:val="TOC1"/>
        <w:tabs>
          <w:tab w:val="right" w:leader="dot" w:pos="9350"/>
        </w:tabs>
        <w:rPr>
          <w:rStyle w:val="Hyperlink"/>
        </w:rPr>
      </w:pPr>
      <w:hyperlink w:anchor="_Toc508013110" w:history="1">
        <w:r w:rsidR="000F3E74" w:rsidRPr="000F3E74">
          <w:rPr>
            <w:rStyle w:val="Hyperlink"/>
            <w:noProof/>
          </w:rPr>
          <w:t>Figure 4. Component shares of natural capital in Croatia (percent, 1995-2014)</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_Toc508013110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8</w:t>
        </w:r>
        <w:r w:rsidR="000F3E74" w:rsidRPr="000F3E74">
          <w:rPr>
            <w:rStyle w:val="Hyperlink"/>
            <w:webHidden/>
          </w:rPr>
          <w:fldChar w:fldCharType="end"/>
        </w:r>
      </w:hyperlink>
    </w:p>
    <w:p w14:paraId="5327EFCE" w14:textId="5E583DEF" w:rsidR="000F3E74" w:rsidRPr="000F3E74" w:rsidRDefault="00654382" w:rsidP="000F3E74">
      <w:pPr>
        <w:pStyle w:val="TOC1"/>
        <w:tabs>
          <w:tab w:val="right" w:leader="dot" w:pos="9350"/>
        </w:tabs>
        <w:rPr>
          <w:rStyle w:val="Hyperlink"/>
        </w:rPr>
      </w:pPr>
      <w:hyperlink w:anchor="_Toc508013111" w:history="1">
        <w:r w:rsidR="000F3E74" w:rsidRPr="000F3E74">
          <w:rPr>
            <w:rStyle w:val="Hyperlink"/>
            <w:noProof/>
          </w:rPr>
          <w:t>Figure 5. Calculating Adjusted Net Savings for Romania in 1995</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_Toc508013111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10</w:t>
        </w:r>
        <w:r w:rsidR="000F3E74" w:rsidRPr="000F3E74">
          <w:rPr>
            <w:rStyle w:val="Hyperlink"/>
            <w:webHidden/>
          </w:rPr>
          <w:fldChar w:fldCharType="end"/>
        </w:r>
      </w:hyperlink>
    </w:p>
    <w:p w14:paraId="3E279411" w14:textId="74A82127" w:rsidR="000F3E74" w:rsidRPr="000F3E74" w:rsidRDefault="00654382" w:rsidP="000F3E74">
      <w:pPr>
        <w:pStyle w:val="TOC1"/>
        <w:tabs>
          <w:tab w:val="right" w:leader="dot" w:pos="9350"/>
        </w:tabs>
        <w:rPr>
          <w:rStyle w:val="Hyperlink"/>
        </w:rPr>
      </w:pPr>
      <w:hyperlink w:anchor="_Toc508013112" w:history="1">
        <w:r w:rsidR="000F3E74" w:rsidRPr="008A1141">
          <w:rPr>
            <w:rStyle w:val="Hyperlink"/>
            <w:noProof/>
          </w:rPr>
          <w:t>Figure 6. Romania’s Adjusted Net Saving over time, 1995-2015</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_Toc508013112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11</w:t>
        </w:r>
        <w:r w:rsidR="000F3E74" w:rsidRPr="000F3E74">
          <w:rPr>
            <w:rStyle w:val="Hyperlink"/>
            <w:webHidden/>
          </w:rPr>
          <w:fldChar w:fldCharType="end"/>
        </w:r>
      </w:hyperlink>
    </w:p>
    <w:p w14:paraId="0F682F0A" w14:textId="14BE6B1F" w:rsidR="000F3E74" w:rsidRPr="000F3E74" w:rsidRDefault="00654382" w:rsidP="000F3E74">
      <w:pPr>
        <w:pStyle w:val="TOC1"/>
        <w:tabs>
          <w:tab w:val="right" w:leader="dot" w:pos="9350"/>
        </w:tabs>
        <w:rPr>
          <w:rStyle w:val="Hyperlink"/>
        </w:rPr>
      </w:pPr>
      <w:hyperlink w:anchor="_Toc508013113" w:history="1">
        <w:r w:rsidR="000F3E74" w:rsidRPr="008A1141">
          <w:rPr>
            <w:rStyle w:val="Hyperlink"/>
            <w:noProof/>
          </w:rPr>
          <w:t>Figure 7. Changes in urban area and cropland, Romania 1995-2015</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_Toc508013113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12</w:t>
        </w:r>
        <w:r w:rsidR="000F3E74" w:rsidRPr="000F3E74">
          <w:rPr>
            <w:rStyle w:val="Hyperlink"/>
            <w:webHidden/>
          </w:rPr>
          <w:fldChar w:fldCharType="end"/>
        </w:r>
      </w:hyperlink>
    </w:p>
    <w:p w14:paraId="2AE14476" w14:textId="3B3FEEB5" w:rsidR="000F3E74" w:rsidRPr="000F3E74" w:rsidRDefault="00654382" w:rsidP="000F3E74">
      <w:pPr>
        <w:pStyle w:val="TOC1"/>
        <w:tabs>
          <w:tab w:val="right" w:leader="dot" w:pos="9350"/>
        </w:tabs>
        <w:rPr>
          <w:rStyle w:val="Hyperlink"/>
        </w:rPr>
      </w:pPr>
      <w:hyperlink w:anchor="_Toc508013114" w:history="1">
        <w:r w:rsidR="000F3E74" w:rsidRPr="008A1141">
          <w:rPr>
            <w:rStyle w:val="Hyperlink"/>
            <w:noProof/>
          </w:rPr>
          <w:t>Figure 8. Land conversion hotspots in Romania</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_Toc508013114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13</w:t>
        </w:r>
        <w:r w:rsidR="000F3E74" w:rsidRPr="000F3E74">
          <w:rPr>
            <w:rStyle w:val="Hyperlink"/>
            <w:webHidden/>
          </w:rPr>
          <w:fldChar w:fldCharType="end"/>
        </w:r>
      </w:hyperlink>
    </w:p>
    <w:p w14:paraId="1F0C34B1" w14:textId="2F36C688" w:rsidR="000F3E74" w:rsidRPr="000F3E74" w:rsidRDefault="00654382" w:rsidP="000F3E74">
      <w:pPr>
        <w:pStyle w:val="TOC1"/>
        <w:tabs>
          <w:tab w:val="right" w:leader="dot" w:pos="9350"/>
        </w:tabs>
        <w:rPr>
          <w:rStyle w:val="Hyperlink"/>
        </w:rPr>
      </w:pPr>
      <w:hyperlink w:anchor="_Toc508013115" w:history="1">
        <w:r w:rsidR="000F3E74" w:rsidRPr="008A1141">
          <w:rPr>
            <w:rStyle w:val="Hyperlink"/>
            <w:noProof/>
          </w:rPr>
          <w:t>Figure 9: Agricultural land (% of land area) in Romania, 1990 - 2015 (left)</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_Toc508013115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13</w:t>
        </w:r>
        <w:r w:rsidR="000F3E74" w:rsidRPr="000F3E74">
          <w:rPr>
            <w:rStyle w:val="Hyperlink"/>
            <w:webHidden/>
          </w:rPr>
          <w:fldChar w:fldCharType="end"/>
        </w:r>
      </w:hyperlink>
    </w:p>
    <w:p w14:paraId="324E2B44" w14:textId="21C69FCD" w:rsidR="000F3E74" w:rsidRPr="000F3E74" w:rsidRDefault="00654382" w:rsidP="000F3E74">
      <w:pPr>
        <w:pStyle w:val="TOC1"/>
        <w:tabs>
          <w:tab w:val="right" w:leader="dot" w:pos="9350"/>
        </w:tabs>
        <w:rPr>
          <w:rStyle w:val="Hyperlink"/>
        </w:rPr>
      </w:pPr>
      <w:hyperlink w:anchor="_Toc508013116" w:history="1">
        <w:r w:rsidR="000F3E74" w:rsidRPr="008A1141">
          <w:rPr>
            <w:rStyle w:val="Hyperlink"/>
            <w:noProof/>
          </w:rPr>
          <w:t>Figure 10. Average concentration of PM</w:t>
        </w:r>
        <w:r w:rsidR="000F3E74" w:rsidRPr="000F3E74">
          <w:rPr>
            <w:rStyle w:val="Hyperlink"/>
            <w:noProof/>
          </w:rPr>
          <w:t>2.5</w:t>
        </w:r>
        <w:r w:rsidR="000F3E74" w:rsidRPr="008A1141">
          <w:rPr>
            <w:rStyle w:val="Hyperlink"/>
            <w:noProof/>
          </w:rPr>
          <w:t xml:space="preserve"> by agglomeration and selected cities, 2012-2015</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_Toc508013116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14</w:t>
        </w:r>
        <w:r w:rsidR="000F3E74" w:rsidRPr="000F3E74">
          <w:rPr>
            <w:rStyle w:val="Hyperlink"/>
            <w:webHidden/>
          </w:rPr>
          <w:fldChar w:fldCharType="end"/>
        </w:r>
      </w:hyperlink>
    </w:p>
    <w:p w14:paraId="7BDE95AF" w14:textId="384E0DFF" w:rsidR="000F3E74" w:rsidRPr="000F3E74" w:rsidRDefault="00654382" w:rsidP="000F3E74">
      <w:pPr>
        <w:pStyle w:val="TOC1"/>
        <w:tabs>
          <w:tab w:val="right" w:leader="dot" w:pos="9350"/>
        </w:tabs>
        <w:rPr>
          <w:rStyle w:val="Hyperlink"/>
        </w:rPr>
      </w:pPr>
      <w:hyperlink w:anchor="_Toc508013117" w:history="1">
        <w:r w:rsidR="000F3E74" w:rsidRPr="008A1141">
          <w:rPr>
            <w:rStyle w:val="Hyperlink"/>
            <w:noProof/>
          </w:rPr>
          <w:t>Figure 11. Green Growth Decoupling – Generic Example</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_Toc508013117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19</w:t>
        </w:r>
        <w:r w:rsidR="000F3E74" w:rsidRPr="000F3E74">
          <w:rPr>
            <w:rStyle w:val="Hyperlink"/>
            <w:webHidden/>
          </w:rPr>
          <w:fldChar w:fldCharType="end"/>
        </w:r>
      </w:hyperlink>
    </w:p>
    <w:p w14:paraId="25214D71" w14:textId="19A516B8" w:rsidR="000F3E74" w:rsidRPr="000F3E74" w:rsidRDefault="00654382" w:rsidP="000F3E74">
      <w:pPr>
        <w:pStyle w:val="TOC1"/>
        <w:tabs>
          <w:tab w:val="right" w:leader="dot" w:pos="9350"/>
        </w:tabs>
        <w:rPr>
          <w:rStyle w:val="Hyperlink"/>
        </w:rPr>
      </w:pPr>
      <w:hyperlink w:anchor="_Toc508013118" w:history="1">
        <w:r w:rsidR="000F3E74" w:rsidRPr="008A1141">
          <w:rPr>
            <w:rStyle w:val="Hyperlink"/>
            <w:noProof/>
          </w:rPr>
          <w:t>Figure 12. Romania: Economic Valued Added versus Greenhouse Gas Emissions (2000-2013)</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_Toc508013118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20</w:t>
        </w:r>
        <w:r w:rsidR="000F3E74" w:rsidRPr="000F3E74">
          <w:rPr>
            <w:rStyle w:val="Hyperlink"/>
            <w:webHidden/>
          </w:rPr>
          <w:fldChar w:fldCharType="end"/>
        </w:r>
      </w:hyperlink>
    </w:p>
    <w:p w14:paraId="09A4AD10" w14:textId="61A187F5" w:rsidR="000F3E74" w:rsidRPr="000F3E74" w:rsidRDefault="00654382" w:rsidP="000F3E74">
      <w:pPr>
        <w:pStyle w:val="TOC1"/>
        <w:tabs>
          <w:tab w:val="right" w:leader="dot" w:pos="9350"/>
        </w:tabs>
        <w:rPr>
          <w:rStyle w:val="Hyperlink"/>
        </w:rPr>
      </w:pPr>
      <w:hyperlink w:anchor="_Toc508013119" w:history="1">
        <w:r w:rsidR="000F3E74" w:rsidRPr="008A1141">
          <w:rPr>
            <w:rStyle w:val="Hyperlink"/>
            <w:noProof/>
          </w:rPr>
          <w:t>Figure 13. Romania: Economic Valued Added versus GHG Emission (2000 -2008 and 2008 -2013)</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_Toc508013119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20</w:t>
        </w:r>
        <w:r w:rsidR="000F3E74" w:rsidRPr="000F3E74">
          <w:rPr>
            <w:rStyle w:val="Hyperlink"/>
            <w:webHidden/>
          </w:rPr>
          <w:fldChar w:fldCharType="end"/>
        </w:r>
      </w:hyperlink>
    </w:p>
    <w:p w14:paraId="0D8FFD75" w14:textId="7D67CCF5" w:rsidR="000F3E74" w:rsidRPr="000F3E74" w:rsidRDefault="00654382" w:rsidP="000F3E74">
      <w:pPr>
        <w:pStyle w:val="TOC1"/>
        <w:tabs>
          <w:tab w:val="right" w:leader="dot" w:pos="9350"/>
        </w:tabs>
        <w:rPr>
          <w:rStyle w:val="Hyperlink"/>
        </w:rPr>
      </w:pPr>
      <w:hyperlink w:anchor="_Toc508013120" w:history="1">
        <w:r w:rsidR="000F3E74" w:rsidRPr="008A1141">
          <w:rPr>
            <w:rStyle w:val="Hyperlink"/>
            <w:noProof/>
          </w:rPr>
          <w:t>Figure 14. Romania: Economic Value Added vs. GHG Emissions –Sector Analysis (2000-2013)</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_Toc508013120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21</w:t>
        </w:r>
        <w:r w:rsidR="000F3E74" w:rsidRPr="000F3E74">
          <w:rPr>
            <w:rStyle w:val="Hyperlink"/>
            <w:webHidden/>
          </w:rPr>
          <w:fldChar w:fldCharType="end"/>
        </w:r>
      </w:hyperlink>
    </w:p>
    <w:p w14:paraId="67FB1F48" w14:textId="2B2F9592" w:rsidR="000F3E74" w:rsidRPr="000F3E74" w:rsidRDefault="00654382" w:rsidP="000F3E74">
      <w:pPr>
        <w:pStyle w:val="TOC1"/>
        <w:tabs>
          <w:tab w:val="right" w:leader="dot" w:pos="9350"/>
        </w:tabs>
        <w:rPr>
          <w:rStyle w:val="Hyperlink"/>
        </w:rPr>
      </w:pPr>
      <w:hyperlink w:anchor="_Toc508013121" w:history="1">
        <w:r w:rsidR="000F3E74" w:rsidRPr="008A1141">
          <w:rPr>
            <w:rStyle w:val="Hyperlink"/>
            <w:noProof/>
          </w:rPr>
          <w:t>Figure 15. Romania: Economic Value Added vs. GHG Emissions –Agricultural Sector (2000-2013)</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_Toc508013121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22</w:t>
        </w:r>
        <w:r w:rsidR="000F3E74" w:rsidRPr="000F3E74">
          <w:rPr>
            <w:rStyle w:val="Hyperlink"/>
            <w:webHidden/>
          </w:rPr>
          <w:fldChar w:fldCharType="end"/>
        </w:r>
      </w:hyperlink>
    </w:p>
    <w:p w14:paraId="27EC0CB0" w14:textId="4E27AD90" w:rsidR="000F3E74" w:rsidRPr="000F3E74" w:rsidRDefault="00654382" w:rsidP="000F3E74">
      <w:pPr>
        <w:pStyle w:val="TOC1"/>
        <w:tabs>
          <w:tab w:val="right" w:leader="dot" w:pos="9350"/>
        </w:tabs>
        <w:rPr>
          <w:rStyle w:val="Hyperlink"/>
        </w:rPr>
      </w:pPr>
      <w:hyperlink w:anchor="_Toc508013122" w:history="1">
        <w:r w:rsidR="000F3E74" w:rsidRPr="008A1141">
          <w:rPr>
            <w:rStyle w:val="Hyperlink"/>
            <w:noProof/>
          </w:rPr>
          <w:t>Figure 16. Romania: Nitrogen Oxide Shares (2012) and Decoupling Outcomes (2000-2012)</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_Toc508013122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23</w:t>
        </w:r>
        <w:r w:rsidR="000F3E74" w:rsidRPr="000F3E74">
          <w:rPr>
            <w:rStyle w:val="Hyperlink"/>
            <w:webHidden/>
          </w:rPr>
          <w:fldChar w:fldCharType="end"/>
        </w:r>
      </w:hyperlink>
    </w:p>
    <w:p w14:paraId="25AF7542" w14:textId="4E948BA8" w:rsidR="000F3E74" w:rsidRPr="000F3E74" w:rsidRDefault="00654382" w:rsidP="000F3E74">
      <w:pPr>
        <w:pStyle w:val="TOC1"/>
        <w:tabs>
          <w:tab w:val="right" w:leader="dot" w:pos="9350"/>
        </w:tabs>
        <w:rPr>
          <w:rStyle w:val="Hyperlink"/>
        </w:rPr>
      </w:pPr>
      <w:hyperlink w:anchor="_Toc508013123" w:history="1">
        <w:r w:rsidR="000F3E74" w:rsidRPr="008A1141">
          <w:rPr>
            <w:rStyle w:val="Hyperlink"/>
            <w:noProof/>
          </w:rPr>
          <w:t>Figure 17: Coincidence of Median Soil Erosion Levels and Poverty in Romania</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_Toc508013123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25</w:t>
        </w:r>
        <w:r w:rsidR="000F3E74" w:rsidRPr="000F3E74">
          <w:rPr>
            <w:rStyle w:val="Hyperlink"/>
            <w:webHidden/>
          </w:rPr>
          <w:fldChar w:fldCharType="end"/>
        </w:r>
      </w:hyperlink>
    </w:p>
    <w:p w14:paraId="57323D17" w14:textId="313655C2" w:rsidR="000F3E74" w:rsidRPr="000F3E74" w:rsidRDefault="00654382" w:rsidP="000F3E74">
      <w:pPr>
        <w:pStyle w:val="TOC1"/>
        <w:tabs>
          <w:tab w:val="right" w:leader="dot" w:pos="9350"/>
        </w:tabs>
        <w:rPr>
          <w:rStyle w:val="Hyperlink"/>
        </w:rPr>
      </w:pPr>
      <w:hyperlink w:anchor="_Toc508013124" w:history="1">
        <w:r w:rsidR="000F3E74" w:rsidRPr="008A1141">
          <w:rPr>
            <w:rStyle w:val="Hyperlink"/>
            <w:noProof/>
          </w:rPr>
          <w:t>Figure 18: Coincidence of Number of Flood Events and Poverty in Romania</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_Toc508013124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26</w:t>
        </w:r>
        <w:r w:rsidR="000F3E74" w:rsidRPr="000F3E74">
          <w:rPr>
            <w:rStyle w:val="Hyperlink"/>
            <w:webHidden/>
          </w:rPr>
          <w:fldChar w:fldCharType="end"/>
        </w:r>
      </w:hyperlink>
    </w:p>
    <w:p w14:paraId="3D5E8C93" w14:textId="5E6F0677" w:rsidR="000F3E74" w:rsidRPr="000F3E74" w:rsidRDefault="00654382" w:rsidP="000F3E74">
      <w:pPr>
        <w:pStyle w:val="TOC1"/>
        <w:tabs>
          <w:tab w:val="right" w:leader="dot" w:pos="9350"/>
        </w:tabs>
        <w:rPr>
          <w:rStyle w:val="Hyperlink"/>
        </w:rPr>
      </w:pPr>
      <w:hyperlink w:anchor="_Toc508013125" w:history="1">
        <w:r w:rsidR="000F3E74" w:rsidRPr="008A1141">
          <w:rPr>
            <w:rStyle w:val="Hyperlink"/>
            <w:noProof/>
          </w:rPr>
          <w:t>Figure 19. Income-based poverty rate and protected areas in Croatia</w:t>
        </w:r>
        <w:r w:rsidR="000F3E74" w:rsidRPr="000F3E74">
          <w:rPr>
            <w:rStyle w:val="Hyperlink"/>
            <w:webHidden/>
          </w:rPr>
          <w:tab/>
        </w:r>
        <w:r w:rsidR="000F3E74" w:rsidRPr="000F3E74">
          <w:rPr>
            <w:rStyle w:val="Hyperlink"/>
            <w:webHidden/>
          </w:rPr>
          <w:fldChar w:fldCharType="begin"/>
        </w:r>
        <w:r w:rsidR="000F3E74" w:rsidRPr="000F3E74">
          <w:rPr>
            <w:rStyle w:val="Hyperlink"/>
            <w:webHidden/>
          </w:rPr>
          <w:instrText xml:space="preserve"> PAGEREF _Toc508013125 \h </w:instrText>
        </w:r>
        <w:r w:rsidR="000F3E74" w:rsidRPr="000F3E74">
          <w:rPr>
            <w:rStyle w:val="Hyperlink"/>
            <w:webHidden/>
          </w:rPr>
        </w:r>
        <w:r w:rsidR="000F3E74" w:rsidRPr="000F3E74">
          <w:rPr>
            <w:rStyle w:val="Hyperlink"/>
            <w:webHidden/>
          </w:rPr>
          <w:fldChar w:fldCharType="separate"/>
        </w:r>
        <w:r w:rsidR="006A2C19">
          <w:rPr>
            <w:rStyle w:val="Hyperlink"/>
            <w:noProof/>
            <w:webHidden/>
          </w:rPr>
          <w:t>28</w:t>
        </w:r>
        <w:r w:rsidR="000F3E74" w:rsidRPr="000F3E74">
          <w:rPr>
            <w:rStyle w:val="Hyperlink"/>
            <w:webHidden/>
          </w:rPr>
          <w:fldChar w:fldCharType="end"/>
        </w:r>
      </w:hyperlink>
    </w:p>
    <w:p w14:paraId="412C02BF" w14:textId="633F5668" w:rsidR="00654268" w:rsidRPr="000F3E74" w:rsidRDefault="00632DB8" w:rsidP="00632DB8">
      <w:pPr>
        <w:pStyle w:val="TOC1"/>
        <w:tabs>
          <w:tab w:val="right" w:leader="dot" w:pos="9350"/>
        </w:tabs>
        <w:rPr>
          <w:rStyle w:val="Hyperlink"/>
          <w:noProof/>
        </w:rPr>
      </w:pPr>
      <w:r w:rsidRPr="00632DB8">
        <w:rPr>
          <w:rStyle w:val="Hyperlink"/>
          <w:noProof/>
        </w:rPr>
        <w:fldChar w:fldCharType="end"/>
      </w:r>
      <w:r w:rsidR="00654268" w:rsidRPr="000F3E74">
        <w:rPr>
          <w:rStyle w:val="Hyperlink"/>
          <w:noProof/>
        </w:rPr>
        <w:br w:type="page"/>
      </w:r>
    </w:p>
    <w:p w14:paraId="6BBC2772" w14:textId="4AB29C89" w:rsidR="00A71A6C" w:rsidRPr="00200A41" w:rsidRDefault="00A71A6C" w:rsidP="00200A41">
      <w:pPr>
        <w:pStyle w:val="Heading1"/>
      </w:pPr>
      <w:bookmarkStart w:id="2" w:name="_Toc508020574"/>
      <w:r w:rsidRPr="00200A41">
        <w:lastRenderedPageBreak/>
        <w:t>Introduction</w:t>
      </w:r>
      <w:bookmarkEnd w:id="2"/>
    </w:p>
    <w:p w14:paraId="045E109A" w14:textId="77777777" w:rsidR="006E1A95" w:rsidRDefault="00A71A6C" w:rsidP="00A71A6C">
      <w:pPr>
        <w:pStyle w:val="NormalWeb"/>
        <w:spacing w:before="240" w:after="240" w:line="276" w:lineRule="auto"/>
        <w:jc w:val="both"/>
        <w:rPr>
          <w:rFonts w:asciiTheme="minorHAnsi" w:hAnsiTheme="minorHAnsi"/>
          <w:sz w:val="22"/>
        </w:rPr>
      </w:pPr>
      <w:r>
        <w:rPr>
          <w:rFonts w:asciiTheme="minorHAnsi" w:hAnsiTheme="minorHAnsi"/>
          <w:sz w:val="22"/>
        </w:rPr>
        <w:t>Economic growth has served as the central component of development for generations</w:t>
      </w:r>
      <w:r w:rsidRPr="006A177B">
        <w:rPr>
          <w:rFonts w:asciiTheme="minorHAnsi" w:hAnsiTheme="minorHAnsi"/>
          <w:sz w:val="22"/>
        </w:rPr>
        <w:t xml:space="preserve">, but </w:t>
      </w:r>
      <w:r>
        <w:rPr>
          <w:rFonts w:asciiTheme="minorHAnsi" w:hAnsiTheme="minorHAnsi"/>
          <w:sz w:val="22"/>
        </w:rPr>
        <w:t>is</w:t>
      </w:r>
      <w:r w:rsidRPr="006A177B">
        <w:rPr>
          <w:rFonts w:asciiTheme="minorHAnsi" w:hAnsiTheme="minorHAnsi"/>
          <w:sz w:val="22"/>
        </w:rPr>
        <w:t xml:space="preserve"> unsustainable in the long run unless it is both socially inclusive and environmentally sound. Inclusive </w:t>
      </w:r>
      <w:r>
        <w:rPr>
          <w:rFonts w:asciiTheme="minorHAnsi" w:hAnsiTheme="minorHAnsi"/>
          <w:sz w:val="22"/>
        </w:rPr>
        <w:t>and sustainable</w:t>
      </w:r>
      <w:r w:rsidRPr="006A177B">
        <w:rPr>
          <w:rFonts w:asciiTheme="minorHAnsi" w:hAnsiTheme="minorHAnsi"/>
          <w:sz w:val="22"/>
        </w:rPr>
        <w:t xml:space="preserve"> growth requires tackling political economy constraints, overcoming deeply entrenched behaviors and social norms, and developing innovative financing instruments to change incentives and promote innovation – and thus address the market, policy, and institutional failures that lead to</w:t>
      </w:r>
      <w:r w:rsidR="00A426F7">
        <w:rPr>
          <w:rFonts w:asciiTheme="minorHAnsi" w:hAnsiTheme="minorHAnsi"/>
          <w:sz w:val="22"/>
        </w:rPr>
        <w:t xml:space="preserve"> the overuse of natural assets </w:t>
      </w:r>
      <w:r w:rsidR="00A426F7">
        <w:rPr>
          <w:rFonts w:asciiTheme="minorHAnsi" w:hAnsiTheme="minorHAnsi"/>
          <w:sz w:val="22"/>
        </w:rPr>
        <w:fldChar w:fldCharType="begin"/>
      </w:r>
      <w:r w:rsidR="00A426F7">
        <w:rPr>
          <w:rFonts w:asciiTheme="minorHAnsi" w:hAnsiTheme="minorHAnsi"/>
          <w:sz w:val="22"/>
        </w:rPr>
        <w:instrText xml:space="preserve"> ADDIN ZOTERO_ITEM CSL_CITATION {"citationID":"D5zQNyXH","properties":{"formattedCitation":"(World Bank 2012)","plainCitation":"(World Bank 2012)"},"citationItems":[{"id":5475,"uris":["http://zotero.org/users/3805591/items/HKTTVD8C"],"uri":["http://zotero.org/users/3805591/items/HKTTVD8C"],"itemData":{"id":5475,"type":"book","title":"Inclusive Green Growth : The Pathway to Sustainable Development","publisher":"Washington, DC","source":"openknowledge.worldbank.org","abstract":"As the global population heads toward 9 billion by 2050, decisions made today will lock countries into growth patterns that may or may not be sustainable in the future.  Care must be taken to ensure that cities and roads, factories and farms are designed, managed, and regulated as efficiently as possible to wisely use natural resources while supporting the robust growth developing countries still need. Economic development during the next two decades cannot mirror the previous two: poverty reduction remains urgent but growth and equity can be pursued without relying on policies and practices that foul the air, water, and land.\r\n\r\nInclusive Green Growth: The Pathway to Sustainable Development makes the case that greening growth is necessary, efficient, and affordable. Yet spurring growth without ensuring equity will thwart efforts to reduce poverty and improve access to health, education, and infrastructure services. Countries must make strategic investments and farsighted policy changes that acknowledge natural resource constraints and enable the world's poorest and most vulnerable to benefit from efficient, clean, and resilient growth. Like other forms of capital, natural assets are limited and require accounting, investment, and maintenance in order to be properly harnessed and deployed. By maximizing co-benefits and avoiding lock-in, by promoting smarter decisions in industry and society, and by developing innovative financing tools for green investment, we can afford to do the things we must.","URL":"https://openknowledge.worldbank.org/handle/10986/6058","ISBN":"978-0-8213-9551-6","shortTitle":"Inclusive Green Growth","language":"en","author":[{"literal":"World Bank"}],"issued":{"date-parts":[["2012"]]},"accessed":{"date-parts":[["2017",5,19]]}}}],"schema":"https://github.com/citation-style-language/schema/raw/master/csl-citation.json"} </w:instrText>
      </w:r>
      <w:r w:rsidR="00A426F7">
        <w:rPr>
          <w:rFonts w:asciiTheme="minorHAnsi" w:hAnsiTheme="minorHAnsi"/>
          <w:sz w:val="22"/>
        </w:rPr>
        <w:fldChar w:fldCharType="separate"/>
      </w:r>
      <w:r w:rsidR="00A426F7" w:rsidRPr="00A426F7">
        <w:rPr>
          <w:rFonts w:ascii="Calibri" w:hAnsi="Calibri" w:cs="Calibri"/>
          <w:sz w:val="22"/>
        </w:rPr>
        <w:t>(World Bank 2012)</w:t>
      </w:r>
      <w:r w:rsidR="00A426F7">
        <w:rPr>
          <w:rFonts w:asciiTheme="minorHAnsi" w:hAnsiTheme="minorHAnsi"/>
          <w:sz w:val="22"/>
        </w:rPr>
        <w:fldChar w:fldCharType="end"/>
      </w:r>
      <w:r w:rsidRPr="00F571EA">
        <w:rPr>
          <w:rFonts w:asciiTheme="minorHAnsi" w:hAnsiTheme="minorHAnsi"/>
          <w:sz w:val="22"/>
        </w:rPr>
        <w:t>. Breaking from the historic development model of growing “dirty” and “cleaning up” later is necessary to ensure that developing countries do not degrade their environment as their economies grow.</w:t>
      </w:r>
      <w:r>
        <w:rPr>
          <w:rFonts w:asciiTheme="minorHAnsi" w:hAnsiTheme="minorHAnsi"/>
          <w:sz w:val="22"/>
        </w:rPr>
        <w:t xml:space="preserve"> </w:t>
      </w:r>
    </w:p>
    <w:p w14:paraId="2C42257E" w14:textId="134976C5" w:rsidR="00A71A6C" w:rsidRPr="00F571EA" w:rsidRDefault="00A71A6C" w:rsidP="00A71A6C">
      <w:pPr>
        <w:pStyle w:val="NormalWeb"/>
        <w:spacing w:before="240" w:after="240" w:line="276" w:lineRule="auto"/>
        <w:jc w:val="both"/>
        <w:rPr>
          <w:rFonts w:asciiTheme="minorHAnsi" w:hAnsiTheme="minorHAnsi"/>
          <w:sz w:val="22"/>
        </w:rPr>
      </w:pPr>
      <w:r>
        <w:rPr>
          <w:rFonts w:asciiTheme="minorHAnsi" w:hAnsiTheme="minorHAnsi"/>
          <w:sz w:val="22"/>
        </w:rPr>
        <w:t>E</w:t>
      </w:r>
      <w:r w:rsidRPr="00F571EA">
        <w:rPr>
          <w:rFonts w:asciiTheme="minorHAnsi" w:hAnsiTheme="minorHAnsi"/>
          <w:sz w:val="22"/>
        </w:rPr>
        <w:t xml:space="preserve">nvironmental performance does not automatically improve with income, yet the degradation of natural resources is sometimes seen as development’s path of least resistance. </w:t>
      </w:r>
      <w:r>
        <w:rPr>
          <w:rFonts w:asciiTheme="minorHAnsi" w:hAnsiTheme="minorHAnsi"/>
          <w:sz w:val="22"/>
        </w:rPr>
        <w:t>When this destruction occurs, it can have devastating local impacts to human health and ecological stability, as well as global consequences related to climate change. Furthermore,</w:t>
      </w:r>
      <w:r w:rsidRPr="00F571EA">
        <w:rPr>
          <w:rFonts w:asciiTheme="minorHAnsi" w:hAnsiTheme="minorHAnsi"/>
          <w:sz w:val="22"/>
        </w:rPr>
        <w:t xml:space="preserve"> it may be impossible or prohibitively expensive to “clean up” the mess of ecologically careless development, either because of the irreversibility of environmental damages like loss of biodiversity, or because lock-in prevents subsequent shifts to more environmentally benign structures and processes.</w:t>
      </w:r>
    </w:p>
    <w:p w14:paraId="00A52DF7" w14:textId="57C24585" w:rsidR="00A71A6C" w:rsidRDefault="008904BF" w:rsidP="00A71A6C">
      <w:pPr>
        <w:pStyle w:val="NormalWeb"/>
        <w:spacing w:before="240" w:after="240" w:line="276" w:lineRule="auto"/>
        <w:jc w:val="both"/>
        <w:rPr>
          <w:rFonts w:asciiTheme="minorHAnsi" w:hAnsiTheme="minorHAnsi"/>
          <w:sz w:val="22"/>
        </w:rPr>
      </w:pPr>
      <w:r>
        <w:rPr>
          <w:rFonts w:asciiTheme="minorHAnsi" w:hAnsiTheme="minorHAnsi"/>
          <w:sz w:val="22"/>
        </w:rPr>
        <w:t xml:space="preserve">In general, it is agreed that </w:t>
      </w:r>
      <w:r w:rsidR="00A71A6C" w:rsidRPr="006A177B">
        <w:rPr>
          <w:rFonts w:asciiTheme="minorHAnsi" w:hAnsiTheme="minorHAnsi"/>
          <w:sz w:val="22"/>
        </w:rPr>
        <w:t xml:space="preserve">sustainable economic growth requires the inclusion of environmental and social considerations </w:t>
      </w:r>
      <w:r w:rsidR="005F78C9">
        <w:rPr>
          <w:rFonts w:asciiTheme="minorHAnsi" w:hAnsiTheme="minorHAnsi"/>
          <w:sz w:val="22"/>
        </w:rPr>
        <w:fldChar w:fldCharType="begin"/>
      </w:r>
      <w:r w:rsidR="005F78C9">
        <w:rPr>
          <w:rFonts w:asciiTheme="minorHAnsi" w:hAnsiTheme="minorHAnsi"/>
          <w:sz w:val="22"/>
        </w:rPr>
        <w:instrText xml:space="preserve"> ADDIN ZOTERO_ITEM CSL_CITATION {"citationID":"ctCMuxmL","properties":{"formattedCitation":"(OECD 2011)","plainCitation":"(OECD 2011)"},"citationItems":[{"id":6751,"uris":["http://zotero.org/users/3805591/items/IHP42STT"],"uri":["http://zotero.org/users/3805591/items/IHP42STT"],"itemData":{"id":6751,"type":"report","title":"Towards green growth: Monitoring progress: OECD indicators","collection-title":"OECD Green Growth Studies","publisher":"OECD Publishing","author":[{"literal":"OECD"}],"issued":{"date-parts":[["2011"]]}}}],"schema":"https://github.com/citation-style-language/schema/raw/master/csl-citation.json"} </w:instrText>
      </w:r>
      <w:r w:rsidR="005F78C9">
        <w:rPr>
          <w:rFonts w:asciiTheme="minorHAnsi" w:hAnsiTheme="minorHAnsi"/>
          <w:sz w:val="22"/>
        </w:rPr>
        <w:fldChar w:fldCharType="separate"/>
      </w:r>
      <w:r w:rsidR="005F78C9" w:rsidRPr="005F78C9">
        <w:rPr>
          <w:rFonts w:ascii="Calibri" w:hAnsi="Calibri" w:cs="Calibri"/>
          <w:sz w:val="22"/>
        </w:rPr>
        <w:t>(OECD 2011)</w:t>
      </w:r>
      <w:r w:rsidR="005F78C9">
        <w:rPr>
          <w:rFonts w:asciiTheme="minorHAnsi" w:hAnsiTheme="minorHAnsi"/>
          <w:sz w:val="22"/>
        </w:rPr>
        <w:fldChar w:fldCharType="end"/>
      </w:r>
      <w:r w:rsidR="00A71A6C" w:rsidRPr="006A177B">
        <w:rPr>
          <w:rFonts w:asciiTheme="minorHAnsi" w:hAnsiTheme="minorHAnsi"/>
          <w:sz w:val="22"/>
        </w:rPr>
        <w:t>. Given the complexity in understanding how these different objectives are to be complementary and mutually reinforc</w:t>
      </w:r>
      <w:r w:rsidR="00027CF4">
        <w:rPr>
          <w:rFonts w:asciiTheme="minorHAnsi" w:hAnsiTheme="minorHAnsi"/>
          <w:sz w:val="22"/>
        </w:rPr>
        <w:t>ing, there is a big push toward</w:t>
      </w:r>
      <w:r w:rsidR="00A71A6C" w:rsidRPr="006A177B">
        <w:rPr>
          <w:rFonts w:asciiTheme="minorHAnsi" w:hAnsiTheme="minorHAnsi"/>
          <w:sz w:val="22"/>
        </w:rPr>
        <w:t xml:space="preserve"> understanding, promoting</w:t>
      </w:r>
      <w:r w:rsidR="00027CF4">
        <w:rPr>
          <w:rFonts w:asciiTheme="minorHAnsi" w:hAnsiTheme="minorHAnsi"/>
          <w:sz w:val="22"/>
        </w:rPr>
        <w:t>,</w:t>
      </w:r>
      <w:r w:rsidR="00A71A6C" w:rsidRPr="006A177B">
        <w:rPr>
          <w:rFonts w:asciiTheme="minorHAnsi" w:hAnsiTheme="minorHAnsi"/>
          <w:sz w:val="22"/>
        </w:rPr>
        <w:t xml:space="preserve"> </w:t>
      </w:r>
      <w:r w:rsidR="00A71A6C" w:rsidRPr="00AA7FD5">
        <w:rPr>
          <w:rFonts w:asciiTheme="minorHAnsi" w:hAnsiTheme="minorHAnsi"/>
          <w:sz w:val="22"/>
        </w:rPr>
        <w:t xml:space="preserve">and achieving </w:t>
      </w:r>
      <w:r w:rsidR="00A71A6C">
        <w:rPr>
          <w:rFonts w:asciiTheme="minorHAnsi" w:hAnsiTheme="minorHAnsi"/>
          <w:sz w:val="22"/>
        </w:rPr>
        <w:t>“</w:t>
      </w:r>
      <w:r w:rsidR="00A71A6C" w:rsidRPr="00AA7FD5">
        <w:rPr>
          <w:rFonts w:asciiTheme="minorHAnsi" w:hAnsiTheme="minorHAnsi"/>
          <w:sz w:val="22"/>
        </w:rPr>
        <w:t>Green Growth</w:t>
      </w:r>
      <w:r w:rsidR="00A71A6C">
        <w:rPr>
          <w:rFonts w:asciiTheme="minorHAnsi" w:hAnsiTheme="minorHAnsi"/>
          <w:sz w:val="22"/>
        </w:rPr>
        <w:t>”</w:t>
      </w:r>
      <w:r w:rsidR="00A71A6C" w:rsidRPr="00AA7FD5">
        <w:rPr>
          <w:rFonts w:asciiTheme="minorHAnsi" w:hAnsiTheme="minorHAnsi"/>
          <w:sz w:val="22"/>
        </w:rPr>
        <w:t xml:space="preserve"> as a greater goal.</w:t>
      </w:r>
      <w:r w:rsidR="00A71A6C">
        <w:rPr>
          <w:rFonts w:asciiTheme="minorHAnsi" w:hAnsiTheme="minorHAnsi"/>
          <w:sz w:val="22"/>
        </w:rPr>
        <w:t xml:space="preserve"> </w:t>
      </w:r>
      <w:r w:rsidR="00A71A6C" w:rsidRPr="00AA7FD5">
        <w:rPr>
          <w:rFonts w:asciiTheme="minorHAnsi" w:hAnsiTheme="minorHAnsi"/>
          <w:sz w:val="22"/>
        </w:rPr>
        <w:t xml:space="preserve">While various definitions are currently available, </w:t>
      </w:r>
      <w:r w:rsidR="00A63E96">
        <w:rPr>
          <w:rFonts w:asciiTheme="minorHAnsi" w:hAnsiTheme="minorHAnsi"/>
          <w:sz w:val="22"/>
        </w:rPr>
        <w:t>there is</w:t>
      </w:r>
      <w:r w:rsidR="00A71A6C">
        <w:rPr>
          <w:rFonts w:asciiTheme="minorHAnsi" w:hAnsiTheme="minorHAnsi"/>
          <w:sz w:val="22"/>
        </w:rPr>
        <w:t xml:space="preserve"> consensus </w:t>
      </w:r>
      <w:r w:rsidR="00A71A6C" w:rsidRPr="00AA7FD5">
        <w:rPr>
          <w:rFonts w:asciiTheme="minorHAnsi" w:hAnsiTheme="minorHAnsi"/>
          <w:sz w:val="22"/>
        </w:rPr>
        <w:t xml:space="preserve">that Green Growth embraces economic growth </w:t>
      </w:r>
      <w:r w:rsidR="00A63E96">
        <w:rPr>
          <w:rFonts w:asciiTheme="minorHAnsi" w:hAnsiTheme="minorHAnsi"/>
          <w:sz w:val="22"/>
        </w:rPr>
        <w:t>that</w:t>
      </w:r>
      <w:r w:rsidR="00A71A6C" w:rsidRPr="00AA7FD5">
        <w:rPr>
          <w:rFonts w:asciiTheme="minorHAnsi" w:hAnsiTheme="minorHAnsi"/>
          <w:sz w:val="22"/>
        </w:rPr>
        <w:t xml:space="preserve"> is efficient and sustainable </w:t>
      </w:r>
      <w:r w:rsidR="00902362">
        <w:rPr>
          <w:rFonts w:asciiTheme="minorHAnsi" w:hAnsiTheme="minorHAnsi"/>
          <w:sz w:val="22"/>
        </w:rPr>
        <w:t>in the use of natural resources</w:t>
      </w:r>
      <w:r w:rsidR="00A71A6C" w:rsidRPr="00AA7FD5">
        <w:rPr>
          <w:rFonts w:asciiTheme="minorHAnsi" w:hAnsiTheme="minorHAnsi"/>
          <w:sz w:val="22"/>
        </w:rPr>
        <w:t xml:space="preserve"> and minimizes negative environmental externalities, while aiming at improving the welfare of society </w:t>
      </w:r>
      <w:r w:rsidR="005F78C9">
        <w:rPr>
          <w:rFonts w:asciiTheme="minorHAnsi" w:hAnsiTheme="minorHAnsi"/>
          <w:sz w:val="22"/>
        </w:rPr>
        <w:fldChar w:fldCharType="begin"/>
      </w:r>
      <w:r w:rsidR="005F78C9">
        <w:rPr>
          <w:rFonts w:asciiTheme="minorHAnsi" w:hAnsiTheme="minorHAnsi"/>
          <w:sz w:val="22"/>
        </w:rPr>
        <w:instrText xml:space="preserve"> ADDIN ZOTERO_ITEM CSL_CITATION {"citationID":"Igp28plb","properties":{"formattedCitation":"(OECD 2011; World Bank 2012; UNEP 2011b)","plainCitation":"(OECD 2011; World Bank 2012; UNEP 2011b)"},"citationItems":[{"id":6751,"uris":["http://zotero.org/users/3805591/items/IHP42STT"],"uri":["http://zotero.org/users/3805591/items/IHP42STT"],"itemData":{"id":6751,"type":"report","title":"Towards green growth: Monitoring progress: OECD indicators","collection-title":"OECD Green Growth Studies","publisher":"OECD Publishing","author":[{"literal":"OECD"}],"issued":{"date-parts":[["2011"]]}}},{"id":5475,"uris":["http://zotero.org/users/3805591/items/HKTTVD8C"],"uri":["http://zotero.org/users/3805591/items/HKTTVD8C"],"itemData":{"id":5475,"type":"book","title":"Inclusive Green Growth : The Pathway to Sustainable Development","publisher":"Washington, DC","source":"openknowledge.worldbank.org","abstract":"As the global population heads toward 9 billion by 2050, decisions made today will lock countries into growth patterns that may or may not be sustainable in the future.  Care must be taken to ensure that cities and roads, factories and farms are designed, managed, and regulated as efficiently as possible to wisely use natural resources while supporting the robust growth developing countries still need. Economic development during the next two decades cannot mirror the previous two: poverty reduction remains urgent but growth and equity can be pursued without relying on policies and practices that foul the air, water, and land.\r\n\r\nInclusive Green Growth: The Pathway to Sustainable Development makes the case that greening growth is necessary, efficient, and affordable. Yet spurring growth without ensuring equity will thwart efforts to reduce poverty and improve access to health, education, and infrastructure services. Countries must make strategic investments and farsighted policy changes that acknowledge natural resource constraints and enable the world's poorest and most vulnerable to benefit from efficient, clean, and resilient growth. Like other forms of capital, natural assets are limited and require accounting, investment, and maintenance in order to be properly harnessed and deployed. By maximizing co-benefits and avoiding lock-in, by promoting smarter decisions in industry and society, and by developing innovative financing tools for green investment, we can afford to do the things we must.","URL":"https://openknowledge.worldbank.org/handle/10986/6058","ISBN":"978-0-8213-9551-6","shortTitle":"Inclusive Green Growth","language":"en","author":[{"literal":"World Bank"}],"issued":{"date-parts":[["2012"]]},"accessed":{"date-parts":[["2017",5,19]]}}},{"id":6752,"uris":["http://zotero.org/users/3805591/items/WNFQBSSZ"],"uri":["http://zotero.org/users/3805591/items/WNFQBSSZ"],"itemData":{"id":6752,"type":"report","title":"Towards a Green Economy: Pathways to Sustainable Development and Poverty Eradication - A Synthesis for Policy Makers","URL":"www.unep.org/greeneconomy","author":[{"literal":"UNEP"}],"issued":{"date-parts":[["2011"]]}}}],"schema":"https://github.com/citation-style-language/schema/raw/master/csl-citation.json"} </w:instrText>
      </w:r>
      <w:r w:rsidR="005F78C9">
        <w:rPr>
          <w:rFonts w:asciiTheme="minorHAnsi" w:hAnsiTheme="minorHAnsi"/>
          <w:sz w:val="22"/>
        </w:rPr>
        <w:fldChar w:fldCharType="separate"/>
      </w:r>
      <w:r w:rsidR="005F78C9" w:rsidRPr="005F78C9">
        <w:rPr>
          <w:rFonts w:ascii="Calibri" w:hAnsi="Calibri" w:cs="Calibri"/>
          <w:sz w:val="22"/>
        </w:rPr>
        <w:t>(OECD 2011; World Bank 2012; UNEP 2011b)</w:t>
      </w:r>
      <w:r w:rsidR="005F78C9">
        <w:rPr>
          <w:rFonts w:asciiTheme="minorHAnsi" w:hAnsiTheme="minorHAnsi"/>
          <w:sz w:val="22"/>
        </w:rPr>
        <w:fldChar w:fldCharType="end"/>
      </w:r>
      <w:r w:rsidR="00A71A6C" w:rsidRPr="00AA7FD5">
        <w:rPr>
          <w:rFonts w:asciiTheme="minorHAnsi" w:hAnsiTheme="minorHAnsi"/>
          <w:sz w:val="22"/>
        </w:rPr>
        <w:t xml:space="preserve">. </w:t>
      </w:r>
      <w:r w:rsidR="00070B95">
        <w:rPr>
          <w:rFonts w:asciiTheme="minorHAnsi" w:hAnsiTheme="minorHAnsi"/>
          <w:sz w:val="22"/>
        </w:rPr>
        <w:t xml:space="preserve">Inclusive </w:t>
      </w:r>
      <w:r w:rsidR="00A71A6C" w:rsidRPr="00AA7FD5">
        <w:rPr>
          <w:rFonts w:asciiTheme="minorHAnsi" w:hAnsiTheme="minorHAnsi"/>
          <w:sz w:val="22"/>
        </w:rPr>
        <w:t xml:space="preserve">Green Growth </w:t>
      </w:r>
      <w:r w:rsidR="00070B95">
        <w:rPr>
          <w:rFonts w:asciiTheme="minorHAnsi" w:hAnsiTheme="minorHAnsi"/>
          <w:sz w:val="22"/>
        </w:rPr>
        <w:t>reaches further</w:t>
      </w:r>
      <w:r w:rsidR="00A71A6C" w:rsidRPr="00AA7FD5">
        <w:rPr>
          <w:rFonts w:asciiTheme="minorHAnsi" w:hAnsiTheme="minorHAnsi"/>
          <w:sz w:val="22"/>
        </w:rPr>
        <w:t xml:space="preserve">, </w:t>
      </w:r>
      <w:r w:rsidR="00070B95">
        <w:rPr>
          <w:rFonts w:asciiTheme="minorHAnsi" w:hAnsiTheme="minorHAnsi"/>
          <w:sz w:val="22"/>
        </w:rPr>
        <w:t>stressing</w:t>
      </w:r>
      <w:r w:rsidR="00070B95" w:rsidRPr="00AA7FD5">
        <w:rPr>
          <w:rFonts w:asciiTheme="minorHAnsi" w:hAnsiTheme="minorHAnsi"/>
          <w:sz w:val="22"/>
        </w:rPr>
        <w:t xml:space="preserve"> the importance of social equity in the distribution of economic and environmental benefits </w:t>
      </w:r>
      <w:r w:rsidR="00A71A6C" w:rsidRPr="00AA7FD5">
        <w:rPr>
          <w:rFonts w:asciiTheme="minorHAnsi" w:hAnsiTheme="minorHAnsi"/>
          <w:sz w:val="22"/>
        </w:rPr>
        <w:t>in addition to relaxing pressures on the environment</w:t>
      </w:r>
      <w:r w:rsidR="00070B95">
        <w:rPr>
          <w:rFonts w:asciiTheme="minorHAnsi" w:hAnsiTheme="minorHAnsi"/>
          <w:sz w:val="22"/>
        </w:rPr>
        <w:t xml:space="preserve"> </w:t>
      </w:r>
      <w:r w:rsidR="005F78C9">
        <w:rPr>
          <w:rFonts w:asciiTheme="minorHAnsi" w:hAnsiTheme="minorHAnsi"/>
          <w:sz w:val="22"/>
        </w:rPr>
        <w:fldChar w:fldCharType="begin"/>
      </w:r>
      <w:r w:rsidR="005F78C9">
        <w:rPr>
          <w:rFonts w:asciiTheme="minorHAnsi" w:hAnsiTheme="minorHAnsi"/>
          <w:sz w:val="22"/>
        </w:rPr>
        <w:instrText xml:space="preserve"> ADDIN ZOTERO_ITEM CSL_CITATION {"citationID":"4qn3KOQN","properties":{"formattedCitation":"(Green Growth Knowledge Platform 2013)","plainCitation":"(Green Growth Knowledge Platform 2013)"},"citationItems":[{"id":6749,"uris":["http://zotero.org/users/3805591/items/8WGE2ZN8"],"uri":["http://zotero.org/users/3805591/items/8WGE2ZN8"],"itemData":{"id":6749,"type":"report","title":"Moving towards a common approach on green growth indicators","publisher":"Global Green Growth Institute, OECD, UNEP and The World Bank","author":[{"literal":"Green Growth Knowledge Platform"}],"issued":{"date-parts":[["2013"]]}}}],"schema":"https://github.com/citation-style-language/schema/raw/master/csl-citation.json"} </w:instrText>
      </w:r>
      <w:r w:rsidR="005F78C9">
        <w:rPr>
          <w:rFonts w:asciiTheme="minorHAnsi" w:hAnsiTheme="minorHAnsi"/>
          <w:sz w:val="22"/>
        </w:rPr>
        <w:fldChar w:fldCharType="separate"/>
      </w:r>
      <w:r w:rsidR="005F78C9" w:rsidRPr="005F78C9">
        <w:rPr>
          <w:rFonts w:ascii="Calibri" w:hAnsi="Calibri" w:cs="Calibri"/>
          <w:sz w:val="22"/>
        </w:rPr>
        <w:t>(Green Growth Knowledge Platform 2013)</w:t>
      </w:r>
      <w:r w:rsidR="005F78C9">
        <w:rPr>
          <w:rFonts w:asciiTheme="minorHAnsi" w:hAnsiTheme="minorHAnsi"/>
          <w:sz w:val="22"/>
        </w:rPr>
        <w:fldChar w:fldCharType="end"/>
      </w:r>
      <w:r w:rsidR="005F78C9">
        <w:rPr>
          <w:rFonts w:asciiTheme="minorHAnsi" w:hAnsiTheme="minorHAnsi"/>
          <w:sz w:val="22"/>
        </w:rPr>
        <w:t>.</w:t>
      </w:r>
    </w:p>
    <w:p w14:paraId="5BE11261" w14:textId="383DDCE1" w:rsidR="00A71A6C" w:rsidRDefault="00A71A6C" w:rsidP="00A71A6C">
      <w:pPr>
        <w:pStyle w:val="NormalWeb"/>
        <w:spacing w:before="240" w:beforeAutospacing="0" w:after="240" w:afterAutospacing="0" w:line="276" w:lineRule="auto"/>
        <w:jc w:val="both"/>
        <w:rPr>
          <w:rFonts w:asciiTheme="minorHAnsi" w:hAnsiTheme="minorHAnsi"/>
          <w:sz w:val="22"/>
        </w:rPr>
      </w:pPr>
      <w:r>
        <w:rPr>
          <w:rFonts w:asciiTheme="minorHAnsi" w:hAnsiTheme="minorHAnsi"/>
          <w:sz w:val="22"/>
        </w:rPr>
        <w:t xml:space="preserve">Two </w:t>
      </w:r>
      <w:r w:rsidR="0050508C">
        <w:rPr>
          <w:rFonts w:asciiTheme="minorHAnsi" w:hAnsiTheme="minorHAnsi"/>
          <w:sz w:val="22"/>
        </w:rPr>
        <w:t>major</w:t>
      </w:r>
      <w:r>
        <w:rPr>
          <w:rFonts w:asciiTheme="minorHAnsi" w:hAnsiTheme="minorHAnsi"/>
          <w:sz w:val="22"/>
        </w:rPr>
        <w:t xml:space="preserve"> barriers have stifled the proliferation of Green Growth as a development model. First, the pervasive conflation of market flows with overall wellbeing has long directed policy goals toward financial gain at the expense of other forms of capital. Second, straightforward and meaningful measurement of Green Growth has remained somewhat elusive, particularly at the sector level. While a global economic paradigm that is inhospitable to Green Growth initiatives may seem daunting, recent shifts toward the consideration of multidimensional wealth, rather than finance alone, show shifting attitudes toward benchmarking economic success. To facilitate this shift, it is then crucial to develop meaningful measures of Green Growth that compare</w:t>
      </w:r>
      <w:r w:rsidRPr="00AA7FD5">
        <w:rPr>
          <w:rFonts w:asciiTheme="minorHAnsi" w:hAnsiTheme="minorHAnsi"/>
          <w:sz w:val="22"/>
        </w:rPr>
        <w:t xml:space="preserve"> economic and environmental indicators of interest over time.</w:t>
      </w:r>
      <w:r w:rsidRPr="00BF4460">
        <w:rPr>
          <w:rFonts w:asciiTheme="minorHAnsi" w:hAnsiTheme="minorHAnsi"/>
          <w:sz w:val="22"/>
        </w:rPr>
        <w:t xml:space="preserve"> </w:t>
      </w:r>
    </w:p>
    <w:p w14:paraId="648AEF2D" w14:textId="77777777" w:rsidR="00A71A6C" w:rsidRDefault="00A71A6C" w:rsidP="00A71A6C">
      <w:pPr>
        <w:pStyle w:val="NormalWeb"/>
        <w:spacing w:before="240" w:beforeAutospacing="0" w:after="240" w:afterAutospacing="0" w:line="276" w:lineRule="auto"/>
        <w:jc w:val="both"/>
        <w:rPr>
          <w:rFonts w:asciiTheme="minorHAnsi" w:hAnsiTheme="minorHAnsi"/>
          <w:sz w:val="22"/>
        </w:rPr>
      </w:pPr>
      <w:r>
        <w:rPr>
          <w:rFonts w:asciiTheme="minorHAnsi" w:hAnsiTheme="minorHAnsi"/>
          <w:sz w:val="22"/>
        </w:rPr>
        <w:t xml:space="preserve">A metric of “Green Growth” itself cannot be taken as a measure of sustainability, however, if the environmental conditions that underlie them are not understood. A situation where GDP is rising and deforestation is stagnant does not show whether deforestation rates are high or low, if a threat to forests </w:t>
      </w:r>
      <w:r>
        <w:rPr>
          <w:rFonts w:asciiTheme="minorHAnsi" w:hAnsiTheme="minorHAnsi"/>
          <w:sz w:val="22"/>
        </w:rPr>
        <w:lastRenderedPageBreak/>
        <w:t>is on the horizon, or if forests are even present in the studied country. Any form of growth measurement, therefore, must be understood alongside some level of benchmarking.</w:t>
      </w:r>
    </w:p>
    <w:p w14:paraId="410671C8" w14:textId="227577CF" w:rsidR="00A71A6C" w:rsidRDefault="00A71A6C" w:rsidP="00A71A6C">
      <w:pPr>
        <w:pStyle w:val="NormalWeb"/>
        <w:spacing w:before="240" w:beforeAutospacing="0" w:after="240" w:afterAutospacing="0" w:line="276" w:lineRule="auto"/>
        <w:jc w:val="both"/>
        <w:rPr>
          <w:rFonts w:asciiTheme="minorHAnsi" w:hAnsiTheme="minorHAnsi"/>
          <w:sz w:val="22"/>
        </w:rPr>
      </w:pPr>
      <w:r>
        <w:rPr>
          <w:rFonts w:asciiTheme="minorHAnsi" w:hAnsiTheme="minorHAnsi"/>
          <w:sz w:val="22"/>
        </w:rPr>
        <w:t xml:space="preserve">We propose here a benchmarking of national environmental stocks, taken in conjunction with an exercise </w:t>
      </w:r>
      <w:r w:rsidR="0012793C">
        <w:rPr>
          <w:rFonts w:asciiTheme="minorHAnsi" w:hAnsiTheme="minorHAnsi"/>
          <w:sz w:val="22"/>
        </w:rPr>
        <w:t xml:space="preserve">to examine the relationship over time between </w:t>
      </w:r>
      <w:r>
        <w:rPr>
          <w:rFonts w:asciiTheme="minorHAnsi" w:hAnsiTheme="minorHAnsi"/>
          <w:sz w:val="22"/>
        </w:rPr>
        <w:t>e</w:t>
      </w:r>
      <w:r>
        <w:rPr>
          <w:rFonts w:ascii="Calibri" w:hAnsi="Calibri"/>
          <w:sz w:val="22"/>
        </w:rPr>
        <w:t>conomic growth and change in</w:t>
      </w:r>
      <w:r w:rsidRPr="00AA7FD5">
        <w:rPr>
          <w:rFonts w:ascii="Calibri" w:hAnsi="Calibri"/>
          <w:sz w:val="22"/>
        </w:rPr>
        <w:t xml:space="preserve"> environmental externalities</w:t>
      </w:r>
      <w:r w:rsidR="00B65737">
        <w:rPr>
          <w:rStyle w:val="FootnoteReference"/>
          <w:rFonts w:ascii="Calibri" w:hAnsi="Calibri"/>
          <w:sz w:val="22"/>
        </w:rPr>
        <w:footnoteReference w:id="2"/>
      </w:r>
      <w:r>
        <w:rPr>
          <w:rFonts w:asciiTheme="minorHAnsi" w:hAnsiTheme="minorHAnsi"/>
          <w:sz w:val="22"/>
        </w:rPr>
        <w:t xml:space="preserve"> using</w:t>
      </w:r>
      <w:r w:rsidRPr="00AA7FD5">
        <w:rPr>
          <w:rFonts w:asciiTheme="minorHAnsi" w:hAnsiTheme="minorHAnsi"/>
          <w:sz w:val="22"/>
        </w:rPr>
        <w:t xml:space="preserve"> Eurostat data</w:t>
      </w:r>
      <w:r w:rsidRPr="00B657A9">
        <w:rPr>
          <w:rFonts w:asciiTheme="minorHAnsi" w:hAnsiTheme="minorHAnsi"/>
          <w:sz w:val="22"/>
        </w:rPr>
        <w:t xml:space="preserve"> </w:t>
      </w:r>
      <w:r>
        <w:rPr>
          <w:rFonts w:asciiTheme="minorHAnsi" w:hAnsiTheme="minorHAnsi"/>
          <w:sz w:val="22"/>
        </w:rPr>
        <w:t xml:space="preserve">for </w:t>
      </w:r>
      <w:r w:rsidRPr="00AA7FD5">
        <w:rPr>
          <w:rFonts w:asciiTheme="minorHAnsi" w:hAnsiTheme="minorHAnsi"/>
          <w:sz w:val="22"/>
        </w:rPr>
        <w:t>selected countries in the EU.</w:t>
      </w:r>
      <w:r>
        <w:rPr>
          <w:rFonts w:asciiTheme="minorHAnsi" w:hAnsiTheme="minorHAnsi"/>
          <w:sz w:val="22"/>
        </w:rPr>
        <w:t xml:space="preserve"> We develop an approach to </w:t>
      </w:r>
      <w:r w:rsidR="009913EE">
        <w:rPr>
          <w:rFonts w:asciiTheme="minorHAnsi" w:hAnsiTheme="minorHAnsi"/>
          <w:sz w:val="22"/>
        </w:rPr>
        <w:t xml:space="preserve">observe </w:t>
      </w:r>
      <w:r>
        <w:rPr>
          <w:rFonts w:asciiTheme="minorHAnsi" w:hAnsiTheme="minorHAnsi"/>
          <w:sz w:val="22"/>
        </w:rPr>
        <w:t>decoupl</w:t>
      </w:r>
      <w:r w:rsidR="009913EE">
        <w:rPr>
          <w:rFonts w:asciiTheme="minorHAnsi" w:hAnsiTheme="minorHAnsi"/>
          <w:sz w:val="22"/>
        </w:rPr>
        <w:t>ing</w:t>
      </w:r>
      <w:r>
        <w:rPr>
          <w:rFonts w:asciiTheme="minorHAnsi" w:hAnsiTheme="minorHAnsi"/>
          <w:sz w:val="22"/>
        </w:rPr>
        <w:t xml:space="preserve"> </w:t>
      </w:r>
      <w:r w:rsidR="009913EE">
        <w:rPr>
          <w:rFonts w:asciiTheme="minorHAnsi" w:hAnsiTheme="minorHAnsi"/>
          <w:sz w:val="22"/>
        </w:rPr>
        <w:t xml:space="preserve">trends between </w:t>
      </w:r>
      <w:r>
        <w:rPr>
          <w:rFonts w:asciiTheme="minorHAnsi" w:hAnsiTheme="minorHAnsi"/>
          <w:sz w:val="22"/>
        </w:rPr>
        <w:t xml:space="preserve">environmental externalities and economic growth to </w:t>
      </w:r>
      <w:r w:rsidR="009913EE">
        <w:rPr>
          <w:rFonts w:asciiTheme="minorHAnsi" w:hAnsiTheme="minorHAnsi"/>
          <w:sz w:val="22"/>
        </w:rPr>
        <w:t xml:space="preserve">better </w:t>
      </w:r>
      <w:r>
        <w:rPr>
          <w:rFonts w:asciiTheme="minorHAnsi" w:hAnsiTheme="minorHAnsi"/>
          <w:sz w:val="22"/>
        </w:rPr>
        <w:t>understand how</w:t>
      </w:r>
      <w:r w:rsidRPr="00AA7FD5">
        <w:rPr>
          <w:rFonts w:asciiTheme="minorHAnsi" w:hAnsiTheme="minorHAnsi"/>
          <w:sz w:val="22"/>
        </w:rPr>
        <w:t xml:space="preserve"> a country’s economy and key sectors fare in terms of </w:t>
      </w:r>
      <w:r w:rsidR="00B65737">
        <w:rPr>
          <w:rFonts w:asciiTheme="minorHAnsi" w:hAnsiTheme="minorHAnsi"/>
          <w:sz w:val="22"/>
        </w:rPr>
        <w:t xml:space="preserve">their </w:t>
      </w:r>
      <w:r w:rsidRPr="00AA7FD5">
        <w:rPr>
          <w:rFonts w:asciiTheme="minorHAnsi" w:hAnsiTheme="minorHAnsi"/>
          <w:sz w:val="22"/>
        </w:rPr>
        <w:t xml:space="preserve">environmental </w:t>
      </w:r>
      <w:r w:rsidR="00645D55">
        <w:rPr>
          <w:rFonts w:asciiTheme="minorHAnsi" w:hAnsiTheme="minorHAnsi"/>
          <w:sz w:val="22"/>
        </w:rPr>
        <w:t xml:space="preserve">performance </w:t>
      </w:r>
      <w:r w:rsidRPr="00AA7FD5">
        <w:rPr>
          <w:rFonts w:asciiTheme="minorHAnsi" w:hAnsiTheme="minorHAnsi"/>
          <w:sz w:val="22"/>
        </w:rPr>
        <w:t xml:space="preserve">relative to </w:t>
      </w:r>
      <w:r w:rsidR="00B65737">
        <w:rPr>
          <w:rFonts w:asciiTheme="minorHAnsi" w:hAnsiTheme="minorHAnsi"/>
          <w:sz w:val="22"/>
        </w:rPr>
        <w:t xml:space="preserve">its </w:t>
      </w:r>
      <w:r w:rsidRPr="00AA7FD5">
        <w:rPr>
          <w:rFonts w:asciiTheme="minorHAnsi" w:hAnsiTheme="minorHAnsi"/>
          <w:sz w:val="22"/>
        </w:rPr>
        <w:t>economic performance</w:t>
      </w:r>
      <w:r>
        <w:rPr>
          <w:rFonts w:asciiTheme="minorHAnsi" w:hAnsiTheme="minorHAnsi"/>
          <w:sz w:val="22"/>
        </w:rPr>
        <w:t>. This exercise can also reveal whether</w:t>
      </w:r>
      <w:r w:rsidRPr="00AA7FD5">
        <w:rPr>
          <w:rFonts w:asciiTheme="minorHAnsi" w:hAnsiTheme="minorHAnsi"/>
          <w:sz w:val="22"/>
        </w:rPr>
        <w:t xml:space="preserve"> environmental externalities</w:t>
      </w:r>
      <w:r w:rsidR="009843C7">
        <w:rPr>
          <w:rFonts w:asciiTheme="minorHAnsi" w:hAnsiTheme="minorHAnsi"/>
          <w:sz w:val="22"/>
        </w:rPr>
        <w:t xml:space="preserve"> (either good, bad, or neutral)</w:t>
      </w:r>
      <w:r w:rsidRPr="00AA7FD5">
        <w:rPr>
          <w:rFonts w:asciiTheme="minorHAnsi" w:hAnsiTheme="minorHAnsi"/>
          <w:sz w:val="22"/>
        </w:rPr>
        <w:t xml:space="preserve"> have a disproportional impact on the </w:t>
      </w:r>
      <w:r>
        <w:rPr>
          <w:rFonts w:asciiTheme="minorHAnsi" w:hAnsiTheme="minorHAnsi"/>
          <w:sz w:val="22"/>
        </w:rPr>
        <w:t>poorer regions within a country.</w:t>
      </w:r>
      <w:r w:rsidR="00EA068C">
        <w:rPr>
          <w:rFonts w:asciiTheme="minorHAnsi" w:hAnsiTheme="minorHAnsi"/>
          <w:sz w:val="22"/>
        </w:rPr>
        <w:t xml:space="preserve"> This analysis also </w:t>
      </w:r>
      <w:r w:rsidR="000B5C43">
        <w:rPr>
          <w:rFonts w:asciiTheme="minorHAnsi" w:hAnsiTheme="minorHAnsi"/>
          <w:sz w:val="22"/>
        </w:rPr>
        <w:t>draws upon</w:t>
      </w:r>
      <w:r w:rsidR="00EA068C">
        <w:rPr>
          <w:rFonts w:asciiTheme="minorHAnsi" w:hAnsiTheme="minorHAnsi"/>
          <w:sz w:val="22"/>
        </w:rPr>
        <w:t xml:space="preserve"> and compliments</w:t>
      </w:r>
      <w:r w:rsidR="000B5C43">
        <w:rPr>
          <w:rFonts w:asciiTheme="minorHAnsi" w:hAnsiTheme="minorHAnsi"/>
          <w:sz w:val="22"/>
        </w:rPr>
        <w:t xml:space="preserve"> World Bank</w:t>
      </w:r>
      <w:r w:rsidR="00EA068C">
        <w:rPr>
          <w:rFonts w:asciiTheme="minorHAnsi" w:hAnsiTheme="minorHAnsi"/>
          <w:sz w:val="22"/>
        </w:rPr>
        <w:t xml:space="preserve"> Systematic Country Diagnostic</w:t>
      </w:r>
      <w:r w:rsidR="00EA068C">
        <w:rPr>
          <w:rStyle w:val="FootnoteReference"/>
          <w:rFonts w:asciiTheme="minorHAnsi" w:hAnsiTheme="minorHAnsi"/>
          <w:sz w:val="22"/>
        </w:rPr>
        <w:footnoteReference w:id="3"/>
      </w:r>
      <w:r w:rsidR="00EA068C">
        <w:rPr>
          <w:rFonts w:asciiTheme="minorHAnsi" w:hAnsiTheme="minorHAnsi"/>
          <w:sz w:val="22"/>
        </w:rPr>
        <w:t xml:space="preserve"> reports for Romania, Croatia, and Poland, with examples from each referenced in subsequent sections.</w:t>
      </w:r>
    </w:p>
    <w:p w14:paraId="2F47D6BB" w14:textId="607A2E44" w:rsidR="00A71A6C" w:rsidRDefault="00E158DF" w:rsidP="00A71A6C">
      <w:pPr>
        <w:pStyle w:val="NormalWeb"/>
        <w:spacing w:before="240" w:after="240" w:line="276" w:lineRule="auto"/>
        <w:jc w:val="both"/>
        <w:rPr>
          <w:rFonts w:asciiTheme="minorHAnsi" w:hAnsiTheme="minorHAnsi"/>
          <w:sz w:val="22"/>
        </w:rPr>
      </w:pPr>
      <w:r>
        <w:rPr>
          <w:rFonts w:asciiTheme="minorHAnsi" w:hAnsiTheme="minorHAnsi"/>
          <w:noProof/>
          <w:sz w:val="22"/>
        </w:rPr>
        <w:drawing>
          <wp:anchor distT="0" distB="0" distL="114300" distR="114300" simplePos="0" relativeHeight="251663360" behindDoc="0" locked="0" layoutInCell="1" allowOverlap="1" wp14:anchorId="53E78DAD" wp14:editId="1B8EE009">
            <wp:simplePos x="0" y="0"/>
            <wp:positionH relativeFrom="margin">
              <wp:align>left</wp:align>
            </wp:positionH>
            <wp:positionV relativeFrom="paragraph">
              <wp:posOffset>2291080</wp:posOffset>
            </wp:positionV>
            <wp:extent cx="5905500" cy="1181100"/>
            <wp:effectExtent l="0" t="0" r="19050" b="0"/>
            <wp:wrapTopAndBottom/>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809634F" wp14:editId="273877D7">
                <wp:simplePos x="0" y="0"/>
                <wp:positionH relativeFrom="margin">
                  <wp:align>left</wp:align>
                </wp:positionH>
                <wp:positionV relativeFrom="paragraph">
                  <wp:posOffset>2062480</wp:posOffset>
                </wp:positionV>
                <wp:extent cx="5905500" cy="228600"/>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905500" cy="228600"/>
                        </a:xfrm>
                        <a:prstGeom prst="rect">
                          <a:avLst/>
                        </a:prstGeom>
                        <a:solidFill>
                          <a:prstClr val="white"/>
                        </a:solidFill>
                        <a:ln>
                          <a:noFill/>
                        </a:ln>
                      </wps:spPr>
                      <wps:txbx>
                        <w:txbxContent>
                          <w:p w14:paraId="137553D7" w14:textId="75136515" w:rsidR="0032392E" w:rsidRPr="00E158DF" w:rsidRDefault="0032392E" w:rsidP="00E158DF">
                            <w:pPr>
                              <w:pStyle w:val="NormalWeb"/>
                              <w:spacing w:before="240" w:after="240" w:line="276" w:lineRule="auto"/>
                              <w:jc w:val="center"/>
                              <w:rPr>
                                <w:rFonts w:asciiTheme="minorHAnsi" w:hAnsiTheme="minorHAnsi"/>
                                <w:sz w:val="22"/>
                              </w:rPr>
                            </w:pPr>
                            <w:bookmarkStart w:id="3" w:name="_Ref508010639"/>
                            <w:bookmarkStart w:id="4" w:name="_Toc508013107"/>
                            <w:r w:rsidRPr="00E158DF">
                              <w:rPr>
                                <w:rFonts w:asciiTheme="minorHAnsi" w:hAnsiTheme="minorHAnsi"/>
                                <w:sz w:val="22"/>
                              </w:rPr>
                              <w:t xml:space="preserve">Figure </w:t>
                            </w:r>
                            <w:r w:rsidRPr="00E158DF">
                              <w:rPr>
                                <w:rFonts w:asciiTheme="minorHAnsi" w:hAnsiTheme="minorHAnsi"/>
                                <w:sz w:val="22"/>
                              </w:rPr>
                              <w:fldChar w:fldCharType="begin"/>
                            </w:r>
                            <w:r w:rsidRPr="00E158DF">
                              <w:rPr>
                                <w:rFonts w:asciiTheme="minorHAnsi" w:hAnsiTheme="minorHAnsi"/>
                                <w:sz w:val="22"/>
                              </w:rPr>
                              <w:instrText xml:space="preserve"> SEQ Figure \* ARABIC </w:instrText>
                            </w:r>
                            <w:r w:rsidRPr="00E158DF">
                              <w:rPr>
                                <w:rFonts w:asciiTheme="minorHAnsi" w:hAnsiTheme="minorHAnsi"/>
                                <w:sz w:val="22"/>
                              </w:rPr>
                              <w:fldChar w:fldCharType="separate"/>
                            </w:r>
                            <w:r w:rsidR="006A2C19">
                              <w:rPr>
                                <w:rFonts w:asciiTheme="minorHAnsi" w:hAnsiTheme="minorHAnsi"/>
                                <w:noProof/>
                                <w:sz w:val="22"/>
                              </w:rPr>
                              <w:t>1</w:t>
                            </w:r>
                            <w:r w:rsidRPr="00E158DF">
                              <w:rPr>
                                <w:rFonts w:asciiTheme="minorHAnsi" w:hAnsiTheme="minorHAnsi"/>
                                <w:sz w:val="22"/>
                              </w:rPr>
                              <w:fldChar w:fldCharType="end"/>
                            </w:r>
                            <w:bookmarkEnd w:id="3"/>
                            <w:r w:rsidRPr="00E158DF">
                              <w:rPr>
                                <w:rFonts w:asciiTheme="minorHAnsi" w:hAnsiTheme="minorHAnsi"/>
                                <w:sz w:val="22"/>
                              </w:rPr>
                              <w:t>:</w:t>
                            </w:r>
                            <w:r>
                              <w:rPr>
                                <w:rFonts w:asciiTheme="minorHAnsi" w:hAnsiTheme="minorHAnsi"/>
                                <w:sz w:val="22"/>
                              </w:rPr>
                              <w:t xml:space="preserve"> Flow of Analysis</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09634F" id="_x0000_t202" coordsize="21600,21600" o:spt="202" path="m,l,21600r21600,l21600,xe">
                <v:stroke joinstyle="miter"/>
                <v:path gradientshapeok="t" o:connecttype="rect"/>
              </v:shapetype>
              <v:shape id="Text Box 52" o:spid="_x0000_s1026" type="#_x0000_t202" style="position:absolute;left:0;text-align:left;margin-left:0;margin-top:162.4pt;width:465pt;height:18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" stroked="f">
                <v:textbox inset="0,0,0,0">
                  <w:txbxContent>
                    <w:p w14:paraId="137553D7" w14:textId="75136515" w:rsidR="0032392E" w:rsidRPr="00E158DF" w:rsidRDefault="0032392E" w:rsidP="00E158DF">
                      <w:pPr>
                        <w:pStyle w:val="NormalWeb"/>
                        <w:spacing w:before="240" w:after="240" w:line="276" w:lineRule="auto"/>
                        <w:jc w:val="center"/>
                        <w:rPr>
                          <w:rFonts w:asciiTheme="minorHAnsi" w:hAnsiTheme="minorHAnsi"/>
                          <w:sz w:val="22"/>
                        </w:rPr>
                      </w:pPr>
                      <w:bookmarkStart w:id="5" w:name="_Ref508010639"/>
                      <w:bookmarkStart w:id="6" w:name="_Toc508013107"/>
                      <w:r w:rsidRPr="00E158DF">
                        <w:rPr>
                          <w:rFonts w:asciiTheme="minorHAnsi" w:hAnsiTheme="minorHAnsi"/>
                          <w:sz w:val="22"/>
                        </w:rPr>
                        <w:t xml:space="preserve">Figure </w:t>
                      </w:r>
                      <w:r w:rsidRPr="00E158DF">
                        <w:rPr>
                          <w:rFonts w:asciiTheme="minorHAnsi" w:hAnsiTheme="minorHAnsi"/>
                          <w:sz w:val="22"/>
                        </w:rPr>
                        <w:fldChar w:fldCharType="begin"/>
                      </w:r>
                      <w:r w:rsidRPr="00E158DF">
                        <w:rPr>
                          <w:rFonts w:asciiTheme="minorHAnsi" w:hAnsiTheme="minorHAnsi"/>
                          <w:sz w:val="22"/>
                        </w:rPr>
                        <w:instrText xml:space="preserve"> SEQ Figure \* ARABIC </w:instrText>
                      </w:r>
                      <w:r w:rsidRPr="00E158DF">
                        <w:rPr>
                          <w:rFonts w:asciiTheme="minorHAnsi" w:hAnsiTheme="minorHAnsi"/>
                          <w:sz w:val="22"/>
                        </w:rPr>
                        <w:fldChar w:fldCharType="separate"/>
                      </w:r>
                      <w:r w:rsidR="006A2C19">
                        <w:rPr>
                          <w:rFonts w:asciiTheme="minorHAnsi" w:hAnsiTheme="minorHAnsi"/>
                          <w:noProof/>
                          <w:sz w:val="22"/>
                        </w:rPr>
                        <w:t>1</w:t>
                      </w:r>
                      <w:r w:rsidRPr="00E158DF">
                        <w:rPr>
                          <w:rFonts w:asciiTheme="minorHAnsi" w:hAnsiTheme="minorHAnsi"/>
                          <w:sz w:val="22"/>
                        </w:rPr>
                        <w:fldChar w:fldCharType="end"/>
                      </w:r>
                      <w:bookmarkEnd w:id="5"/>
                      <w:r w:rsidRPr="00E158DF">
                        <w:rPr>
                          <w:rFonts w:asciiTheme="minorHAnsi" w:hAnsiTheme="minorHAnsi"/>
                          <w:sz w:val="22"/>
                        </w:rPr>
                        <w:t>:</w:t>
                      </w:r>
                      <w:r>
                        <w:rPr>
                          <w:rFonts w:asciiTheme="minorHAnsi" w:hAnsiTheme="minorHAnsi"/>
                          <w:sz w:val="22"/>
                        </w:rPr>
                        <w:t xml:space="preserve"> Flow of Analysis</w:t>
                      </w:r>
                      <w:bookmarkEnd w:id="6"/>
                    </w:p>
                  </w:txbxContent>
                </v:textbox>
                <w10:wrap type="topAndBottom" anchorx="margin"/>
              </v:shape>
            </w:pict>
          </mc:Fallback>
        </mc:AlternateContent>
      </w:r>
      <w:r w:rsidR="00A71A6C">
        <w:rPr>
          <w:rFonts w:asciiTheme="minorHAnsi" w:hAnsiTheme="minorHAnsi"/>
          <w:sz w:val="22"/>
        </w:rPr>
        <w:t xml:space="preserve">In this paper, we first </w:t>
      </w:r>
      <w:r w:rsidR="00A71A6C">
        <w:rPr>
          <w:rFonts w:asciiTheme="minorHAnsi" w:hAnsiTheme="minorHAnsi"/>
          <w:sz w:val="22"/>
          <w:shd w:val="clear" w:color="auto" w:fill="FFFFFF"/>
        </w:rPr>
        <w:t xml:space="preserve">benchmark </w:t>
      </w:r>
      <w:r w:rsidR="00B65737">
        <w:rPr>
          <w:rFonts w:asciiTheme="minorHAnsi" w:hAnsiTheme="minorHAnsi"/>
          <w:sz w:val="22"/>
          <w:shd w:val="clear" w:color="auto" w:fill="FFFFFF"/>
        </w:rPr>
        <w:t xml:space="preserve">a </w:t>
      </w:r>
      <w:r w:rsidR="00906868">
        <w:rPr>
          <w:rFonts w:asciiTheme="minorHAnsi" w:hAnsiTheme="minorHAnsi"/>
          <w:sz w:val="22"/>
          <w:shd w:val="clear" w:color="auto" w:fill="FFFFFF"/>
        </w:rPr>
        <w:t>country</w:t>
      </w:r>
      <w:r w:rsidR="00A71A6C">
        <w:rPr>
          <w:rFonts w:asciiTheme="minorHAnsi" w:hAnsiTheme="minorHAnsi"/>
          <w:sz w:val="22"/>
          <w:shd w:val="clear" w:color="auto" w:fill="FFFFFF"/>
        </w:rPr>
        <w:t>’</w:t>
      </w:r>
      <w:r w:rsidR="00906868">
        <w:rPr>
          <w:rFonts w:asciiTheme="minorHAnsi" w:hAnsiTheme="minorHAnsi"/>
          <w:sz w:val="22"/>
          <w:shd w:val="clear" w:color="auto" w:fill="FFFFFF"/>
        </w:rPr>
        <w:t>s</w:t>
      </w:r>
      <w:r w:rsidR="00A71A6C">
        <w:rPr>
          <w:rFonts w:asciiTheme="minorHAnsi" w:hAnsiTheme="minorHAnsi"/>
          <w:sz w:val="22"/>
          <w:shd w:val="clear" w:color="auto" w:fill="FFFFFF"/>
        </w:rPr>
        <w:t xml:space="preserve"> environmental status based on current and historic ambient conditions, as well as natural capital stocks and adjusted net savings (ANS)</w:t>
      </w:r>
      <w:r w:rsidR="00B65737">
        <w:rPr>
          <w:rFonts w:asciiTheme="minorHAnsi" w:hAnsiTheme="minorHAnsi"/>
          <w:sz w:val="22"/>
          <w:shd w:val="clear" w:color="auto" w:fill="FFFFFF"/>
        </w:rPr>
        <w:t xml:space="preserve"> </w:t>
      </w:r>
      <w:r w:rsidR="00686515">
        <w:rPr>
          <w:rFonts w:asciiTheme="minorHAnsi" w:hAnsiTheme="minorHAnsi"/>
          <w:sz w:val="22"/>
          <w:shd w:val="clear" w:color="auto" w:fill="FFFFFF"/>
        </w:rPr>
        <w:t xml:space="preserve">to gauge </w:t>
      </w:r>
      <w:r w:rsidR="00B65737">
        <w:rPr>
          <w:rFonts w:asciiTheme="minorHAnsi" w:hAnsiTheme="minorHAnsi"/>
          <w:sz w:val="22"/>
          <w:shd w:val="clear" w:color="auto" w:fill="FFFFFF"/>
        </w:rPr>
        <w:t>its current environmental situation</w:t>
      </w:r>
      <w:r>
        <w:rPr>
          <w:rFonts w:asciiTheme="minorHAnsi" w:hAnsiTheme="minorHAnsi"/>
          <w:sz w:val="22"/>
          <w:shd w:val="clear" w:color="auto" w:fill="FFFFFF"/>
        </w:rPr>
        <w:t xml:space="preserve"> (</w:t>
      </w:r>
      <w:r>
        <w:rPr>
          <w:rFonts w:asciiTheme="minorHAnsi" w:hAnsiTheme="minorHAnsi"/>
          <w:sz w:val="22"/>
          <w:shd w:val="clear" w:color="auto" w:fill="FFFFFF"/>
        </w:rPr>
        <w:fldChar w:fldCharType="begin"/>
      </w:r>
      <w:r>
        <w:rPr>
          <w:rFonts w:asciiTheme="minorHAnsi" w:hAnsiTheme="minorHAnsi"/>
          <w:sz w:val="22"/>
          <w:shd w:val="clear" w:color="auto" w:fill="FFFFFF"/>
        </w:rPr>
        <w:instrText xml:space="preserve"> REF _Ref508010639 \h </w:instrText>
      </w:r>
      <w:r>
        <w:rPr>
          <w:rFonts w:asciiTheme="minorHAnsi" w:hAnsiTheme="minorHAnsi"/>
          <w:sz w:val="22"/>
          <w:shd w:val="clear" w:color="auto" w:fill="FFFFFF"/>
        </w:rPr>
      </w:r>
      <w:r>
        <w:rPr>
          <w:rFonts w:asciiTheme="minorHAnsi" w:hAnsiTheme="minorHAnsi"/>
          <w:sz w:val="22"/>
          <w:shd w:val="clear" w:color="auto" w:fill="FFFFFF"/>
        </w:rPr>
        <w:fldChar w:fldCharType="separate"/>
      </w:r>
      <w:r w:rsidR="006A2C19" w:rsidRPr="00E158DF">
        <w:rPr>
          <w:rFonts w:asciiTheme="minorHAnsi" w:hAnsiTheme="minorHAnsi"/>
          <w:sz w:val="22"/>
        </w:rPr>
        <w:t xml:space="preserve">Figure </w:t>
      </w:r>
      <w:r w:rsidR="006A2C19">
        <w:rPr>
          <w:rFonts w:asciiTheme="minorHAnsi" w:hAnsiTheme="minorHAnsi"/>
          <w:noProof/>
          <w:sz w:val="22"/>
        </w:rPr>
        <w:t>1</w:t>
      </w:r>
      <w:r>
        <w:rPr>
          <w:rFonts w:asciiTheme="minorHAnsi" w:hAnsiTheme="minorHAnsi"/>
          <w:sz w:val="22"/>
          <w:shd w:val="clear" w:color="auto" w:fill="FFFFFF"/>
        </w:rPr>
        <w:fldChar w:fldCharType="end"/>
      </w:r>
      <w:r>
        <w:rPr>
          <w:rFonts w:asciiTheme="minorHAnsi" w:hAnsiTheme="minorHAnsi"/>
          <w:sz w:val="22"/>
          <w:shd w:val="clear" w:color="auto" w:fill="FFFFFF"/>
        </w:rPr>
        <w:t>)</w:t>
      </w:r>
      <w:r w:rsidR="00A71A6C">
        <w:rPr>
          <w:rFonts w:asciiTheme="minorHAnsi" w:hAnsiTheme="minorHAnsi"/>
          <w:sz w:val="22"/>
          <w:shd w:val="clear" w:color="auto" w:fill="FFFFFF"/>
        </w:rPr>
        <w:t xml:space="preserve">. </w:t>
      </w:r>
      <w:r w:rsidR="00686515">
        <w:rPr>
          <w:rFonts w:asciiTheme="minorHAnsi" w:hAnsiTheme="minorHAnsi"/>
          <w:sz w:val="22"/>
          <w:shd w:val="clear" w:color="auto" w:fill="FFFFFF"/>
        </w:rPr>
        <w:t>For instance,</w:t>
      </w:r>
      <w:r w:rsidR="00572EB7">
        <w:rPr>
          <w:rFonts w:asciiTheme="minorHAnsi" w:hAnsiTheme="minorHAnsi"/>
          <w:sz w:val="22"/>
          <w:shd w:val="clear" w:color="auto" w:fill="FFFFFF"/>
        </w:rPr>
        <w:t xml:space="preserve"> we consider whether</w:t>
      </w:r>
      <w:r w:rsidR="00686515">
        <w:rPr>
          <w:rFonts w:asciiTheme="minorHAnsi" w:hAnsiTheme="minorHAnsi"/>
          <w:sz w:val="22"/>
          <w:shd w:val="clear" w:color="auto" w:fill="FFFFFF"/>
        </w:rPr>
        <w:t xml:space="preserve"> a count</w:t>
      </w:r>
      <w:r w:rsidR="00572EB7">
        <w:rPr>
          <w:rFonts w:asciiTheme="minorHAnsi" w:hAnsiTheme="minorHAnsi"/>
          <w:sz w:val="22"/>
          <w:shd w:val="clear" w:color="auto" w:fill="FFFFFF"/>
        </w:rPr>
        <w:t>r</w:t>
      </w:r>
      <w:r w:rsidR="00686515">
        <w:rPr>
          <w:rFonts w:asciiTheme="minorHAnsi" w:hAnsiTheme="minorHAnsi"/>
          <w:sz w:val="22"/>
          <w:shd w:val="clear" w:color="auto" w:fill="FFFFFF"/>
        </w:rPr>
        <w:t xml:space="preserve">y’s ambient air quality </w:t>
      </w:r>
      <w:r w:rsidR="00572EB7">
        <w:rPr>
          <w:rFonts w:asciiTheme="minorHAnsi" w:hAnsiTheme="minorHAnsi"/>
          <w:sz w:val="22"/>
          <w:shd w:val="clear" w:color="auto" w:fill="FFFFFF"/>
        </w:rPr>
        <w:t>complies with national and</w:t>
      </w:r>
      <w:r w:rsidR="00686515">
        <w:rPr>
          <w:rFonts w:asciiTheme="minorHAnsi" w:hAnsiTheme="minorHAnsi"/>
          <w:sz w:val="22"/>
          <w:shd w:val="clear" w:color="auto" w:fill="FFFFFF"/>
        </w:rPr>
        <w:t xml:space="preserve"> international standards</w:t>
      </w:r>
      <w:r w:rsidR="00572EB7">
        <w:rPr>
          <w:rFonts w:asciiTheme="minorHAnsi" w:hAnsiTheme="minorHAnsi"/>
          <w:sz w:val="22"/>
          <w:shd w:val="clear" w:color="auto" w:fill="FFFFFF"/>
        </w:rPr>
        <w:t>.</w:t>
      </w:r>
      <w:r w:rsidR="00686515">
        <w:rPr>
          <w:rFonts w:asciiTheme="minorHAnsi" w:hAnsiTheme="minorHAnsi"/>
          <w:sz w:val="22"/>
          <w:shd w:val="clear" w:color="auto" w:fill="FFFFFF"/>
        </w:rPr>
        <w:t xml:space="preserve"> </w:t>
      </w:r>
      <w:r w:rsidR="00A71A6C">
        <w:rPr>
          <w:rFonts w:asciiTheme="minorHAnsi" w:hAnsiTheme="minorHAnsi"/>
          <w:sz w:val="22"/>
          <w:shd w:val="clear" w:color="auto" w:fill="FFFFFF"/>
        </w:rPr>
        <w:t xml:space="preserve">Second, </w:t>
      </w:r>
      <w:r w:rsidR="00A71A6C" w:rsidRPr="005D6380">
        <w:rPr>
          <w:rFonts w:asciiTheme="minorHAnsi" w:hAnsiTheme="minorHAnsi"/>
          <w:sz w:val="22"/>
        </w:rPr>
        <w:t xml:space="preserve">the Green Growth Decoupling Tool is introduced </w:t>
      </w:r>
      <w:r w:rsidR="00A71A6C">
        <w:rPr>
          <w:rFonts w:asciiTheme="minorHAnsi" w:hAnsiTheme="minorHAnsi"/>
          <w:sz w:val="22"/>
        </w:rPr>
        <w:t>with</w:t>
      </w:r>
      <w:r w:rsidR="00A71A6C" w:rsidRPr="005D6380">
        <w:rPr>
          <w:rFonts w:asciiTheme="minorHAnsi" w:hAnsiTheme="minorHAnsi"/>
          <w:sz w:val="22"/>
        </w:rPr>
        <w:t xml:space="preserve"> an illustrative example based on Romanian </w:t>
      </w:r>
      <w:r w:rsidR="00A71A6C">
        <w:rPr>
          <w:rFonts w:asciiTheme="minorHAnsi" w:hAnsiTheme="minorHAnsi"/>
          <w:sz w:val="22"/>
        </w:rPr>
        <w:t>data</w:t>
      </w:r>
      <w:r w:rsidR="00A71A6C" w:rsidRPr="00FB3BD0">
        <w:rPr>
          <w:rFonts w:asciiTheme="minorHAnsi" w:hAnsiTheme="minorHAnsi"/>
          <w:sz w:val="22"/>
        </w:rPr>
        <w:t xml:space="preserve">. </w:t>
      </w:r>
      <w:r w:rsidR="00B65737">
        <w:rPr>
          <w:rFonts w:asciiTheme="minorHAnsi" w:hAnsiTheme="minorHAnsi"/>
          <w:sz w:val="22"/>
        </w:rPr>
        <w:t xml:space="preserve">The decoupling tool </w:t>
      </w:r>
      <w:r w:rsidR="00686515">
        <w:rPr>
          <w:rFonts w:asciiTheme="minorHAnsi" w:hAnsiTheme="minorHAnsi"/>
          <w:sz w:val="22"/>
        </w:rPr>
        <w:t>reveal</w:t>
      </w:r>
      <w:r w:rsidR="00750013">
        <w:rPr>
          <w:rFonts w:asciiTheme="minorHAnsi" w:hAnsiTheme="minorHAnsi"/>
          <w:sz w:val="22"/>
        </w:rPr>
        <w:t>s</w:t>
      </w:r>
      <w:r w:rsidR="00686515">
        <w:rPr>
          <w:rFonts w:asciiTheme="minorHAnsi" w:hAnsiTheme="minorHAnsi"/>
          <w:sz w:val="22"/>
        </w:rPr>
        <w:t xml:space="preserve"> </w:t>
      </w:r>
      <w:r w:rsidR="00B65737">
        <w:rPr>
          <w:rFonts w:asciiTheme="minorHAnsi" w:hAnsiTheme="minorHAnsi"/>
          <w:sz w:val="22"/>
        </w:rPr>
        <w:t xml:space="preserve">how a country or sector is performing </w:t>
      </w:r>
      <w:r w:rsidR="00686515">
        <w:rPr>
          <w:rFonts w:asciiTheme="minorHAnsi" w:hAnsiTheme="minorHAnsi"/>
          <w:sz w:val="22"/>
        </w:rPr>
        <w:t xml:space="preserve">vis-à-vis </w:t>
      </w:r>
      <w:r w:rsidR="00B65737">
        <w:rPr>
          <w:rFonts w:asciiTheme="minorHAnsi" w:hAnsiTheme="minorHAnsi"/>
          <w:sz w:val="22"/>
        </w:rPr>
        <w:t xml:space="preserve">that specific </w:t>
      </w:r>
      <w:r w:rsidR="00686515">
        <w:rPr>
          <w:rFonts w:asciiTheme="minorHAnsi" w:hAnsiTheme="minorHAnsi"/>
          <w:sz w:val="22"/>
        </w:rPr>
        <w:t xml:space="preserve">environmental </w:t>
      </w:r>
      <w:r w:rsidR="00B65737">
        <w:rPr>
          <w:rFonts w:asciiTheme="minorHAnsi" w:hAnsiTheme="minorHAnsi"/>
          <w:sz w:val="22"/>
        </w:rPr>
        <w:t xml:space="preserve">indicator relative to economic growth. </w:t>
      </w:r>
      <w:r w:rsidR="00EC3F7E">
        <w:rPr>
          <w:rFonts w:asciiTheme="minorHAnsi" w:hAnsiTheme="minorHAnsi"/>
          <w:sz w:val="22"/>
        </w:rPr>
        <w:t>B</w:t>
      </w:r>
      <w:r w:rsidR="00EC3F7E">
        <w:rPr>
          <w:rFonts w:asciiTheme="minorHAnsi" w:hAnsiTheme="minorHAnsi"/>
          <w:sz w:val="22"/>
          <w:shd w:val="clear" w:color="auto" w:fill="FFFFFF"/>
        </w:rPr>
        <w:t xml:space="preserve">ased on the results of </w:t>
      </w:r>
      <w:r w:rsidR="00037FC7">
        <w:rPr>
          <w:rFonts w:asciiTheme="minorHAnsi" w:hAnsiTheme="minorHAnsi"/>
          <w:sz w:val="22"/>
          <w:shd w:val="clear" w:color="auto" w:fill="FFFFFF"/>
        </w:rPr>
        <w:t>this</w:t>
      </w:r>
      <w:r w:rsidR="00EC3F7E">
        <w:rPr>
          <w:rFonts w:asciiTheme="minorHAnsi" w:hAnsiTheme="minorHAnsi"/>
          <w:sz w:val="22"/>
          <w:shd w:val="clear" w:color="auto" w:fill="FFFFFF"/>
        </w:rPr>
        <w:t xml:space="preserve"> exercise, we </w:t>
      </w:r>
      <w:r w:rsidR="00037FC7">
        <w:rPr>
          <w:rFonts w:asciiTheme="minorHAnsi" w:hAnsiTheme="minorHAnsi"/>
          <w:sz w:val="22"/>
          <w:shd w:val="clear" w:color="auto" w:fill="FFFFFF"/>
        </w:rPr>
        <w:t xml:space="preserve">then put forth </w:t>
      </w:r>
      <w:r w:rsidR="00686515">
        <w:rPr>
          <w:rFonts w:asciiTheme="minorHAnsi" w:hAnsiTheme="minorHAnsi"/>
          <w:sz w:val="22"/>
          <w:shd w:val="clear" w:color="auto" w:fill="FFFFFF"/>
        </w:rPr>
        <w:t xml:space="preserve">potential </w:t>
      </w:r>
      <w:r w:rsidR="00037FC7" w:rsidRPr="00FB3BD0">
        <w:rPr>
          <w:rFonts w:asciiTheme="minorHAnsi" w:hAnsiTheme="minorHAnsi"/>
          <w:sz w:val="22"/>
        </w:rPr>
        <w:t>hypotheses</w:t>
      </w:r>
      <w:r w:rsidR="00037FC7">
        <w:rPr>
          <w:rFonts w:asciiTheme="minorHAnsi" w:hAnsiTheme="minorHAnsi"/>
          <w:sz w:val="22"/>
          <w:shd w:val="clear" w:color="auto" w:fill="FFFFFF"/>
        </w:rPr>
        <w:t xml:space="preserve"> </w:t>
      </w:r>
      <w:r w:rsidR="00686515">
        <w:rPr>
          <w:rFonts w:asciiTheme="minorHAnsi" w:hAnsiTheme="minorHAnsi"/>
          <w:sz w:val="22"/>
          <w:shd w:val="clear" w:color="auto" w:fill="FFFFFF"/>
        </w:rPr>
        <w:t xml:space="preserve">that may </w:t>
      </w:r>
      <w:r w:rsidR="00037FC7">
        <w:rPr>
          <w:rFonts w:asciiTheme="minorHAnsi" w:hAnsiTheme="minorHAnsi"/>
          <w:sz w:val="22"/>
          <w:shd w:val="clear" w:color="auto" w:fill="FFFFFF"/>
        </w:rPr>
        <w:t xml:space="preserve">explain the </w:t>
      </w:r>
      <w:r w:rsidR="00B65737">
        <w:rPr>
          <w:rFonts w:asciiTheme="minorHAnsi" w:hAnsiTheme="minorHAnsi"/>
          <w:sz w:val="22"/>
          <w:shd w:val="clear" w:color="auto" w:fill="FFFFFF"/>
        </w:rPr>
        <w:t xml:space="preserve">decoupling </w:t>
      </w:r>
      <w:r w:rsidR="00037FC7">
        <w:rPr>
          <w:rFonts w:asciiTheme="minorHAnsi" w:hAnsiTheme="minorHAnsi"/>
          <w:sz w:val="22"/>
          <w:shd w:val="clear" w:color="auto" w:fill="FFFFFF"/>
        </w:rPr>
        <w:t>relationships observed.</w:t>
      </w:r>
      <w:r w:rsidR="00EC3F7E" w:rsidRPr="005D6380">
        <w:rPr>
          <w:rFonts w:asciiTheme="minorHAnsi" w:hAnsiTheme="minorHAnsi"/>
          <w:sz w:val="22"/>
        </w:rPr>
        <w:t xml:space="preserve"> </w:t>
      </w:r>
      <w:r w:rsidR="00037FC7">
        <w:rPr>
          <w:rFonts w:asciiTheme="minorHAnsi" w:hAnsiTheme="minorHAnsi"/>
          <w:sz w:val="22"/>
        </w:rPr>
        <w:t xml:space="preserve">We explore these hypotheses further through a discussion of </w:t>
      </w:r>
      <w:r w:rsidR="00037FC7" w:rsidRPr="00FB3BD0">
        <w:rPr>
          <w:rFonts w:asciiTheme="minorHAnsi" w:hAnsiTheme="minorHAnsi"/>
          <w:sz w:val="22"/>
        </w:rPr>
        <w:t xml:space="preserve">spatial </w:t>
      </w:r>
      <w:r w:rsidR="00037FC7">
        <w:rPr>
          <w:rFonts w:asciiTheme="minorHAnsi" w:hAnsiTheme="minorHAnsi"/>
          <w:sz w:val="22"/>
        </w:rPr>
        <w:t>patterns</w:t>
      </w:r>
      <w:r w:rsidR="00037FC7" w:rsidRPr="00FB3BD0">
        <w:rPr>
          <w:rFonts w:asciiTheme="minorHAnsi" w:hAnsiTheme="minorHAnsi"/>
          <w:sz w:val="22"/>
        </w:rPr>
        <w:t xml:space="preserve"> of </w:t>
      </w:r>
      <w:r w:rsidR="00037FC7">
        <w:rPr>
          <w:rFonts w:asciiTheme="minorHAnsi" w:hAnsiTheme="minorHAnsi"/>
          <w:sz w:val="22"/>
        </w:rPr>
        <w:t>wealth distribution</w:t>
      </w:r>
      <w:r w:rsidR="00447958">
        <w:rPr>
          <w:rFonts w:asciiTheme="minorHAnsi" w:hAnsiTheme="minorHAnsi"/>
          <w:sz w:val="22"/>
        </w:rPr>
        <w:t xml:space="preserve"> in relation to</w:t>
      </w:r>
      <w:r w:rsidR="00037FC7" w:rsidRPr="00FB3BD0">
        <w:rPr>
          <w:rFonts w:asciiTheme="minorHAnsi" w:hAnsiTheme="minorHAnsi"/>
          <w:sz w:val="22"/>
        </w:rPr>
        <w:t xml:space="preserve"> environment</w:t>
      </w:r>
      <w:r w:rsidR="00037FC7">
        <w:rPr>
          <w:rFonts w:asciiTheme="minorHAnsi" w:hAnsiTheme="minorHAnsi"/>
          <w:sz w:val="22"/>
        </w:rPr>
        <w:t>al factors</w:t>
      </w:r>
      <w:r w:rsidR="00037FC7" w:rsidRPr="00FB3BD0">
        <w:rPr>
          <w:rFonts w:asciiTheme="minorHAnsi" w:hAnsiTheme="minorHAnsi"/>
          <w:sz w:val="22"/>
        </w:rPr>
        <w:t>.</w:t>
      </w:r>
      <w:r w:rsidR="00037FC7">
        <w:rPr>
          <w:rFonts w:asciiTheme="minorHAnsi" w:hAnsiTheme="minorHAnsi"/>
          <w:sz w:val="22"/>
        </w:rPr>
        <w:t xml:space="preserve"> </w:t>
      </w:r>
      <w:r w:rsidR="00A71A6C" w:rsidRPr="00FB3BD0">
        <w:rPr>
          <w:rFonts w:asciiTheme="minorHAnsi" w:hAnsiTheme="minorHAnsi"/>
          <w:sz w:val="22"/>
        </w:rPr>
        <w:t xml:space="preserve">Finally, we present specific policy implications and </w:t>
      </w:r>
      <w:r w:rsidR="00686515">
        <w:rPr>
          <w:rFonts w:asciiTheme="minorHAnsi" w:hAnsiTheme="minorHAnsi"/>
          <w:sz w:val="22"/>
        </w:rPr>
        <w:t xml:space="preserve">recommendations </w:t>
      </w:r>
      <w:r w:rsidR="009913EE">
        <w:rPr>
          <w:rFonts w:asciiTheme="minorHAnsi" w:hAnsiTheme="minorHAnsi"/>
          <w:sz w:val="22"/>
        </w:rPr>
        <w:t xml:space="preserve">on how to build the evidence base for </w:t>
      </w:r>
      <w:r w:rsidR="00447958">
        <w:rPr>
          <w:rFonts w:asciiTheme="minorHAnsi" w:hAnsiTheme="minorHAnsi"/>
          <w:sz w:val="22"/>
        </w:rPr>
        <w:t>policy</w:t>
      </w:r>
      <w:r w:rsidR="00686515">
        <w:rPr>
          <w:rFonts w:asciiTheme="minorHAnsi" w:hAnsiTheme="minorHAnsi"/>
          <w:sz w:val="22"/>
        </w:rPr>
        <w:t>making</w:t>
      </w:r>
      <w:r w:rsidR="00037FC7">
        <w:rPr>
          <w:rFonts w:asciiTheme="minorHAnsi" w:hAnsiTheme="minorHAnsi"/>
          <w:sz w:val="22"/>
        </w:rPr>
        <w:t>.</w:t>
      </w:r>
    </w:p>
    <w:p w14:paraId="1C8ECC3E" w14:textId="6EF0F22B" w:rsidR="005518D5" w:rsidRDefault="005518D5" w:rsidP="00A71A6C">
      <w:pPr>
        <w:pStyle w:val="NormalWeb"/>
        <w:spacing w:before="240" w:after="240" w:line="276" w:lineRule="auto"/>
        <w:jc w:val="both"/>
        <w:rPr>
          <w:rFonts w:asciiTheme="minorHAnsi" w:hAnsiTheme="minorHAnsi"/>
          <w:sz w:val="22"/>
        </w:rPr>
      </w:pPr>
    </w:p>
    <w:p w14:paraId="3748D307" w14:textId="611F29E9" w:rsidR="00424C9F" w:rsidRPr="00A522A1" w:rsidRDefault="00A522A1" w:rsidP="00A522A1">
      <w:pPr>
        <w:pStyle w:val="Heading1"/>
      </w:pPr>
      <w:bookmarkStart w:id="7" w:name="_Toc508020575"/>
      <w:r>
        <w:t xml:space="preserve">Benchmarking Environmental Quality </w:t>
      </w:r>
      <w:r w:rsidR="00D356F6">
        <w:t xml:space="preserve">through </w:t>
      </w:r>
      <w:r w:rsidR="00424C9F" w:rsidRPr="00A522A1">
        <w:t>Wealth</w:t>
      </w:r>
      <w:r w:rsidR="00D356F6">
        <w:t xml:space="preserve">, </w:t>
      </w:r>
      <w:r w:rsidR="00424C9F" w:rsidRPr="00A522A1">
        <w:t>Natural Capital</w:t>
      </w:r>
      <w:r w:rsidR="00D356F6">
        <w:t xml:space="preserve"> and </w:t>
      </w:r>
      <w:r w:rsidR="007465C0">
        <w:t>Baseline</w:t>
      </w:r>
      <w:r w:rsidR="00D356F6">
        <w:t xml:space="preserve"> Conditions</w:t>
      </w:r>
      <w:bookmarkEnd w:id="7"/>
    </w:p>
    <w:p w14:paraId="0544A9D9" w14:textId="464C9A26" w:rsidR="00622FE6" w:rsidRDefault="00D35C91" w:rsidP="00671BCF">
      <w:pPr>
        <w:jc w:val="both"/>
      </w:pPr>
      <w:r>
        <w:t xml:space="preserve">The success of a country has long been considered through indicators of flow, with GDP as the leading measure. Problematically, however, </w:t>
      </w:r>
      <w:r w:rsidR="00813E87">
        <w:t xml:space="preserve">this is analogous to measuring a company’s performance by only </w:t>
      </w:r>
      <w:r w:rsidR="00813E87">
        <w:lastRenderedPageBreak/>
        <w:t>looking at its income statement (sales) and not its balance sheet – which includes income, assets and liabilities for a more complete picture of its overall sustainability. T</w:t>
      </w:r>
      <w:r>
        <w:t xml:space="preserve">he flows </w:t>
      </w:r>
      <w:r w:rsidR="00813E87">
        <w:t xml:space="preserve">accounted for </w:t>
      </w:r>
      <w:r w:rsidR="00144C81">
        <w:t>do not necessarily reflect</w:t>
      </w:r>
      <w:r>
        <w:t xml:space="preserve"> the wellbeing of a country or its population—finances may spike </w:t>
      </w:r>
      <w:r w:rsidR="00144C81">
        <w:t xml:space="preserve">as a nation rebuilds </w:t>
      </w:r>
      <w:r>
        <w:t xml:space="preserve">in the aftermath of a natural disaster, for instance, yet this does not point to a society that is better off than before </w:t>
      </w:r>
      <w:r w:rsidR="00144C81">
        <w:t>catastrophe</w:t>
      </w:r>
      <w:r>
        <w:t xml:space="preserve"> struck. In recent years, there has been a growing call to account for stocks of w</w:t>
      </w:r>
      <w:r w:rsidR="005D4A56">
        <w:t xml:space="preserve">ealth </w:t>
      </w:r>
      <w:r>
        <w:t>rather than flows of capital. Understanding the many forms of wealth that a country possesses</w:t>
      </w:r>
      <w:r w:rsidR="00D17E20">
        <w:t xml:space="preserve"> does not tell a full story, however. It is critical to understand if wealth grows, is maintained, or depletes over time, and whether some forms of wealth are replaced by others.</w:t>
      </w:r>
      <w:r w:rsidR="00622FE6">
        <w:t xml:space="preserve"> In this section, we offer </w:t>
      </w:r>
      <w:r w:rsidR="009913EE">
        <w:t>insights to measuring a country’s wealth and sustainable consumption throug</w:t>
      </w:r>
      <w:r w:rsidR="00802F51">
        <w:t>h natural capital accounting and adjusted net savings</w:t>
      </w:r>
      <w:r w:rsidR="009913EE">
        <w:rPr>
          <w:rStyle w:val="FootnoteReference"/>
        </w:rPr>
        <w:footnoteReference w:id="4"/>
      </w:r>
      <w:r w:rsidR="00802F51">
        <w:t>, and discuss further baseline conditions of environmental health.</w:t>
      </w:r>
    </w:p>
    <w:p w14:paraId="233BFBC0" w14:textId="1D351D92" w:rsidR="00622FE6" w:rsidRDefault="00622FE6" w:rsidP="00622FE6">
      <w:pPr>
        <w:pStyle w:val="Heading2"/>
      </w:pPr>
      <w:bookmarkStart w:id="8" w:name="_Toc508020576"/>
      <w:r>
        <w:t>Natural Capital</w:t>
      </w:r>
      <w:bookmarkEnd w:id="8"/>
    </w:p>
    <w:p w14:paraId="08A520D4" w14:textId="55AE5916" w:rsidR="00603797" w:rsidRDefault="005D4A56" w:rsidP="00671BCF">
      <w:pPr>
        <w:jc w:val="both"/>
      </w:pPr>
      <w:r>
        <w:t xml:space="preserve">Even when staying within the confines of the language of “capital” as wealth, several forms exist. Generally speaking, </w:t>
      </w:r>
      <w:r w:rsidR="001844CD">
        <w:t xml:space="preserve">the total wealth of an economy can be defined as the sum of produced capital, human capital, and natural capital (plus net foreign assets). </w:t>
      </w:r>
      <w:r w:rsidR="00603797" w:rsidRPr="00603797">
        <w:t xml:space="preserve">Natural capital comprises a significant </w:t>
      </w:r>
      <w:r w:rsidR="00603797">
        <w:t>portion of wealth in many countries</w:t>
      </w:r>
      <w:r w:rsidR="009843C7">
        <w:t>, and supports the wellbeing and livelihoods of countless people</w:t>
      </w:r>
      <w:r w:rsidR="00603797">
        <w:t xml:space="preserve">. </w:t>
      </w:r>
    </w:p>
    <w:p w14:paraId="371DA3FB" w14:textId="06D81779" w:rsidR="00622FE6" w:rsidRPr="00622FE6" w:rsidRDefault="00247028" w:rsidP="00671BCF">
      <w:pPr>
        <w:jc w:val="both"/>
      </w:pPr>
      <w:r>
        <w:t>In the example</w:t>
      </w:r>
      <w:r w:rsidR="009723B4" w:rsidRPr="009723B4">
        <w:t xml:space="preserve"> </w:t>
      </w:r>
      <w:r w:rsidR="009723B4">
        <w:t>below</w:t>
      </w:r>
      <w:r>
        <w:t>, t</w:t>
      </w:r>
      <w:r w:rsidR="00622FE6">
        <w:t xml:space="preserve">he portion of Romania’s wealth in natural capital decreased 24% from 1995 to 2014, comprising only 16% of total wealth by the end of the period (see </w:t>
      </w:r>
      <w:r w:rsidR="00622FE6">
        <w:fldChar w:fldCharType="begin"/>
      </w:r>
      <w:r w:rsidR="00622FE6">
        <w:instrText xml:space="preserve"> REF _Ref507588866 \h </w:instrText>
      </w:r>
      <w:r w:rsidR="00143A16">
        <w:instrText xml:space="preserve"> \* MERGEFORMAT </w:instrText>
      </w:r>
      <w:r w:rsidR="00622FE6">
        <w:fldChar w:fldCharType="separate"/>
      </w:r>
      <w:r w:rsidR="006A2C19" w:rsidRPr="006A2C19">
        <w:t>Figure 2</w:t>
      </w:r>
      <w:r w:rsidR="00622FE6">
        <w:fldChar w:fldCharType="end"/>
      </w:r>
      <w:r w:rsidR="004C74FC">
        <w:t xml:space="preserve">; </w:t>
      </w:r>
      <w:r w:rsidR="004C74FC">
        <w:fldChar w:fldCharType="begin"/>
      </w:r>
      <w:r w:rsidR="004C74FC">
        <w:instrText xml:space="preserve"> ADDIN ZOTERO_ITEM CSL_CITATION {"citationID":"tP6r1oOY","properties":{"formattedCitation":"(World Bank Forthcoming)","plainCitation":"(World Bank Forthcoming)"},"citationItems":[{"id":6763,"uris":["http://zotero.org/users/3805591/items/QNSV9QRD"],"uri":["http://zotero.org/users/3805591/items/QNSV9QRD"],"itemData":{"id":6763,"type":"report","title":"Romania Systematic Country Diagnostic","publisher-place":"Washington, D.C.","event-place":"Washington, D.C.","author":[{"literal":"World Bank"}],"issued":{"literal":"Forthcoming"}}}],"schema":"https://github.com/citation-style-language/schema/raw/master/csl-citation.json"} </w:instrText>
      </w:r>
      <w:r w:rsidR="004C74FC">
        <w:fldChar w:fldCharType="separate"/>
      </w:r>
      <w:r w:rsidR="004C74FC">
        <w:rPr>
          <w:rFonts w:ascii="Calibri" w:hAnsi="Calibri" w:cs="Calibri"/>
        </w:rPr>
        <w:t>World Bank, f</w:t>
      </w:r>
      <w:r w:rsidR="004C74FC" w:rsidRPr="004C74FC">
        <w:rPr>
          <w:rFonts w:ascii="Calibri" w:hAnsi="Calibri" w:cs="Calibri"/>
        </w:rPr>
        <w:t>orthcoming)</w:t>
      </w:r>
      <w:r w:rsidR="004C74FC">
        <w:fldChar w:fldCharType="end"/>
      </w:r>
      <w:r w:rsidR="00622FE6" w:rsidRPr="00B6344A">
        <w:t xml:space="preserve">. </w:t>
      </w:r>
      <w:r>
        <w:t>The d</w:t>
      </w:r>
      <w:r w:rsidR="00622FE6">
        <w:t xml:space="preserve">ecline in the share of natural </w:t>
      </w:r>
      <w:r w:rsidR="00622FE6" w:rsidRPr="00B6344A">
        <w:t xml:space="preserve">capital wealth in Romania </w:t>
      </w:r>
      <w:r w:rsidR="00622FE6">
        <w:t>does not necessarily indicate an absolute reduction in natural resources, yet decomposition indicates that this is the case in many areas (</w:t>
      </w:r>
      <w:r w:rsidR="00622FE6">
        <w:fldChar w:fldCharType="begin"/>
      </w:r>
      <w:r w:rsidR="00622FE6">
        <w:instrText xml:space="preserve"> REF _Ref507589318 \h </w:instrText>
      </w:r>
      <w:r w:rsidR="00143A16">
        <w:instrText xml:space="preserve"> \* MERGEFORMAT </w:instrText>
      </w:r>
      <w:r w:rsidR="00622FE6">
        <w:fldChar w:fldCharType="separate"/>
      </w:r>
      <w:r w:rsidR="006A2C19" w:rsidRPr="00B5701F">
        <w:t xml:space="preserve">Table </w:t>
      </w:r>
      <w:r w:rsidR="006A2C19" w:rsidRPr="006A2C19">
        <w:t>1</w:t>
      </w:r>
      <w:r w:rsidR="00622FE6">
        <w:fldChar w:fldCharType="end"/>
      </w:r>
      <w:r w:rsidR="00622FE6">
        <w:t>).  The conversion of c</w:t>
      </w:r>
      <w:r w:rsidR="00622FE6" w:rsidRPr="00B6344A">
        <w:t>rop and pasture land</w:t>
      </w:r>
      <w:r w:rsidR="00622FE6">
        <w:t xml:space="preserve">, which comprise nearly two-thirds of Romania’s natural capital wealth, serve as a main force of natural capital </w:t>
      </w:r>
      <w:r>
        <w:t xml:space="preserve">compositional change </w:t>
      </w:r>
      <w:r w:rsidR="00622FE6">
        <w:t>as they are replaced by urban areas (</w:t>
      </w:r>
      <w:r w:rsidR="00622FE6" w:rsidRPr="00315B4D">
        <w:fldChar w:fldCharType="begin"/>
      </w:r>
      <w:r w:rsidR="00622FE6" w:rsidRPr="00315B4D">
        <w:instrText xml:space="preserve"> REF _Ref500323295 \h  \* MERGEFORMAT </w:instrText>
      </w:r>
      <w:r w:rsidR="00622FE6" w:rsidRPr="00315B4D">
        <w:fldChar w:fldCharType="separate"/>
      </w:r>
      <w:r w:rsidR="006A2C19" w:rsidRPr="00B5701F">
        <w:t xml:space="preserve">Figure </w:t>
      </w:r>
      <w:r w:rsidR="006A2C19" w:rsidRPr="006A2C19">
        <w:rPr>
          <w:noProof/>
        </w:rPr>
        <w:t>3</w:t>
      </w:r>
      <w:r w:rsidR="00622FE6" w:rsidRPr="00315B4D">
        <w:fldChar w:fldCharType="end"/>
      </w:r>
      <w:r w:rsidR="00622FE6" w:rsidRPr="00315B4D">
        <w:t>).</w:t>
      </w:r>
      <w:r w:rsidR="00622FE6" w:rsidRPr="00B6344A">
        <w:t xml:space="preserve"> The de</w:t>
      </w:r>
      <w:r w:rsidR="00622FE6">
        <w:t xml:space="preserve">cline of natural capital value is also </w:t>
      </w:r>
      <w:r w:rsidR="00622FE6" w:rsidRPr="00B6344A">
        <w:t xml:space="preserve">explained </w:t>
      </w:r>
      <w:r w:rsidR="00622FE6">
        <w:t>to a smaller degree</w:t>
      </w:r>
      <w:r w:rsidR="00622FE6" w:rsidRPr="00B6344A">
        <w:t xml:space="preserve"> by decline</w:t>
      </w:r>
      <w:r w:rsidR="00622FE6">
        <w:t>s</w:t>
      </w:r>
      <w:r w:rsidR="00622FE6" w:rsidRPr="00B6344A">
        <w:t xml:space="preserve"> in timber resources </w:t>
      </w:r>
      <w:r w:rsidR="00622FE6">
        <w:t>and sub-soil assets</w:t>
      </w:r>
      <w:r w:rsidR="00622FE6" w:rsidRPr="00B6344A">
        <w:t>.</w:t>
      </w:r>
    </w:p>
    <w:p w14:paraId="0D6F1A75" w14:textId="6BD5C114" w:rsidR="00B6344A" w:rsidRDefault="00B6344A" w:rsidP="00B6344A">
      <w:pPr>
        <w:jc w:val="center"/>
      </w:pPr>
      <w:r>
        <w:rPr>
          <w:noProof/>
        </w:rPr>
        <w:drawing>
          <wp:inline distT="0" distB="0" distL="0" distR="0" wp14:anchorId="6ED2E9B8" wp14:editId="76FAB244">
            <wp:extent cx="3829050" cy="2400300"/>
            <wp:effectExtent l="0" t="0" r="0" b="0"/>
            <wp:docPr id="2" name="Chart 2">
              <a:extLst xmlns:a="http://schemas.openxmlformats.org/drawingml/2006/main">
                <a:ext uri="{FF2B5EF4-FFF2-40B4-BE49-F238E27FC236}">
                  <a16:creationId xmlns:a16="http://schemas.microsoft.com/office/drawing/2014/main" id="{B6EEE7B7-17A4-4046-A4FB-E4F4B5115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5FDB09" w14:textId="65ECE76B" w:rsidR="00B6344A" w:rsidRDefault="00B6344A" w:rsidP="00B6344A">
      <w:pPr>
        <w:pStyle w:val="Caption"/>
        <w:spacing w:after="0"/>
        <w:jc w:val="center"/>
        <w:rPr>
          <w:rFonts w:cstheme="minorHAnsi"/>
          <w:i w:val="0"/>
          <w:color w:val="auto"/>
          <w:sz w:val="22"/>
        </w:rPr>
      </w:pPr>
      <w:bookmarkStart w:id="9" w:name="_Ref507588866"/>
      <w:bookmarkStart w:id="10" w:name="_Toc508013108"/>
      <w:r w:rsidRPr="00B5701F">
        <w:rPr>
          <w:rFonts w:cstheme="minorHAnsi"/>
          <w:i w:val="0"/>
          <w:color w:val="auto"/>
          <w:sz w:val="22"/>
        </w:rPr>
        <w:t xml:space="preserve">Figure </w:t>
      </w:r>
      <w:r w:rsidR="00E158DF">
        <w:rPr>
          <w:rFonts w:cstheme="minorHAnsi"/>
          <w:i w:val="0"/>
          <w:color w:val="auto"/>
          <w:sz w:val="22"/>
        </w:rPr>
        <w:fldChar w:fldCharType="begin"/>
      </w:r>
      <w:r w:rsidR="00E158DF">
        <w:rPr>
          <w:rFonts w:cstheme="minorHAnsi"/>
          <w:i w:val="0"/>
          <w:color w:val="auto"/>
          <w:sz w:val="22"/>
        </w:rPr>
        <w:instrText xml:space="preserve"> SEQ Figure \* ARABIC </w:instrText>
      </w:r>
      <w:r w:rsidR="00E158DF">
        <w:rPr>
          <w:rFonts w:cstheme="minorHAnsi"/>
          <w:i w:val="0"/>
          <w:color w:val="auto"/>
          <w:sz w:val="22"/>
        </w:rPr>
        <w:fldChar w:fldCharType="separate"/>
      </w:r>
      <w:r w:rsidR="006A2C19">
        <w:rPr>
          <w:rFonts w:cstheme="minorHAnsi"/>
          <w:i w:val="0"/>
          <w:noProof/>
          <w:color w:val="auto"/>
          <w:sz w:val="22"/>
        </w:rPr>
        <w:t>2</w:t>
      </w:r>
      <w:r w:rsidR="00E158DF">
        <w:rPr>
          <w:rFonts w:cstheme="minorHAnsi"/>
          <w:i w:val="0"/>
          <w:color w:val="auto"/>
          <w:sz w:val="22"/>
        </w:rPr>
        <w:fldChar w:fldCharType="end"/>
      </w:r>
      <w:bookmarkEnd w:id="9"/>
      <w:r w:rsidRPr="00B5701F">
        <w:rPr>
          <w:rFonts w:cstheme="minorHAnsi"/>
          <w:i w:val="0"/>
          <w:color w:val="auto"/>
          <w:sz w:val="22"/>
        </w:rPr>
        <w:t xml:space="preserve">. Change in the composition of </w:t>
      </w:r>
      <w:r>
        <w:rPr>
          <w:rFonts w:cstheme="minorHAnsi"/>
          <w:i w:val="0"/>
          <w:color w:val="auto"/>
          <w:sz w:val="22"/>
        </w:rPr>
        <w:t xml:space="preserve">Romania’s </w:t>
      </w:r>
      <w:r w:rsidRPr="00B5701F">
        <w:rPr>
          <w:rFonts w:cstheme="minorHAnsi"/>
          <w:i w:val="0"/>
          <w:color w:val="auto"/>
          <w:sz w:val="22"/>
        </w:rPr>
        <w:t>total</w:t>
      </w:r>
      <w:r>
        <w:rPr>
          <w:rFonts w:cstheme="minorHAnsi"/>
          <w:i w:val="0"/>
          <w:color w:val="auto"/>
          <w:sz w:val="22"/>
        </w:rPr>
        <w:t xml:space="preserve"> </w:t>
      </w:r>
      <w:r w:rsidRPr="00B6344A">
        <w:rPr>
          <w:rFonts w:cstheme="minorHAnsi"/>
          <w:i w:val="0"/>
          <w:color w:val="auto"/>
          <w:sz w:val="22"/>
        </w:rPr>
        <w:t>wealth over time</w:t>
      </w:r>
      <w:bookmarkEnd w:id="10"/>
    </w:p>
    <w:p w14:paraId="197EB77A" w14:textId="77777777" w:rsidR="00315B4D" w:rsidRDefault="00315B4D" w:rsidP="00315B4D"/>
    <w:p w14:paraId="5C6E056A" w14:textId="002EC4C8" w:rsidR="00315B4D" w:rsidRPr="00B5701F" w:rsidRDefault="00315B4D" w:rsidP="00315B4D">
      <w:pPr>
        <w:pStyle w:val="Caption"/>
        <w:spacing w:after="0"/>
        <w:ind w:left="450"/>
        <w:jc w:val="center"/>
        <w:rPr>
          <w:i w:val="0"/>
          <w:color w:val="auto"/>
          <w:sz w:val="22"/>
          <w:szCs w:val="22"/>
        </w:rPr>
      </w:pPr>
      <w:bookmarkStart w:id="11" w:name="_Ref498186679"/>
      <w:bookmarkStart w:id="12" w:name="_Ref507589318"/>
      <w:r w:rsidRPr="00B5701F">
        <w:rPr>
          <w:i w:val="0"/>
          <w:color w:val="auto"/>
          <w:sz w:val="22"/>
          <w:szCs w:val="22"/>
        </w:rPr>
        <w:t xml:space="preserve">Table </w:t>
      </w:r>
      <w:r w:rsidRPr="00B5701F">
        <w:rPr>
          <w:i w:val="0"/>
          <w:color w:val="auto"/>
          <w:sz w:val="22"/>
          <w:szCs w:val="22"/>
        </w:rPr>
        <w:fldChar w:fldCharType="begin"/>
      </w:r>
      <w:r w:rsidRPr="00B5701F">
        <w:rPr>
          <w:i w:val="0"/>
          <w:color w:val="auto"/>
          <w:sz w:val="22"/>
          <w:szCs w:val="22"/>
        </w:rPr>
        <w:instrText xml:space="preserve"> SEQ Table \* ARABIC </w:instrText>
      </w:r>
      <w:r w:rsidRPr="00B5701F">
        <w:rPr>
          <w:i w:val="0"/>
          <w:color w:val="auto"/>
          <w:sz w:val="22"/>
          <w:szCs w:val="22"/>
        </w:rPr>
        <w:fldChar w:fldCharType="separate"/>
      </w:r>
      <w:r w:rsidR="006A2C19">
        <w:rPr>
          <w:i w:val="0"/>
          <w:noProof/>
          <w:color w:val="auto"/>
          <w:sz w:val="22"/>
          <w:szCs w:val="22"/>
        </w:rPr>
        <w:t>1</w:t>
      </w:r>
      <w:r w:rsidRPr="00B5701F">
        <w:rPr>
          <w:i w:val="0"/>
          <w:color w:val="auto"/>
          <w:sz w:val="22"/>
          <w:szCs w:val="22"/>
        </w:rPr>
        <w:fldChar w:fldCharType="end"/>
      </w:r>
      <w:bookmarkEnd w:id="11"/>
      <w:bookmarkEnd w:id="12"/>
      <w:r w:rsidRPr="00B5701F">
        <w:rPr>
          <w:i w:val="0"/>
          <w:color w:val="auto"/>
          <w:sz w:val="22"/>
          <w:szCs w:val="22"/>
        </w:rPr>
        <w:t>. Change in</w:t>
      </w:r>
      <w:r w:rsidR="00F8314A">
        <w:rPr>
          <w:i w:val="0"/>
          <w:color w:val="auto"/>
          <w:sz w:val="22"/>
          <w:szCs w:val="22"/>
        </w:rPr>
        <w:t xml:space="preserve"> Romania’s</w:t>
      </w:r>
      <w:r w:rsidRPr="00B5701F">
        <w:rPr>
          <w:i w:val="0"/>
          <w:color w:val="auto"/>
          <w:sz w:val="22"/>
          <w:szCs w:val="22"/>
        </w:rPr>
        <w:t xml:space="preserve"> natural capital, 1995-2014 (millions, constant 2014 USD)</w:t>
      </w:r>
    </w:p>
    <w:tbl>
      <w:tblPr>
        <w:tblStyle w:val="GridTable4-Accent3"/>
        <w:tblW w:w="8296" w:type="dxa"/>
        <w:jc w:val="center"/>
        <w:tblLook w:val="04A0" w:firstRow="1" w:lastRow="0" w:firstColumn="1" w:lastColumn="0" w:noHBand="0" w:noVBand="1"/>
      </w:tblPr>
      <w:tblGrid>
        <w:gridCol w:w="2600"/>
        <w:gridCol w:w="939"/>
        <w:gridCol w:w="939"/>
        <w:gridCol w:w="939"/>
        <w:gridCol w:w="939"/>
        <w:gridCol w:w="939"/>
        <w:gridCol w:w="1001"/>
      </w:tblGrid>
      <w:tr w:rsidR="00315B4D" w:rsidRPr="00EF4653" w14:paraId="4D713735" w14:textId="77777777" w:rsidTr="004B54A5">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00" w:type="dxa"/>
            <w:shd w:val="clear" w:color="auto" w:fill="BFBFBF" w:themeFill="background1" w:themeFillShade="BF"/>
            <w:noWrap/>
            <w:vAlign w:val="center"/>
            <w:hideMark/>
          </w:tcPr>
          <w:p w14:paraId="03D2955E" w14:textId="77777777" w:rsidR="00315B4D" w:rsidRPr="00EF4653" w:rsidRDefault="00315B4D" w:rsidP="004B54A5">
            <w:pPr>
              <w:rPr>
                <w:rFonts w:ascii="Calibri" w:eastAsia="Times New Roman" w:hAnsi="Calibri" w:cs="Calibri"/>
                <w:color w:val="000000"/>
                <w:sz w:val="18"/>
                <w:szCs w:val="18"/>
              </w:rPr>
            </w:pPr>
            <w:r w:rsidRPr="00EF4653">
              <w:rPr>
                <w:rFonts w:ascii="Calibri" w:eastAsia="Times New Roman" w:hAnsi="Calibri" w:cs="Calibri"/>
                <w:color w:val="000000"/>
                <w:sz w:val="18"/>
                <w:szCs w:val="18"/>
              </w:rPr>
              <w:lastRenderedPageBreak/>
              <w:t>Resource</w:t>
            </w:r>
          </w:p>
        </w:tc>
        <w:tc>
          <w:tcPr>
            <w:tcW w:w="939" w:type="dxa"/>
            <w:shd w:val="clear" w:color="auto" w:fill="BFBFBF" w:themeFill="background1" w:themeFillShade="BF"/>
            <w:noWrap/>
            <w:vAlign w:val="center"/>
            <w:hideMark/>
          </w:tcPr>
          <w:p w14:paraId="40B8F32B" w14:textId="77777777" w:rsidR="00315B4D" w:rsidRPr="00EF4653" w:rsidRDefault="00315B4D" w:rsidP="004B54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1995</w:t>
            </w:r>
          </w:p>
        </w:tc>
        <w:tc>
          <w:tcPr>
            <w:tcW w:w="939" w:type="dxa"/>
            <w:shd w:val="clear" w:color="auto" w:fill="BFBFBF" w:themeFill="background1" w:themeFillShade="BF"/>
            <w:noWrap/>
            <w:vAlign w:val="center"/>
            <w:hideMark/>
          </w:tcPr>
          <w:p w14:paraId="12557F0F" w14:textId="77777777" w:rsidR="00315B4D" w:rsidRPr="00EF4653" w:rsidRDefault="00315B4D" w:rsidP="004B54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2000</w:t>
            </w:r>
          </w:p>
        </w:tc>
        <w:tc>
          <w:tcPr>
            <w:tcW w:w="939" w:type="dxa"/>
            <w:shd w:val="clear" w:color="auto" w:fill="BFBFBF" w:themeFill="background1" w:themeFillShade="BF"/>
            <w:noWrap/>
            <w:vAlign w:val="center"/>
            <w:hideMark/>
          </w:tcPr>
          <w:p w14:paraId="74F80C08" w14:textId="77777777" w:rsidR="00315B4D" w:rsidRPr="00EF4653" w:rsidRDefault="00315B4D" w:rsidP="004B54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2005</w:t>
            </w:r>
          </w:p>
        </w:tc>
        <w:tc>
          <w:tcPr>
            <w:tcW w:w="939" w:type="dxa"/>
            <w:shd w:val="clear" w:color="auto" w:fill="BFBFBF" w:themeFill="background1" w:themeFillShade="BF"/>
            <w:noWrap/>
            <w:vAlign w:val="center"/>
            <w:hideMark/>
          </w:tcPr>
          <w:p w14:paraId="6AF287D7" w14:textId="77777777" w:rsidR="00315B4D" w:rsidRPr="00EF4653" w:rsidRDefault="00315B4D" w:rsidP="004B54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2010</w:t>
            </w:r>
          </w:p>
        </w:tc>
        <w:tc>
          <w:tcPr>
            <w:tcW w:w="939" w:type="dxa"/>
            <w:shd w:val="clear" w:color="auto" w:fill="BFBFBF" w:themeFill="background1" w:themeFillShade="BF"/>
            <w:noWrap/>
            <w:vAlign w:val="center"/>
            <w:hideMark/>
          </w:tcPr>
          <w:p w14:paraId="75522389" w14:textId="77777777" w:rsidR="00315B4D" w:rsidRPr="00EF4653" w:rsidRDefault="00315B4D" w:rsidP="004B54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2014</w:t>
            </w:r>
          </w:p>
        </w:tc>
        <w:tc>
          <w:tcPr>
            <w:tcW w:w="1001" w:type="dxa"/>
            <w:shd w:val="clear" w:color="auto" w:fill="BFBFBF" w:themeFill="background1" w:themeFillShade="BF"/>
            <w:noWrap/>
            <w:vAlign w:val="center"/>
            <w:hideMark/>
          </w:tcPr>
          <w:p w14:paraId="6B2A3647" w14:textId="77777777" w:rsidR="00315B4D" w:rsidRPr="00EF4653" w:rsidRDefault="00315B4D" w:rsidP="004B54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change</w:t>
            </w:r>
            <w:r>
              <w:rPr>
                <w:rFonts w:ascii="Calibri" w:eastAsia="Times New Roman" w:hAnsi="Calibri" w:cs="Calibri"/>
                <w:color w:val="000000"/>
                <w:sz w:val="18"/>
                <w:szCs w:val="18"/>
              </w:rPr>
              <w:t>, 1995-2014</w:t>
            </w:r>
          </w:p>
        </w:tc>
      </w:tr>
      <w:tr w:rsidR="00315B4D" w:rsidRPr="00EF4653" w14:paraId="220AAF34" w14:textId="77777777" w:rsidTr="004B54A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B5FB803"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Forests, timber resources</w:t>
            </w:r>
          </w:p>
        </w:tc>
        <w:tc>
          <w:tcPr>
            <w:tcW w:w="939" w:type="dxa"/>
            <w:noWrap/>
            <w:hideMark/>
          </w:tcPr>
          <w:p w14:paraId="7222F0B3"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27,435 </w:t>
            </w:r>
          </w:p>
        </w:tc>
        <w:tc>
          <w:tcPr>
            <w:tcW w:w="939" w:type="dxa"/>
            <w:noWrap/>
            <w:hideMark/>
          </w:tcPr>
          <w:p w14:paraId="41790A46"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17,987 </w:t>
            </w:r>
          </w:p>
        </w:tc>
        <w:tc>
          <w:tcPr>
            <w:tcW w:w="939" w:type="dxa"/>
            <w:noWrap/>
            <w:hideMark/>
          </w:tcPr>
          <w:p w14:paraId="5B8BF406"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13,943</w:t>
            </w:r>
          </w:p>
        </w:tc>
        <w:tc>
          <w:tcPr>
            <w:tcW w:w="939" w:type="dxa"/>
            <w:noWrap/>
            <w:hideMark/>
          </w:tcPr>
          <w:p w14:paraId="231D66CB"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9,625 </w:t>
            </w:r>
          </w:p>
        </w:tc>
        <w:tc>
          <w:tcPr>
            <w:tcW w:w="939" w:type="dxa"/>
            <w:noWrap/>
            <w:hideMark/>
          </w:tcPr>
          <w:p w14:paraId="39FD40B4"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10,744 </w:t>
            </w:r>
          </w:p>
        </w:tc>
        <w:tc>
          <w:tcPr>
            <w:tcW w:w="1001" w:type="dxa"/>
            <w:shd w:val="clear" w:color="auto" w:fill="F4B083" w:themeFill="accent2" w:themeFillTint="99"/>
            <w:noWrap/>
            <w:hideMark/>
          </w:tcPr>
          <w:p w14:paraId="43A813C1"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-61%</w:t>
            </w:r>
          </w:p>
        </w:tc>
      </w:tr>
      <w:tr w:rsidR="00315B4D" w:rsidRPr="00EF4653" w14:paraId="606657D0" w14:textId="77777777" w:rsidTr="004B54A5">
        <w:trPr>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EF01A70"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Forests, non-timber resources</w:t>
            </w:r>
          </w:p>
        </w:tc>
        <w:tc>
          <w:tcPr>
            <w:tcW w:w="939" w:type="dxa"/>
            <w:noWrap/>
            <w:hideMark/>
          </w:tcPr>
          <w:p w14:paraId="2C32E52C"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19,601 </w:t>
            </w:r>
          </w:p>
        </w:tc>
        <w:tc>
          <w:tcPr>
            <w:tcW w:w="939" w:type="dxa"/>
            <w:noWrap/>
            <w:hideMark/>
          </w:tcPr>
          <w:p w14:paraId="378EA273"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19,593 </w:t>
            </w:r>
          </w:p>
        </w:tc>
        <w:tc>
          <w:tcPr>
            <w:tcW w:w="939" w:type="dxa"/>
            <w:noWrap/>
            <w:hideMark/>
          </w:tcPr>
          <w:p w14:paraId="75FAEAF8"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19,670 </w:t>
            </w:r>
          </w:p>
        </w:tc>
        <w:tc>
          <w:tcPr>
            <w:tcW w:w="939" w:type="dxa"/>
            <w:noWrap/>
            <w:hideMark/>
          </w:tcPr>
          <w:p w14:paraId="36151A17"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20,051 </w:t>
            </w:r>
          </w:p>
        </w:tc>
        <w:tc>
          <w:tcPr>
            <w:tcW w:w="939" w:type="dxa"/>
            <w:noWrap/>
            <w:hideMark/>
          </w:tcPr>
          <w:p w14:paraId="6296B0B5"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20,903 </w:t>
            </w:r>
          </w:p>
        </w:tc>
        <w:tc>
          <w:tcPr>
            <w:tcW w:w="1001" w:type="dxa"/>
            <w:shd w:val="clear" w:color="auto" w:fill="A8D08D" w:themeFill="accent6" w:themeFillTint="99"/>
            <w:noWrap/>
            <w:hideMark/>
          </w:tcPr>
          <w:p w14:paraId="4A05ED1D"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7%</w:t>
            </w:r>
          </w:p>
        </w:tc>
      </w:tr>
      <w:tr w:rsidR="00315B4D" w:rsidRPr="00EF4653" w14:paraId="7E962E3C" w14:textId="77777777" w:rsidTr="004B54A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1439E14"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Protected areas</w:t>
            </w:r>
          </w:p>
        </w:tc>
        <w:tc>
          <w:tcPr>
            <w:tcW w:w="939" w:type="dxa"/>
            <w:noWrap/>
            <w:hideMark/>
          </w:tcPr>
          <w:p w14:paraId="2A14451A"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15,981 </w:t>
            </w:r>
          </w:p>
        </w:tc>
        <w:tc>
          <w:tcPr>
            <w:tcW w:w="939" w:type="dxa"/>
            <w:noWrap/>
            <w:hideMark/>
          </w:tcPr>
          <w:p w14:paraId="66ABB622"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16,345 </w:t>
            </w:r>
          </w:p>
        </w:tc>
        <w:tc>
          <w:tcPr>
            <w:tcW w:w="939" w:type="dxa"/>
            <w:noWrap/>
            <w:hideMark/>
          </w:tcPr>
          <w:p w14:paraId="64771F53"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szCs w:val="18"/>
              </w:rPr>
            </w:pPr>
            <w:r w:rsidRPr="00EF4653">
              <w:rPr>
                <w:rFonts w:ascii="Calibri" w:eastAsia="Times New Roman" w:hAnsi="Calibri" w:cs="Calibri"/>
                <w:b/>
                <w:i/>
                <w:color w:val="000000"/>
                <w:sz w:val="18"/>
                <w:szCs w:val="18"/>
              </w:rPr>
              <w:t xml:space="preserve">38,136 </w:t>
            </w:r>
          </w:p>
        </w:tc>
        <w:tc>
          <w:tcPr>
            <w:tcW w:w="939" w:type="dxa"/>
            <w:noWrap/>
            <w:hideMark/>
          </w:tcPr>
          <w:p w14:paraId="48F99F59"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40,787 </w:t>
            </w:r>
          </w:p>
        </w:tc>
        <w:tc>
          <w:tcPr>
            <w:tcW w:w="939" w:type="dxa"/>
            <w:noWrap/>
            <w:hideMark/>
          </w:tcPr>
          <w:p w14:paraId="2B62FE43"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64,668 </w:t>
            </w:r>
          </w:p>
        </w:tc>
        <w:tc>
          <w:tcPr>
            <w:tcW w:w="1001" w:type="dxa"/>
            <w:shd w:val="clear" w:color="auto" w:fill="A8D08D" w:themeFill="accent6" w:themeFillTint="99"/>
            <w:noWrap/>
            <w:hideMark/>
          </w:tcPr>
          <w:p w14:paraId="0FC11D85"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F4653">
              <w:rPr>
                <w:rFonts w:ascii="Calibri" w:eastAsia="Times New Roman" w:hAnsi="Calibri" w:cs="Calibri"/>
                <w:sz w:val="18"/>
                <w:szCs w:val="18"/>
              </w:rPr>
              <w:t>305%</w:t>
            </w:r>
          </w:p>
        </w:tc>
      </w:tr>
      <w:tr w:rsidR="00315B4D" w:rsidRPr="00EF4653" w14:paraId="7CF08A0F" w14:textId="77777777" w:rsidTr="004B54A5">
        <w:trPr>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278B978"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Land</w:t>
            </w:r>
          </w:p>
        </w:tc>
        <w:tc>
          <w:tcPr>
            <w:tcW w:w="939" w:type="dxa"/>
            <w:noWrap/>
            <w:hideMark/>
          </w:tcPr>
          <w:p w14:paraId="4C700C3B"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307,401 </w:t>
            </w:r>
          </w:p>
        </w:tc>
        <w:tc>
          <w:tcPr>
            <w:tcW w:w="939" w:type="dxa"/>
            <w:noWrap/>
            <w:hideMark/>
          </w:tcPr>
          <w:p w14:paraId="019212E5"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249,436 </w:t>
            </w:r>
          </w:p>
        </w:tc>
        <w:tc>
          <w:tcPr>
            <w:tcW w:w="939" w:type="dxa"/>
            <w:noWrap/>
            <w:hideMark/>
          </w:tcPr>
          <w:p w14:paraId="5BEB9E67"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238,557 </w:t>
            </w:r>
          </w:p>
        </w:tc>
        <w:tc>
          <w:tcPr>
            <w:tcW w:w="939" w:type="dxa"/>
            <w:noWrap/>
            <w:hideMark/>
          </w:tcPr>
          <w:p w14:paraId="7928ACA2"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200,246 </w:t>
            </w:r>
          </w:p>
        </w:tc>
        <w:tc>
          <w:tcPr>
            <w:tcW w:w="939" w:type="dxa"/>
            <w:noWrap/>
            <w:hideMark/>
          </w:tcPr>
          <w:p w14:paraId="2873B8A4"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209,622 </w:t>
            </w:r>
          </w:p>
        </w:tc>
        <w:tc>
          <w:tcPr>
            <w:tcW w:w="1001" w:type="dxa"/>
            <w:shd w:val="clear" w:color="auto" w:fill="F4B083" w:themeFill="accent2" w:themeFillTint="99"/>
            <w:noWrap/>
            <w:hideMark/>
          </w:tcPr>
          <w:p w14:paraId="7A7F33BB"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-32%</w:t>
            </w:r>
          </w:p>
        </w:tc>
      </w:tr>
      <w:tr w:rsidR="00315B4D" w:rsidRPr="00EF4653" w14:paraId="2F5E17E7" w14:textId="77777777" w:rsidTr="004B54A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2ED6ED7"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 xml:space="preserve">  Cropland</w:t>
            </w:r>
          </w:p>
        </w:tc>
        <w:tc>
          <w:tcPr>
            <w:tcW w:w="939" w:type="dxa"/>
            <w:noWrap/>
            <w:hideMark/>
          </w:tcPr>
          <w:p w14:paraId="59C1FEA7"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177,970 </w:t>
            </w:r>
          </w:p>
        </w:tc>
        <w:tc>
          <w:tcPr>
            <w:tcW w:w="939" w:type="dxa"/>
            <w:noWrap/>
            <w:hideMark/>
          </w:tcPr>
          <w:p w14:paraId="025330A0"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141,571 </w:t>
            </w:r>
          </w:p>
        </w:tc>
        <w:tc>
          <w:tcPr>
            <w:tcW w:w="939" w:type="dxa"/>
            <w:noWrap/>
            <w:hideMark/>
          </w:tcPr>
          <w:p w14:paraId="4C7D2970"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134,555 </w:t>
            </w:r>
          </w:p>
        </w:tc>
        <w:tc>
          <w:tcPr>
            <w:tcW w:w="939" w:type="dxa"/>
            <w:noWrap/>
            <w:hideMark/>
          </w:tcPr>
          <w:p w14:paraId="78AB9A2F"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92,474 </w:t>
            </w:r>
          </w:p>
        </w:tc>
        <w:tc>
          <w:tcPr>
            <w:tcW w:w="939" w:type="dxa"/>
            <w:noWrap/>
            <w:hideMark/>
          </w:tcPr>
          <w:p w14:paraId="6A46EE83"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108,683 </w:t>
            </w:r>
          </w:p>
        </w:tc>
        <w:tc>
          <w:tcPr>
            <w:tcW w:w="1001" w:type="dxa"/>
            <w:shd w:val="clear" w:color="auto" w:fill="F4B083" w:themeFill="accent2" w:themeFillTint="99"/>
            <w:noWrap/>
            <w:hideMark/>
          </w:tcPr>
          <w:p w14:paraId="3E391818"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-39%</w:t>
            </w:r>
          </w:p>
        </w:tc>
      </w:tr>
      <w:tr w:rsidR="00315B4D" w:rsidRPr="00EF4653" w14:paraId="1687ACB4" w14:textId="77777777" w:rsidTr="004B54A5">
        <w:trPr>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7C7C1D3"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 xml:space="preserve">  Pastureland</w:t>
            </w:r>
          </w:p>
        </w:tc>
        <w:tc>
          <w:tcPr>
            <w:tcW w:w="939" w:type="dxa"/>
            <w:noWrap/>
            <w:hideMark/>
          </w:tcPr>
          <w:p w14:paraId="55638B60"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129,431 </w:t>
            </w:r>
          </w:p>
        </w:tc>
        <w:tc>
          <w:tcPr>
            <w:tcW w:w="939" w:type="dxa"/>
            <w:noWrap/>
            <w:hideMark/>
          </w:tcPr>
          <w:p w14:paraId="66E6C5E7"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107,865 </w:t>
            </w:r>
          </w:p>
        </w:tc>
        <w:tc>
          <w:tcPr>
            <w:tcW w:w="939" w:type="dxa"/>
            <w:noWrap/>
            <w:hideMark/>
          </w:tcPr>
          <w:p w14:paraId="3E431B90"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104,002 </w:t>
            </w:r>
          </w:p>
        </w:tc>
        <w:tc>
          <w:tcPr>
            <w:tcW w:w="939" w:type="dxa"/>
            <w:noWrap/>
            <w:hideMark/>
          </w:tcPr>
          <w:p w14:paraId="2F854BB0"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107,773 </w:t>
            </w:r>
          </w:p>
        </w:tc>
        <w:tc>
          <w:tcPr>
            <w:tcW w:w="939" w:type="dxa"/>
            <w:noWrap/>
            <w:hideMark/>
          </w:tcPr>
          <w:p w14:paraId="27B579C1"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100,938 </w:t>
            </w:r>
          </w:p>
        </w:tc>
        <w:tc>
          <w:tcPr>
            <w:tcW w:w="1001" w:type="dxa"/>
            <w:shd w:val="clear" w:color="auto" w:fill="F4B083" w:themeFill="accent2" w:themeFillTint="99"/>
            <w:noWrap/>
            <w:hideMark/>
          </w:tcPr>
          <w:p w14:paraId="780C9A48"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-22%</w:t>
            </w:r>
          </w:p>
        </w:tc>
      </w:tr>
      <w:tr w:rsidR="00315B4D" w:rsidRPr="00EF4653" w14:paraId="03661E47" w14:textId="77777777" w:rsidTr="004B54A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DF92245"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Sub-soil assets</w:t>
            </w:r>
          </w:p>
        </w:tc>
        <w:tc>
          <w:tcPr>
            <w:tcW w:w="939" w:type="dxa"/>
            <w:noWrap/>
            <w:hideMark/>
          </w:tcPr>
          <w:p w14:paraId="09A4A9B4"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55,842 </w:t>
            </w:r>
          </w:p>
        </w:tc>
        <w:tc>
          <w:tcPr>
            <w:tcW w:w="939" w:type="dxa"/>
            <w:noWrap/>
            <w:hideMark/>
          </w:tcPr>
          <w:p w14:paraId="0D0F22F4"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41,403 </w:t>
            </w:r>
          </w:p>
        </w:tc>
        <w:tc>
          <w:tcPr>
            <w:tcW w:w="939" w:type="dxa"/>
            <w:noWrap/>
            <w:hideMark/>
          </w:tcPr>
          <w:p w14:paraId="18BCA5D6"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40,626 </w:t>
            </w:r>
          </w:p>
        </w:tc>
        <w:tc>
          <w:tcPr>
            <w:tcW w:w="939" w:type="dxa"/>
            <w:noWrap/>
            <w:hideMark/>
          </w:tcPr>
          <w:p w14:paraId="1832C941"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30,901 </w:t>
            </w:r>
          </w:p>
        </w:tc>
        <w:tc>
          <w:tcPr>
            <w:tcW w:w="939" w:type="dxa"/>
            <w:noWrap/>
            <w:hideMark/>
          </w:tcPr>
          <w:p w14:paraId="6F5F732A"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37,800 </w:t>
            </w:r>
          </w:p>
        </w:tc>
        <w:tc>
          <w:tcPr>
            <w:tcW w:w="1001" w:type="dxa"/>
            <w:shd w:val="clear" w:color="auto" w:fill="F4B083" w:themeFill="accent2" w:themeFillTint="99"/>
            <w:noWrap/>
            <w:hideMark/>
          </w:tcPr>
          <w:p w14:paraId="3BD20712"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-32%</w:t>
            </w:r>
          </w:p>
        </w:tc>
      </w:tr>
      <w:tr w:rsidR="00315B4D" w:rsidRPr="00EF4653" w14:paraId="1E80E87B" w14:textId="77777777" w:rsidTr="004B54A5">
        <w:trPr>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7FA42A02"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 xml:space="preserve">  Fossil energy resources</w:t>
            </w:r>
          </w:p>
        </w:tc>
        <w:tc>
          <w:tcPr>
            <w:tcW w:w="939" w:type="dxa"/>
            <w:noWrap/>
            <w:hideMark/>
          </w:tcPr>
          <w:p w14:paraId="57EC92F9"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53,958 </w:t>
            </w:r>
          </w:p>
        </w:tc>
        <w:tc>
          <w:tcPr>
            <w:tcW w:w="939" w:type="dxa"/>
            <w:noWrap/>
            <w:hideMark/>
          </w:tcPr>
          <w:p w14:paraId="29CF4B3A"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40,591 </w:t>
            </w:r>
          </w:p>
        </w:tc>
        <w:tc>
          <w:tcPr>
            <w:tcW w:w="939" w:type="dxa"/>
            <w:noWrap/>
            <w:hideMark/>
          </w:tcPr>
          <w:p w14:paraId="1085B1B6"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39,763 </w:t>
            </w:r>
          </w:p>
        </w:tc>
        <w:tc>
          <w:tcPr>
            <w:tcW w:w="939" w:type="dxa"/>
            <w:noWrap/>
            <w:hideMark/>
          </w:tcPr>
          <w:p w14:paraId="73FF4B16"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30,111 </w:t>
            </w:r>
          </w:p>
        </w:tc>
        <w:tc>
          <w:tcPr>
            <w:tcW w:w="939" w:type="dxa"/>
            <w:noWrap/>
            <w:hideMark/>
          </w:tcPr>
          <w:p w14:paraId="23F07F22"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36,735 </w:t>
            </w:r>
          </w:p>
        </w:tc>
        <w:tc>
          <w:tcPr>
            <w:tcW w:w="1001" w:type="dxa"/>
            <w:shd w:val="clear" w:color="auto" w:fill="F4B083" w:themeFill="accent2" w:themeFillTint="99"/>
            <w:noWrap/>
            <w:hideMark/>
          </w:tcPr>
          <w:p w14:paraId="5C4A03CE"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-32%</w:t>
            </w:r>
          </w:p>
        </w:tc>
      </w:tr>
      <w:tr w:rsidR="00315B4D" w:rsidRPr="00EF4653" w14:paraId="60CFE132" w14:textId="77777777" w:rsidTr="004B54A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26366B6"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 xml:space="preserve">    Oil</w:t>
            </w:r>
          </w:p>
        </w:tc>
        <w:tc>
          <w:tcPr>
            <w:tcW w:w="939" w:type="dxa"/>
            <w:noWrap/>
            <w:hideMark/>
          </w:tcPr>
          <w:p w14:paraId="4A683E84"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24,423 </w:t>
            </w:r>
          </w:p>
        </w:tc>
        <w:tc>
          <w:tcPr>
            <w:tcW w:w="939" w:type="dxa"/>
            <w:noWrap/>
            <w:hideMark/>
          </w:tcPr>
          <w:p w14:paraId="1C332519"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23,815 </w:t>
            </w:r>
          </w:p>
        </w:tc>
        <w:tc>
          <w:tcPr>
            <w:tcW w:w="939" w:type="dxa"/>
            <w:noWrap/>
            <w:hideMark/>
          </w:tcPr>
          <w:p w14:paraId="7122ED12"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27,570 </w:t>
            </w:r>
          </w:p>
        </w:tc>
        <w:tc>
          <w:tcPr>
            <w:tcW w:w="939" w:type="dxa"/>
            <w:noWrap/>
            <w:hideMark/>
          </w:tcPr>
          <w:p w14:paraId="63EDC632"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20,751 </w:t>
            </w:r>
          </w:p>
        </w:tc>
        <w:tc>
          <w:tcPr>
            <w:tcW w:w="939" w:type="dxa"/>
            <w:noWrap/>
            <w:hideMark/>
          </w:tcPr>
          <w:p w14:paraId="33D95357"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24,912 </w:t>
            </w:r>
          </w:p>
        </w:tc>
        <w:tc>
          <w:tcPr>
            <w:tcW w:w="1001" w:type="dxa"/>
            <w:shd w:val="clear" w:color="auto" w:fill="A8D08D" w:themeFill="accent6" w:themeFillTint="99"/>
            <w:noWrap/>
            <w:hideMark/>
          </w:tcPr>
          <w:p w14:paraId="335F0F04"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2%</w:t>
            </w:r>
          </w:p>
        </w:tc>
      </w:tr>
      <w:tr w:rsidR="00315B4D" w:rsidRPr="00EF4653" w14:paraId="677FEE57" w14:textId="77777777" w:rsidTr="004B54A5">
        <w:trPr>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21FF25B7"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 xml:space="preserve">    Natural gas</w:t>
            </w:r>
          </w:p>
        </w:tc>
        <w:tc>
          <w:tcPr>
            <w:tcW w:w="939" w:type="dxa"/>
            <w:noWrap/>
            <w:hideMark/>
          </w:tcPr>
          <w:p w14:paraId="54569C32"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27,363 </w:t>
            </w:r>
          </w:p>
        </w:tc>
        <w:tc>
          <w:tcPr>
            <w:tcW w:w="939" w:type="dxa"/>
            <w:noWrap/>
            <w:hideMark/>
          </w:tcPr>
          <w:p w14:paraId="19B30548"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16,329 </w:t>
            </w:r>
          </w:p>
        </w:tc>
        <w:tc>
          <w:tcPr>
            <w:tcW w:w="939" w:type="dxa"/>
            <w:noWrap/>
            <w:hideMark/>
          </w:tcPr>
          <w:p w14:paraId="03DE49D7"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10,132 </w:t>
            </w:r>
          </w:p>
        </w:tc>
        <w:tc>
          <w:tcPr>
            <w:tcW w:w="939" w:type="dxa"/>
            <w:noWrap/>
            <w:hideMark/>
          </w:tcPr>
          <w:p w14:paraId="01C376CE"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5,593 </w:t>
            </w:r>
          </w:p>
        </w:tc>
        <w:tc>
          <w:tcPr>
            <w:tcW w:w="939" w:type="dxa"/>
            <w:noWrap/>
            <w:hideMark/>
          </w:tcPr>
          <w:p w14:paraId="42B16B11"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9,333 </w:t>
            </w:r>
          </w:p>
        </w:tc>
        <w:tc>
          <w:tcPr>
            <w:tcW w:w="1001" w:type="dxa"/>
            <w:shd w:val="clear" w:color="auto" w:fill="F4B083" w:themeFill="accent2" w:themeFillTint="99"/>
            <w:noWrap/>
            <w:hideMark/>
          </w:tcPr>
          <w:p w14:paraId="2B6547CB"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-66%</w:t>
            </w:r>
          </w:p>
        </w:tc>
      </w:tr>
      <w:tr w:rsidR="00315B4D" w:rsidRPr="00EF4653" w14:paraId="03E38928" w14:textId="77777777" w:rsidTr="004B54A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1E77744"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 xml:space="preserve">    Coal (all grades)</w:t>
            </w:r>
          </w:p>
        </w:tc>
        <w:tc>
          <w:tcPr>
            <w:tcW w:w="939" w:type="dxa"/>
            <w:noWrap/>
            <w:hideMark/>
          </w:tcPr>
          <w:p w14:paraId="17D7489E"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2,171 </w:t>
            </w:r>
          </w:p>
        </w:tc>
        <w:tc>
          <w:tcPr>
            <w:tcW w:w="939" w:type="dxa"/>
            <w:noWrap/>
            <w:hideMark/>
          </w:tcPr>
          <w:p w14:paraId="390991DE"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447 </w:t>
            </w:r>
          </w:p>
        </w:tc>
        <w:tc>
          <w:tcPr>
            <w:tcW w:w="939" w:type="dxa"/>
            <w:noWrap/>
            <w:hideMark/>
          </w:tcPr>
          <w:p w14:paraId="3F2DBB87"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2,060 </w:t>
            </w:r>
          </w:p>
        </w:tc>
        <w:tc>
          <w:tcPr>
            <w:tcW w:w="939" w:type="dxa"/>
            <w:noWrap/>
            <w:hideMark/>
          </w:tcPr>
          <w:p w14:paraId="588007A1"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3,767 </w:t>
            </w:r>
          </w:p>
        </w:tc>
        <w:tc>
          <w:tcPr>
            <w:tcW w:w="939" w:type="dxa"/>
            <w:noWrap/>
            <w:hideMark/>
          </w:tcPr>
          <w:p w14:paraId="42B1804F"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2,490 </w:t>
            </w:r>
          </w:p>
        </w:tc>
        <w:tc>
          <w:tcPr>
            <w:tcW w:w="1001" w:type="dxa"/>
            <w:shd w:val="clear" w:color="auto" w:fill="A8D08D" w:themeFill="accent6" w:themeFillTint="99"/>
            <w:noWrap/>
            <w:hideMark/>
          </w:tcPr>
          <w:p w14:paraId="2E9421DB" w14:textId="77777777" w:rsidR="00315B4D" w:rsidRPr="00EF4653" w:rsidRDefault="00315B4D" w:rsidP="004B54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15%</w:t>
            </w:r>
          </w:p>
        </w:tc>
      </w:tr>
      <w:tr w:rsidR="00315B4D" w:rsidRPr="00EF4653" w14:paraId="365E9273" w14:textId="77777777" w:rsidTr="004B54A5">
        <w:trPr>
          <w:trHeight w:val="240"/>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B1178A8" w14:textId="77777777" w:rsidR="00315B4D" w:rsidRPr="00EF4653" w:rsidRDefault="00315B4D" w:rsidP="004B54A5">
            <w:pPr>
              <w:rPr>
                <w:rFonts w:ascii="Calibri" w:eastAsia="Times New Roman" w:hAnsi="Calibri" w:cs="Calibri"/>
                <w:b w:val="0"/>
                <w:color w:val="000000"/>
                <w:sz w:val="18"/>
                <w:szCs w:val="18"/>
              </w:rPr>
            </w:pPr>
            <w:r w:rsidRPr="00EF4653">
              <w:rPr>
                <w:rFonts w:ascii="Calibri" w:eastAsia="Times New Roman" w:hAnsi="Calibri" w:cs="Calibri"/>
                <w:b w:val="0"/>
                <w:color w:val="000000"/>
                <w:sz w:val="18"/>
                <w:szCs w:val="18"/>
              </w:rPr>
              <w:t xml:space="preserve">  Metals and minerals</w:t>
            </w:r>
          </w:p>
        </w:tc>
        <w:tc>
          <w:tcPr>
            <w:tcW w:w="939" w:type="dxa"/>
            <w:noWrap/>
            <w:hideMark/>
          </w:tcPr>
          <w:p w14:paraId="784E968D"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1,884 </w:t>
            </w:r>
          </w:p>
        </w:tc>
        <w:tc>
          <w:tcPr>
            <w:tcW w:w="939" w:type="dxa"/>
            <w:noWrap/>
            <w:hideMark/>
          </w:tcPr>
          <w:p w14:paraId="79F29109"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812 </w:t>
            </w:r>
          </w:p>
        </w:tc>
        <w:tc>
          <w:tcPr>
            <w:tcW w:w="939" w:type="dxa"/>
            <w:noWrap/>
            <w:hideMark/>
          </w:tcPr>
          <w:p w14:paraId="69B3032C"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863 </w:t>
            </w:r>
          </w:p>
        </w:tc>
        <w:tc>
          <w:tcPr>
            <w:tcW w:w="939" w:type="dxa"/>
            <w:noWrap/>
            <w:hideMark/>
          </w:tcPr>
          <w:p w14:paraId="138DA766"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790 </w:t>
            </w:r>
          </w:p>
        </w:tc>
        <w:tc>
          <w:tcPr>
            <w:tcW w:w="939" w:type="dxa"/>
            <w:noWrap/>
            <w:hideMark/>
          </w:tcPr>
          <w:p w14:paraId="3C5BA38F"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 xml:space="preserve">1,065 </w:t>
            </w:r>
          </w:p>
        </w:tc>
        <w:tc>
          <w:tcPr>
            <w:tcW w:w="1001" w:type="dxa"/>
            <w:shd w:val="clear" w:color="auto" w:fill="F4B083" w:themeFill="accent2" w:themeFillTint="99"/>
            <w:noWrap/>
            <w:hideMark/>
          </w:tcPr>
          <w:p w14:paraId="229E84EF" w14:textId="77777777" w:rsidR="00315B4D" w:rsidRPr="00EF4653" w:rsidRDefault="00315B4D" w:rsidP="004B54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4653">
              <w:rPr>
                <w:rFonts w:ascii="Calibri" w:eastAsia="Times New Roman" w:hAnsi="Calibri" w:cs="Calibri"/>
                <w:color w:val="000000"/>
                <w:sz w:val="18"/>
                <w:szCs w:val="18"/>
              </w:rPr>
              <w:t>-43%</w:t>
            </w:r>
          </w:p>
        </w:tc>
      </w:tr>
    </w:tbl>
    <w:p w14:paraId="65252682" w14:textId="0B917B3C" w:rsidR="00315B4D" w:rsidRDefault="00315B4D" w:rsidP="00315B4D">
      <w:pPr>
        <w:spacing w:after="0"/>
        <w:ind w:left="540"/>
        <w:rPr>
          <w:sz w:val="20"/>
        </w:rPr>
      </w:pPr>
      <w:r w:rsidRPr="006C6381">
        <w:rPr>
          <w:i/>
          <w:sz w:val="20"/>
        </w:rPr>
        <w:t>Source</w:t>
      </w:r>
      <w:r w:rsidRPr="006C6381">
        <w:rPr>
          <w:sz w:val="20"/>
        </w:rPr>
        <w:t>: World Bank, Measures of Comprehensive Wealth, 2016.</w:t>
      </w:r>
    </w:p>
    <w:p w14:paraId="6731672A" w14:textId="77777777" w:rsidR="00315B4D" w:rsidRPr="006C6381" w:rsidRDefault="00315B4D" w:rsidP="00315B4D">
      <w:pPr>
        <w:spacing w:after="0"/>
        <w:ind w:left="540"/>
        <w:rPr>
          <w:sz w:val="20"/>
        </w:rPr>
      </w:pPr>
    </w:p>
    <w:p w14:paraId="120F3E90" w14:textId="6C43F721" w:rsidR="00315B4D" w:rsidRPr="00B5701F" w:rsidRDefault="00315B4D" w:rsidP="00315B4D">
      <w:pPr>
        <w:pStyle w:val="Caption"/>
        <w:spacing w:after="0"/>
        <w:jc w:val="center"/>
        <w:rPr>
          <w:i w:val="0"/>
          <w:color w:val="auto"/>
          <w:sz w:val="22"/>
        </w:rPr>
      </w:pPr>
      <w:bookmarkStart w:id="13" w:name="_Ref500323295"/>
      <w:bookmarkStart w:id="14" w:name="_Toc508013109"/>
      <w:r w:rsidRPr="00B5701F">
        <w:rPr>
          <w:i w:val="0"/>
          <w:color w:val="auto"/>
          <w:sz w:val="22"/>
        </w:rPr>
        <w:t xml:space="preserve">Figure </w:t>
      </w:r>
      <w:r w:rsidR="00E158DF">
        <w:rPr>
          <w:i w:val="0"/>
          <w:color w:val="auto"/>
          <w:sz w:val="22"/>
        </w:rPr>
        <w:fldChar w:fldCharType="begin"/>
      </w:r>
      <w:r w:rsidR="00E158DF">
        <w:rPr>
          <w:i w:val="0"/>
          <w:color w:val="auto"/>
          <w:sz w:val="22"/>
        </w:rPr>
        <w:instrText xml:space="preserve"> SEQ Figure \* ARABIC </w:instrText>
      </w:r>
      <w:r w:rsidR="00E158DF">
        <w:rPr>
          <w:i w:val="0"/>
          <w:color w:val="auto"/>
          <w:sz w:val="22"/>
        </w:rPr>
        <w:fldChar w:fldCharType="separate"/>
      </w:r>
      <w:r w:rsidR="006A2C19">
        <w:rPr>
          <w:i w:val="0"/>
          <w:noProof/>
          <w:color w:val="auto"/>
          <w:sz w:val="22"/>
        </w:rPr>
        <w:t>3</w:t>
      </w:r>
      <w:r w:rsidR="00E158DF">
        <w:rPr>
          <w:i w:val="0"/>
          <w:color w:val="auto"/>
          <w:sz w:val="22"/>
        </w:rPr>
        <w:fldChar w:fldCharType="end"/>
      </w:r>
      <w:bookmarkEnd w:id="13"/>
      <w:r w:rsidRPr="00B5701F">
        <w:rPr>
          <w:i w:val="0"/>
          <w:color w:val="auto"/>
          <w:sz w:val="22"/>
        </w:rPr>
        <w:t xml:space="preserve">. Change in </w:t>
      </w:r>
      <w:r w:rsidR="00F8314A">
        <w:rPr>
          <w:i w:val="0"/>
          <w:color w:val="auto"/>
          <w:sz w:val="22"/>
        </w:rPr>
        <w:t xml:space="preserve">Romania’s </w:t>
      </w:r>
      <w:r w:rsidRPr="00B5701F">
        <w:rPr>
          <w:i w:val="0"/>
          <w:color w:val="auto"/>
          <w:sz w:val="22"/>
        </w:rPr>
        <w:t>cropland and urban area, 1995-2015</w:t>
      </w:r>
      <w:bookmarkEnd w:id="14"/>
    </w:p>
    <w:p w14:paraId="6DDFCDC9" w14:textId="77777777" w:rsidR="00315B4D" w:rsidRDefault="00315B4D" w:rsidP="00315B4D">
      <w:pPr>
        <w:pStyle w:val="ListParagraph"/>
        <w:ind w:left="0"/>
        <w:jc w:val="center"/>
      </w:pPr>
      <w:r>
        <w:rPr>
          <w:noProof/>
        </w:rPr>
        <w:drawing>
          <wp:inline distT="0" distB="0" distL="0" distR="0" wp14:anchorId="513142A0" wp14:editId="69D5D049">
            <wp:extent cx="4937760" cy="2969217"/>
            <wp:effectExtent l="0" t="0" r="15240" b="3175"/>
            <wp:docPr id="10" name="Chart 10">
              <a:extLst xmlns:a="http://schemas.openxmlformats.org/drawingml/2006/main">
                <a:ext uri="{FF2B5EF4-FFF2-40B4-BE49-F238E27FC236}">
                  <a16:creationId xmlns:a16="http://schemas.microsoft.com/office/drawing/2014/main" id="{ACB9E3F1-0E7A-4869-8B5A-336EFAEA843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E6900E" w14:textId="77777777" w:rsidR="00315B4D" w:rsidRPr="009C3755" w:rsidRDefault="00315B4D" w:rsidP="00315B4D">
      <w:pPr>
        <w:keepNext/>
        <w:ind w:left="810" w:right="720"/>
        <w:rPr>
          <w:sz w:val="20"/>
        </w:rPr>
      </w:pPr>
      <w:r w:rsidRPr="009C3755">
        <w:rPr>
          <w:i/>
          <w:sz w:val="20"/>
        </w:rPr>
        <w:t>Source</w:t>
      </w:r>
      <w:r>
        <w:rPr>
          <w:i/>
          <w:sz w:val="20"/>
        </w:rPr>
        <w:t>s</w:t>
      </w:r>
      <w:r w:rsidRPr="009C3755">
        <w:rPr>
          <w:sz w:val="20"/>
        </w:rPr>
        <w:t>: World Bank using ESA-CCI Land Cover data (2017) and the Hidden Dimensions Dataset (2017)</w:t>
      </w:r>
    </w:p>
    <w:p w14:paraId="4790B111" w14:textId="12CF90E7" w:rsidR="00F8314A" w:rsidRDefault="00F8314A" w:rsidP="00671BCF">
      <w:pPr>
        <w:jc w:val="both"/>
      </w:pPr>
      <w:r>
        <w:t xml:space="preserve">It is clear that some areas of natural capital are growing in Romania, however. </w:t>
      </w:r>
      <w:r w:rsidR="00E342BF">
        <w:t xml:space="preserve">Protected areas, for instance, grew substantially over the period from 1995 to 2014, due </w:t>
      </w:r>
      <w:r w:rsidR="009209B7">
        <w:t xml:space="preserve">in large part </w:t>
      </w:r>
      <w:r w:rsidR="00E342BF">
        <w:t>to Romania declaring its Natura 2000 network</w:t>
      </w:r>
      <w:r w:rsidR="00E342BF">
        <w:rPr>
          <w:rStyle w:val="FootnoteReference"/>
        </w:rPr>
        <w:footnoteReference w:id="5"/>
      </w:r>
      <w:r w:rsidR="00E342BF">
        <w:t xml:space="preserve"> of protected areas</w:t>
      </w:r>
      <w:r w:rsidR="00622FE6">
        <w:t xml:space="preserve"> leading up to its EU accession</w:t>
      </w:r>
      <w:r w:rsidR="00E342BF">
        <w:t xml:space="preserve">. It is likely that land was reclassified as protected area from other categories of land </w:t>
      </w:r>
      <w:r w:rsidR="0049460D">
        <w:t xml:space="preserve">during this process </w:t>
      </w:r>
      <w:r w:rsidR="00E342BF">
        <w:t xml:space="preserve">(see 2005 figure highlighted in </w:t>
      </w:r>
      <w:r w:rsidR="00E342BF" w:rsidRPr="00FA01FF">
        <w:fldChar w:fldCharType="begin"/>
      </w:r>
      <w:r w:rsidR="00E342BF" w:rsidRPr="00FA01FF">
        <w:instrText xml:space="preserve"> REF _Ref498186679 \h  \* MERGEFORMAT </w:instrText>
      </w:r>
      <w:r w:rsidR="00E342BF" w:rsidRPr="00FA01FF">
        <w:fldChar w:fldCharType="separate"/>
      </w:r>
      <w:r w:rsidR="006A2C19" w:rsidRPr="00B5701F">
        <w:t xml:space="preserve">Table </w:t>
      </w:r>
      <w:r w:rsidR="006A2C19" w:rsidRPr="006A2C19">
        <w:rPr>
          <w:noProof/>
        </w:rPr>
        <w:t>1</w:t>
      </w:r>
      <w:r w:rsidR="00E342BF" w:rsidRPr="00FA01FF">
        <w:fldChar w:fldCharType="end"/>
      </w:r>
      <w:r w:rsidR="0049460D">
        <w:t>). Despite this shift</w:t>
      </w:r>
      <w:r w:rsidR="00E342BF">
        <w:t>,</w:t>
      </w:r>
      <w:r w:rsidR="00A55EAC">
        <w:t xml:space="preserve"> though,</w:t>
      </w:r>
      <w:r w:rsidR="00E342BF">
        <w:t xml:space="preserve"> pro</w:t>
      </w:r>
      <w:r w:rsidR="00A55EAC">
        <w:t>tected areas remain as a small</w:t>
      </w:r>
      <w:r w:rsidR="00E342BF">
        <w:t xml:space="preserve"> share of overall natural capital value. The main driver of the decline in natural capital appears to be from the decline in crop and pasture land, -39% and -22% respectively. </w:t>
      </w:r>
      <w:r w:rsidR="00E342BF" w:rsidRPr="008479C5">
        <w:t xml:space="preserve">Using subnational land cover data derived from </w:t>
      </w:r>
      <w:r w:rsidR="00E342BF" w:rsidRPr="008479C5">
        <w:lastRenderedPageBreak/>
        <w:t xml:space="preserve">remote sensing and geospatial data, we </w:t>
      </w:r>
      <w:r w:rsidR="00E342BF">
        <w:t xml:space="preserve">see that </w:t>
      </w:r>
      <w:r w:rsidR="00E342BF" w:rsidRPr="008479C5">
        <w:t>crop</w:t>
      </w:r>
      <w:r w:rsidR="00E342BF">
        <w:t xml:space="preserve">land shrunk by </w:t>
      </w:r>
      <w:r w:rsidR="00E342BF" w:rsidRPr="008479C5">
        <w:t>8,499 km</w:t>
      </w:r>
      <w:r w:rsidR="00E342BF" w:rsidRPr="00C95586">
        <w:rPr>
          <w:vertAlign w:val="superscript"/>
        </w:rPr>
        <w:t>2</w:t>
      </w:r>
      <w:r w:rsidR="00E342BF" w:rsidRPr="008479C5">
        <w:t xml:space="preserve"> </w:t>
      </w:r>
      <w:r w:rsidR="00E342BF">
        <w:t xml:space="preserve">while </w:t>
      </w:r>
      <w:r w:rsidR="00E342BF" w:rsidRPr="008479C5">
        <w:t>urban area</w:t>
      </w:r>
      <w:r w:rsidR="00E342BF">
        <w:t>s</w:t>
      </w:r>
      <w:r w:rsidR="00E342BF" w:rsidRPr="008479C5">
        <w:t xml:space="preserve"> grew from 3,729 to 8,697 km</w:t>
      </w:r>
      <w:r w:rsidR="00E342BF" w:rsidRPr="00C95586">
        <w:rPr>
          <w:vertAlign w:val="superscript"/>
        </w:rPr>
        <w:t>2</w:t>
      </w:r>
      <w:r w:rsidR="00E342BF" w:rsidRPr="008479C5">
        <w:t xml:space="preserve"> between 1995 and 2015</w:t>
      </w:r>
      <w:r w:rsidR="00E342BF">
        <w:t xml:space="preserve"> </w:t>
      </w:r>
      <w:r w:rsidR="00E342BF" w:rsidRPr="000D293D">
        <w:t>(</w:t>
      </w:r>
      <w:r w:rsidR="00E342BF" w:rsidRPr="000D293D">
        <w:fldChar w:fldCharType="begin"/>
      </w:r>
      <w:r w:rsidR="00E342BF" w:rsidRPr="000D293D">
        <w:instrText xml:space="preserve"> REF _Ref500323295 \h  \* MERGEFORMAT </w:instrText>
      </w:r>
      <w:r w:rsidR="00E342BF" w:rsidRPr="000D293D">
        <w:fldChar w:fldCharType="separate"/>
      </w:r>
      <w:r w:rsidR="006A2C19" w:rsidRPr="00B5701F">
        <w:t xml:space="preserve">Figure </w:t>
      </w:r>
      <w:r w:rsidR="006A2C19" w:rsidRPr="006A2C19">
        <w:rPr>
          <w:noProof/>
        </w:rPr>
        <w:t>3</w:t>
      </w:r>
      <w:r w:rsidR="00E342BF" w:rsidRPr="000D293D">
        <w:fldChar w:fldCharType="end"/>
      </w:r>
      <w:r w:rsidR="00E342BF">
        <w:t>)</w:t>
      </w:r>
      <w:r w:rsidR="00E342BF" w:rsidRPr="008479C5">
        <w:t xml:space="preserve">. </w:t>
      </w:r>
      <w:r w:rsidR="00E342BF">
        <w:t>The decline of natural capital value, although to a smaller degree, can also be explained by the decline in timber resources (-61%) and sub-soil assets (-32%).</w:t>
      </w:r>
    </w:p>
    <w:p w14:paraId="43D20D10" w14:textId="53480A9C" w:rsidR="001844CD" w:rsidRPr="001844CD" w:rsidRDefault="00E342BF" w:rsidP="00671BCF">
      <w:pPr>
        <w:jc w:val="both"/>
      </w:pPr>
      <w:r>
        <w:t>Protected areas are also seen as a key feature in the n</w:t>
      </w:r>
      <w:r w:rsidR="00680E72" w:rsidRPr="00680E72">
        <w:t>atural capital</w:t>
      </w:r>
      <w:r w:rsidRPr="000C27E6">
        <w:rPr>
          <w:rFonts w:ascii="Calibri" w:eastAsia="Calibri" w:hAnsi="Calibri" w:cs="Times New Roman"/>
          <w:vertAlign w:val="superscript"/>
        </w:rPr>
        <w:footnoteReference w:id="6"/>
      </w:r>
      <w:r w:rsidR="00680E72" w:rsidRPr="00680E72">
        <w:t xml:space="preserve"> </w:t>
      </w:r>
      <w:r>
        <w:t>stock of</w:t>
      </w:r>
      <w:r w:rsidR="00680E72" w:rsidRPr="00680E72">
        <w:t xml:space="preserve"> </w:t>
      </w:r>
      <w:r>
        <w:t xml:space="preserve">Croatia, which benefits from </w:t>
      </w:r>
      <w:r w:rsidR="00680E72" w:rsidRPr="00680E72">
        <w:t>tourism</w:t>
      </w:r>
      <w:r w:rsidR="00680E72">
        <w:t xml:space="preserve"> as a main</w:t>
      </w:r>
      <w:r w:rsidR="001844CD">
        <w:t xml:space="preserve"> contributor </w:t>
      </w:r>
      <w:r w:rsidR="001844CD" w:rsidRPr="001844CD">
        <w:t>(</w:t>
      </w:r>
      <w:r w:rsidR="001844CD" w:rsidRPr="001844CD">
        <w:fldChar w:fldCharType="begin"/>
      </w:r>
      <w:r w:rsidR="001844CD" w:rsidRPr="001844CD">
        <w:instrText xml:space="preserve"> REF _Ref500247135 \h </w:instrText>
      </w:r>
      <w:r w:rsidR="001844CD">
        <w:instrText xml:space="preserve"> \* MERGEFORMAT </w:instrText>
      </w:r>
      <w:r w:rsidR="001844CD" w:rsidRPr="001844CD">
        <w:fldChar w:fldCharType="separate"/>
      </w:r>
      <w:r w:rsidR="006A2C19" w:rsidRPr="006A2C19">
        <w:t>Figure 4</w:t>
      </w:r>
      <w:r w:rsidR="001844CD" w:rsidRPr="001844CD">
        <w:fldChar w:fldCharType="end"/>
      </w:r>
      <w:r w:rsidR="00F74B32">
        <w:t xml:space="preserve">; </w:t>
      </w:r>
      <w:r w:rsidR="00F74B32">
        <w:fldChar w:fldCharType="begin"/>
      </w:r>
      <w:r w:rsidR="00F74B32">
        <w:instrText xml:space="preserve"> ADDIN ZOTERO_ITEM CSL_CITATION {"citationID":"Q1Hgv7KK","properties":{"formattedCitation":"(World Bank 2017b)","plainCitation":"(World Bank 2017b)"},"citationItems":[{"id":6765,"uris":["http://zotero.org/users/3805591/items/4JIA5AS9"],"uri":["http://zotero.org/users/3805591/items/4JIA5AS9"],"itemData":{"id":6765,"type":"report","title":"The Republic of Croatia   Systematic Country Diagnostic","publisher-place":"Washington, D.C.","event-place":"Washington, D.C.","author":[{"literal":"World Bank"}],"issued":{"date-parts":[["2017"]]}}}],"schema":"https://github.com/citation-style-language/schema/raw/master/csl-citation.json"} </w:instrText>
      </w:r>
      <w:r w:rsidR="00F74B32">
        <w:fldChar w:fldCharType="separate"/>
      </w:r>
      <w:r w:rsidR="00F74B32" w:rsidRPr="00F74B32">
        <w:rPr>
          <w:rFonts w:ascii="Calibri" w:hAnsi="Calibri" w:cs="Calibri"/>
        </w:rPr>
        <w:t>World Bank 2017b)</w:t>
      </w:r>
      <w:r w:rsidR="00F74B32">
        <w:fldChar w:fldCharType="end"/>
      </w:r>
      <w:r w:rsidR="00680E72" w:rsidRPr="00680E72">
        <w:t xml:space="preserve">. The direct contribution of tourism to GDP was 10.7 percent in 2016 (US$5.4 billion), and is forecasted to rise by 7.5 percent in 2017 and </w:t>
      </w:r>
      <w:r w:rsidR="001844CD">
        <w:t xml:space="preserve">to </w:t>
      </w:r>
      <w:r w:rsidR="00680E72" w:rsidRPr="00680E72">
        <w:t>grow 4.1 pe</w:t>
      </w:r>
      <w:r w:rsidR="001844CD">
        <w:t>rcent annually from 2017-2027</w:t>
      </w:r>
      <w:r w:rsidR="001844CD" w:rsidRPr="000C27E6">
        <w:rPr>
          <w:rFonts w:ascii="Calibri" w:eastAsia="Calibri" w:hAnsi="Calibri" w:cs="Times New Roman"/>
          <w:vertAlign w:val="superscript"/>
        </w:rPr>
        <w:footnoteReference w:id="7"/>
      </w:r>
      <w:r w:rsidR="001844CD">
        <w:t>.</w:t>
      </w:r>
      <w:r w:rsidR="00680E72" w:rsidRPr="00680E72">
        <w:t xml:space="preserve"> Including indirect income effects, its contribution to GDP rose to over 25 percent in 2016 and is projecte</w:t>
      </w:r>
      <w:r w:rsidR="001844CD">
        <w:t>d to rise to 32 percent by 2027.</w:t>
      </w:r>
      <w:r w:rsidR="00680E72" w:rsidRPr="00680E72">
        <w:t xml:space="preserve"> Tourism directly employs over 138,000 people (about 10 percent of total employment) and contributes indirectly to over 321,000 jobs (close to a quarter of total employment). Tourism growth is concentrated in specific counties and national parks.  The number of tourist arrivals to Croatia increased from just over 9 million in 2006 to more than 15 million in 2016.  This growth has been most acute in the national parks in Croatia, particularly Kornati and Krka which recorded a greater than 150 percent increase from 2011 to 2016. Tourist arrivals in Mljet, Plitvice lakes, Brijuni, and Paklenica national parks also grew more than 10 percent over this period.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844CD" w:rsidRPr="000C27E6" w14:paraId="3AE500F3" w14:textId="77777777" w:rsidTr="004B54A5">
        <w:tc>
          <w:tcPr>
            <w:tcW w:w="9360" w:type="dxa"/>
          </w:tcPr>
          <w:p w14:paraId="6C4C0191" w14:textId="023C89E1" w:rsidR="001844CD" w:rsidRPr="000C27E6" w:rsidRDefault="001844CD" w:rsidP="004B54A5">
            <w:pPr>
              <w:spacing w:before="100" w:after="40"/>
              <w:jc w:val="center"/>
              <w:rPr>
                <w:rFonts w:ascii="Calibri Light" w:eastAsia="Times New Roman" w:hAnsi="Calibri Light" w:cs="Calibri Light"/>
                <w:b/>
                <w:iCs/>
                <w:color w:val="44546A"/>
                <w:sz w:val="20"/>
                <w:szCs w:val="18"/>
              </w:rPr>
            </w:pPr>
            <w:bookmarkStart w:id="15" w:name="_Ref500247135"/>
            <w:bookmarkStart w:id="16" w:name="_Toc500339359"/>
            <w:bookmarkStart w:id="17" w:name="_Toc500339759"/>
            <w:bookmarkStart w:id="18" w:name="_Toc500339916"/>
            <w:bookmarkStart w:id="19" w:name="_Toc500340028"/>
            <w:bookmarkStart w:id="20" w:name="_Toc500340263"/>
            <w:bookmarkStart w:id="21" w:name="_Toc500340456"/>
            <w:bookmarkStart w:id="22" w:name="_Toc500340577"/>
            <w:bookmarkStart w:id="23" w:name="_Toc500340720"/>
            <w:bookmarkStart w:id="24" w:name="_Toc500346727"/>
            <w:bookmarkStart w:id="25" w:name="_Toc500349455"/>
            <w:bookmarkStart w:id="26" w:name="_Toc500435118"/>
            <w:bookmarkStart w:id="27" w:name="_Toc508013110"/>
            <w:r w:rsidRPr="000C27E6">
              <w:rPr>
                <w:rFonts w:ascii="Calibri" w:eastAsia="Times New Roman" w:hAnsi="Calibri" w:cs="Times New Roman"/>
                <w:b/>
                <w:iCs/>
                <w:color w:val="44546A"/>
                <w:sz w:val="20"/>
                <w:szCs w:val="18"/>
              </w:rPr>
              <w:t xml:space="preserve">Figure </w:t>
            </w:r>
            <w:r w:rsidR="00E158DF">
              <w:rPr>
                <w:rFonts w:ascii="Calibri" w:eastAsia="Times New Roman" w:hAnsi="Calibri" w:cs="Times New Roman"/>
                <w:b/>
                <w:iCs/>
                <w:color w:val="44546A"/>
                <w:sz w:val="20"/>
                <w:szCs w:val="18"/>
              </w:rPr>
              <w:fldChar w:fldCharType="begin"/>
            </w:r>
            <w:r w:rsidR="00E158DF">
              <w:rPr>
                <w:rFonts w:ascii="Calibri" w:eastAsia="Times New Roman" w:hAnsi="Calibri" w:cs="Times New Roman"/>
                <w:b/>
                <w:iCs/>
                <w:color w:val="44546A"/>
                <w:sz w:val="20"/>
                <w:szCs w:val="18"/>
              </w:rPr>
              <w:instrText xml:space="preserve"> SEQ Figure \* ARABIC </w:instrText>
            </w:r>
            <w:r w:rsidR="00E158DF">
              <w:rPr>
                <w:rFonts w:ascii="Calibri" w:eastAsia="Times New Roman" w:hAnsi="Calibri" w:cs="Times New Roman"/>
                <w:b/>
                <w:iCs/>
                <w:color w:val="44546A"/>
                <w:sz w:val="20"/>
                <w:szCs w:val="18"/>
              </w:rPr>
              <w:fldChar w:fldCharType="separate"/>
            </w:r>
            <w:r w:rsidR="006A2C19">
              <w:rPr>
                <w:rFonts w:ascii="Calibri" w:eastAsia="Times New Roman" w:hAnsi="Calibri" w:cs="Times New Roman"/>
                <w:b/>
                <w:iCs/>
                <w:noProof/>
                <w:color w:val="44546A"/>
                <w:sz w:val="20"/>
                <w:szCs w:val="18"/>
              </w:rPr>
              <w:t>4</w:t>
            </w:r>
            <w:r w:rsidR="00E158DF">
              <w:rPr>
                <w:rFonts w:ascii="Calibri" w:eastAsia="Times New Roman" w:hAnsi="Calibri" w:cs="Times New Roman"/>
                <w:b/>
                <w:iCs/>
                <w:color w:val="44546A"/>
                <w:sz w:val="20"/>
                <w:szCs w:val="18"/>
              </w:rPr>
              <w:fldChar w:fldCharType="end"/>
            </w:r>
            <w:bookmarkEnd w:id="15"/>
            <w:r w:rsidR="00C502C5">
              <w:rPr>
                <w:rFonts w:ascii="Calibri" w:eastAsia="Times New Roman" w:hAnsi="Calibri" w:cs="Times New Roman"/>
                <w:b/>
                <w:iCs/>
                <w:color w:val="44546A"/>
                <w:sz w:val="20"/>
                <w:szCs w:val="18"/>
              </w:rPr>
              <w:t>. Component shares of</w:t>
            </w:r>
            <w:r w:rsidR="00BE0EA1">
              <w:rPr>
                <w:rFonts w:ascii="Calibri" w:eastAsia="Times New Roman" w:hAnsi="Calibri" w:cs="Times New Roman"/>
                <w:b/>
                <w:iCs/>
                <w:color w:val="44546A"/>
                <w:sz w:val="20"/>
                <w:szCs w:val="18"/>
              </w:rPr>
              <w:t xml:space="preserve"> </w:t>
            </w:r>
            <w:r w:rsidRPr="000C27E6">
              <w:rPr>
                <w:rFonts w:ascii="Calibri" w:eastAsia="Times New Roman" w:hAnsi="Calibri" w:cs="Times New Roman"/>
                <w:b/>
                <w:iCs/>
                <w:color w:val="44546A"/>
                <w:sz w:val="20"/>
                <w:szCs w:val="18"/>
              </w:rPr>
              <w:t xml:space="preserve">natural capital </w:t>
            </w:r>
            <w:r w:rsidR="00C502C5">
              <w:rPr>
                <w:rFonts w:ascii="Calibri" w:eastAsia="Times New Roman" w:hAnsi="Calibri" w:cs="Times New Roman"/>
                <w:b/>
                <w:iCs/>
                <w:color w:val="44546A"/>
                <w:sz w:val="20"/>
                <w:szCs w:val="18"/>
              </w:rPr>
              <w:t>in Croatia</w:t>
            </w:r>
            <w:r w:rsidRPr="000C27E6">
              <w:rPr>
                <w:rFonts w:ascii="Calibri" w:eastAsia="Times New Roman" w:hAnsi="Calibri" w:cs="Times New Roman"/>
                <w:b/>
                <w:iCs/>
                <w:color w:val="44546A"/>
                <w:sz w:val="20"/>
                <w:szCs w:val="18"/>
              </w:rPr>
              <w:t xml:space="preserve"> (</w:t>
            </w:r>
            <w:r w:rsidRPr="00C502C5">
              <w:rPr>
                <w:rFonts w:ascii="Calibri" w:eastAsia="Times New Roman" w:hAnsi="Calibri" w:cs="Times New Roman"/>
                <w:b/>
                <w:iCs/>
                <w:color w:val="44546A"/>
                <w:sz w:val="20"/>
                <w:szCs w:val="18"/>
              </w:rPr>
              <w:t>percent, 1995-2014)</w:t>
            </w:r>
            <w:bookmarkEnd w:id="16"/>
            <w:bookmarkEnd w:id="17"/>
            <w:bookmarkEnd w:id="18"/>
            <w:bookmarkEnd w:id="19"/>
            <w:bookmarkEnd w:id="20"/>
            <w:bookmarkEnd w:id="21"/>
            <w:bookmarkEnd w:id="22"/>
            <w:bookmarkEnd w:id="23"/>
            <w:bookmarkEnd w:id="24"/>
            <w:bookmarkEnd w:id="25"/>
            <w:bookmarkEnd w:id="26"/>
            <w:bookmarkEnd w:id="27"/>
          </w:p>
        </w:tc>
      </w:tr>
      <w:tr w:rsidR="001844CD" w:rsidRPr="000C27E6" w14:paraId="1C0CB6DD" w14:textId="77777777" w:rsidTr="004B54A5">
        <w:tc>
          <w:tcPr>
            <w:tcW w:w="9360" w:type="dxa"/>
          </w:tcPr>
          <w:p w14:paraId="7E624C0E" w14:textId="77777777" w:rsidR="001844CD" w:rsidRPr="000C27E6" w:rsidRDefault="001844CD" w:rsidP="004B54A5">
            <w:pPr>
              <w:autoSpaceDE w:val="0"/>
              <w:autoSpaceDN w:val="0"/>
              <w:adjustRightInd w:val="0"/>
              <w:spacing w:after="120" w:line="276" w:lineRule="auto"/>
              <w:jc w:val="center"/>
              <w:rPr>
                <w:rFonts w:ascii="Calibri Light" w:eastAsia="Calibri" w:hAnsi="Calibri Light" w:cs="Calibri Light"/>
                <w:sz w:val="20"/>
                <w:szCs w:val="20"/>
              </w:rPr>
            </w:pPr>
            <w:r w:rsidRPr="000C27E6">
              <w:rPr>
                <w:rFonts w:ascii="Calibri Light" w:eastAsia="Calibri" w:hAnsi="Calibri Light" w:cs="Calibri Light"/>
                <w:noProof/>
                <w:sz w:val="20"/>
                <w:szCs w:val="20"/>
              </w:rPr>
              <w:drawing>
                <wp:inline distT="0" distB="0" distL="0" distR="0" wp14:anchorId="794F2A4D" wp14:editId="6D16C0EF">
                  <wp:extent cx="5084698" cy="1585539"/>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6057" cy="1592199"/>
                          </a:xfrm>
                          <a:prstGeom prst="rect">
                            <a:avLst/>
                          </a:prstGeom>
                          <a:noFill/>
                        </pic:spPr>
                      </pic:pic>
                    </a:graphicData>
                  </a:graphic>
                </wp:inline>
              </w:drawing>
            </w:r>
          </w:p>
        </w:tc>
      </w:tr>
      <w:tr w:rsidR="001844CD" w:rsidRPr="000C27E6" w14:paraId="7DA335AD" w14:textId="77777777" w:rsidTr="004B54A5">
        <w:tc>
          <w:tcPr>
            <w:tcW w:w="9360" w:type="dxa"/>
          </w:tcPr>
          <w:p w14:paraId="2ED006D7" w14:textId="77777777" w:rsidR="001844CD" w:rsidRPr="000C27E6" w:rsidRDefault="001844CD" w:rsidP="004B54A5">
            <w:pPr>
              <w:autoSpaceDE w:val="0"/>
              <w:autoSpaceDN w:val="0"/>
              <w:adjustRightInd w:val="0"/>
              <w:spacing w:after="120" w:line="276" w:lineRule="auto"/>
              <w:ind w:left="522"/>
              <w:rPr>
                <w:rFonts w:ascii="Calibri Light" w:eastAsia="Calibri" w:hAnsi="Calibri Light" w:cs="Calibri Light"/>
                <w:i/>
                <w:sz w:val="18"/>
                <w:szCs w:val="18"/>
              </w:rPr>
            </w:pPr>
            <w:r w:rsidRPr="000C27E6">
              <w:rPr>
                <w:rFonts w:ascii="Calibri Light" w:eastAsia="Calibri" w:hAnsi="Calibri Light" w:cs="Calibri Light"/>
                <w:i/>
                <w:sz w:val="18"/>
                <w:szCs w:val="18"/>
              </w:rPr>
              <w:t xml:space="preserve">Source: </w:t>
            </w:r>
            <w:r w:rsidRPr="000C27E6">
              <w:rPr>
                <w:rFonts w:ascii="Calibri Light" w:eastAsia="Calibri" w:hAnsi="Calibri Light" w:cs="Calibri Light"/>
                <w:sz w:val="18"/>
                <w:szCs w:val="18"/>
              </w:rPr>
              <w:t>World Bank, Measures of Comprehensive Wealth, 2016.</w:t>
            </w:r>
          </w:p>
        </w:tc>
      </w:tr>
    </w:tbl>
    <w:p w14:paraId="738A5972" w14:textId="4CD16F2C" w:rsidR="00622FE6" w:rsidRDefault="00622FE6" w:rsidP="00671BCF">
      <w:pPr>
        <w:jc w:val="both"/>
      </w:pPr>
      <w:r>
        <w:t xml:space="preserve">In both Romania and Croatia, the expansion of protected areas leading up to their EU accessions signals the presence of a policy driver that has successfully promoted one form of natural capital. </w:t>
      </w:r>
      <w:r w:rsidR="0098078E">
        <w:t>Despite this promising shift, other forms of natural capital clearly do not benefit from this same policy lever</w:t>
      </w:r>
      <w:r w:rsidR="00057C2D">
        <w:t xml:space="preserve">. </w:t>
      </w:r>
    </w:p>
    <w:p w14:paraId="5A8C26C7" w14:textId="4D3B35C3" w:rsidR="00622FE6" w:rsidRDefault="00622FE6" w:rsidP="00622FE6">
      <w:pPr>
        <w:pStyle w:val="Heading2"/>
      </w:pPr>
      <w:bookmarkStart w:id="28" w:name="_Toc508020577"/>
      <w:r>
        <w:t>Adjusted Net Savings</w:t>
      </w:r>
      <w:bookmarkEnd w:id="28"/>
    </w:p>
    <w:p w14:paraId="250C2D8F" w14:textId="6A489D71" w:rsidR="006538C3" w:rsidRDefault="006538C3" w:rsidP="00671BCF">
      <w:pPr>
        <w:jc w:val="both"/>
      </w:pPr>
      <w:r>
        <w:t xml:space="preserve">By looking beyond financial flows alone, economists and other practitioners can account for stocks of infrastructure, investment in human wellbeing and achievement, and environmental resources, rather than treating these as sunk costs. In assessing the sustainability of these, however, one must consider the implications of substituting natural capital for other forms—constituting “weak sustainability”—or </w:t>
      </w:r>
      <w:r>
        <w:lastRenderedPageBreak/>
        <w:t>ensuring the protection of natural resources through a “</w:t>
      </w:r>
      <w:r w:rsidR="009723B4">
        <w:t>strong sustainability” approach</w:t>
      </w:r>
      <w:r w:rsidR="00247028">
        <w:rPr>
          <w:rStyle w:val="FootnoteReference"/>
        </w:rPr>
        <w:footnoteReference w:id="8"/>
      </w:r>
      <w:r w:rsidR="009723B4">
        <w:t>.</w:t>
      </w:r>
      <w:r>
        <w:t xml:space="preserve"> When a country over-exploits its renewable resources such as land resources or draws down its finite resources such as oil or mineral resources, it is depleting its natural capital and this should be accounted for in measuring sustainable growth. The omission is largely by construction, since the services that natural capital provides typically do not have explicit market prices or values and thus the full contribution is not included. For example, forests provide service flows such as carbon sequestration, erosion control and air filtration. The lack of elicitation of these values precludes their inclusion and means that the traditional measure of GDP can give misleading signals about the long-term economic performance and well‐being of a country.</w:t>
      </w:r>
    </w:p>
    <w:p w14:paraId="767ACD18" w14:textId="77777777" w:rsidR="002B1995" w:rsidRDefault="006538C3" w:rsidP="00671BCF">
      <w:pPr>
        <w:jc w:val="both"/>
      </w:pPr>
      <w:r>
        <w:t>One way to account for sustainability is adjusted net saving (ANS), also called genuine saving, which adjusts national net saving for the value of resource depletion and environmental degradation, while crediting</w:t>
      </w:r>
      <w:r w:rsidRPr="006538C3">
        <w:t xml:space="preserve"> </w:t>
      </w:r>
      <w:r>
        <w:t xml:space="preserve">education expenditures as </w:t>
      </w:r>
      <w:r w:rsidRPr="006538C3">
        <w:t>a proxy for investment in human capital</w:t>
      </w:r>
      <w:r w:rsidR="00FE676F">
        <w:t xml:space="preserve">. Negative ANS suggests that essential capital stocks are degrading, with worse impacts to future well-being. </w:t>
      </w:r>
      <w:r w:rsidR="004E462B">
        <w:t>Positive</w:t>
      </w:r>
      <w:r w:rsidR="00FE676F">
        <w:t xml:space="preserve"> ANS</w:t>
      </w:r>
      <w:r w:rsidR="004E462B">
        <w:t xml:space="preserve">, conversely, indicates the </w:t>
      </w:r>
      <w:r w:rsidR="00FE676F">
        <w:t>addi</w:t>
      </w:r>
      <w:r w:rsidR="004E462B">
        <w:t>tion</w:t>
      </w:r>
      <w:r w:rsidR="00FE676F">
        <w:t xml:space="preserve"> </w:t>
      </w:r>
      <w:r w:rsidR="004E462B">
        <w:t>of wealth and future well-being</w:t>
      </w:r>
      <w:r>
        <w:t xml:space="preserve"> </w:t>
      </w:r>
      <w:r>
        <w:fldChar w:fldCharType="begin"/>
      </w:r>
      <w:r>
        <w:instrText xml:space="preserve"> ADDIN ZOTERO_ITEM CSL_CITATION {"citationID":"XugJEoFv","properties":{"formattedCitation":"(Lange, Wodon, and Carey 2018)","plainCitation":"(Lange, Wodon, and Carey 2018)"},"citationItems":[{"id":6675,"uris":["http://zotero.org/users/3805591/items/834EHKD5"],"uri":["http://zotero.org/users/3805591/items/834EHKD5"],"itemData":{"id":6675,"type":"book","title":"The Changing Wealth of Nations 2018: Building a Sustainable Future","publisher":"World Bank","publisher-place":"Washington, D.C.","event-place":"Washington, D.C.","editor":[{"family":"Lange","given":"Glenn-Marie"},{"family":"Wodon","given":"Quentin"},{"family":"Carey","given":"Kevin"}],"issued":{"date-parts":[["2018"]]}}}],"schema":"https://github.com/citation-style-language/schema/raw/master/csl-citation.json"} </w:instrText>
      </w:r>
      <w:r>
        <w:fldChar w:fldCharType="separate"/>
      </w:r>
      <w:r w:rsidRPr="006538C3">
        <w:rPr>
          <w:rFonts w:ascii="Calibri" w:hAnsi="Calibri" w:cs="Calibri"/>
        </w:rPr>
        <w:t>(Lange, Wodon, and Carey 2018)</w:t>
      </w:r>
      <w:r>
        <w:fldChar w:fldCharType="end"/>
      </w:r>
      <w:r w:rsidRPr="006538C3">
        <w:t>.</w:t>
      </w:r>
    </w:p>
    <w:p w14:paraId="75FCC3F1" w14:textId="71A9C665" w:rsidR="00D20B1A" w:rsidRDefault="002B1995" w:rsidP="00671BCF">
      <w:pPr>
        <w:jc w:val="both"/>
      </w:pPr>
      <w:r>
        <w:t xml:space="preserve">A negative ANS highlights </w:t>
      </w:r>
      <w:r w:rsidRPr="002B1995">
        <w:t xml:space="preserve">Romania’s </w:t>
      </w:r>
      <w:r>
        <w:t xml:space="preserve">unsustainable </w:t>
      </w:r>
      <w:r w:rsidRPr="002B1995">
        <w:t xml:space="preserve">savings and investment path </w:t>
      </w:r>
      <w:r>
        <w:t xml:space="preserve">in the 1990s. </w:t>
      </w:r>
      <w:r w:rsidRPr="002B1995">
        <w:t>Gross national saving was 19% of Gross National Income (GNI). After adjusting for the consumption of fixed capital (minus 26.4%), education expenditures (plus 3.4%),</w:t>
      </w:r>
      <w:r>
        <w:t xml:space="preserve"> depletion of natural resources</w:t>
      </w:r>
      <w:r w:rsidRPr="002B1995">
        <w:t xml:space="preserve"> (minus 1.5%), and pollution damages (minus 4.6%), Romania’s adjusted net saving was around -10% perc</w:t>
      </w:r>
      <w:r>
        <w:t>ent of GNI</w:t>
      </w:r>
      <w:r w:rsidR="006013CF">
        <w:t xml:space="preserve"> (</w:t>
      </w:r>
      <w:r w:rsidR="006013CF">
        <w:fldChar w:fldCharType="begin"/>
      </w:r>
      <w:r w:rsidR="006013CF">
        <w:instrText xml:space="preserve"> REF _Ref507879963 \h </w:instrText>
      </w:r>
      <w:r w:rsidR="006013CF">
        <w:fldChar w:fldCharType="separate"/>
      </w:r>
      <w:r w:rsidR="006A2C19" w:rsidRPr="002C014D">
        <w:rPr>
          <w:rFonts w:cstheme="minorHAnsi"/>
        </w:rPr>
        <w:t xml:space="preserve">Figure </w:t>
      </w:r>
      <w:r w:rsidR="006A2C19">
        <w:rPr>
          <w:rFonts w:cstheme="minorHAnsi"/>
          <w:i/>
          <w:noProof/>
        </w:rPr>
        <w:t>5</w:t>
      </w:r>
      <w:r w:rsidR="006013CF">
        <w:fldChar w:fldCharType="end"/>
      </w:r>
      <w:r w:rsidR="006013CF">
        <w:t>)</w:t>
      </w:r>
      <w:r>
        <w:t>.</w:t>
      </w:r>
    </w:p>
    <w:p w14:paraId="5F8DF5E7" w14:textId="6340BB5A" w:rsidR="006A2C19" w:rsidRDefault="006A2C19" w:rsidP="00671BCF">
      <w:pPr>
        <w:jc w:val="both"/>
      </w:pPr>
    </w:p>
    <w:p w14:paraId="45605E7C" w14:textId="47A5A5DE" w:rsidR="006A2C19" w:rsidRDefault="006A2C19" w:rsidP="00671BCF">
      <w:pPr>
        <w:jc w:val="both"/>
      </w:pPr>
    </w:p>
    <w:p w14:paraId="38D8FDBB" w14:textId="2445AB81" w:rsidR="006A2C19" w:rsidRDefault="006A2C19" w:rsidP="00671BCF">
      <w:pPr>
        <w:jc w:val="both"/>
      </w:pPr>
    </w:p>
    <w:p w14:paraId="1FD1416B" w14:textId="768EC24A" w:rsidR="006A2C19" w:rsidRDefault="006A2C19" w:rsidP="00671BCF">
      <w:pPr>
        <w:jc w:val="both"/>
      </w:pPr>
    </w:p>
    <w:p w14:paraId="5DC07C67" w14:textId="4E5AD7C1" w:rsidR="006A2C19" w:rsidRDefault="006A2C19" w:rsidP="00671BCF">
      <w:pPr>
        <w:jc w:val="both"/>
      </w:pPr>
    </w:p>
    <w:p w14:paraId="0E13E7ED" w14:textId="6A88EC3F" w:rsidR="006A2C19" w:rsidRDefault="006A2C19" w:rsidP="00671BCF">
      <w:pPr>
        <w:jc w:val="both"/>
      </w:pPr>
    </w:p>
    <w:p w14:paraId="21DC2CB7" w14:textId="73F9555B" w:rsidR="006A2C19" w:rsidRDefault="006A2C19" w:rsidP="00671BCF">
      <w:pPr>
        <w:jc w:val="both"/>
      </w:pPr>
    </w:p>
    <w:p w14:paraId="3F4C7BF2" w14:textId="04AA8DDA" w:rsidR="006A2C19" w:rsidRDefault="006A2C19" w:rsidP="00671BCF">
      <w:pPr>
        <w:jc w:val="both"/>
      </w:pPr>
    </w:p>
    <w:p w14:paraId="1E108E3C" w14:textId="31324F01" w:rsidR="006A2C19" w:rsidRDefault="006A2C19" w:rsidP="00671BCF">
      <w:pPr>
        <w:jc w:val="both"/>
      </w:pPr>
    </w:p>
    <w:p w14:paraId="720DB719" w14:textId="071571ED" w:rsidR="006A2C19" w:rsidRDefault="006A2C19" w:rsidP="00671BCF">
      <w:pPr>
        <w:jc w:val="both"/>
      </w:pPr>
    </w:p>
    <w:p w14:paraId="5CC03703" w14:textId="4A93B31A" w:rsidR="006A2C19" w:rsidRDefault="006A2C19" w:rsidP="00671BCF">
      <w:pPr>
        <w:jc w:val="both"/>
      </w:pPr>
    </w:p>
    <w:p w14:paraId="1F4ABF3E" w14:textId="77777777" w:rsidR="006A2C19" w:rsidRDefault="006A2C19" w:rsidP="00671BCF">
      <w:pPr>
        <w:jc w:val="both"/>
      </w:pPr>
    </w:p>
    <w:p w14:paraId="53D3FE2F" w14:textId="286C0644" w:rsidR="006013CF" w:rsidRPr="00D27DB8" w:rsidRDefault="006013CF" w:rsidP="002C014D">
      <w:pPr>
        <w:pStyle w:val="Caption"/>
        <w:jc w:val="center"/>
        <w:rPr>
          <w:rFonts w:cstheme="minorHAnsi"/>
          <w:i w:val="0"/>
          <w:color w:val="auto"/>
          <w:sz w:val="22"/>
          <w:szCs w:val="22"/>
        </w:rPr>
      </w:pPr>
      <w:bookmarkStart w:id="29" w:name="_Ref507879963"/>
      <w:bookmarkStart w:id="30" w:name="_Toc508013111"/>
      <w:r w:rsidRPr="002C014D">
        <w:rPr>
          <w:rFonts w:cstheme="minorHAnsi"/>
          <w:i w:val="0"/>
          <w:color w:val="auto"/>
          <w:sz w:val="22"/>
          <w:szCs w:val="22"/>
        </w:rPr>
        <w:lastRenderedPageBreak/>
        <w:t xml:space="preserve">Figure </w:t>
      </w:r>
      <w:r w:rsidR="00E158DF">
        <w:rPr>
          <w:rFonts w:cstheme="minorHAnsi"/>
          <w:i w:val="0"/>
          <w:color w:val="auto"/>
          <w:sz w:val="22"/>
          <w:szCs w:val="22"/>
        </w:rPr>
        <w:fldChar w:fldCharType="begin"/>
      </w:r>
      <w:r w:rsidR="00E158DF">
        <w:rPr>
          <w:rFonts w:cstheme="minorHAnsi"/>
          <w:i w:val="0"/>
          <w:color w:val="auto"/>
          <w:sz w:val="22"/>
          <w:szCs w:val="22"/>
        </w:rPr>
        <w:instrText xml:space="preserve"> SEQ Figure \* ARABIC </w:instrText>
      </w:r>
      <w:r w:rsidR="00E158DF">
        <w:rPr>
          <w:rFonts w:cstheme="minorHAnsi"/>
          <w:i w:val="0"/>
          <w:color w:val="auto"/>
          <w:sz w:val="22"/>
          <w:szCs w:val="22"/>
        </w:rPr>
        <w:fldChar w:fldCharType="separate"/>
      </w:r>
      <w:r w:rsidR="006A2C19">
        <w:rPr>
          <w:rFonts w:cstheme="minorHAnsi"/>
          <w:i w:val="0"/>
          <w:noProof/>
          <w:color w:val="auto"/>
          <w:sz w:val="22"/>
          <w:szCs w:val="22"/>
        </w:rPr>
        <w:t>5</w:t>
      </w:r>
      <w:r w:rsidR="00E158DF">
        <w:rPr>
          <w:rFonts w:cstheme="minorHAnsi"/>
          <w:i w:val="0"/>
          <w:color w:val="auto"/>
          <w:sz w:val="22"/>
          <w:szCs w:val="22"/>
        </w:rPr>
        <w:fldChar w:fldCharType="end"/>
      </w:r>
      <w:bookmarkEnd w:id="29"/>
      <w:r w:rsidRPr="00D27DB8">
        <w:rPr>
          <w:rFonts w:cstheme="minorHAnsi"/>
          <w:i w:val="0"/>
          <w:color w:val="auto"/>
          <w:sz w:val="22"/>
          <w:szCs w:val="22"/>
        </w:rPr>
        <w:t>. Calculating Adjusted Net Savings for Romania in 1995</w:t>
      </w:r>
      <w:bookmarkEnd w:id="30"/>
    </w:p>
    <w:p w14:paraId="06CB23E0" w14:textId="77777777" w:rsidR="006013CF" w:rsidRDefault="006013CF" w:rsidP="006013CF">
      <w:pPr>
        <w:pStyle w:val="ListParagraph"/>
        <w:ind w:left="0"/>
        <w:jc w:val="both"/>
      </w:pPr>
      <w:r>
        <w:rPr>
          <w:noProof/>
        </w:rPr>
        <mc:AlternateContent>
          <mc:Choice Requires="wpg">
            <w:drawing>
              <wp:anchor distT="0" distB="0" distL="114300" distR="114300" simplePos="0" relativeHeight="251662336" behindDoc="0" locked="0" layoutInCell="1" allowOverlap="1" wp14:anchorId="42C31EE1" wp14:editId="52846F1C">
                <wp:simplePos x="0" y="0"/>
                <wp:positionH relativeFrom="column">
                  <wp:posOffset>954593</wp:posOffset>
                </wp:positionH>
                <wp:positionV relativeFrom="paragraph">
                  <wp:posOffset>693574</wp:posOffset>
                </wp:positionV>
                <wp:extent cx="4187711" cy="1804471"/>
                <wp:effectExtent l="0" t="0" r="99060" b="24765"/>
                <wp:wrapNone/>
                <wp:docPr id="4"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187711" cy="1804471"/>
                          <a:chOff x="952500" y="705897"/>
                          <a:chExt cx="4187711" cy="1804471"/>
                        </a:xfrm>
                      </wpg:grpSpPr>
                      <wps:wsp>
                        <wps:cNvPr id="5" name="Straight Connector 5">
                          <a:extLst/>
                        </wps:cNvPr>
                        <wps:cNvCnPr/>
                        <wps:spPr>
                          <a:xfrm>
                            <a:off x="952500" y="705901"/>
                            <a:ext cx="81894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TextBox 6">
                          <a:extLst/>
                        </wps:cNvPr>
                        <wps:cNvSpPr txBox="1"/>
                        <wps:spPr>
                          <a:xfrm>
                            <a:off x="1077894" y="820209"/>
                            <a:ext cx="762000" cy="618066"/>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58A92D01" w14:textId="77777777" w:rsidR="0032392E" w:rsidRDefault="0032392E" w:rsidP="006013CF">
                              <w:pPr>
                                <w:pStyle w:val="NormalWeb"/>
                                <w:spacing w:before="0" w:beforeAutospacing="0" w:after="0" w:afterAutospacing="0" w:line="160" w:lineRule="exact"/>
                              </w:pPr>
                              <w:r>
                                <w:rPr>
                                  <w:rFonts w:asciiTheme="minorHAnsi" w:hAnsi="Calibri" w:cstheme="minorBidi"/>
                                  <w:i/>
                                  <w:iCs/>
                                  <w:color w:val="000000" w:themeColor="dark1"/>
                                  <w:sz w:val="16"/>
                                  <w:szCs w:val="16"/>
                                </w:rPr>
                                <w:t>Minus</w:t>
                              </w:r>
                              <w:r>
                                <w:rPr>
                                  <w:rFonts w:asciiTheme="minorHAnsi" w:hAnsi="Calibri" w:cstheme="minorBidi"/>
                                  <w:color w:val="000000" w:themeColor="dark1"/>
                                  <w:sz w:val="16"/>
                                  <w:szCs w:val="16"/>
                                </w:rPr>
                                <w:t xml:space="preserve"> consumption of fixed capital</w:t>
                              </w:r>
                            </w:p>
                          </w:txbxContent>
                        </wps:txbx>
                        <wps:bodyPr wrap="square" rtlCol="0" anchor="t"/>
                      </wps:wsp>
                      <wps:wsp>
                        <wps:cNvPr id="13" name="Straight Connector 13">
                          <a:extLst/>
                        </wps:cNvPr>
                        <wps:cNvCnPr/>
                        <wps:spPr>
                          <a:xfrm>
                            <a:off x="1771548" y="705897"/>
                            <a:ext cx="0" cy="1378695"/>
                          </a:xfrm>
                          <a:prstGeom prst="line">
                            <a:avLst/>
                          </a:prstGeom>
                          <a:ln>
                            <a:solidFill>
                              <a:schemeClr val="tx1"/>
                            </a:solidFill>
                            <a:prstDash val="dash"/>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4" name="TextBox 28">
                          <a:extLst/>
                        </wps:cNvPr>
                        <wps:cNvSpPr txBox="1"/>
                        <wps:spPr>
                          <a:xfrm>
                            <a:off x="1828800" y="2132543"/>
                            <a:ext cx="885825" cy="377825"/>
                          </a:xfrm>
                          <a:prstGeom prst="rect">
                            <a:avLst/>
                          </a:prstGeom>
                          <a:no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7492BDC6" w14:textId="77777777" w:rsidR="0032392E" w:rsidRDefault="0032392E" w:rsidP="006013CF">
                              <w:pPr>
                                <w:pStyle w:val="NormalWeb"/>
                                <w:spacing w:before="0" w:beforeAutospacing="0" w:after="0" w:afterAutospacing="0"/>
                                <w:jc w:val="center"/>
                              </w:pPr>
                              <w:r>
                                <w:rPr>
                                  <w:rFonts w:asciiTheme="minorHAnsi" w:hAnsi="Calibri" w:cstheme="minorBidi"/>
                                  <w:i/>
                                  <w:iCs/>
                                  <w:color w:val="000000" w:themeColor="dark1"/>
                                  <w:sz w:val="16"/>
                                  <w:szCs w:val="16"/>
                                </w:rPr>
                                <w:t>Plus</w:t>
                              </w:r>
                              <w:r>
                                <w:rPr>
                                  <w:rFonts w:asciiTheme="minorHAnsi" w:hAnsi="Calibri" w:cstheme="minorBidi"/>
                                  <w:color w:val="000000" w:themeColor="dark1"/>
                                  <w:sz w:val="16"/>
                                  <w:szCs w:val="16"/>
                                </w:rPr>
                                <w:t xml:space="preserve"> education expenditure</w:t>
                              </w:r>
                            </w:p>
                          </w:txbxContent>
                        </wps:txbx>
                        <wps:bodyPr wrap="square" rtlCol="0" anchor="t"/>
                      </wps:wsp>
                      <wps:wsp>
                        <wps:cNvPr id="26" name="Straight Connector 26">
                          <a:extLst/>
                        </wps:cNvPr>
                        <wps:cNvCnPr/>
                        <wps:spPr>
                          <a:xfrm flipH="1" flipV="1">
                            <a:off x="2632822" y="1708089"/>
                            <a:ext cx="311" cy="377886"/>
                          </a:xfrm>
                          <a:prstGeom prst="line">
                            <a:avLst/>
                          </a:prstGeom>
                          <a:ln>
                            <a:solidFill>
                              <a:schemeClr val="tx1"/>
                            </a:solidFill>
                            <a:prstDash val="dash"/>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Connector 31">
                          <a:extLst/>
                        </wps:cNvPr>
                        <wps:cNvCnPr/>
                        <wps:spPr>
                          <a:xfrm>
                            <a:off x="2635063" y="1518273"/>
                            <a:ext cx="826994" cy="336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 name="Straight Connector 32">
                          <a:extLst/>
                        </wps:cNvPr>
                        <wps:cNvCnPr/>
                        <wps:spPr>
                          <a:xfrm>
                            <a:off x="3457575" y="1526117"/>
                            <a:ext cx="4482" cy="243604"/>
                          </a:xfrm>
                          <a:prstGeom prst="line">
                            <a:avLst/>
                          </a:prstGeom>
                          <a:ln>
                            <a:solidFill>
                              <a:schemeClr val="tx1"/>
                            </a:solidFill>
                            <a:prstDash val="dash"/>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Box 33">
                          <a:extLst/>
                        </wps:cNvPr>
                        <wps:cNvSpPr txBox="1"/>
                        <wps:spPr>
                          <a:xfrm>
                            <a:off x="3031080" y="2119657"/>
                            <a:ext cx="897590" cy="363816"/>
                          </a:xfrm>
                          <a:prstGeom prst="rect">
                            <a:avLst/>
                          </a:prstGeom>
                          <a:no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2C4A6896" w14:textId="77777777" w:rsidR="0032392E" w:rsidRDefault="0032392E" w:rsidP="006013CF">
                              <w:pPr>
                                <w:pStyle w:val="NormalWeb"/>
                                <w:spacing w:before="0" w:beforeAutospacing="0" w:after="0" w:afterAutospacing="0"/>
                                <w:jc w:val="center"/>
                              </w:pPr>
                              <w:r>
                                <w:rPr>
                                  <w:rFonts w:asciiTheme="minorHAnsi" w:hAnsi="Calibri" w:cstheme="minorBidi"/>
                                  <w:i/>
                                  <w:iCs/>
                                  <w:color w:val="000000" w:themeColor="dark1"/>
                                  <w:sz w:val="16"/>
                                  <w:szCs w:val="16"/>
                                </w:rPr>
                                <w:t>Minus</w:t>
                              </w:r>
                              <w:r>
                                <w:rPr>
                                  <w:rFonts w:asciiTheme="minorHAnsi" w:hAnsi="Calibri" w:cstheme="minorBidi"/>
                                  <w:color w:val="000000" w:themeColor="dark1"/>
                                  <w:sz w:val="16"/>
                                  <w:szCs w:val="16"/>
                                </w:rPr>
                                <w:t xml:space="preserve"> depletion of natural capital</w:t>
                              </w:r>
                            </w:p>
                          </w:txbxContent>
                        </wps:txbx>
                        <wps:bodyPr wrap="square" rtlCol="0" anchor="t"/>
                      </wps:wsp>
                      <wps:wsp>
                        <wps:cNvPr id="34" name="Straight Connector 34">
                          <a:extLst/>
                        </wps:cNvPr>
                        <wps:cNvCnPr/>
                        <wps:spPr>
                          <a:xfrm>
                            <a:off x="3471028" y="1942730"/>
                            <a:ext cx="827616" cy="336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 name="Straight Connector 35">
                          <a:extLst/>
                        </wps:cNvPr>
                        <wps:cNvCnPr/>
                        <wps:spPr>
                          <a:xfrm>
                            <a:off x="3467660" y="1769721"/>
                            <a:ext cx="5603" cy="1696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TextBox 43">
                          <a:extLst/>
                        </wps:cNvPr>
                        <wps:cNvSpPr txBox="1"/>
                        <wps:spPr>
                          <a:xfrm>
                            <a:off x="3937865" y="2126380"/>
                            <a:ext cx="898212" cy="363816"/>
                          </a:xfrm>
                          <a:prstGeom prst="rect">
                            <a:avLst/>
                          </a:prstGeom>
                          <a:no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00A970EE" w14:textId="77777777" w:rsidR="0032392E" w:rsidRDefault="0032392E" w:rsidP="006013CF">
                              <w:pPr>
                                <w:pStyle w:val="NormalWeb"/>
                                <w:spacing w:before="0" w:beforeAutospacing="0" w:after="0" w:afterAutospacing="0"/>
                                <w:jc w:val="center"/>
                              </w:pPr>
                              <w:r>
                                <w:rPr>
                                  <w:rFonts w:asciiTheme="minorHAnsi" w:hAnsi="Calibri" w:cstheme="minorBidi"/>
                                  <w:i/>
                                  <w:iCs/>
                                  <w:color w:val="000000" w:themeColor="dark1"/>
                                  <w:sz w:val="16"/>
                                  <w:szCs w:val="16"/>
                                </w:rPr>
                                <w:t>Minus</w:t>
                              </w:r>
                              <w:r>
                                <w:rPr>
                                  <w:rFonts w:asciiTheme="minorHAnsi" w:hAnsi="Calibri" w:cstheme="minorBidi"/>
                                  <w:color w:val="000000" w:themeColor="dark1"/>
                                  <w:sz w:val="16"/>
                                  <w:szCs w:val="16"/>
                                </w:rPr>
                                <w:t xml:space="preserve"> pollution damages</w:t>
                              </w:r>
                            </w:p>
                          </w:txbxContent>
                        </wps:txbx>
                        <wps:bodyPr wrap="square" rtlCol="0" anchor="t"/>
                      </wps:wsp>
                      <wps:wsp>
                        <wps:cNvPr id="37" name="Straight Connector 37">
                          <a:extLst/>
                        </wps:cNvPr>
                        <wps:cNvCnPr/>
                        <wps:spPr>
                          <a:xfrm>
                            <a:off x="4304241" y="1934883"/>
                            <a:ext cx="5603" cy="1696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8" name="Straight Connector 38">
                          <a:extLst/>
                        </wps:cNvPr>
                        <wps:cNvCnPr/>
                        <wps:spPr>
                          <a:xfrm>
                            <a:off x="4313217" y="2096686"/>
                            <a:ext cx="826994" cy="336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9" name="Straight Connector 39">
                          <a:extLst/>
                        </wps:cNvPr>
                        <wps:cNvCnPr/>
                        <wps:spPr>
                          <a:xfrm>
                            <a:off x="5134597" y="2092201"/>
                            <a:ext cx="224" cy="139613"/>
                          </a:xfrm>
                          <a:prstGeom prst="line">
                            <a:avLst/>
                          </a:prstGeom>
                          <a:ln>
                            <a:solidFill>
                              <a:schemeClr val="tx1"/>
                            </a:solidFill>
                            <a:prstDash val="dash"/>
                            <a:headEnd type="non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C31EE1" id="Group 2" o:spid="_x0000_s1027" style="position:absolute;left:0;text-align:left;margin-left:75.15pt;margin-top:54.6pt;width:329.75pt;height:142.1pt;z-index:251662336;mso-width-relative:margin;mso-height-relative:margin" coordorigin="9525,7058" coordsize="41877,1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">
                <v:line id="Straight Connector 5" o:spid="_x0000_s1028" style="position:absolute;visibility:visible;mso-wrap-style:square" from="9525,7059" to="17714,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" strokecolor="black [3213]" strokeweight=".5pt">
                  <v:stroke dashstyle="dash" joinstyle="miter"/>
                </v:line>
                <v:shape id="TextBox 6" o:spid="_x0000_s1029" type="#_x0000_t202" style="position:absolute;left:10778;top:8202;width:7620;height:6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" fillcolor="white [3201]" strokecolor="white [3212]">
                  <v:textbox>
                    <w:txbxContent>
                      <w:p w14:paraId="58A92D01" w14:textId="77777777" w:rsidR="0032392E" w:rsidRDefault="0032392E" w:rsidP="006013CF">
                        <w:pPr>
                          <w:pStyle w:val="NormalWeb"/>
                          <w:spacing w:before="0" w:beforeAutospacing="0" w:after="0" w:afterAutospacing="0" w:line="160" w:lineRule="exact"/>
                        </w:pPr>
                        <w:r>
                          <w:rPr>
                            <w:rFonts w:asciiTheme="minorHAnsi" w:hAnsi="Calibri" w:cstheme="minorBidi"/>
                            <w:i/>
                            <w:iCs/>
                            <w:color w:val="000000" w:themeColor="dark1"/>
                            <w:sz w:val="16"/>
                            <w:szCs w:val="16"/>
                          </w:rPr>
                          <w:t>Minus</w:t>
                        </w:r>
                        <w:r>
                          <w:rPr>
                            <w:rFonts w:asciiTheme="minorHAnsi" w:hAnsi="Calibri" w:cstheme="minorBidi"/>
                            <w:color w:val="000000" w:themeColor="dark1"/>
                            <w:sz w:val="16"/>
                            <w:szCs w:val="16"/>
                          </w:rPr>
                          <w:t xml:space="preserve"> consumption of fixed capital</w:t>
                        </w:r>
                      </w:p>
                    </w:txbxContent>
                  </v:textbox>
                </v:shape>
                <v:line id="Straight Connector 13" o:spid="_x0000_s1030" style="position:absolute;visibility:visible;mso-wrap-style:square" from="17715,7058" to="17715,2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" strokecolor="black [3213]" strokeweight=".5pt">
                  <v:stroke dashstyle="dash" endarrow="block" joinstyle="miter"/>
                </v:line>
                <v:shape id="TextBox 28" o:spid="_x0000_s1031" type="#_x0000_t202" style="position:absolute;left:18288;top:21325;width:885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" filled="f" strokecolor="white [3212]">
                  <v:textbox>
                    <w:txbxContent>
                      <w:p w14:paraId="7492BDC6" w14:textId="77777777" w:rsidR="0032392E" w:rsidRDefault="0032392E" w:rsidP="006013CF">
                        <w:pPr>
                          <w:pStyle w:val="NormalWeb"/>
                          <w:spacing w:before="0" w:beforeAutospacing="0" w:after="0" w:afterAutospacing="0"/>
                          <w:jc w:val="center"/>
                        </w:pPr>
                        <w:r>
                          <w:rPr>
                            <w:rFonts w:asciiTheme="minorHAnsi" w:hAnsi="Calibri" w:cstheme="minorBidi"/>
                            <w:i/>
                            <w:iCs/>
                            <w:color w:val="000000" w:themeColor="dark1"/>
                            <w:sz w:val="16"/>
                            <w:szCs w:val="16"/>
                          </w:rPr>
                          <w:t>Plus</w:t>
                        </w:r>
                        <w:r>
                          <w:rPr>
                            <w:rFonts w:asciiTheme="minorHAnsi" w:hAnsi="Calibri" w:cstheme="minorBidi"/>
                            <w:color w:val="000000" w:themeColor="dark1"/>
                            <w:sz w:val="16"/>
                            <w:szCs w:val="16"/>
                          </w:rPr>
                          <w:t xml:space="preserve"> education expenditure</w:t>
                        </w:r>
                      </w:p>
                    </w:txbxContent>
                  </v:textbox>
                </v:shape>
                <v:line id="Straight Connector 26" o:spid="_x0000_s1032" style="position:absolute;flip:x y;visibility:visible;mso-wrap-style:square" from="26328,17080" to="26331,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" strokecolor="black [3213]" strokeweight=".5pt">
                  <v:stroke dashstyle="dash" endarrow="block" joinstyle="miter"/>
                </v:line>
                <v:line id="Straight Connector 31" o:spid="_x0000_s1033" style="position:absolute;visibility:visible;mso-wrap-style:square" from="26350,15182" to="34620,1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" strokecolor="black [3213]" strokeweight=".5pt">
                  <v:stroke dashstyle="dash" joinstyle="miter"/>
                </v:line>
                <v:line id="Straight Connector 32" o:spid="_x0000_s1034" style="position:absolute;visibility:visible;mso-wrap-style:square" from="34575,15261" to="34620,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" strokecolor="black [3213]" strokeweight=".5pt">
                  <v:stroke dashstyle="dash" endarrow="block" joinstyle="miter"/>
                </v:line>
                <v:shape id="TextBox 33" o:spid="_x0000_s1035" type="#_x0000_t202" style="position:absolute;left:30310;top:21196;width:8976;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" filled="f" strokecolor="white [3212]">
                  <v:textbox>
                    <w:txbxContent>
                      <w:p w14:paraId="2C4A6896" w14:textId="77777777" w:rsidR="0032392E" w:rsidRDefault="0032392E" w:rsidP="006013CF">
                        <w:pPr>
                          <w:pStyle w:val="NormalWeb"/>
                          <w:spacing w:before="0" w:beforeAutospacing="0" w:after="0" w:afterAutospacing="0"/>
                          <w:jc w:val="center"/>
                        </w:pPr>
                        <w:r>
                          <w:rPr>
                            <w:rFonts w:asciiTheme="minorHAnsi" w:hAnsi="Calibri" w:cstheme="minorBidi"/>
                            <w:i/>
                            <w:iCs/>
                            <w:color w:val="000000" w:themeColor="dark1"/>
                            <w:sz w:val="16"/>
                            <w:szCs w:val="16"/>
                          </w:rPr>
                          <w:t>Minus</w:t>
                        </w:r>
                        <w:r>
                          <w:rPr>
                            <w:rFonts w:asciiTheme="minorHAnsi" w:hAnsi="Calibri" w:cstheme="minorBidi"/>
                            <w:color w:val="000000" w:themeColor="dark1"/>
                            <w:sz w:val="16"/>
                            <w:szCs w:val="16"/>
                          </w:rPr>
                          <w:t xml:space="preserve"> depletion of natural capital</w:t>
                        </w:r>
                      </w:p>
                    </w:txbxContent>
                  </v:textbox>
                </v:shape>
                <v:line id="Straight Connector 34" o:spid="_x0000_s1036" style="position:absolute;visibility:visible;mso-wrap-style:square" from="34710,19427" to="42986,1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" strokecolor="black [3213]" strokeweight=".5pt">
                  <v:stroke dashstyle="dash" joinstyle="miter"/>
                </v:line>
                <v:line id="Straight Connector 35" o:spid="_x0000_s1037" style="position:absolute;visibility:visible;mso-wrap-style:square" from="34676,17697" to="34732,1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" strokecolor="black [3213]" strokeweight=".5pt">
                  <v:stroke dashstyle="dash" joinstyle="miter"/>
                </v:line>
                <v:shape id="TextBox 43" o:spid="_x0000_s1038" type="#_x0000_t202" style="position:absolute;left:39378;top:21263;width:898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" filled="f" strokecolor="white [3212]">
                  <v:textbox>
                    <w:txbxContent>
                      <w:p w14:paraId="00A970EE" w14:textId="77777777" w:rsidR="0032392E" w:rsidRDefault="0032392E" w:rsidP="006013CF">
                        <w:pPr>
                          <w:pStyle w:val="NormalWeb"/>
                          <w:spacing w:before="0" w:beforeAutospacing="0" w:after="0" w:afterAutospacing="0"/>
                          <w:jc w:val="center"/>
                        </w:pPr>
                        <w:r>
                          <w:rPr>
                            <w:rFonts w:asciiTheme="minorHAnsi" w:hAnsi="Calibri" w:cstheme="minorBidi"/>
                            <w:i/>
                            <w:iCs/>
                            <w:color w:val="000000" w:themeColor="dark1"/>
                            <w:sz w:val="16"/>
                            <w:szCs w:val="16"/>
                          </w:rPr>
                          <w:t>Minus</w:t>
                        </w:r>
                        <w:r>
                          <w:rPr>
                            <w:rFonts w:asciiTheme="minorHAnsi" w:hAnsi="Calibri" w:cstheme="minorBidi"/>
                            <w:color w:val="000000" w:themeColor="dark1"/>
                            <w:sz w:val="16"/>
                            <w:szCs w:val="16"/>
                          </w:rPr>
                          <w:t xml:space="preserve"> pollution damages</w:t>
                        </w:r>
                      </w:p>
                    </w:txbxContent>
                  </v:textbox>
                </v:shape>
                <v:line id="Straight Connector 37" o:spid="_x0000_s1039" style="position:absolute;visibility:visible;mso-wrap-style:square" from="43042,19348" to="43098,2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" strokecolor="black [3213]" strokeweight=".5pt">
                  <v:stroke dashstyle="dash" joinstyle="miter"/>
                </v:line>
                <v:line id="Straight Connector 38" o:spid="_x0000_s1040" style="position:absolute;visibility:visible;mso-wrap-style:square" from="43132,20966" to="51402,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" strokecolor="black [3213]" strokeweight=".5pt">
                  <v:stroke dashstyle="dash" joinstyle="miter"/>
                </v:line>
                <v:line id="Straight Connector 39" o:spid="_x0000_s1041" style="position:absolute;visibility:visible;mso-wrap-style:square" from="51345,20922" to="51348,2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" strokecolor="black [3213]" strokeweight=".5pt">
                  <v:stroke dashstyle="dash" endarrow="block" joinstyle="miter"/>
                </v:line>
              </v:group>
            </w:pict>
          </mc:Fallback>
        </mc:AlternateContent>
      </w:r>
      <w:r>
        <w:rPr>
          <w:noProof/>
        </w:rPr>
        <w:drawing>
          <wp:inline distT="0" distB="0" distL="0" distR="0" wp14:anchorId="3DA7690D" wp14:editId="5A75F66E">
            <wp:extent cx="5695950" cy="3195109"/>
            <wp:effectExtent l="0" t="0" r="0" b="5715"/>
            <wp:docPr id="40" name="Chart 40">
              <a:extLst xmlns:a="http://schemas.openxmlformats.org/drawingml/2006/main">
                <a:ext uri="{FF2B5EF4-FFF2-40B4-BE49-F238E27FC236}">
                  <a16:creationId xmlns:a16="http://schemas.microsoft.com/office/drawing/2014/main" id="{9F65CB9B-1FA8-4F0D-AD0E-2EB9F0860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2BF0D6" w14:textId="77777777" w:rsidR="006013CF" w:rsidRPr="006C6381" w:rsidRDefault="006013CF" w:rsidP="006013CF">
      <w:pPr>
        <w:pStyle w:val="ListParagraph"/>
        <w:ind w:left="0"/>
        <w:jc w:val="both"/>
        <w:rPr>
          <w:i/>
          <w:sz w:val="20"/>
        </w:rPr>
      </w:pPr>
      <w:r w:rsidRPr="006C6381">
        <w:rPr>
          <w:i/>
          <w:sz w:val="20"/>
        </w:rPr>
        <w:t>Source:</w:t>
      </w:r>
      <w:r w:rsidRPr="006C6381">
        <w:rPr>
          <w:sz w:val="20"/>
        </w:rPr>
        <w:t xml:space="preserve"> World Development Indicators 2016, World Bank</w:t>
      </w:r>
    </w:p>
    <w:p w14:paraId="70115A7E" w14:textId="790058C2" w:rsidR="002B1995" w:rsidRDefault="002B1995" w:rsidP="00654268">
      <w:pPr>
        <w:jc w:val="both"/>
      </w:pPr>
      <w:r w:rsidRPr="002B1995">
        <w:t>Romania’s ANS improved over time,</w:t>
      </w:r>
      <w:r>
        <w:t xml:space="preserve"> however,</w:t>
      </w:r>
      <w:r w:rsidRPr="002B1995">
        <w:t xml:space="preserve"> and became positive in 2007, owing to increased saving and reduced consumption – building greater ‘economic resilience’. Romania’s savings trend over the past two</w:t>
      </w:r>
      <w:r>
        <w:t xml:space="preserve"> decades is shown in </w:t>
      </w:r>
      <w:r w:rsidRPr="004C48AB">
        <w:fldChar w:fldCharType="begin"/>
      </w:r>
      <w:r w:rsidRPr="004C48AB">
        <w:instrText xml:space="preserve"> REF _Ref498256146 \h  \* MERGEFORMAT </w:instrText>
      </w:r>
      <w:r w:rsidRPr="004C48AB">
        <w:fldChar w:fldCharType="separate"/>
      </w:r>
      <w:r w:rsidR="006A2C19" w:rsidRPr="00B5701F">
        <w:t xml:space="preserve">Figure </w:t>
      </w:r>
      <w:r w:rsidR="006A2C19" w:rsidRPr="006A2C19">
        <w:rPr>
          <w:noProof/>
        </w:rPr>
        <w:t>6</w:t>
      </w:r>
      <w:r w:rsidRPr="004C48AB">
        <w:fldChar w:fldCharType="end"/>
      </w:r>
      <w:r w:rsidRPr="004C48AB">
        <w:t>,</w:t>
      </w:r>
      <w:r>
        <w:t xml:space="preserve"> where the line graphs compare the country’s gross national saving to its adjusted net saving from 1995 to 2015. Looking first at the trend in Gross National Savings (GNS), Romania’s total resources available for investment remained between 15-20% from the mid-1990s to 2007, and increasing to around 25% by 2015. Though ANS generally tracked the movement of GNS, it remained below zero until 2007. Part of the convergence of ANS with GNS was due to a reduction in the consumption of fixed capital which fell from 26% in 1995 to 19% by 2015. Although more modest, the period was also characterized by gains from reduced CO</w:t>
      </w:r>
      <w:r w:rsidRPr="002B1995">
        <w:rPr>
          <w:vertAlign w:val="subscript"/>
        </w:rPr>
        <w:t>2</w:t>
      </w:r>
      <w:r>
        <w:t xml:space="preserve"> damage (i.e. falling from 4% to 1% of GNI) and particulate matter pollution (i.e. falling from 0.8% to 0.3%). Resources invested in education remained at only about 3% of GNI over the entire period. The period of negative ANS prior to 2007 and reaching near 7% of GNI by 2015 suggests that Romania has taken steps in saving and investing more, while moderating its consumption. Non-renewable resources are not large in Romania, so there is little to deplete and account for, but non-renewable resources such as land and forests do provide significant non-market benefits and wealth to the economy. The current path of saving and investing, as defined by ANS, appears to be on a much more sustainable growth path, and the steps taken since the late-1990s have bui</w:t>
      </w:r>
      <w:r w:rsidR="00567330">
        <w:t>lt greater economic resilience</w:t>
      </w:r>
      <w:r>
        <w:t>.</w:t>
      </w:r>
    </w:p>
    <w:p w14:paraId="4A37F66E" w14:textId="31024F60" w:rsidR="006A2C19" w:rsidRDefault="006A2C19" w:rsidP="00654268">
      <w:pPr>
        <w:jc w:val="both"/>
      </w:pPr>
    </w:p>
    <w:p w14:paraId="40ABF45C" w14:textId="7DDFA020" w:rsidR="006A2C19" w:rsidRDefault="006A2C19" w:rsidP="00654268">
      <w:pPr>
        <w:jc w:val="both"/>
      </w:pPr>
    </w:p>
    <w:p w14:paraId="070EE90F" w14:textId="32B6EA5A" w:rsidR="006A2C19" w:rsidRDefault="006A2C19" w:rsidP="00654268">
      <w:pPr>
        <w:jc w:val="both"/>
      </w:pPr>
    </w:p>
    <w:p w14:paraId="2E493E76" w14:textId="7808983A" w:rsidR="006A2C19" w:rsidRDefault="006A2C19" w:rsidP="00654268">
      <w:pPr>
        <w:jc w:val="both"/>
      </w:pPr>
    </w:p>
    <w:p w14:paraId="7CC4DEEE" w14:textId="77777777" w:rsidR="006A2C19" w:rsidRDefault="006A2C19" w:rsidP="00654268">
      <w:pPr>
        <w:jc w:val="both"/>
      </w:pPr>
    </w:p>
    <w:p w14:paraId="3B4E900E" w14:textId="65F28953" w:rsidR="002B1995" w:rsidRPr="00B5701F" w:rsidRDefault="002B1995" w:rsidP="002B1995">
      <w:pPr>
        <w:pStyle w:val="Caption"/>
        <w:spacing w:after="0"/>
        <w:jc w:val="center"/>
        <w:rPr>
          <w:i w:val="0"/>
          <w:color w:val="auto"/>
          <w:sz w:val="22"/>
        </w:rPr>
      </w:pPr>
      <w:bookmarkStart w:id="31" w:name="_Ref498256146"/>
      <w:bookmarkStart w:id="32" w:name="_Toc508013112"/>
      <w:r w:rsidRPr="00B5701F">
        <w:rPr>
          <w:i w:val="0"/>
          <w:color w:val="auto"/>
          <w:sz w:val="22"/>
        </w:rPr>
        <w:lastRenderedPageBreak/>
        <w:t xml:space="preserve">Figure </w:t>
      </w:r>
      <w:r w:rsidR="00E158DF">
        <w:rPr>
          <w:i w:val="0"/>
          <w:color w:val="auto"/>
          <w:sz w:val="22"/>
        </w:rPr>
        <w:fldChar w:fldCharType="begin"/>
      </w:r>
      <w:r w:rsidR="00E158DF">
        <w:rPr>
          <w:i w:val="0"/>
          <w:color w:val="auto"/>
          <w:sz w:val="22"/>
        </w:rPr>
        <w:instrText xml:space="preserve"> SEQ Figure \* ARABIC </w:instrText>
      </w:r>
      <w:r w:rsidR="00E158DF">
        <w:rPr>
          <w:i w:val="0"/>
          <w:color w:val="auto"/>
          <w:sz w:val="22"/>
        </w:rPr>
        <w:fldChar w:fldCharType="separate"/>
      </w:r>
      <w:r w:rsidR="006A2C19">
        <w:rPr>
          <w:i w:val="0"/>
          <w:noProof/>
          <w:color w:val="auto"/>
          <w:sz w:val="22"/>
        </w:rPr>
        <w:t>6</w:t>
      </w:r>
      <w:r w:rsidR="00E158DF">
        <w:rPr>
          <w:i w:val="0"/>
          <w:color w:val="auto"/>
          <w:sz w:val="22"/>
        </w:rPr>
        <w:fldChar w:fldCharType="end"/>
      </w:r>
      <w:bookmarkEnd w:id="31"/>
      <w:r w:rsidRPr="00B5701F">
        <w:rPr>
          <w:i w:val="0"/>
          <w:color w:val="auto"/>
          <w:sz w:val="22"/>
        </w:rPr>
        <w:t>. Romania’s Adjusted Net Saving over time, 1995-2015</w:t>
      </w:r>
      <w:bookmarkEnd w:id="32"/>
    </w:p>
    <w:p w14:paraId="4FF94493" w14:textId="77777777" w:rsidR="002B1995" w:rsidRDefault="002B1995" w:rsidP="002B1995">
      <w:pPr>
        <w:pStyle w:val="ListParagraph"/>
        <w:ind w:left="0"/>
        <w:jc w:val="center"/>
      </w:pPr>
      <w:r>
        <w:rPr>
          <w:noProof/>
        </w:rPr>
        <w:drawing>
          <wp:inline distT="0" distB="0" distL="0" distR="0" wp14:anchorId="30D32B8D" wp14:editId="303A96B1">
            <wp:extent cx="5943600" cy="3651250"/>
            <wp:effectExtent l="0" t="0" r="0" b="6350"/>
            <wp:docPr id="28" name="Chart 28">
              <a:extLst xmlns:a="http://schemas.openxmlformats.org/drawingml/2006/main">
                <a:ext uri="{FF2B5EF4-FFF2-40B4-BE49-F238E27FC236}">
                  <a16:creationId xmlns:a16="http://schemas.microsoft.com/office/drawing/2014/main" id="{AB96CFF7-33B3-47D3-B847-997793D14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C88CED" w14:textId="77777777" w:rsidR="002B1995" w:rsidRPr="006C6381" w:rsidRDefault="002B1995" w:rsidP="002B1995">
      <w:pPr>
        <w:pStyle w:val="ListParagraph"/>
        <w:ind w:left="0"/>
        <w:jc w:val="both"/>
        <w:rPr>
          <w:i/>
          <w:sz w:val="20"/>
        </w:rPr>
      </w:pPr>
      <w:r w:rsidRPr="006C6381">
        <w:rPr>
          <w:i/>
          <w:sz w:val="20"/>
        </w:rPr>
        <w:t>Source:</w:t>
      </w:r>
      <w:r w:rsidRPr="006C6381">
        <w:rPr>
          <w:sz w:val="20"/>
        </w:rPr>
        <w:t xml:space="preserve"> World Development Indicators 2016, World Bank</w:t>
      </w:r>
    </w:p>
    <w:p w14:paraId="4AAAFE36" w14:textId="06C42ED7" w:rsidR="00D07E50" w:rsidRPr="00A522A1" w:rsidRDefault="007465C0" w:rsidP="00567330">
      <w:pPr>
        <w:pStyle w:val="Heading2"/>
      </w:pPr>
      <w:bookmarkStart w:id="33" w:name="_Toc508020578"/>
      <w:r>
        <w:t>Baseline</w:t>
      </w:r>
      <w:r w:rsidR="00D356F6">
        <w:t xml:space="preserve"> </w:t>
      </w:r>
      <w:r w:rsidR="000E1166">
        <w:t>Conditions</w:t>
      </w:r>
      <w:bookmarkEnd w:id="33"/>
    </w:p>
    <w:p w14:paraId="68119044" w14:textId="391371BF" w:rsidR="00280586" w:rsidRDefault="008E27D7" w:rsidP="003F5EEC">
      <w:pPr>
        <w:pStyle w:val="NormalWeb"/>
        <w:spacing w:before="240" w:after="240" w:line="276" w:lineRule="auto"/>
        <w:jc w:val="both"/>
        <w:rPr>
          <w:rFonts w:asciiTheme="minorHAnsi" w:hAnsiTheme="minorHAnsi"/>
          <w:sz w:val="22"/>
        </w:rPr>
      </w:pPr>
      <w:r>
        <w:rPr>
          <w:rFonts w:asciiTheme="minorHAnsi" w:hAnsiTheme="minorHAnsi"/>
          <w:sz w:val="22"/>
        </w:rPr>
        <w:t>C</w:t>
      </w:r>
      <w:r w:rsidR="00D07E50">
        <w:rPr>
          <w:rFonts w:asciiTheme="minorHAnsi" w:hAnsiTheme="minorHAnsi"/>
          <w:sz w:val="22"/>
        </w:rPr>
        <w:t xml:space="preserve">omposite measures of </w:t>
      </w:r>
      <w:r>
        <w:rPr>
          <w:rFonts w:asciiTheme="minorHAnsi" w:hAnsiTheme="minorHAnsi"/>
          <w:sz w:val="22"/>
        </w:rPr>
        <w:t>wealth are important for understanding macro-level trends, yet they are less functional at smaller scales, due largely to data limitations.</w:t>
      </w:r>
      <w:r w:rsidR="008A4332">
        <w:rPr>
          <w:rFonts w:asciiTheme="minorHAnsi" w:hAnsiTheme="minorHAnsi"/>
          <w:sz w:val="22"/>
        </w:rPr>
        <w:t xml:space="preserve"> </w:t>
      </w:r>
      <w:r w:rsidR="00ED18E8">
        <w:rPr>
          <w:rFonts w:asciiTheme="minorHAnsi" w:hAnsiTheme="minorHAnsi"/>
          <w:sz w:val="22"/>
        </w:rPr>
        <w:t xml:space="preserve">Economic and environmental conditions can both be considered as baselines. </w:t>
      </w:r>
      <w:r w:rsidR="008A4332">
        <w:rPr>
          <w:rFonts w:asciiTheme="minorHAnsi" w:hAnsiTheme="minorHAnsi"/>
          <w:sz w:val="22"/>
        </w:rPr>
        <w:t xml:space="preserve">The purpose of these measures is to provide a snapshot of </w:t>
      </w:r>
      <w:r w:rsidR="00D356F6">
        <w:rPr>
          <w:rFonts w:asciiTheme="minorHAnsi" w:hAnsiTheme="minorHAnsi"/>
          <w:sz w:val="22"/>
        </w:rPr>
        <w:t xml:space="preserve">national </w:t>
      </w:r>
      <w:r w:rsidR="008A4332">
        <w:rPr>
          <w:rFonts w:asciiTheme="minorHAnsi" w:hAnsiTheme="minorHAnsi"/>
          <w:sz w:val="22"/>
        </w:rPr>
        <w:t>conditions</w:t>
      </w:r>
      <w:r w:rsidR="006013CF">
        <w:rPr>
          <w:rFonts w:asciiTheme="minorHAnsi" w:hAnsiTheme="minorHAnsi"/>
          <w:sz w:val="22"/>
        </w:rPr>
        <w:t xml:space="preserve"> and </w:t>
      </w:r>
      <w:r w:rsidR="008A4332">
        <w:rPr>
          <w:rFonts w:asciiTheme="minorHAnsi" w:hAnsiTheme="minorHAnsi"/>
          <w:sz w:val="22"/>
        </w:rPr>
        <w:t>crucial aspects of understanding economic development, wealth, and wellbeing.</w:t>
      </w:r>
      <w:r w:rsidR="00D356F6">
        <w:rPr>
          <w:rFonts w:asciiTheme="minorHAnsi" w:hAnsiTheme="minorHAnsi"/>
          <w:sz w:val="22"/>
        </w:rPr>
        <w:t xml:space="preserve"> At a local level, </w:t>
      </w:r>
      <w:r w:rsidR="006013CF">
        <w:rPr>
          <w:rFonts w:asciiTheme="minorHAnsi" w:hAnsiTheme="minorHAnsi"/>
          <w:sz w:val="22"/>
        </w:rPr>
        <w:t xml:space="preserve">however, </w:t>
      </w:r>
      <w:r w:rsidR="00D356F6">
        <w:rPr>
          <w:rFonts w:asciiTheme="minorHAnsi" w:hAnsiTheme="minorHAnsi"/>
          <w:sz w:val="22"/>
        </w:rPr>
        <w:t>conditions can vary considerably, and can tell a much richer story of how natural capital is evolving.</w:t>
      </w:r>
      <w:r w:rsidR="009843C7">
        <w:rPr>
          <w:rFonts w:asciiTheme="minorHAnsi" w:hAnsiTheme="minorHAnsi"/>
          <w:sz w:val="22"/>
        </w:rPr>
        <w:t xml:space="preserve"> </w:t>
      </w:r>
    </w:p>
    <w:p w14:paraId="01CE6142" w14:textId="7FD9A4B8" w:rsidR="00143A16" w:rsidRDefault="00143A16" w:rsidP="003F5EEC">
      <w:pPr>
        <w:pStyle w:val="NormalWeb"/>
        <w:spacing w:before="240" w:after="240" w:line="276" w:lineRule="auto"/>
        <w:jc w:val="both"/>
        <w:rPr>
          <w:rFonts w:asciiTheme="minorHAnsi" w:hAnsiTheme="minorHAnsi"/>
          <w:sz w:val="22"/>
        </w:rPr>
      </w:pPr>
      <w:r>
        <w:rPr>
          <w:rFonts w:asciiTheme="minorHAnsi" w:hAnsiTheme="minorHAnsi"/>
          <w:sz w:val="22"/>
        </w:rPr>
        <w:t xml:space="preserve">Common environmental considerations include ambient air quality, forest cover and rate of loss or gain, water quality, and greenhouse gas emissions. Many other environmental indicators exist, however they may be limited in geographic scope or scale. Additionally, not all environmental factors are equally important within and between countries. </w:t>
      </w:r>
      <w:r w:rsidR="00ED18E8">
        <w:rPr>
          <w:rFonts w:asciiTheme="minorHAnsi" w:hAnsiTheme="minorHAnsi"/>
          <w:sz w:val="22"/>
        </w:rPr>
        <w:t>In countries where forestry or fishing contribute to the livelihoods of a large population, deforestation and water quality may be of top concern, while other countries may be less dependent or not even have access to these resources. Within a county, a</w:t>
      </w:r>
      <w:r>
        <w:rPr>
          <w:rFonts w:asciiTheme="minorHAnsi" w:hAnsiTheme="minorHAnsi"/>
          <w:sz w:val="22"/>
        </w:rPr>
        <w:t xml:space="preserve">mbient air quality may be of great concern in urban areas, but </w:t>
      </w:r>
      <w:r w:rsidR="00ED18E8">
        <w:rPr>
          <w:rFonts w:asciiTheme="minorHAnsi" w:hAnsiTheme="minorHAnsi"/>
          <w:sz w:val="22"/>
        </w:rPr>
        <w:t>have relatively little impact on rural regions. Thus, a baseline environmental profile should be tailored to a country’s landscape and include sub-national variation when possible.</w:t>
      </w:r>
    </w:p>
    <w:p w14:paraId="0C39980C" w14:textId="2AF63866" w:rsidR="00ED18E8" w:rsidRDefault="00ED18E8" w:rsidP="003F5EEC">
      <w:pPr>
        <w:pStyle w:val="NormalWeb"/>
        <w:spacing w:before="240" w:after="240" w:line="276" w:lineRule="auto"/>
        <w:jc w:val="both"/>
        <w:rPr>
          <w:rFonts w:asciiTheme="minorHAnsi" w:hAnsiTheme="minorHAnsi"/>
          <w:sz w:val="22"/>
        </w:rPr>
      </w:pPr>
      <w:r>
        <w:rPr>
          <w:rFonts w:asciiTheme="minorHAnsi" w:hAnsiTheme="minorHAnsi"/>
          <w:sz w:val="22"/>
        </w:rPr>
        <w:t xml:space="preserve">Economic baselines should also take into account the specific areas of concern in a country. Understanding which sectors are most economically important, the extent of poverty and inequality in a </w:t>
      </w:r>
      <w:r>
        <w:rPr>
          <w:rFonts w:asciiTheme="minorHAnsi" w:hAnsiTheme="minorHAnsi"/>
          <w:sz w:val="22"/>
        </w:rPr>
        <w:lastRenderedPageBreak/>
        <w:t>country, and regional economic diversity are all key baseline factors. Tying these to en</w:t>
      </w:r>
      <w:r w:rsidR="003F0FA1">
        <w:rPr>
          <w:rFonts w:asciiTheme="minorHAnsi" w:hAnsiTheme="minorHAnsi"/>
          <w:sz w:val="22"/>
        </w:rPr>
        <w:t>vironmental variables is also important—for instance, in understanding the economic implications of landscape changes.</w:t>
      </w:r>
    </w:p>
    <w:p w14:paraId="26F0EC60" w14:textId="01A43358" w:rsidR="00200A41" w:rsidRDefault="003F0FA1" w:rsidP="00200A41">
      <w:pPr>
        <w:pStyle w:val="ListParagraph"/>
        <w:keepNext/>
        <w:spacing w:after="0"/>
        <w:ind w:left="0"/>
        <w:jc w:val="both"/>
      </w:pPr>
      <w:r>
        <w:t>Using the example of</w:t>
      </w:r>
      <w:r w:rsidR="000E1166">
        <w:t xml:space="preserve"> R</w:t>
      </w:r>
      <w:r w:rsidR="000E1166" w:rsidRPr="000E1166">
        <w:t>omania</w:t>
      </w:r>
      <w:r>
        <w:t>, changes in land use reveal potential political and economic links.</w:t>
      </w:r>
      <w:r w:rsidR="00200A41">
        <w:t xml:space="preserve"> As with positive changes in protected areas</w:t>
      </w:r>
      <w:r w:rsidR="00200A41" w:rsidRPr="000E1166">
        <w:t>,</w:t>
      </w:r>
      <w:r w:rsidR="00200A41">
        <w:t xml:space="preserve"> other types of land conversion are of concern to natural capital.</w:t>
      </w:r>
      <w:r w:rsidR="00200A41" w:rsidRPr="000E1166">
        <w:t xml:space="preserve"> </w:t>
      </w:r>
      <w:r w:rsidR="00200A41">
        <w:t>U</w:t>
      </w:r>
      <w:r w:rsidR="00200A41" w:rsidRPr="000E1166">
        <w:t>rban</w:t>
      </w:r>
      <w:r w:rsidR="00200A41" w:rsidRPr="00C2421C">
        <w:t xml:space="preserve"> expansion is concentrated in t</w:t>
      </w:r>
      <w:r w:rsidR="00200A41">
        <w:t>he northeast, with the provinces of Suceava and L</w:t>
      </w:r>
      <w:r w:rsidR="00200A41" w:rsidRPr="00C2421C">
        <w:t>asi recording more than 217 km</w:t>
      </w:r>
      <w:r w:rsidR="00200A41" w:rsidRPr="00B5701F">
        <w:rPr>
          <w:vertAlign w:val="superscript"/>
        </w:rPr>
        <w:t>2</w:t>
      </w:r>
      <w:r w:rsidR="00200A41" w:rsidRPr="00C2421C">
        <w:t xml:space="preserve"> of new urban areas </w:t>
      </w:r>
      <w:r w:rsidR="00200A41" w:rsidRPr="00B5701F">
        <w:t>(</w:t>
      </w:r>
      <w:r w:rsidR="00200A41" w:rsidRPr="00B5701F">
        <w:fldChar w:fldCharType="begin"/>
      </w:r>
      <w:r w:rsidR="00200A41" w:rsidRPr="00B5701F">
        <w:instrText xml:space="preserve"> REF _Ref500325537 \h  \* MERGEFORMAT </w:instrText>
      </w:r>
      <w:r w:rsidR="00200A41" w:rsidRPr="00B5701F">
        <w:fldChar w:fldCharType="separate"/>
      </w:r>
      <w:r w:rsidR="006A2C19" w:rsidRPr="00B5701F">
        <w:t xml:space="preserve">Figure </w:t>
      </w:r>
      <w:r w:rsidR="006A2C19">
        <w:rPr>
          <w:noProof/>
        </w:rPr>
        <w:t>7</w:t>
      </w:r>
      <w:r w:rsidR="00200A41" w:rsidRPr="00B5701F">
        <w:fldChar w:fldCharType="end"/>
      </w:r>
      <w:r w:rsidR="00200A41" w:rsidRPr="00B5701F">
        <w:t>)</w:t>
      </w:r>
      <w:r w:rsidR="00200A41" w:rsidRPr="00C2421C">
        <w:t xml:space="preserve">. </w:t>
      </w:r>
      <w:r w:rsidR="00200A41">
        <w:t>And the decline in c</w:t>
      </w:r>
      <w:r w:rsidR="00200A41" w:rsidRPr="00C2421C">
        <w:t>ropland</w:t>
      </w:r>
      <w:r w:rsidR="00200A41">
        <w:t>s</w:t>
      </w:r>
      <w:r w:rsidR="00200A41" w:rsidRPr="00C2421C">
        <w:t xml:space="preserve"> is concentrated in the central-south area, with </w:t>
      </w:r>
      <w:r w:rsidR="00200A41">
        <w:t xml:space="preserve">the provinces of </w:t>
      </w:r>
      <w:r w:rsidR="00200A41" w:rsidRPr="00C2421C">
        <w:t xml:space="preserve">Gorj, Valcea and Arges </w:t>
      </w:r>
      <w:r w:rsidR="00200A41">
        <w:t>d</w:t>
      </w:r>
      <w:r w:rsidR="00200A41" w:rsidRPr="00C2421C">
        <w:t>ecreas</w:t>
      </w:r>
      <w:r w:rsidR="00200A41">
        <w:t xml:space="preserve">ing by </w:t>
      </w:r>
      <w:r w:rsidR="00200A41" w:rsidRPr="00C2421C">
        <w:t>more than 547 km</w:t>
      </w:r>
      <w:r w:rsidR="00200A41" w:rsidRPr="00B5701F">
        <w:rPr>
          <w:vertAlign w:val="superscript"/>
        </w:rPr>
        <w:t>2</w:t>
      </w:r>
      <w:r w:rsidR="00200A41" w:rsidRPr="00C2421C">
        <w:t xml:space="preserve">. </w:t>
      </w:r>
      <w:r w:rsidR="00200A41">
        <w:t xml:space="preserve">The </w:t>
      </w:r>
      <w:r w:rsidR="00200A41" w:rsidRPr="000E1166">
        <w:t>land conversion hotpots</w:t>
      </w:r>
      <w:r w:rsidR="00200A41">
        <w:t xml:space="preserve">, or provinces with significant urban expansion and cropland decreases, are concentrated in the north and south of the country </w:t>
      </w:r>
      <w:r w:rsidR="00200A41" w:rsidRPr="00B5701F">
        <w:t>(</w:t>
      </w:r>
      <w:r w:rsidR="00200A41" w:rsidRPr="00B5701F">
        <w:fldChar w:fldCharType="begin"/>
      </w:r>
      <w:r w:rsidR="00200A41" w:rsidRPr="00B5701F">
        <w:instrText xml:space="preserve"> REF _Ref500325659 \h  \* MERGEFORMAT </w:instrText>
      </w:r>
      <w:r w:rsidR="00200A41" w:rsidRPr="00B5701F">
        <w:fldChar w:fldCharType="separate"/>
      </w:r>
      <w:r w:rsidR="006A2C19" w:rsidRPr="00B5701F">
        <w:t xml:space="preserve">Figure </w:t>
      </w:r>
      <w:r w:rsidR="006A2C19">
        <w:rPr>
          <w:noProof/>
        </w:rPr>
        <w:t>8</w:t>
      </w:r>
      <w:r w:rsidR="00200A41" w:rsidRPr="00B5701F">
        <w:fldChar w:fldCharType="end"/>
      </w:r>
      <w:r w:rsidR="00200A41" w:rsidRPr="00B5701F">
        <w:t>)</w:t>
      </w:r>
      <w:r w:rsidR="00200A41">
        <w:t>. Conversion is most prevalent in the provinces of Bihor, Salaj, Satu Mare, Maramures, Suceava, Iasi, Bacau, Gorj, Valcea, Arges, Olt, Dambovita, and Prahova.</w:t>
      </w:r>
    </w:p>
    <w:p w14:paraId="35613151" w14:textId="6F8697A1" w:rsidR="006013CF" w:rsidRDefault="006013CF" w:rsidP="000E1166">
      <w:pPr>
        <w:pStyle w:val="ListParagraph"/>
        <w:keepNext/>
        <w:spacing w:after="0"/>
        <w:ind w:left="0"/>
        <w:jc w:val="both"/>
      </w:pPr>
    </w:p>
    <w:p w14:paraId="4E255FEF" w14:textId="3D406C1C" w:rsidR="000E1166" w:rsidRPr="00B5701F" w:rsidRDefault="000E1166" w:rsidP="000E1166">
      <w:pPr>
        <w:keepNext/>
        <w:spacing w:after="0"/>
        <w:jc w:val="center"/>
      </w:pPr>
      <w:bookmarkStart w:id="34" w:name="_Ref500325537"/>
      <w:bookmarkStart w:id="35" w:name="_Toc508013113"/>
      <w:r w:rsidRPr="00B5701F">
        <w:t xml:space="preserve">Figure </w:t>
      </w:r>
      <w:fldSimple w:instr=" SEQ Figure \* ARABIC ">
        <w:r w:rsidR="006A2C19">
          <w:rPr>
            <w:noProof/>
          </w:rPr>
          <w:t>7</w:t>
        </w:r>
      </w:fldSimple>
      <w:bookmarkEnd w:id="34"/>
      <w:r w:rsidRPr="00B5701F">
        <w:t>.</w:t>
      </w:r>
      <w:r w:rsidR="00632DB8">
        <w:t xml:space="preserve"> Changes in ur</w:t>
      </w:r>
      <w:r w:rsidRPr="00B5701F">
        <w:t xml:space="preserve">ban </w:t>
      </w:r>
      <w:r w:rsidR="00632DB8">
        <w:t>area and cropland, Romania 1995-2015</w:t>
      </w:r>
      <w:bookmarkEnd w:id="35"/>
    </w:p>
    <w:p w14:paraId="0ADE1FCE" w14:textId="77777777" w:rsidR="000E1166" w:rsidRDefault="000E1166" w:rsidP="000E1166">
      <w:pPr>
        <w:keepNext/>
      </w:pPr>
      <w:r w:rsidRPr="00F827F8">
        <w:rPr>
          <w:noProof/>
        </w:rPr>
        <w:drawing>
          <wp:anchor distT="0" distB="0" distL="114300" distR="114300" simplePos="0" relativeHeight="251659264" behindDoc="0" locked="0" layoutInCell="1" allowOverlap="1" wp14:anchorId="2D945105" wp14:editId="2DF4F1E7">
            <wp:simplePos x="0" y="0"/>
            <wp:positionH relativeFrom="margin">
              <wp:posOffset>0</wp:posOffset>
            </wp:positionH>
            <wp:positionV relativeFrom="paragraph">
              <wp:posOffset>1783080</wp:posOffset>
            </wp:positionV>
            <wp:extent cx="1896110" cy="914400"/>
            <wp:effectExtent l="0" t="0" r="889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1896110" cy="914400"/>
                    </a:xfrm>
                    <a:prstGeom prst="rect">
                      <a:avLst/>
                    </a:prstGeom>
                  </pic:spPr>
                </pic:pic>
              </a:graphicData>
            </a:graphic>
            <wp14:sizeRelH relativeFrom="margin">
              <wp14:pctWidth>0</wp14:pctWidth>
            </wp14:sizeRelH>
            <wp14:sizeRelV relativeFrom="margin">
              <wp14:pctHeight>0</wp14:pctHeight>
            </wp14:sizeRelV>
          </wp:anchor>
        </w:drawing>
      </w:r>
      <w:r w:rsidRPr="002E0D31">
        <w:rPr>
          <w:noProof/>
        </w:rPr>
        <w:drawing>
          <wp:anchor distT="0" distB="0" distL="114300" distR="114300" simplePos="0" relativeHeight="251660288" behindDoc="0" locked="0" layoutInCell="1" allowOverlap="1" wp14:anchorId="28F0F087" wp14:editId="3E483B11">
            <wp:simplePos x="0" y="0"/>
            <wp:positionH relativeFrom="column">
              <wp:posOffset>2981325</wp:posOffset>
            </wp:positionH>
            <wp:positionV relativeFrom="paragraph">
              <wp:posOffset>1771650</wp:posOffset>
            </wp:positionV>
            <wp:extent cx="1821815" cy="914400"/>
            <wp:effectExtent l="0" t="0" r="6985"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1821815" cy="914400"/>
                    </a:xfrm>
                    <a:prstGeom prst="rect">
                      <a:avLst/>
                    </a:prstGeom>
                  </pic:spPr>
                </pic:pic>
              </a:graphicData>
            </a:graphic>
            <wp14:sizeRelH relativeFrom="margin">
              <wp14:pctWidth>0</wp14:pctWidth>
            </wp14:sizeRelH>
            <wp14:sizeRelV relativeFrom="margin">
              <wp14:pctHeight>0</wp14:pctHeight>
            </wp14:sizeRelV>
          </wp:anchor>
        </w:drawing>
      </w:r>
      <w:r w:rsidRPr="00F827F8">
        <w:rPr>
          <w:noProof/>
        </w:rPr>
        <w:drawing>
          <wp:inline distT="0" distB="0" distL="0" distR="0" wp14:anchorId="740ED4B6" wp14:editId="78034CA4">
            <wp:extent cx="2945017" cy="1726565"/>
            <wp:effectExtent l="19050" t="19050" r="27305" b="2603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9440" cy="1729158"/>
                    </a:xfrm>
                    <a:prstGeom prst="rect">
                      <a:avLst/>
                    </a:prstGeom>
                    <a:ln>
                      <a:solidFill>
                        <a:schemeClr val="accent3"/>
                      </a:solidFill>
                    </a:ln>
                  </pic:spPr>
                </pic:pic>
              </a:graphicData>
            </a:graphic>
          </wp:inline>
        </w:drawing>
      </w:r>
      <w:r w:rsidRPr="002E0D31">
        <w:rPr>
          <w:noProof/>
        </w:rPr>
        <w:drawing>
          <wp:inline distT="0" distB="0" distL="0" distR="0" wp14:anchorId="31A0199A" wp14:editId="660303AE">
            <wp:extent cx="2875280" cy="1735964"/>
            <wp:effectExtent l="19050" t="19050" r="20320" b="1714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3004" cy="1740627"/>
                    </a:xfrm>
                    <a:prstGeom prst="rect">
                      <a:avLst/>
                    </a:prstGeom>
                    <a:ln>
                      <a:solidFill>
                        <a:schemeClr val="accent3"/>
                      </a:solidFill>
                    </a:ln>
                  </pic:spPr>
                </pic:pic>
              </a:graphicData>
            </a:graphic>
          </wp:inline>
        </w:drawing>
      </w:r>
    </w:p>
    <w:p w14:paraId="0676DC5C" w14:textId="77777777" w:rsidR="000E1166" w:rsidRDefault="000E1166" w:rsidP="000E1166">
      <w:pPr>
        <w:keepNext/>
        <w:spacing w:after="0"/>
        <w:rPr>
          <w:sz w:val="18"/>
        </w:rPr>
      </w:pPr>
    </w:p>
    <w:p w14:paraId="18F06395" w14:textId="77777777" w:rsidR="000E1166" w:rsidRDefault="000E1166" w:rsidP="000E1166">
      <w:pPr>
        <w:keepNext/>
        <w:spacing w:after="0"/>
        <w:rPr>
          <w:sz w:val="18"/>
        </w:rPr>
      </w:pPr>
    </w:p>
    <w:p w14:paraId="5928FA68" w14:textId="77777777" w:rsidR="000E1166" w:rsidRDefault="000E1166" w:rsidP="000E1166">
      <w:pPr>
        <w:keepNext/>
        <w:spacing w:after="0"/>
        <w:rPr>
          <w:sz w:val="18"/>
        </w:rPr>
      </w:pPr>
    </w:p>
    <w:p w14:paraId="141B593A" w14:textId="77777777" w:rsidR="000E1166" w:rsidRDefault="000E1166" w:rsidP="000E1166">
      <w:pPr>
        <w:keepNext/>
        <w:spacing w:after="0"/>
        <w:rPr>
          <w:sz w:val="18"/>
        </w:rPr>
      </w:pPr>
    </w:p>
    <w:p w14:paraId="783AB9B1" w14:textId="77777777" w:rsidR="000E1166" w:rsidRDefault="000E1166" w:rsidP="000E1166">
      <w:pPr>
        <w:keepNext/>
        <w:spacing w:after="0"/>
        <w:rPr>
          <w:sz w:val="18"/>
        </w:rPr>
      </w:pPr>
    </w:p>
    <w:p w14:paraId="7FF2C145" w14:textId="77777777" w:rsidR="000E1166" w:rsidRDefault="000E1166" w:rsidP="000E1166">
      <w:pPr>
        <w:keepNext/>
        <w:spacing w:after="0"/>
        <w:rPr>
          <w:sz w:val="18"/>
        </w:rPr>
      </w:pPr>
    </w:p>
    <w:p w14:paraId="1EED6B94" w14:textId="77777777" w:rsidR="000E1166" w:rsidRPr="009C3755" w:rsidRDefault="000E1166" w:rsidP="000E1166">
      <w:pPr>
        <w:keepNext/>
        <w:rPr>
          <w:sz w:val="20"/>
        </w:rPr>
      </w:pPr>
      <w:r w:rsidRPr="009C3755">
        <w:rPr>
          <w:i/>
          <w:sz w:val="20"/>
        </w:rPr>
        <w:t>Source</w:t>
      </w:r>
      <w:r>
        <w:rPr>
          <w:i/>
          <w:sz w:val="20"/>
        </w:rPr>
        <w:t>s</w:t>
      </w:r>
      <w:r w:rsidRPr="009C3755">
        <w:rPr>
          <w:sz w:val="20"/>
        </w:rPr>
        <w:t>: World Bank using ESA-CCI Land Cover data (2017) and the Hidden Dimensions Dataset (2017)</w:t>
      </w:r>
    </w:p>
    <w:p w14:paraId="1544DBD1" w14:textId="77777777" w:rsidR="000E1166" w:rsidRDefault="000E1166" w:rsidP="000E1166"/>
    <w:p w14:paraId="0DB1AC9B" w14:textId="77777777" w:rsidR="000E1166" w:rsidRDefault="000E1166" w:rsidP="000E1166"/>
    <w:p w14:paraId="74377B51" w14:textId="77777777" w:rsidR="000E1166" w:rsidRDefault="000E1166" w:rsidP="000E1166"/>
    <w:p w14:paraId="0F82B76F" w14:textId="77777777" w:rsidR="000E1166" w:rsidRDefault="000E1166" w:rsidP="000E1166"/>
    <w:p w14:paraId="24C3CB1B" w14:textId="7C364DCF" w:rsidR="000E1166" w:rsidRPr="00B5701F" w:rsidRDefault="000E1166" w:rsidP="000E1166">
      <w:pPr>
        <w:keepNext/>
        <w:spacing w:after="0"/>
        <w:jc w:val="center"/>
      </w:pPr>
      <w:bookmarkStart w:id="36" w:name="_Ref500325659"/>
      <w:bookmarkStart w:id="37" w:name="_Toc508013114"/>
      <w:r w:rsidRPr="00B5701F">
        <w:lastRenderedPageBreak/>
        <w:t xml:space="preserve">Figure </w:t>
      </w:r>
      <w:fldSimple w:instr=" SEQ Figure \* ARABIC ">
        <w:r w:rsidR="006A2C19">
          <w:rPr>
            <w:noProof/>
          </w:rPr>
          <w:t>8</w:t>
        </w:r>
      </w:fldSimple>
      <w:bookmarkEnd w:id="36"/>
      <w:r w:rsidR="00C502C5">
        <w:t>. Land conversion hotspots in Romania</w:t>
      </w:r>
      <w:bookmarkEnd w:id="37"/>
      <w:r w:rsidRPr="00B5701F">
        <w:fldChar w:fldCharType="begin"/>
      </w:r>
      <w:r w:rsidRPr="00B5701F">
        <w:instrText xml:space="preserve"> LINK Excel.SheetBinaryMacroEnabled.12 D:\\JiaJunLee_HDP\\Romania_SCD\\rou_lcc.csv rou_lcc!R64C18:R66C24 \a \f 5 \h  \* MERGEFORMAT </w:instrText>
      </w:r>
      <w:r w:rsidRPr="00B5701F">
        <w:fldChar w:fldCharType="separate"/>
      </w:r>
    </w:p>
    <w:p w14:paraId="0653A3FA" w14:textId="77777777" w:rsidR="000E1166" w:rsidRDefault="000E1166" w:rsidP="000E1166">
      <w:pPr>
        <w:keepNext/>
        <w:spacing w:after="0"/>
        <w:jc w:val="center"/>
      </w:pPr>
      <w:r w:rsidRPr="00B5701F">
        <w:fldChar w:fldCharType="end"/>
      </w:r>
      <w:r w:rsidRPr="006524B6">
        <w:t xml:space="preserve"> </w:t>
      </w:r>
      <w:r w:rsidRPr="00C2421C">
        <w:rPr>
          <w:noProof/>
        </w:rPr>
        <w:drawing>
          <wp:inline distT="0" distB="0" distL="0" distR="0" wp14:anchorId="1CB12924" wp14:editId="53841861">
            <wp:extent cx="5747655" cy="2926080"/>
            <wp:effectExtent l="19050" t="19050" r="24765" b="2667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stretch>
                      <a:fillRect/>
                    </a:stretch>
                  </pic:blipFill>
                  <pic:spPr>
                    <a:xfrm>
                      <a:off x="0" y="0"/>
                      <a:ext cx="5747655" cy="2926080"/>
                    </a:xfrm>
                    <a:prstGeom prst="rect">
                      <a:avLst/>
                    </a:prstGeom>
                    <a:ln>
                      <a:solidFill>
                        <a:schemeClr val="accent3"/>
                      </a:solidFill>
                    </a:ln>
                  </pic:spPr>
                </pic:pic>
              </a:graphicData>
            </a:graphic>
          </wp:inline>
        </w:drawing>
      </w:r>
    </w:p>
    <w:p w14:paraId="65B2B632" w14:textId="77777777" w:rsidR="00C502C5" w:rsidRDefault="00C502C5" w:rsidP="00C502C5">
      <w:pPr>
        <w:keepNext/>
        <w:spacing w:after="0" w:line="240" w:lineRule="auto"/>
        <w:rPr>
          <w:i/>
          <w:sz w:val="20"/>
        </w:rPr>
      </w:pPr>
      <w:r w:rsidRPr="00C502C5">
        <w:rPr>
          <w:i/>
          <w:sz w:val="20"/>
        </w:rPr>
        <w:t>Note:</w:t>
      </w:r>
      <w:r>
        <w:rPr>
          <w:sz w:val="20"/>
        </w:rPr>
        <w:t xml:space="preserve"> Land conversion hotspots refer to </w:t>
      </w:r>
      <w:r w:rsidRPr="00C502C5">
        <w:rPr>
          <w:sz w:val="20"/>
        </w:rPr>
        <w:t>provinces where urban expansion is greater than the mean, and cropland is declining greater than the mean</w:t>
      </w:r>
      <w:r w:rsidRPr="00C502C5">
        <w:rPr>
          <w:i/>
          <w:sz w:val="20"/>
        </w:rPr>
        <w:t xml:space="preserve"> </w:t>
      </w:r>
    </w:p>
    <w:p w14:paraId="4E7B6439" w14:textId="159A53E4" w:rsidR="00C502C5" w:rsidRPr="009C3755" w:rsidRDefault="00C502C5" w:rsidP="000E1166">
      <w:pPr>
        <w:keepNext/>
        <w:rPr>
          <w:sz w:val="20"/>
        </w:rPr>
      </w:pPr>
      <w:r w:rsidRPr="009C3755">
        <w:rPr>
          <w:i/>
          <w:sz w:val="20"/>
        </w:rPr>
        <w:t>Source</w:t>
      </w:r>
      <w:r>
        <w:rPr>
          <w:i/>
          <w:sz w:val="20"/>
        </w:rPr>
        <w:t>s</w:t>
      </w:r>
      <w:r w:rsidRPr="009C3755">
        <w:rPr>
          <w:sz w:val="20"/>
        </w:rPr>
        <w:t>: World Bank using ESA-CCI Land Cover data (2017) and the Hidden Dimensions Dataset (2017)</w:t>
      </w:r>
    </w:p>
    <w:p w14:paraId="1D630488" w14:textId="1116A790" w:rsidR="00A55EAC" w:rsidRDefault="00A55EAC" w:rsidP="00654268">
      <w:pPr>
        <w:pStyle w:val="ListParagraph"/>
        <w:keepNext/>
        <w:spacing w:after="0"/>
        <w:ind w:left="0"/>
        <w:jc w:val="both"/>
      </w:pPr>
      <w:r>
        <w:t>Changes in land use also reflect economic shifts such as a decline in both agricultural land and the prominence of the agricultural sector in Romania (</w:t>
      </w:r>
      <w:r>
        <w:fldChar w:fldCharType="begin"/>
      </w:r>
      <w:r>
        <w:instrText xml:space="preserve"> REF _Ref507964762 \h </w:instrText>
      </w:r>
      <w:r>
        <w:fldChar w:fldCharType="separate"/>
      </w:r>
      <w:r w:rsidR="006A2C19">
        <w:t xml:space="preserve">Figure </w:t>
      </w:r>
      <w:r w:rsidR="006A2C19">
        <w:rPr>
          <w:noProof/>
        </w:rPr>
        <w:t>9</w:t>
      </w:r>
      <w:r>
        <w:fldChar w:fldCharType="end"/>
      </w:r>
      <w:r>
        <w:t>). The bulk of agricultural land decline occurred during the period of EU accession, indicating a potential link with the reclassification of protected areas.</w:t>
      </w:r>
    </w:p>
    <w:p w14:paraId="188DB805" w14:textId="77777777" w:rsidR="00A55EAC" w:rsidRDefault="00A55EAC" w:rsidP="00A55EAC">
      <w:pPr>
        <w:pStyle w:val="ListParagraph"/>
        <w:keepNext/>
        <w:spacing w:after="0"/>
        <w:ind w:left="0"/>
      </w:pPr>
    </w:p>
    <w:p w14:paraId="062936DE" w14:textId="058B0FF6" w:rsidR="00A55EAC" w:rsidRDefault="00A55EAC" w:rsidP="00A55EAC">
      <w:pPr>
        <w:pStyle w:val="ListParagraph"/>
        <w:keepNext/>
        <w:spacing w:after="0"/>
        <w:ind w:left="0"/>
        <w:jc w:val="center"/>
      </w:pPr>
      <w:bookmarkStart w:id="38" w:name="_Ref507964762"/>
      <w:bookmarkStart w:id="39" w:name="_Toc508013115"/>
      <w:r>
        <w:t xml:space="preserve">Figure </w:t>
      </w:r>
      <w:fldSimple w:instr=" SEQ Figure \* ARABIC ">
        <w:r w:rsidR="006A2C19">
          <w:rPr>
            <w:noProof/>
          </w:rPr>
          <w:t>9</w:t>
        </w:r>
      </w:fldSimple>
      <w:bookmarkEnd w:id="38"/>
      <w:r>
        <w:t xml:space="preserve">: </w:t>
      </w:r>
      <w:r w:rsidRPr="0065644D">
        <w:t>Agricultural land (% of land area)</w:t>
      </w:r>
      <w:r>
        <w:t xml:space="preserve"> in Romania, 1990 - 2015 (left)</w:t>
      </w:r>
      <w:bookmarkEnd w:id="39"/>
    </w:p>
    <w:p w14:paraId="762A9EE3" w14:textId="77777777" w:rsidR="00A55EAC" w:rsidRDefault="00A55EAC" w:rsidP="00A55EAC">
      <w:pPr>
        <w:pStyle w:val="ListParagraph"/>
        <w:keepNext/>
        <w:spacing w:after="0"/>
        <w:ind w:left="0"/>
        <w:jc w:val="center"/>
      </w:pPr>
      <w:r w:rsidRPr="000216F0">
        <w:t xml:space="preserve">Agriculture, value added (% of GDP) </w:t>
      </w:r>
      <w:r>
        <w:t>1990 – 2016 (right)</w:t>
      </w:r>
    </w:p>
    <w:p w14:paraId="5C1E6C2A" w14:textId="77777777" w:rsidR="00A55EAC" w:rsidRDefault="00A55EAC" w:rsidP="00A55EAC">
      <w:r>
        <w:rPr>
          <w:noProof/>
        </w:rPr>
        <w:drawing>
          <wp:inline distT="0" distB="0" distL="0" distR="0" wp14:anchorId="288EB1D2" wp14:editId="054896E4">
            <wp:extent cx="2975764" cy="1834086"/>
            <wp:effectExtent l="0" t="0" r="15240" b="13970"/>
            <wp:docPr id="25" name="Chart 25">
              <a:extLst xmlns:a="http://schemas.openxmlformats.org/drawingml/2006/main">
                <a:ext uri="{FF2B5EF4-FFF2-40B4-BE49-F238E27FC236}">
                  <a16:creationId xmlns:a16="http://schemas.microsoft.com/office/drawing/2014/main" id="{590A2F7F-E7C9-4E01-AF2D-1B41356B7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0216F0">
        <w:rPr>
          <w:noProof/>
        </w:rPr>
        <w:t xml:space="preserve"> </w:t>
      </w:r>
      <w:r>
        <w:rPr>
          <w:noProof/>
        </w:rPr>
        <w:drawing>
          <wp:inline distT="0" distB="0" distL="0" distR="0" wp14:anchorId="4CD154E3" wp14:editId="15B25AD0">
            <wp:extent cx="2801113" cy="1848389"/>
            <wp:effectExtent l="0" t="0" r="18415" b="0"/>
            <wp:docPr id="17" name="Chart 17">
              <a:extLst xmlns:a="http://schemas.openxmlformats.org/drawingml/2006/main">
                <a:ext uri="{FF2B5EF4-FFF2-40B4-BE49-F238E27FC236}">
                  <a16:creationId xmlns:a16="http://schemas.microsoft.com/office/drawing/2014/main" id="{B11E5F64-62D2-47C8-937C-1A4D35CB9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B1FC96" w14:textId="40894041" w:rsidR="00A55EAC" w:rsidRPr="00A55EAC" w:rsidRDefault="00A55EAC" w:rsidP="00A55EAC">
      <w:pPr>
        <w:rPr>
          <w:sz w:val="20"/>
        </w:rPr>
      </w:pPr>
      <w:r w:rsidRPr="0065644D">
        <w:rPr>
          <w:i/>
          <w:sz w:val="20"/>
        </w:rPr>
        <w:t>Source:</w:t>
      </w:r>
      <w:r w:rsidRPr="0065644D">
        <w:rPr>
          <w:sz w:val="20"/>
        </w:rPr>
        <w:t xml:space="preserve"> World Developmen</w:t>
      </w:r>
      <w:r>
        <w:rPr>
          <w:sz w:val="20"/>
        </w:rPr>
        <w:t>t Indicators, 2018</w:t>
      </w:r>
    </w:p>
    <w:p w14:paraId="436FA832" w14:textId="2E43F8F1" w:rsidR="000E1166" w:rsidRDefault="000E1166" w:rsidP="000E1166">
      <w:pPr>
        <w:pStyle w:val="ListParagraph"/>
        <w:ind w:left="0"/>
        <w:jc w:val="both"/>
      </w:pPr>
      <w:r w:rsidRPr="000E1166">
        <w:t>Land conversion should account for the ecological service functions of the land to maintain resilience to natural disasters and the effects of climate change.</w:t>
      </w:r>
      <w:r>
        <w:t xml:space="preserve"> In Romania, land resources are the most important component of natural capital. Land provides direct economic benefits as it is an input to production (provisioning services), but it also provides other non-monetized functions such as flood protection (regulating services) and </w:t>
      </w:r>
      <w:r w:rsidRPr="008E306A">
        <w:t>supporting</w:t>
      </w:r>
      <w:r>
        <w:t xml:space="preserve"> services</w:t>
      </w:r>
      <w:r w:rsidRPr="008E306A">
        <w:t xml:space="preserve">, such as </w:t>
      </w:r>
      <w:r>
        <w:t xml:space="preserve">maintaining </w:t>
      </w:r>
      <w:r w:rsidRPr="008E306A">
        <w:t>nutrient cycles and crop pollination</w:t>
      </w:r>
      <w:r>
        <w:t xml:space="preserve">. Unmanaged land conversion eliminates valuable ecosystems, their services, degrades ‘buffer’ systems, </w:t>
      </w:r>
      <w:r>
        <w:lastRenderedPageBreak/>
        <w:t xml:space="preserve">undermines livelihoods and therefore resilience. While land conversion itself is not necessarily bad, it can be done quite well, it should account </w:t>
      </w:r>
      <w:r w:rsidR="006013CF">
        <w:t xml:space="preserve">for </w:t>
      </w:r>
      <w:r>
        <w:t>the full range of service functions to understand the potential tradeoffs in doing so.</w:t>
      </w:r>
    </w:p>
    <w:p w14:paraId="62ACA1DF" w14:textId="206148CE" w:rsidR="00D2261D" w:rsidRDefault="00D2261D" w:rsidP="00E94D06">
      <w:pPr>
        <w:jc w:val="both"/>
      </w:pPr>
      <w:r>
        <w:t>Poland</w:t>
      </w:r>
      <w:r w:rsidR="000E1166">
        <w:t xml:space="preserve"> offers another example of the importance of local </w:t>
      </w:r>
      <w:r w:rsidR="006013CF">
        <w:t xml:space="preserve">and baseline </w:t>
      </w:r>
      <w:r w:rsidR="000E1166">
        <w:t>conditions</w:t>
      </w:r>
      <w:r w:rsidR="00F74B32">
        <w:t xml:space="preserve"> </w:t>
      </w:r>
      <w:r w:rsidR="00F74B32">
        <w:fldChar w:fldCharType="begin"/>
      </w:r>
      <w:r w:rsidR="00F74B32">
        <w:instrText xml:space="preserve"> ADDIN ZOTERO_ITEM CSL_CITATION {"citationID":"jEB9PCSm","properties":{"formattedCitation":"(World Bank 2017a)","plainCitation":"(World Bank 2017a)"},"citationItems":[{"id":6764,"uris":["http://zotero.org/users/3805591/items/QS43UDFD"],"uri":["http://zotero.org/users/3805591/items/QS43UDFD"],"itemData":{"id":6764,"type":"report","title":"Poland: Toward a Strategic, Effective, and Accountable State Systematic Country Diagnostic","publisher-place":"Washington, D.C.","event-place":"Washington, D.C.","author":[{"literal":"World Bank"}],"issued":{"date-parts":[["2017"]]}}}],"schema":"https://github.com/citation-style-language/schema/raw/master/csl-citation.json"} </w:instrText>
      </w:r>
      <w:r w:rsidR="00F74B32">
        <w:fldChar w:fldCharType="separate"/>
      </w:r>
      <w:r w:rsidR="00F74B32" w:rsidRPr="00F74B32">
        <w:rPr>
          <w:rFonts w:ascii="Calibri" w:hAnsi="Calibri" w:cs="Calibri"/>
        </w:rPr>
        <w:t>(World Bank 2017a)</w:t>
      </w:r>
      <w:r w:rsidR="00F74B32">
        <w:fldChar w:fldCharType="end"/>
      </w:r>
      <w:r w:rsidR="000E1166">
        <w:t>. While the country</w:t>
      </w:r>
      <w:r>
        <w:t xml:space="preserve"> has made significant progress in improving </w:t>
      </w:r>
      <w:r w:rsidR="006013CF">
        <w:t xml:space="preserve">its </w:t>
      </w:r>
      <w:r>
        <w:t>air quality related to SO</w:t>
      </w:r>
      <w:r w:rsidRPr="002C014D">
        <w:rPr>
          <w:vertAlign w:val="subscript"/>
        </w:rPr>
        <w:t>2</w:t>
      </w:r>
      <w:r>
        <w:t xml:space="preserve">, NOx, and heavy metals, </w:t>
      </w:r>
      <w:r w:rsidR="00280586">
        <w:t xml:space="preserve">yet </w:t>
      </w:r>
      <w:r>
        <w:t>it is remains out of compliance with EU standards with respect to fine Particulate Matter (PM)</w:t>
      </w:r>
      <w:r>
        <w:rPr>
          <w:rStyle w:val="FootnoteReference"/>
        </w:rPr>
        <w:footnoteReference w:id="9"/>
      </w:r>
      <w:r>
        <w:t>. In Poland, PM</w:t>
      </w:r>
      <w:r w:rsidRPr="00476181">
        <w:rPr>
          <w:vertAlign w:val="subscript"/>
        </w:rPr>
        <w:t>2.5</w:t>
      </w:r>
      <w:r>
        <w:t xml:space="preserve"> concentrations are slightly decreasing over time, </w:t>
      </w:r>
      <w:r w:rsidR="00E94D06">
        <w:t xml:space="preserve">with an average drop of 5 percent between 2012 and 2015, </w:t>
      </w:r>
      <w:r>
        <w:t>yet several areas still exceed the limit value of 25 µg/m</w:t>
      </w:r>
      <w:r w:rsidRPr="00476181">
        <w:rPr>
          <w:vertAlign w:val="superscript"/>
        </w:rPr>
        <w:t>3</w:t>
      </w:r>
      <w:r>
        <w:t xml:space="preserve"> (</w:t>
      </w:r>
      <w:r w:rsidRPr="00453561">
        <w:fldChar w:fldCharType="begin"/>
      </w:r>
      <w:r w:rsidRPr="00453561">
        <w:instrText xml:space="preserve"> REF _Ref478226600 \h  \* MERGEFORMAT </w:instrText>
      </w:r>
      <w:r w:rsidRPr="00453561">
        <w:fldChar w:fldCharType="separate"/>
      </w:r>
      <w:r w:rsidR="006A2C19" w:rsidRPr="00FC7E9E">
        <w:t xml:space="preserve">Figure </w:t>
      </w:r>
      <w:r w:rsidR="006A2C19">
        <w:rPr>
          <w:noProof/>
        </w:rPr>
        <w:t>10</w:t>
      </w:r>
      <w:r w:rsidRPr="00453561">
        <w:fldChar w:fldCharType="end"/>
      </w:r>
      <w:r w:rsidRPr="00453561">
        <w:t>).</w:t>
      </w:r>
      <w:r>
        <w:t xml:space="preserve"> At the individual city level, </w:t>
      </w:r>
      <w:r w:rsidR="00E94D06">
        <w:t xml:space="preserve">though, </w:t>
      </w:r>
      <w:r>
        <w:t>the air quality situation is much more nuanced.  Out of a total of 154 cities that were monitored, approximately 23 percent were above the limit value of 40 µg/m</w:t>
      </w:r>
      <w:r w:rsidRPr="00476181">
        <w:rPr>
          <w:vertAlign w:val="superscript"/>
        </w:rPr>
        <w:t>3</w:t>
      </w:r>
      <w:r>
        <w:t xml:space="preserve"> for PM</w:t>
      </w:r>
      <w:r w:rsidRPr="001C148B">
        <w:rPr>
          <w:vertAlign w:val="subscript"/>
        </w:rPr>
        <w:t>10</w:t>
      </w:r>
      <w:r>
        <w:t xml:space="preserve"> and </w:t>
      </w:r>
      <w:r w:rsidR="00E94D06">
        <w:t>twice as many</w:t>
      </w:r>
      <w:r>
        <w:t xml:space="preserve"> were out of compliance </w:t>
      </w:r>
      <w:r w:rsidR="00E94D06">
        <w:t xml:space="preserve">for </w:t>
      </w:r>
      <w:r>
        <w:t>PM</w:t>
      </w:r>
      <w:r w:rsidRPr="00453561">
        <w:rPr>
          <w:vertAlign w:val="subscript"/>
        </w:rPr>
        <w:t>2.5</w:t>
      </w:r>
      <w:r>
        <w:t xml:space="preserve"> </w:t>
      </w:r>
      <w:r w:rsidR="00E94D06">
        <w:t>standards.</w:t>
      </w:r>
    </w:p>
    <w:p w14:paraId="74BD8590" w14:textId="3AA7CD69" w:rsidR="00D27DB8" w:rsidRDefault="00D27DB8" w:rsidP="00E94D06">
      <w:pPr>
        <w:jc w:val="both"/>
      </w:pPr>
      <w:r>
        <w:t>What both country cases imply is that targeted interventions can be made to improve overall environmental performance – once the determinants of these externalities are more fully understood.</w:t>
      </w:r>
    </w:p>
    <w:p w14:paraId="2B5A35F0" w14:textId="129787CB" w:rsidR="00FC7E9E" w:rsidRPr="00FC7E9E" w:rsidRDefault="00FC7E9E" w:rsidP="00FC7E9E">
      <w:pPr>
        <w:pStyle w:val="NormalWeb"/>
        <w:spacing w:before="240" w:after="240" w:line="276" w:lineRule="auto"/>
        <w:jc w:val="center"/>
        <w:rPr>
          <w:rFonts w:asciiTheme="minorHAnsi" w:hAnsiTheme="minorHAnsi"/>
          <w:sz w:val="22"/>
        </w:rPr>
      </w:pPr>
      <w:bookmarkStart w:id="40" w:name="_Ref478226600"/>
      <w:bookmarkStart w:id="41" w:name="_Toc508013116"/>
      <w:r w:rsidRPr="00FC7E9E">
        <w:rPr>
          <w:rFonts w:asciiTheme="minorHAnsi" w:hAnsiTheme="minorHAnsi"/>
          <w:sz w:val="22"/>
        </w:rPr>
        <w:t xml:space="preserve">Figure </w:t>
      </w:r>
      <w:r w:rsidR="00E158DF">
        <w:rPr>
          <w:rFonts w:asciiTheme="minorHAnsi" w:hAnsiTheme="minorHAnsi"/>
          <w:sz w:val="22"/>
        </w:rPr>
        <w:fldChar w:fldCharType="begin"/>
      </w:r>
      <w:r w:rsidR="00E158DF">
        <w:rPr>
          <w:rFonts w:asciiTheme="minorHAnsi" w:hAnsiTheme="minorHAnsi"/>
          <w:sz w:val="22"/>
        </w:rPr>
        <w:instrText xml:space="preserve"> SEQ Figure \* ARABIC </w:instrText>
      </w:r>
      <w:r w:rsidR="00E158DF">
        <w:rPr>
          <w:rFonts w:asciiTheme="minorHAnsi" w:hAnsiTheme="minorHAnsi"/>
          <w:sz w:val="22"/>
        </w:rPr>
        <w:fldChar w:fldCharType="separate"/>
      </w:r>
      <w:r w:rsidR="006A2C19">
        <w:rPr>
          <w:rFonts w:asciiTheme="minorHAnsi" w:hAnsiTheme="minorHAnsi"/>
          <w:noProof/>
          <w:sz w:val="22"/>
        </w:rPr>
        <w:t>10</w:t>
      </w:r>
      <w:r w:rsidR="00E158DF">
        <w:rPr>
          <w:rFonts w:asciiTheme="minorHAnsi" w:hAnsiTheme="minorHAnsi"/>
          <w:sz w:val="22"/>
        </w:rPr>
        <w:fldChar w:fldCharType="end"/>
      </w:r>
      <w:bookmarkEnd w:id="40"/>
      <w:r w:rsidRPr="00FC7E9E">
        <w:rPr>
          <w:rFonts w:asciiTheme="minorHAnsi" w:hAnsiTheme="minorHAnsi"/>
          <w:sz w:val="22"/>
        </w:rPr>
        <w:t>. Average concentration of PM</w:t>
      </w:r>
      <w:r w:rsidRPr="002C014D">
        <w:rPr>
          <w:rFonts w:asciiTheme="minorHAnsi" w:hAnsiTheme="minorHAnsi"/>
          <w:sz w:val="22"/>
          <w:vertAlign w:val="subscript"/>
        </w:rPr>
        <w:t>2.5</w:t>
      </w:r>
      <w:r w:rsidRPr="00FC7E9E">
        <w:rPr>
          <w:rFonts w:asciiTheme="minorHAnsi" w:hAnsiTheme="minorHAnsi"/>
          <w:sz w:val="22"/>
        </w:rPr>
        <w:t xml:space="preserve"> by agglomeration and selected cities, 2012-2015</w:t>
      </w:r>
      <w:bookmarkEnd w:id="41"/>
    </w:p>
    <w:p w14:paraId="3ED411E1" w14:textId="77777777" w:rsidR="00FC7E9E" w:rsidRDefault="00FC7E9E" w:rsidP="00FC7E9E">
      <w:r>
        <w:rPr>
          <w:noProof/>
        </w:rPr>
        <w:drawing>
          <wp:inline distT="0" distB="0" distL="0" distR="0" wp14:anchorId="75520B96" wp14:editId="67936D54">
            <wp:extent cx="5394960" cy="361277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and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4960" cy="3612777"/>
                    </a:xfrm>
                    <a:prstGeom prst="rect">
                      <a:avLst/>
                    </a:prstGeom>
                  </pic:spPr>
                </pic:pic>
              </a:graphicData>
            </a:graphic>
          </wp:inline>
        </w:drawing>
      </w:r>
    </w:p>
    <w:p w14:paraId="68BEA879" w14:textId="77777777" w:rsidR="00FC7E9E" w:rsidRPr="0043518F" w:rsidRDefault="00FC7E9E" w:rsidP="00FC7E9E">
      <w:pPr>
        <w:ind w:left="720"/>
        <w:rPr>
          <w:sz w:val="20"/>
        </w:rPr>
      </w:pPr>
      <w:r w:rsidRPr="0043518F">
        <w:rPr>
          <w:i/>
          <w:sz w:val="20"/>
        </w:rPr>
        <w:t>Source</w:t>
      </w:r>
      <w:r w:rsidRPr="0043518F">
        <w:rPr>
          <w:sz w:val="20"/>
        </w:rPr>
        <w:t xml:space="preserve">: </w:t>
      </w:r>
      <w:r>
        <w:rPr>
          <w:sz w:val="20"/>
        </w:rPr>
        <w:t xml:space="preserve">Poland </w:t>
      </w:r>
      <w:r w:rsidRPr="0043518F">
        <w:rPr>
          <w:sz w:val="20"/>
        </w:rPr>
        <w:t>Inspectorate for Environmental Protection, 2016.</w:t>
      </w:r>
    </w:p>
    <w:p w14:paraId="04525AF5" w14:textId="393E3BF7" w:rsidR="000E1166" w:rsidRDefault="000E1166" w:rsidP="000E1166">
      <w:pPr>
        <w:pStyle w:val="Heading2"/>
      </w:pPr>
      <w:bookmarkStart w:id="42" w:name="_Toc508020579"/>
      <w:r>
        <w:lastRenderedPageBreak/>
        <w:t xml:space="preserve">Examining </w:t>
      </w:r>
      <w:r w:rsidR="007F1FF4">
        <w:t>B</w:t>
      </w:r>
      <w:r>
        <w:t xml:space="preserve">eyond the </w:t>
      </w:r>
      <w:r w:rsidR="007F1FF4">
        <w:t>B</w:t>
      </w:r>
      <w:r>
        <w:t>aseline</w:t>
      </w:r>
      <w:bookmarkEnd w:id="42"/>
    </w:p>
    <w:p w14:paraId="77D86FF0" w14:textId="77777777" w:rsidR="000E1166" w:rsidRDefault="000E1166" w:rsidP="000E1166">
      <w:pPr>
        <w:pStyle w:val="NormalWeb"/>
        <w:spacing w:before="240" w:beforeAutospacing="0" w:after="240" w:afterAutospacing="0" w:line="276" w:lineRule="auto"/>
        <w:jc w:val="both"/>
        <w:rPr>
          <w:rFonts w:asciiTheme="minorHAnsi" w:hAnsiTheme="minorHAnsi"/>
          <w:sz w:val="22"/>
        </w:rPr>
      </w:pPr>
      <w:r>
        <w:rPr>
          <w:rFonts w:asciiTheme="minorHAnsi" w:hAnsiTheme="minorHAnsi"/>
          <w:sz w:val="22"/>
        </w:rPr>
        <w:t>Knowledge of a country’s environmental profile over time opens several questions: are trends in environmental quality a result of economic growth? If so, what type of relationship does economic growth have with various environmental factors? Does all economic growth have the same function? And if economic growth is not a driver of environmental trends, could natural capital flows be related to other factors such as policy or investment trends?</w:t>
      </w:r>
    </w:p>
    <w:p w14:paraId="2FD5DA8D" w14:textId="44F4C204" w:rsidR="00C77A61" w:rsidRPr="0050030D" w:rsidRDefault="003D6087" w:rsidP="003F5EEC">
      <w:pPr>
        <w:pStyle w:val="NormalWeb"/>
        <w:spacing w:before="240" w:after="240" w:line="276" w:lineRule="auto"/>
        <w:jc w:val="both"/>
        <w:rPr>
          <w:rFonts w:asciiTheme="minorHAnsi" w:hAnsiTheme="minorHAnsi"/>
          <w:sz w:val="22"/>
        </w:rPr>
      </w:pPr>
      <w:r>
        <w:rPr>
          <w:rFonts w:asciiTheme="minorHAnsi" w:hAnsiTheme="minorHAnsi"/>
          <w:sz w:val="22"/>
        </w:rPr>
        <w:t>Together, changes in natural capital, overall ANS, and ambient conditions can provide a baseline assess</w:t>
      </w:r>
      <w:r w:rsidR="00DE336C">
        <w:rPr>
          <w:rFonts w:asciiTheme="minorHAnsi" w:hAnsiTheme="minorHAnsi"/>
          <w:sz w:val="22"/>
        </w:rPr>
        <w:t>ment of environmental quality. While these aspects are central to understanding a country’s environmental context, they do not link trends in economic growth and environmental externalities.</w:t>
      </w:r>
      <w:r w:rsidR="007A72F1">
        <w:rPr>
          <w:rFonts w:asciiTheme="minorHAnsi" w:hAnsiTheme="minorHAnsi"/>
          <w:sz w:val="22"/>
        </w:rPr>
        <w:t xml:space="preserve"> Applying these baseline measures to analyses such as decoupling provide essential knowledge to inform potential links between environmental and economic facets.</w:t>
      </w:r>
    </w:p>
    <w:p w14:paraId="3E7E5A5E" w14:textId="02238230" w:rsidR="00C77A61" w:rsidRPr="00C77A61" w:rsidRDefault="00C77A61" w:rsidP="00C77A61">
      <w:pPr>
        <w:pStyle w:val="Heading1"/>
      </w:pPr>
      <w:bookmarkStart w:id="43" w:name="_Toc508020580"/>
      <w:r w:rsidRPr="00C77A61">
        <w:t>Green Growth Decoupling Tool</w:t>
      </w:r>
      <w:bookmarkEnd w:id="43"/>
    </w:p>
    <w:p w14:paraId="0F024963" w14:textId="3862B9CA" w:rsidR="008E1966" w:rsidRPr="0081498F" w:rsidRDefault="00DD3EC2" w:rsidP="00C77A61">
      <w:pPr>
        <w:pStyle w:val="Heading2"/>
        <w:rPr>
          <w:sz w:val="28"/>
        </w:rPr>
      </w:pPr>
      <w:bookmarkStart w:id="44" w:name="_Toc508020581"/>
      <w:r w:rsidRPr="0081498F">
        <w:t xml:space="preserve">Analysis at the </w:t>
      </w:r>
      <w:r w:rsidR="00DE37A7" w:rsidRPr="0081498F">
        <w:t>M</w:t>
      </w:r>
      <w:r w:rsidRPr="0081498F">
        <w:t xml:space="preserve">acroeconomic </w:t>
      </w:r>
      <w:r w:rsidR="00DE37A7" w:rsidRPr="0081498F">
        <w:t>L</w:t>
      </w:r>
      <w:r w:rsidRPr="0081498F">
        <w:t>evel</w:t>
      </w:r>
      <w:r w:rsidR="006F793B" w:rsidRPr="0081498F">
        <w:t xml:space="preserve"> (</w:t>
      </w:r>
      <w:r w:rsidR="008E1966" w:rsidRPr="0081498F">
        <w:t>Aggregate Analysis</w:t>
      </w:r>
      <w:r w:rsidR="006F793B" w:rsidRPr="0081498F">
        <w:t>)</w:t>
      </w:r>
      <w:bookmarkEnd w:id="44"/>
    </w:p>
    <w:p w14:paraId="2E8FFCF4" w14:textId="238A1E51" w:rsidR="00783277" w:rsidRPr="0000146B" w:rsidRDefault="0000146B" w:rsidP="0000146B">
      <w:pPr>
        <w:pStyle w:val="NormalWeb"/>
        <w:spacing w:before="240" w:beforeAutospacing="0" w:after="240" w:afterAutospacing="0" w:line="276" w:lineRule="auto"/>
        <w:jc w:val="both"/>
        <w:rPr>
          <w:rFonts w:asciiTheme="minorHAnsi" w:eastAsiaTheme="minorEastAsia" w:hAnsiTheme="minorHAnsi" w:cstheme="minorHAnsi"/>
          <w:kern w:val="24"/>
          <w:sz w:val="22"/>
          <w:szCs w:val="22"/>
        </w:rPr>
      </w:pPr>
      <w:r>
        <w:rPr>
          <w:rFonts w:asciiTheme="minorHAnsi" w:hAnsiTheme="minorHAnsi"/>
          <w:sz w:val="22"/>
        </w:rPr>
        <w:t xml:space="preserve">To analyze the relationship between growth and natural capital, we consider both </w:t>
      </w:r>
      <w:r w:rsidR="008E1966" w:rsidRPr="00AA7FD5">
        <w:rPr>
          <w:rFonts w:asciiTheme="minorHAnsi" w:hAnsiTheme="minorHAnsi"/>
          <w:sz w:val="22"/>
        </w:rPr>
        <w:t>macroec</w:t>
      </w:r>
      <w:r w:rsidR="002D0666">
        <w:rPr>
          <w:rFonts w:asciiTheme="minorHAnsi" w:hAnsiTheme="minorHAnsi"/>
          <w:sz w:val="22"/>
        </w:rPr>
        <w:t>onomi</w:t>
      </w:r>
      <w:r w:rsidR="002D0666" w:rsidRPr="0000146B">
        <w:rPr>
          <w:rFonts w:asciiTheme="minorHAnsi" w:hAnsiTheme="minorHAnsi"/>
          <w:sz w:val="22"/>
        </w:rPr>
        <w:t>c</w:t>
      </w:r>
      <w:r w:rsidR="002D0666" w:rsidRPr="0000146B">
        <w:rPr>
          <w:rStyle w:val="FootnoteReference"/>
          <w:rFonts w:asciiTheme="minorHAnsi" w:hAnsiTheme="minorHAnsi"/>
          <w:sz w:val="22"/>
        </w:rPr>
        <w:footnoteReference w:id="10"/>
      </w:r>
      <w:r w:rsidR="002D0666" w:rsidRPr="0000146B">
        <w:rPr>
          <w:rFonts w:asciiTheme="minorHAnsi" w:hAnsiTheme="minorHAnsi"/>
          <w:sz w:val="22"/>
        </w:rPr>
        <w:t xml:space="preserve"> </w:t>
      </w:r>
      <w:r w:rsidR="008E1966" w:rsidRPr="00AA7FD5">
        <w:rPr>
          <w:rFonts w:asciiTheme="minorHAnsi" w:hAnsiTheme="minorHAnsi"/>
          <w:sz w:val="22"/>
        </w:rPr>
        <w:t xml:space="preserve"> indicators and </w:t>
      </w:r>
      <w:r w:rsidR="002D4780" w:rsidRPr="00AA7FD5">
        <w:rPr>
          <w:rFonts w:asciiTheme="minorHAnsi" w:hAnsiTheme="minorHAnsi"/>
          <w:sz w:val="22"/>
        </w:rPr>
        <w:t xml:space="preserve">aggregate </w:t>
      </w:r>
      <w:r w:rsidR="002D0666">
        <w:rPr>
          <w:rFonts w:asciiTheme="minorHAnsi" w:hAnsiTheme="minorHAnsi"/>
          <w:sz w:val="22"/>
        </w:rPr>
        <w:t>environmental</w:t>
      </w:r>
      <w:r w:rsidR="00AC0474" w:rsidRPr="00AA7FD5">
        <w:rPr>
          <w:rFonts w:asciiTheme="minorHAnsi" w:hAnsiTheme="minorHAnsi"/>
          <w:sz w:val="22"/>
        </w:rPr>
        <w:t xml:space="preserve"> </w:t>
      </w:r>
      <w:r w:rsidR="008E1966" w:rsidRPr="00AA7FD5">
        <w:rPr>
          <w:rFonts w:asciiTheme="minorHAnsi" w:hAnsiTheme="minorHAnsi"/>
          <w:sz w:val="22"/>
        </w:rPr>
        <w:t xml:space="preserve">indicators. </w:t>
      </w:r>
      <w:r w:rsidR="002D0666">
        <w:rPr>
          <w:rFonts w:asciiTheme="minorHAnsi" w:hAnsiTheme="minorHAnsi" w:cstheme="minorHAnsi"/>
          <w:sz w:val="22"/>
          <w:szCs w:val="22"/>
        </w:rPr>
        <w:t>A</w:t>
      </w:r>
      <w:r w:rsidR="00783277" w:rsidRPr="00AA7FD5">
        <w:rPr>
          <w:rFonts w:asciiTheme="minorHAnsi" w:hAnsiTheme="minorHAnsi" w:cstheme="minorHAnsi"/>
          <w:sz w:val="22"/>
          <w:szCs w:val="22"/>
        </w:rPr>
        <w:t xml:space="preserve"> country’s macroeconomic performance </w:t>
      </w:r>
      <w:r w:rsidR="002D0666">
        <w:rPr>
          <w:rFonts w:asciiTheme="minorHAnsi" w:hAnsiTheme="minorHAnsi" w:cstheme="minorHAnsi"/>
          <w:sz w:val="22"/>
          <w:szCs w:val="22"/>
        </w:rPr>
        <w:t>can be measured at a basic level using</w:t>
      </w:r>
      <w:r w:rsidR="00783277" w:rsidRPr="00AA7FD5">
        <w:rPr>
          <w:rFonts w:asciiTheme="minorHAnsi" w:hAnsiTheme="minorHAnsi" w:cstheme="minorHAnsi"/>
          <w:sz w:val="22"/>
          <w:szCs w:val="22"/>
        </w:rPr>
        <w:t xml:space="preserve"> gross domestic product (GDP) and total employment figures.</w:t>
      </w:r>
      <w:r w:rsidR="00DC6E6C">
        <w:rPr>
          <w:rFonts w:asciiTheme="minorHAnsi" w:hAnsiTheme="minorHAnsi" w:cstheme="minorHAnsi"/>
          <w:sz w:val="22"/>
          <w:szCs w:val="22"/>
        </w:rPr>
        <w:t xml:space="preserve"> While GDP is a problematic measure (as discussed above), including this in a decoupling exercise can highlight how factors such as environmental quality are taken for granted in this type of metric. </w:t>
      </w:r>
      <w:r w:rsidR="00783277" w:rsidRPr="00AA7FD5">
        <w:rPr>
          <w:rFonts w:asciiTheme="minorHAnsi" w:hAnsiTheme="minorHAnsi" w:cstheme="minorHAnsi"/>
          <w:sz w:val="22"/>
          <w:szCs w:val="22"/>
        </w:rPr>
        <w:t xml:space="preserve">The analysis can be expanded by decomposing the main components of GDP, namely household consumption expenditure, government expenditure, investment, and net exports of goods and services. These components may be further decomposed into sub-components, such as net exports into total exports and total imports depending on the importance of these indicators relative to the environmental issues examined. Investment is measured through gross capital </w:t>
      </w:r>
      <w:r w:rsidR="00783277" w:rsidRPr="0000146B">
        <w:rPr>
          <w:rFonts w:asciiTheme="minorHAnsi" w:hAnsiTheme="minorHAnsi" w:cstheme="minorHAnsi"/>
          <w:sz w:val="22"/>
          <w:szCs w:val="22"/>
        </w:rPr>
        <w:t>formation.</w:t>
      </w:r>
      <w:r w:rsidRPr="0000146B">
        <w:rPr>
          <w:rFonts w:asciiTheme="minorHAnsi" w:hAnsiTheme="minorHAnsi" w:cstheme="minorHAnsi"/>
          <w:sz w:val="22"/>
          <w:szCs w:val="22"/>
        </w:rPr>
        <w:t xml:space="preserve"> </w:t>
      </w:r>
      <w:r w:rsidR="00783277" w:rsidRPr="0000146B">
        <w:rPr>
          <w:rFonts w:asciiTheme="minorHAnsi" w:eastAsiaTheme="minorEastAsia" w:hAnsiTheme="minorHAnsi" w:cstheme="minorHAnsi"/>
          <w:kern w:val="24"/>
          <w:sz w:val="22"/>
          <w:szCs w:val="22"/>
        </w:rPr>
        <w:t>The economic indicator values are expressed in constant prices relative to a base year.</w:t>
      </w:r>
      <w:r w:rsidR="00783277" w:rsidRPr="0000146B">
        <w:rPr>
          <w:rStyle w:val="FootnoteReference"/>
          <w:rFonts w:asciiTheme="minorHAnsi" w:eastAsiaTheme="minorEastAsia" w:hAnsiTheme="minorHAnsi" w:cstheme="minorHAnsi"/>
          <w:kern w:val="24"/>
          <w:sz w:val="22"/>
          <w:szCs w:val="22"/>
        </w:rPr>
        <w:footnoteReference w:id="11"/>
      </w:r>
    </w:p>
    <w:p w14:paraId="51052C05" w14:textId="1FBB2432" w:rsidR="000863AA" w:rsidRDefault="007743B0" w:rsidP="00C92133">
      <w:pPr>
        <w:pStyle w:val="NormalWeb"/>
        <w:spacing w:before="240" w:beforeAutospacing="0" w:after="240" w:afterAutospacing="0" w:line="276" w:lineRule="auto"/>
        <w:jc w:val="both"/>
        <w:rPr>
          <w:rFonts w:asciiTheme="minorHAnsi" w:hAnsiTheme="minorHAnsi" w:cstheme="minorHAnsi"/>
          <w:color w:val="000000"/>
          <w:sz w:val="22"/>
          <w:szCs w:val="22"/>
        </w:rPr>
      </w:pPr>
      <w:r>
        <w:rPr>
          <w:rFonts w:asciiTheme="minorHAnsi" w:eastAsiaTheme="minorEastAsia" w:hAnsiTheme="minorHAnsi" w:cstheme="minorHAnsi"/>
          <w:kern w:val="24"/>
          <w:sz w:val="22"/>
          <w:szCs w:val="22"/>
        </w:rPr>
        <w:t xml:space="preserve">Environmental </w:t>
      </w:r>
      <w:r w:rsidR="00783277" w:rsidRPr="00AA7FD5">
        <w:rPr>
          <w:rFonts w:asciiTheme="minorHAnsi" w:eastAsiaTheme="minorEastAsia" w:hAnsiTheme="minorHAnsi" w:cstheme="minorHAnsi"/>
          <w:kern w:val="24"/>
          <w:sz w:val="22"/>
          <w:szCs w:val="22"/>
        </w:rPr>
        <w:t xml:space="preserve">indicators track environmental </w:t>
      </w:r>
      <w:r>
        <w:rPr>
          <w:rFonts w:asciiTheme="minorHAnsi" w:eastAsiaTheme="minorEastAsia" w:hAnsiTheme="minorHAnsi" w:cstheme="minorHAnsi"/>
          <w:kern w:val="24"/>
          <w:sz w:val="22"/>
          <w:szCs w:val="22"/>
        </w:rPr>
        <w:t xml:space="preserve">stocks, </w:t>
      </w:r>
      <w:r w:rsidR="00783277" w:rsidRPr="00AA7FD5">
        <w:rPr>
          <w:rFonts w:asciiTheme="minorHAnsi" w:eastAsiaTheme="minorEastAsia" w:hAnsiTheme="minorHAnsi" w:cstheme="minorHAnsi"/>
          <w:kern w:val="24"/>
          <w:sz w:val="22"/>
          <w:szCs w:val="22"/>
        </w:rPr>
        <w:t>greenhouse gas (GHG) emissions</w:t>
      </w:r>
      <w:r>
        <w:rPr>
          <w:rFonts w:asciiTheme="minorHAnsi" w:eastAsiaTheme="minorEastAsia" w:hAnsiTheme="minorHAnsi" w:cstheme="minorHAnsi"/>
          <w:kern w:val="24"/>
          <w:sz w:val="22"/>
          <w:szCs w:val="22"/>
        </w:rPr>
        <w:t>,</w:t>
      </w:r>
      <w:r w:rsidR="00783277" w:rsidRPr="00AA7FD5">
        <w:rPr>
          <w:rFonts w:asciiTheme="minorHAnsi" w:eastAsiaTheme="minorEastAsia" w:hAnsiTheme="minorHAnsi" w:cstheme="minorHAnsi"/>
          <w:kern w:val="24"/>
          <w:sz w:val="22"/>
          <w:szCs w:val="22"/>
        </w:rPr>
        <w:t xml:space="preserve"> and natural resource use, as well as policies that encourage green growth and the economic oppo</w:t>
      </w:r>
      <w:r w:rsidR="008747B2">
        <w:rPr>
          <w:rFonts w:asciiTheme="minorHAnsi" w:eastAsiaTheme="minorEastAsia" w:hAnsiTheme="minorHAnsi" w:cstheme="minorHAnsi"/>
          <w:kern w:val="24"/>
          <w:sz w:val="22"/>
          <w:szCs w:val="22"/>
        </w:rPr>
        <w:t>rtunities that result from them. V</w:t>
      </w:r>
      <w:r w:rsidR="00783277" w:rsidRPr="00AA7FD5">
        <w:rPr>
          <w:rFonts w:asciiTheme="minorHAnsi" w:eastAsiaTheme="minorEastAsia" w:hAnsiTheme="minorHAnsi" w:cstheme="minorHAnsi"/>
          <w:kern w:val="24"/>
          <w:sz w:val="22"/>
          <w:szCs w:val="22"/>
        </w:rPr>
        <w:t xml:space="preserve">ariation in the type of indicators </w:t>
      </w:r>
      <w:r w:rsidR="008747B2">
        <w:rPr>
          <w:rFonts w:asciiTheme="minorHAnsi" w:eastAsiaTheme="minorEastAsia" w:hAnsiTheme="minorHAnsi" w:cstheme="minorHAnsi"/>
          <w:kern w:val="24"/>
          <w:sz w:val="22"/>
          <w:szCs w:val="22"/>
        </w:rPr>
        <w:t>chosen should reflect national and regional</w:t>
      </w:r>
      <w:r w:rsidR="00783277" w:rsidRPr="00AA7FD5">
        <w:rPr>
          <w:rFonts w:asciiTheme="minorHAnsi" w:eastAsiaTheme="minorEastAsia" w:hAnsiTheme="minorHAnsi" w:cstheme="minorHAnsi"/>
          <w:kern w:val="24"/>
          <w:sz w:val="22"/>
          <w:szCs w:val="22"/>
        </w:rPr>
        <w:t xml:space="preserve"> differences in environmental conditions and the relative importance of natural resources in their economy. </w:t>
      </w:r>
      <w:r w:rsidR="00C91A11">
        <w:rPr>
          <w:rFonts w:asciiTheme="minorHAnsi" w:eastAsiaTheme="minorEastAsia" w:hAnsiTheme="minorHAnsi" w:cstheme="minorHAnsi"/>
          <w:kern w:val="24"/>
          <w:sz w:val="22"/>
          <w:szCs w:val="22"/>
        </w:rPr>
        <w:t xml:space="preserve">The current study </w:t>
      </w:r>
      <w:r w:rsidR="00783277" w:rsidRPr="00AA7FD5">
        <w:rPr>
          <w:rFonts w:asciiTheme="minorHAnsi" w:eastAsiaTheme="minorEastAsia" w:hAnsiTheme="minorHAnsi" w:cstheme="minorHAnsi"/>
          <w:kern w:val="24"/>
          <w:sz w:val="22"/>
          <w:szCs w:val="22"/>
        </w:rPr>
        <w:t>relies o</w:t>
      </w:r>
      <w:r w:rsidR="00C91A11">
        <w:rPr>
          <w:rFonts w:asciiTheme="minorHAnsi" w:eastAsiaTheme="minorEastAsia" w:hAnsiTheme="minorHAnsi" w:cstheme="minorHAnsi"/>
          <w:kern w:val="24"/>
          <w:sz w:val="22"/>
          <w:szCs w:val="22"/>
        </w:rPr>
        <w:t xml:space="preserve">n data available from Eurostat, which provides comparable data </w:t>
      </w:r>
      <w:r w:rsidR="00783277" w:rsidRPr="00AA7FD5">
        <w:rPr>
          <w:rFonts w:asciiTheme="minorHAnsi" w:eastAsiaTheme="minorEastAsia" w:hAnsiTheme="minorHAnsi" w:cstheme="minorHAnsi"/>
          <w:kern w:val="24"/>
          <w:sz w:val="22"/>
          <w:szCs w:val="22"/>
        </w:rPr>
        <w:t>across the EU</w:t>
      </w:r>
      <w:r w:rsidR="00C91A11">
        <w:rPr>
          <w:rFonts w:asciiTheme="minorHAnsi" w:eastAsiaTheme="minorEastAsia" w:hAnsiTheme="minorHAnsi" w:cstheme="minorHAnsi"/>
          <w:kern w:val="24"/>
          <w:sz w:val="22"/>
          <w:szCs w:val="22"/>
        </w:rPr>
        <w:t xml:space="preserve">, as member countries report </w:t>
      </w:r>
      <w:r w:rsidR="00783277" w:rsidRPr="00AA7FD5">
        <w:rPr>
          <w:rFonts w:asciiTheme="minorHAnsi" w:eastAsiaTheme="minorEastAsia" w:hAnsiTheme="minorHAnsi" w:cstheme="minorHAnsi"/>
          <w:kern w:val="24"/>
          <w:sz w:val="22"/>
          <w:szCs w:val="22"/>
        </w:rPr>
        <w:t xml:space="preserve">to this common database. </w:t>
      </w:r>
      <w:r w:rsidR="007468B6">
        <w:rPr>
          <w:rFonts w:asciiTheme="minorHAnsi" w:eastAsiaTheme="minorEastAsia" w:hAnsiTheme="minorHAnsi" w:cstheme="minorHAnsi"/>
          <w:kern w:val="24"/>
          <w:sz w:val="22"/>
          <w:szCs w:val="22"/>
        </w:rPr>
        <w:t>A</w:t>
      </w:r>
      <w:r w:rsidR="00783277" w:rsidRPr="00AA7FD5">
        <w:rPr>
          <w:rFonts w:asciiTheme="minorHAnsi" w:eastAsiaTheme="minorEastAsia" w:hAnsiTheme="minorHAnsi" w:cstheme="minorHAnsi"/>
          <w:kern w:val="24"/>
          <w:sz w:val="22"/>
          <w:szCs w:val="22"/>
        </w:rPr>
        <w:t xml:space="preserve">vailable </w:t>
      </w:r>
      <w:r w:rsidR="007468B6">
        <w:rPr>
          <w:rFonts w:asciiTheme="minorHAnsi" w:eastAsiaTheme="minorEastAsia" w:hAnsiTheme="minorHAnsi" w:cstheme="minorHAnsi"/>
          <w:kern w:val="24"/>
          <w:sz w:val="22"/>
          <w:szCs w:val="22"/>
        </w:rPr>
        <w:t xml:space="preserve">reported </w:t>
      </w:r>
      <w:r w:rsidR="00783277" w:rsidRPr="00AA7FD5">
        <w:rPr>
          <w:rFonts w:asciiTheme="minorHAnsi" w:eastAsiaTheme="minorEastAsia" w:hAnsiTheme="minorHAnsi" w:cstheme="minorHAnsi"/>
          <w:kern w:val="24"/>
          <w:sz w:val="22"/>
          <w:szCs w:val="22"/>
        </w:rPr>
        <w:t xml:space="preserve">indicators </w:t>
      </w:r>
      <w:r w:rsidR="007468B6">
        <w:rPr>
          <w:rFonts w:asciiTheme="minorHAnsi" w:eastAsiaTheme="minorEastAsia" w:hAnsiTheme="minorHAnsi" w:cstheme="minorHAnsi"/>
          <w:kern w:val="24"/>
          <w:sz w:val="22"/>
          <w:szCs w:val="22"/>
        </w:rPr>
        <w:t>may include</w:t>
      </w:r>
      <w:r w:rsidR="00783277" w:rsidRPr="00AA7FD5">
        <w:rPr>
          <w:rFonts w:asciiTheme="minorHAnsi" w:eastAsiaTheme="minorEastAsia" w:hAnsiTheme="minorHAnsi" w:cstheme="minorHAnsi"/>
          <w:kern w:val="24"/>
          <w:sz w:val="22"/>
          <w:szCs w:val="22"/>
        </w:rPr>
        <w:t xml:space="preserve"> greenhouse gas emissions, sulphur oxides, nitrogen oxides, p</w:t>
      </w:r>
      <w:r w:rsidR="00783277" w:rsidRPr="00AA7FD5">
        <w:rPr>
          <w:rFonts w:asciiTheme="minorHAnsi" w:hAnsiTheme="minorHAnsi" w:cstheme="minorHAnsi"/>
          <w:sz w:val="22"/>
          <w:szCs w:val="22"/>
        </w:rPr>
        <w:t>articulates &lt; 10µm (PM</w:t>
      </w:r>
      <w:r w:rsidR="00783277" w:rsidRPr="00AA7FD5">
        <w:rPr>
          <w:rFonts w:asciiTheme="minorHAnsi" w:hAnsiTheme="minorHAnsi" w:cstheme="minorHAnsi"/>
          <w:sz w:val="22"/>
          <w:szCs w:val="22"/>
          <w:vertAlign w:val="subscript"/>
        </w:rPr>
        <w:t>10</w:t>
      </w:r>
      <w:r w:rsidR="00783277" w:rsidRPr="00AA7FD5">
        <w:rPr>
          <w:rFonts w:asciiTheme="minorHAnsi" w:hAnsiTheme="minorHAnsi" w:cstheme="minorHAnsi"/>
          <w:sz w:val="22"/>
          <w:szCs w:val="22"/>
        </w:rPr>
        <w:t xml:space="preserve">), final energy consumption, water </w:t>
      </w:r>
      <w:r w:rsidR="00783277" w:rsidRPr="00AA7FD5">
        <w:rPr>
          <w:rFonts w:asciiTheme="minorHAnsi" w:hAnsiTheme="minorHAnsi" w:cstheme="minorHAnsi"/>
          <w:sz w:val="22"/>
          <w:szCs w:val="22"/>
        </w:rPr>
        <w:lastRenderedPageBreak/>
        <w:t>abstraction, total consumption of fertilizers, environmental protection expenditure, total environmental taxes, and municipal waste (landfill/disposal)</w:t>
      </w:r>
      <w:r w:rsidR="00C92133" w:rsidRPr="00AA7FD5">
        <w:rPr>
          <w:rFonts w:asciiTheme="minorHAnsi" w:hAnsiTheme="minorHAnsi" w:cstheme="minorHAnsi"/>
          <w:sz w:val="22"/>
          <w:szCs w:val="22"/>
        </w:rPr>
        <w:t>.</w:t>
      </w:r>
    </w:p>
    <w:p w14:paraId="5C1BEB39" w14:textId="77777777" w:rsidR="007F1FF4" w:rsidRDefault="00D6218A" w:rsidP="00EA068C">
      <w:pPr>
        <w:pStyle w:val="NormalWeb"/>
        <w:spacing w:before="240" w:beforeAutospacing="0" w:after="240" w:afterAutospacing="0" w:line="276" w:lineRule="auto"/>
        <w:jc w:val="both"/>
        <w:rPr>
          <w:rFonts w:asciiTheme="minorHAnsi" w:eastAsiaTheme="minorEastAsia" w:hAnsiTheme="minorHAnsi" w:cstheme="minorHAnsi"/>
          <w:color w:val="000000"/>
          <w:kern w:val="24"/>
          <w:sz w:val="22"/>
          <w:szCs w:val="22"/>
        </w:rPr>
      </w:pPr>
      <w:r>
        <w:rPr>
          <w:rFonts w:asciiTheme="minorHAnsi" w:hAnsiTheme="minorHAnsi" w:cstheme="minorHAnsi"/>
          <w:color w:val="000000"/>
          <w:sz w:val="22"/>
          <w:szCs w:val="22"/>
        </w:rPr>
        <w:t>A</w:t>
      </w:r>
      <w:r w:rsidRPr="00AA7FD5">
        <w:rPr>
          <w:rFonts w:asciiTheme="minorHAnsi" w:hAnsiTheme="minorHAnsi" w:cstheme="minorHAnsi"/>
          <w:color w:val="000000"/>
          <w:sz w:val="22"/>
          <w:szCs w:val="22"/>
        </w:rPr>
        <w:t>ltern</w:t>
      </w:r>
      <w:r>
        <w:rPr>
          <w:rFonts w:asciiTheme="minorHAnsi" w:hAnsiTheme="minorHAnsi" w:cstheme="minorHAnsi"/>
          <w:color w:val="000000"/>
          <w:sz w:val="22"/>
          <w:szCs w:val="22"/>
        </w:rPr>
        <w:t>ative data also</w:t>
      </w:r>
      <w:r w:rsidRPr="00AA7FD5">
        <w:rPr>
          <w:rFonts w:asciiTheme="minorHAnsi" w:hAnsiTheme="minorHAnsi" w:cstheme="minorHAnsi"/>
          <w:color w:val="000000"/>
          <w:sz w:val="22"/>
          <w:szCs w:val="22"/>
        </w:rPr>
        <w:t xml:space="preserve"> exist</w:t>
      </w:r>
      <w:r>
        <w:rPr>
          <w:rFonts w:asciiTheme="minorHAnsi" w:hAnsiTheme="minorHAnsi" w:cstheme="minorHAnsi"/>
          <w:color w:val="000000"/>
          <w:sz w:val="22"/>
          <w:szCs w:val="22"/>
        </w:rPr>
        <w:t>s</w:t>
      </w:r>
      <w:r w:rsidRPr="00AA7FD5">
        <w:rPr>
          <w:rFonts w:asciiTheme="minorHAnsi" w:hAnsiTheme="minorHAnsi" w:cstheme="minorHAnsi"/>
          <w:color w:val="000000"/>
          <w:sz w:val="22"/>
          <w:szCs w:val="22"/>
        </w:rPr>
        <w:t xml:space="preserve"> </w:t>
      </w:r>
      <w:r w:rsidR="000863AA">
        <w:rPr>
          <w:rFonts w:asciiTheme="minorHAnsi" w:hAnsiTheme="minorHAnsi" w:cstheme="minorHAnsi"/>
          <w:color w:val="000000"/>
          <w:sz w:val="22"/>
          <w:szCs w:val="22"/>
        </w:rPr>
        <w:t xml:space="preserve">beyond Eurostat </w:t>
      </w:r>
      <w:r w:rsidRPr="00AA7FD5">
        <w:rPr>
          <w:rFonts w:asciiTheme="minorHAnsi" w:hAnsiTheme="minorHAnsi" w:cstheme="minorHAnsi"/>
          <w:color w:val="000000"/>
          <w:sz w:val="22"/>
          <w:szCs w:val="22"/>
        </w:rPr>
        <w:t>(i.e.,</w:t>
      </w:r>
      <w:r w:rsidR="00DB3BD9">
        <w:rPr>
          <w:rFonts w:asciiTheme="minorHAnsi" w:hAnsiTheme="minorHAnsi" w:cstheme="minorHAnsi"/>
          <w:color w:val="000000"/>
          <w:sz w:val="22"/>
          <w:szCs w:val="22"/>
        </w:rPr>
        <w:t xml:space="preserve"> </w:t>
      </w:r>
      <w:r w:rsidRPr="00AA7FD5">
        <w:rPr>
          <w:rFonts w:asciiTheme="minorHAnsi" w:hAnsiTheme="minorHAnsi" w:cstheme="minorHAnsi"/>
          <w:color w:val="000000"/>
          <w:sz w:val="22"/>
          <w:szCs w:val="22"/>
        </w:rPr>
        <w:t xml:space="preserve"> </w:t>
      </w:r>
      <w:r>
        <w:rPr>
          <w:rFonts w:asciiTheme="minorHAnsi" w:hAnsiTheme="minorHAnsi" w:cstheme="minorHAnsi"/>
          <w:color w:val="000000"/>
          <w:sz w:val="22"/>
          <w:szCs w:val="22"/>
        </w:rPr>
        <w:fldChar w:fldCharType="begin"/>
      </w:r>
      <w:r w:rsidR="00DB3BD9">
        <w:rPr>
          <w:rFonts w:asciiTheme="minorHAnsi" w:hAnsiTheme="minorHAnsi" w:cstheme="minorHAnsi"/>
          <w:color w:val="000000"/>
          <w:sz w:val="22"/>
          <w:szCs w:val="22"/>
        </w:rPr>
        <w:instrText xml:space="preserve"> ADDIN ZOTERO_ITEM CSL_CITATION {"citationID":"UdxChDF4","properties":{"formattedCitation":"(Green Growth Knowledge Platform 2013; World Bank 2016b, 2016a, 2016c, 2016d, 2016e, 2018)","plainCitation":"(Green Growth Knowledge Platform 2013; World Bank 2016b, 2016a, 2016c, 2016d, 2016e, 2018)"},"citationItems":[{"id":6749,"uris":["http://zotero.org/users/3805591/items/8WGE2ZN8"],"uri":["http://zotero.org/users/3805591/items/8WGE2ZN8"],"itemData":{"id":6749,"type":"report","title":"Moving towards a common approach on green growth indicators","publisher":"Global Green Growth Institute, OECD, UNEP and The World Bank","author":[{"literal":"Green Growth Knowledge Platform"}],"issued":{"date-parts":[["2013"]]}}},{"id":6754,"uris":["http://zotero.org/users/3805591/items/PAU8J2MH"],"uri":["http://zotero.org/users/3805591/items/PAU8J2MH"],"itemData":{"id":6754,"type":"report","title":"Green Growth in the European Union: Bulgaria. Phase 1 Diagnostic Results and Observations","genre":"Powerpoint","author":[{"literal":"World Bank"}],"issued":{"date-parts":[["2016"]]}}},{"id":6755,"uris":["http://zotero.org/users/3805591/items/3W9HP246"],"uri":["http://zotero.org/users/3805591/items/3W9HP246"],"itemData":{"id":6755,"type":"report","title":"Green Growth in Latin America: Colombia. Phase 1 Diagnostic Results and Observations","author":[{"literal":"World Bank"}],"issued":{"date-parts":[["2016"]]}}},{"id":6757,"uris":["http://zotero.org/users/3805591/items/SQUCX7AG"],"uri":["http://zotero.org/users/3805591/items/SQUCX7AG"],"itemData":{"id":6757,"type":"report","title":"Green Growth in the European Union: Croatia. Phase 1 Diagnostic Results and Observations","author":[{"literal":"World Bank"}],"issued":{"date-parts":[["2016"]]}}},{"id":6758,"uris":["http://zotero.org/users/3805591/items/6ERN8CUR"],"uri":["http://zotero.org/users/3805591/items/6ERN8CUR"],"itemData":{"id":6758,"type":"report","title":"Green Growth in the European Union: Romania. Phase 1 Diagnostic Results and Observations","author":[{"literal":"World Bank"}],"issued":{"date-parts":[["2016"]]}}},{"id":6759,"uris":["http://zotero.org/users/3805591/items/KT5TWC93"],"uri":["http://zotero.org/users/3805591/items/KT5TWC93"],"itemData":{"id":6759,"type":"report","title":"Green Growth in the Russian Federation. Phase 1 Diagnostic Results and Observations","author":[{"literal":"World Bank"}],"issued":{"date-parts":[["2016"]]}}},{"id":6058,"uris":["http://zotero.org/users/3805591/items/SNFWBX77"],"uri":["http://zotero.org/users/3805591/items/SNFWBX77"],"itemData":{"id":6058,"type":"webpage","title":"World Development Indicators [Data]","URL":"http://data.worldbank.org/indicator/EN.ATM.CO2E.KT","author":[{"literal":"World Bank"}],"issued":{"date-parts":[["2018"]]},"accessed":{"date-parts":[["2017",7,20]]}}}],"schema":"https://github.com/citation-style-language/schema/raw/master/csl-citation.json"} </w:instrText>
      </w:r>
      <w:r>
        <w:rPr>
          <w:rFonts w:asciiTheme="minorHAnsi" w:hAnsiTheme="minorHAnsi" w:cstheme="minorHAnsi"/>
          <w:color w:val="000000"/>
          <w:sz w:val="22"/>
          <w:szCs w:val="22"/>
        </w:rPr>
        <w:fldChar w:fldCharType="separate"/>
      </w:r>
      <w:r w:rsidR="00DB3BD9" w:rsidRPr="00DB3BD9">
        <w:rPr>
          <w:rFonts w:ascii="Calibri" w:hAnsi="Calibri" w:cs="Calibri"/>
          <w:sz w:val="22"/>
        </w:rPr>
        <w:t>Green Growth Knowledge Platform 2013; World Bank 2016b, 2016a, 2016c, 2016d, 2016e, 2018)</w:t>
      </w:r>
      <w:r>
        <w:rPr>
          <w:rFonts w:asciiTheme="minorHAnsi" w:hAnsiTheme="minorHAnsi" w:cstheme="minorHAnsi"/>
          <w:color w:val="000000"/>
          <w:sz w:val="22"/>
          <w:szCs w:val="22"/>
        </w:rPr>
        <w:fldChar w:fldCharType="end"/>
      </w:r>
      <w:r w:rsidRPr="00AA7FD5">
        <w:rPr>
          <w:rFonts w:asciiTheme="minorHAnsi" w:eastAsiaTheme="minorEastAsia" w:hAnsiTheme="minorHAnsi" w:cstheme="minorHAnsi"/>
          <w:color w:val="000000"/>
          <w:kern w:val="24"/>
          <w:sz w:val="22"/>
          <w:szCs w:val="22"/>
        </w:rPr>
        <w:t xml:space="preserve">, </w:t>
      </w:r>
      <w:r w:rsidRPr="00AA7FD5">
        <w:rPr>
          <w:rFonts w:asciiTheme="minorHAnsi" w:hAnsiTheme="minorHAnsi" w:cstheme="minorHAnsi"/>
          <w:color w:val="000000"/>
          <w:sz w:val="22"/>
          <w:szCs w:val="22"/>
        </w:rPr>
        <w:t xml:space="preserve">which </w:t>
      </w:r>
      <w:r w:rsidR="007468B6">
        <w:rPr>
          <w:rFonts w:asciiTheme="minorHAnsi" w:hAnsiTheme="minorHAnsi" w:cstheme="minorHAnsi"/>
          <w:color w:val="000000"/>
          <w:sz w:val="22"/>
          <w:szCs w:val="22"/>
        </w:rPr>
        <w:t>can be</w:t>
      </w:r>
      <w:r w:rsidRPr="00AA7FD5">
        <w:rPr>
          <w:rFonts w:asciiTheme="minorHAnsi" w:hAnsiTheme="minorHAnsi" w:cstheme="minorHAnsi"/>
          <w:color w:val="000000"/>
          <w:sz w:val="22"/>
          <w:szCs w:val="22"/>
        </w:rPr>
        <w:t xml:space="preserve"> used to complement the Eurostat set of indicators</w:t>
      </w:r>
      <w:r>
        <w:rPr>
          <w:rFonts w:asciiTheme="minorHAnsi" w:hAnsiTheme="minorHAnsi" w:cstheme="minorHAnsi"/>
          <w:color w:val="000000"/>
          <w:sz w:val="22"/>
          <w:szCs w:val="22"/>
        </w:rPr>
        <w:t xml:space="preserve"> or </w:t>
      </w:r>
      <w:r w:rsidR="00632425">
        <w:rPr>
          <w:rFonts w:asciiTheme="minorHAnsi" w:hAnsiTheme="minorHAnsi" w:cstheme="minorHAnsi"/>
          <w:color w:val="000000"/>
          <w:sz w:val="22"/>
          <w:szCs w:val="22"/>
        </w:rPr>
        <w:t>analyze non-EU countries.</w:t>
      </w:r>
      <w:r w:rsidR="000863AA">
        <w:rPr>
          <w:rFonts w:asciiTheme="minorHAnsi" w:hAnsiTheme="minorHAnsi" w:cstheme="minorHAnsi"/>
          <w:color w:val="000000"/>
          <w:sz w:val="22"/>
          <w:szCs w:val="22"/>
        </w:rPr>
        <w:t xml:space="preserve"> </w:t>
      </w:r>
      <w:r w:rsidR="000863AA">
        <w:rPr>
          <w:rFonts w:asciiTheme="minorHAnsi" w:eastAsiaTheme="minorEastAsia" w:hAnsiTheme="minorHAnsi" w:cstheme="minorHAnsi"/>
          <w:color w:val="000000"/>
          <w:kern w:val="24"/>
          <w:sz w:val="22"/>
          <w:szCs w:val="22"/>
        </w:rPr>
        <w:t>T</w:t>
      </w:r>
      <w:r w:rsidR="00783277" w:rsidRPr="00C95595">
        <w:rPr>
          <w:rFonts w:asciiTheme="minorHAnsi" w:eastAsiaTheme="minorEastAsia" w:hAnsiTheme="minorHAnsi" w:cstheme="minorHAnsi"/>
          <w:color w:val="000000"/>
          <w:kern w:val="24"/>
          <w:sz w:val="22"/>
          <w:szCs w:val="22"/>
        </w:rPr>
        <w:t>he Green Growth Knowledge Platform</w:t>
      </w:r>
      <w:r w:rsidR="000863AA">
        <w:rPr>
          <w:rFonts w:asciiTheme="minorHAnsi" w:eastAsiaTheme="minorEastAsia" w:hAnsiTheme="minorHAnsi" w:cstheme="minorHAnsi"/>
          <w:color w:val="000000"/>
          <w:kern w:val="24"/>
          <w:sz w:val="22"/>
          <w:szCs w:val="22"/>
        </w:rPr>
        <w:t>, for example,</w:t>
      </w:r>
      <w:r w:rsidR="00783277" w:rsidRPr="00C95595">
        <w:rPr>
          <w:rFonts w:asciiTheme="minorHAnsi" w:eastAsiaTheme="minorEastAsia" w:hAnsiTheme="minorHAnsi" w:cstheme="minorHAnsi"/>
          <w:color w:val="000000"/>
          <w:kern w:val="24"/>
          <w:sz w:val="22"/>
          <w:szCs w:val="22"/>
        </w:rPr>
        <w:t xml:space="preserve"> </w:t>
      </w:r>
      <w:r w:rsidR="000863AA">
        <w:rPr>
          <w:rFonts w:asciiTheme="minorHAnsi" w:eastAsiaTheme="minorEastAsia" w:hAnsiTheme="minorHAnsi" w:cstheme="minorHAnsi"/>
          <w:color w:val="000000"/>
          <w:kern w:val="24"/>
          <w:sz w:val="22"/>
          <w:szCs w:val="22"/>
        </w:rPr>
        <w:t xml:space="preserve">was </w:t>
      </w:r>
      <w:r w:rsidR="00783277" w:rsidRPr="00C95595">
        <w:rPr>
          <w:rFonts w:asciiTheme="minorHAnsi" w:eastAsiaTheme="minorEastAsia" w:hAnsiTheme="minorHAnsi" w:cstheme="minorHAnsi"/>
          <w:color w:val="000000"/>
          <w:kern w:val="24"/>
          <w:sz w:val="22"/>
          <w:szCs w:val="22"/>
        </w:rPr>
        <w:t>established by the Global Green Growth Institute, the Organization for Economic Co-operation and Development, the United Nations Environment Programme, and the World Bank</w:t>
      </w:r>
      <w:r w:rsidR="000863AA">
        <w:rPr>
          <w:rFonts w:asciiTheme="minorHAnsi" w:eastAsiaTheme="minorEastAsia" w:hAnsiTheme="minorHAnsi" w:cstheme="minorHAnsi"/>
          <w:color w:val="000000"/>
          <w:kern w:val="24"/>
          <w:sz w:val="22"/>
          <w:szCs w:val="22"/>
        </w:rPr>
        <w:t xml:space="preserve"> in 2012, establishing a</w:t>
      </w:r>
      <w:r w:rsidR="00783277" w:rsidRPr="00C95595">
        <w:rPr>
          <w:rFonts w:asciiTheme="minorHAnsi" w:eastAsiaTheme="minorEastAsia" w:hAnsiTheme="minorHAnsi" w:cstheme="minorHAnsi"/>
          <w:color w:val="000000"/>
          <w:kern w:val="24"/>
          <w:sz w:val="22"/>
          <w:szCs w:val="22"/>
        </w:rPr>
        <w:t xml:space="preserve"> common set of indicators to enable consistent and comparable monitoring of progress across countries </w:t>
      </w:r>
      <w:r w:rsidR="005F78C9" w:rsidRPr="00C95595">
        <w:rPr>
          <w:rFonts w:asciiTheme="minorHAnsi" w:eastAsiaTheme="minorEastAsia" w:hAnsiTheme="minorHAnsi" w:cstheme="minorHAnsi"/>
          <w:color w:val="000000"/>
          <w:kern w:val="24"/>
          <w:sz w:val="22"/>
          <w:szCs w:val="22"/>
        </w:rPr>
        <w:fldChar w:fldCharType="begin"/>
      </w:r>
      <w:r w:rsidR="005F78C9" w:rsidRPr="00C95595">
        <w:rPr>
          <w:rFonts w:asciiTheme="minorHAnsi" w:eastAsiaTheme="minorEastAsia" w:hAnsiTheme="minorHAnsi" w:cstheme="minorHAnsi"/>
          <w:color w:val="000000"/>
          <w:kern w:val="24"/>
          <w:sz w:val="22"/>
          <w:szCs w:val="22"/>
        </w:rPr>
        <w:instrText xml:space="preserve"> ADDIN ZOTERO_ITEM CSL_CITATION {"citationID":"6zCuP7z4","properties":{"formattedCitation":"(Green Growth Knowledge Platform 2013)","plainCitation":"(Green Growth Knowledge Platform 2013)"},"citationItems":[{"id":6749,"uris":["http://zotero.org/users/3805591/items/8WGE2ZN8"],"uri":["http://zotero.org/users/3805591/items/8WGE2ZN8"],"itemData":{"id":6749,"type":"report","title":"Moving towards a common approach on green growth indicators","publisher":"Global Green Growth Institute, OECD, UNEP and The World Bank","author":[{"literal":"Green Growth Knowledge Platform"}],"issued":{"date-parts":[["2013"]]}}}],"schema":"https://github.com/citation-style-language/schema/raw/master/csl-citation.json"} </w:instrText>
      </w:r>
      <w:r w:rsidR="005F78C9" w:rsidRPr="00C95595">
        <w:rPr>
          <w:rFonts w:asciiTheme="minorHAnsi" w:eastAsiaTheme="minorEastAsia" w:hAnsiTheme="minorHAnsi" w:cstheme="minorHAnsi"/>
          <w:color w:val="000000"/>
          <w:kern w:val="24"/>
          <w:sz w:val="22"/>
          <w:szCs w:val="22"/>
        </w:rPr>
        <w:fldChar w:fldCharType="separate"/>
      </w:r>
      <w:r w:rsidR="005F78C9" w:rsidRPr="00C95595">
        <w:rPr>
          <w:rFonts w:ascii="Calibri" w:eastAsiaTheme="minorEastAsia" w:hAnsi="Calibri" w:cs="Calibri"/>
          <w:sz w:val="22"/>
        </w:rPr>
        <w:t>(Green Growth Knowledge Platform 2013)</w:t>
      </w:r>
      <w:r w:rsidR="005F78C9" w:rsidRPr="00C95595">
        <w:rPr>
          <w:rFonts w:asciiTheme="minorHAnsi" w:eastAsiaTheme="minorEastAsia" w:hAnsiTheme="minorHAnsi" w:cstheme="minorHAnsi"/>
          <w:color w:val="000000"/>
          <w:kern w:val="24"/>
          <w:sz w:val="22"/>
          <w:szCs w:val="22"/>
        </w:rPr>
        <w:fldChar w:fldCharType="end"/>
      </w:r>
      <w:r w:rsidR="000863AA">
        <w:rPr>
          <w:rFonts w:asciiTheme="minorHAnsi" w:eastAsiaTheme="minorEastAsia" w:hAnsiTheme="minorHAnsi" w:cstheme="minorHAnsi"/>
          <w:color w:val="000000"/>
          <w:kern w:val="24"/>
          <w:sz w:val="22"/>
          <w:szCs w:val="22"/>
        </w:rPr>
        <w:t>. C</w:t>
      </w:r>
      <w:r w:rsidR="00783277" w:rsidRPr="00C95595">
        <w:rPr>
          <w:rFonts w:asciiTheme="minorHAnsi" w:eastAsiaTheme="minorEastAsia" w:hAnsiTheme="minorHAnsi" w:cstheme="minorHAnsi"/>
          <w:color w:val="000000"/>
          <w:kern w:val="24"/>
          <w:sz w:val="22"/>
          <w:szCs w:val="22"/>
        </w:rPr>
        <w:t>ommon indicators are classified under four main</w:t>
      </w:r>
      <w:r w:rsidR="00C92133" w:rsidRPr="00C95595">
        <w:rPr>
          <w:rFonts w:asciiTheme="minorHAnsi" w:eastAsiaTheme="minorEastAsia" w:hAnsiTheme="minorHAnsi" w:cstheme="minorHAnsi"/>
          <w:color w:val="000000"/>
          <w:kern w:val="24"/>
          <w:sz w:val="22"/>
          <w:szCs w:val="22"/>
        </w:rPr>
        <w:t xml:space="preserve"> headings:</w:t>
      </w:r>
      <w:r w:rsidR="009843C7" w:rsidRPr="00C95595">
        <w:rPr>
          <w:rFonts w:asciiTheme="minorHAnsi" w:eastAsiaTheme="minorEastAsia" w:hAnsiTheme="minorHAnsi" w:cstheme="minorHAnsi"/>
          <w:color w:val="000000"/>
          <w:kern w:val="24"/>
          <w:sz w:val="22"/>
          <w:szCs w:val="22"/>
        </w:rPr>
        <w:t xml:space="preserve"> </w:t>
      </w:r>
      <w:r w:rsidR="00C95595" w:rsidRPr="00C95595">
        <w:rPr>
          <w:rFonts w:asciiTheme="minorHAnsi" w:eastAsiaTheme="minorEastAsia" w:hAnsiTheme="minorHAnsi" w:cstheme="minorHAnsi"/>
          <w:color w:val="000000"/>
          <w:kern w:val="24"/>
          <w:sz w:val="22"/>
          <w:szCs w:val="22"/>
        </w:rPr>
        <w:t>environmental and resource productivity</w:t>
      </w:r>
      <w:r w:rsidR="00C95595" w:rsidRPr="00C95595">
        <w:rPr>
          <w:rStyle w:val="FootnoteReference"/>
          <w:rFonts w:asciiTheme="minorHAnsi" w:eastAsiaTheme="minorEastAsia" w:hAnsiTheme="minorHAnsi" w:cstheme="minorHAnsi"/>
          <w:color w:val="000000"/>
          <w:kern w:val="24"/>
          <w:sz w:val="22"/>
          <w:szCs w:val="22"/>
        </w:rPr>
        <w:footnoteReference w:id="12"/>
      </w:r>
      <w:r w:rsidR="00C95595" w:rsidRPr="00C95595">
        <w:rPr>
          <w:rFonts w:asciiTheme="minorHAnsi" w:eastAsiaTheme="minorEastAsia" w:hAnsiTheme="minorHAnsi" w:cstheme="minorHAnsi"/>
          <w:color w:val="000000"/>
          <w:kern w:val="24"/>
          <w:sz w:val="22"/>
          <w:szCs w:val="22"/>
        </w:rPr>
        <w:t xml:space="preserve"> or intensity, natural asset base, environmental quality of life, and policies and economic opportunities.</w:t>
      </w:r>
    </w:p>
    <w:p w14:paraId="5AD907D4" w14:textId="0DE1444D" w:rsidR="00AA7FD5" w:rsidRPr="00AA7FD5" w:rsidRDefault="00C95595" w:rsidP="00EA068C">
      <w:pPr>
        <w:pStyle w:val="NormalWeb"/>
        <w:spacing w:before="240" w:beforeAutospacing="0" w:after="240" w:afterAutospacing="0" w:line="276" w:lineRule="auto"/>
        <w:jc w:val="both"/>
        <w:rPr>
          <w:rFonts w:asciiTheme="minorHAnsi" w:hAnsiTheme="minorHAnsi" w:cstheme="minorHAnsi"/>
          <w:sz w:val="22"/>
          <w:szCs w:val="22"/>
        </w:rPr>
      </w:pPr>
      <w:r w:rsidRPr="00C95595">
        <w:rPr>
          <w:rFonts w:asciiTheme="minorHAnsi" w:eastAsiaTheme="minorEastAsia" w:hAnsiTheme="minorHAnsi" w:cstheme="minorHAnsi"/>
          <w:color w:val="000000"/>
          <w:kern w:val="24"/>
          <w:sz w:val="22"/>
          <w:szCs w:val="22"/>
        </w:rPr>
        <w:t xml:space="preserve">Indicators of </w:t>
      </w:r>
      <w:r w:rsidRPr="00654268">
        <w:rPr>
          <w:rFonts w:asciiTheme="minorHAnsi" w:eastAsiaTheme="minorEastAsia" w:hAnsiTheme="minorHAnsi" w:cstheme="minorHAnsi"/>
          <w:i/>
          <w:color w:val="000000"/>
          <w:kern w:val="24"/>
          <w:sz w:val="22"/>
          <w:szCs w:val="22"/>
        </w:rPr>
        <w:t>environmental and resource productivity and intensity</w:t>
      </w:r>
      <w:r w:rsidRPr="00C95595">
        <w:rPr>
          <w:rFonts w:asciiTheme="minorHAnsi" w:eastAsiaTheme="minorEastAsia" w:hAnsiTheme="minorHAnsi" w:cstheme="minorHAnsi"/>
          <w:color w:val="000000"/>
          <w:kern w:val="24"/>
          <w:sz w:val="22"/>
          <w:szCs w:val="22"/>
        </w:rPr>
        <w:t xml:space="preserve"> aim to measure whether growth or output and consumption are achieved with fewer natural resource inputs, including less pollution and a lower reliance on environmental services. In the case of Eurostat, these indicators include greenhouse emissions, </w:t>
      </w:r>
      <w:r w:rsidRPr="00C95595">
        <w:rPr>
          <w:rFonts w:asciiTheme="minorHAnsi" w:hAnsiTheme="minorHAnsi" w:cstheme="minorHAnsi"/>
          <w:color w:val="000000"/>
          <w:sz w:val="22"/>
          <w:szCs w:val="22"/>
        </w:rPr>
        <w:t>total consumption of fertilizers, and municipal waste (landfill/disposal).</w:t>
      </w:r>
      <w:r w:rsidRPr="00C95595">
        <w:rPr>
          <w:rFonts w:asciiTheme="minorHAnsi" w:eastAsiaTheme="minorEastAsia" w:hAnsiTheme="minorHAnsi" w:cstheme="minorHAnsi"/>
          <w:color w:val="000000"/>
          <w:kern w:val="24"/>
          <w:sz w:val="22"/>
          <w:szCs w:val="22"/>
        </w:rPr>
        <w:t xml:space="preserve"> </w:t>
      </w:r>
      <w:r w:rsidRPr="00654268">
        <w:rPr>
          <w:rFonts w:asciiTheme="minorHAnsi" w:eastAsiaTheme="minorEastAsia" w:hAnsiTheme="minorHAnsi" w:cstheme="minorHAnsi"/>
          <w:i/>
          <w:color w:val="000000"/>
          <w:kern w:val="24"/>
          <w:sz w:val="22"/>
          <w:szCs w:val="22"/>
        </w:rPr>
        <w:t>N</w:t>
      </w:r>
      <w:r w:rsidR="00783277" w:rsidRPr="00654268">
        <w:rPr>
          <w:rFonts w:asciiTheme="minorHAnsi" w:eastAsiaTheme="minorEastAsia" w:hAnsiTheme="minorHAnsi" w:cstheme="minorHAnsi"/>
          <w:i/>
          <w:color w:val="000000"/>
          <w:kern w:val="24"/>
          <w:sz w:val="22"/>
          <w:szCs w:val="22"/>
        </w:rPr>
        <w:t>atural asset base</w:t>
      </w:r>
      <w:r w:rsidRPr="00654268">
        <w:rPr>
          <w:rFonts w:asciiTheme="minorHAnsi" w:eastAsiaTheme="minorEastAsia" w:hAnsiTheme="minorHAnsi" w:cstheme="minorHAnsi"/>
          <w:i/>
          <w:color w:val="000000"/>
          <w:kern w:val="24"/>
          <w:sz w:val="22"/>
          <w:szCs w:val="22"/>
        </w:rPr>
        <w:t xml:space="preserve"> indicators</w:t>
      </w:r>
      <w:r w:rsidR="00783277" w:rsidRPr="00C95595">
        <w:rPr>
          <w:rFonts w:asciiTheme="minorHAnsi" w:eastAsiaTheme="minorEastAsia" w:hAnsiTheme="minorHAnsi" w:cstheme="minorHAnsi"/>
          <w:color w:val="000000"/>
          <w:kern w:val="24"/>
          <w:sz w:val="22"/>
          <w:szCs w:val="22"/>
        </w:rPr>
        <w:t xml:space="preserve"> gauge the sustainability of</w:t>
      </w:r>
      <w:r w:rsidR="00C92133" w:rsidRPr="00C95595">
        <w:rPr>
          <w:rFonts w:asciiTheme="minorHAnsi" w:eastAsiaTheme="minorEastAsia" w:hAnsiTheme="minorHAnsi" w:cstheme="minorHAnsi"/>
          <w:color w:val="000000"/>
          <w:kern w:val="24"/>
          <w:sz w:val="22"/>
          <w:szCs w:val="22"/>
        </w:rPr>
        <w:t xml:space="preserve"> natural resource depletion and/</w:t>
      </w:r>
      <w:r w:rsidR="00783277" w:rsidRPr="00C95595">
        <w:rPr>
          <w:rFonts w:asciiTheme="minorHAnsi" w:eastAsiaTheme="minorEastAsia" w:hAnsiTheme="minorHAnsi" w:cstheme="minorHAnsi"/>
          <w:color w:val="000000"/>
          <w:kern w:val="24"/>
          <w:sz w:val="22"/>
          <w:szCs w:val="22"/>
        </w:rPr>
        <w:t>or degradation and flag risks to future growth and well</w:t>
      </w:r>
      <w:r w:rsidR="00C92133" w:rsidRPr="00C95595">
        <w:rPr>
          <w:rFonts w:asciiTheme="minorHAnsi" w:eastAsiaTheme="minorEastAsia" w:hAnsiTheme="minorHAnsi" w:cstheme="minorHAnsi"/>
          <w:color w:val="000000"/>
          <w:kern w:val="24"/>
          <w:sz w:val="22"/>
          <w:szCs w:val="22"/>
        </w:rPr>
        <w:t>-</w:t>
      </w:r>
      <w:r w:rsidR="00783277" w:rsidRPr="00C95595">
        <w:rPr>
          <w:rFonts w:asciiTheme="minorHAnsi" w:eastAsiaTheme="minorEastAsia" w:hAnsiTheme="minorHAnsi" w:cstheme="minorHAnsi"/>
          <w:color w:val="000000"/>
          <w:kern w:val="24"/>
          <w:sz w:val="22"/>
          <w:szCs w:val="22"/>
        </w:rPr>
        <w:t>bein</w:t>
      </w:r>
      <w:r w:rsidRPr="00C95595">
        <w:rPr>
          <w:rFonts w:asciiTheme="minorHAnsi" w:eastAsiaTheme="minorEastAsia" w:hAnsiTheme="minorHAnsi" w:cstheme="minorHAnsi"/>
          <w:color w:val="000000"/>
          <w:kern w:val="24"/>
          <w:sz w:val="22"/>
          <w:szCs w:val="22"/>
        </w:rPr>
        <w:t>g posed by current overuse, for</w:t>
      </w:r>
      <w:r w:rsidR="00783277" w:rsidRPr="00C95595">
        <w:rPr>
          <w:rFonts w:asciiTheme="minorHAnsi" w:eastAsiaTheme="minorEastAsia" w:hAnsiTheme="minorHAnsi" w:cstheme="minorHAnsi"/>
          <w:color w:val="000000"/>
          <w:kern w:val="24"/>
          <w:sz w:val="22"/>
          <w:szCs w:val="22"/>
        </w:rPr>
        <w:t xml:space="preserve"> example, </w:t>
      </w:r>
      <w:r w:rsidR="00783277" w:rsidRPr="00C95595">
        <w:rPr>
          <w:rFonts w:asciiTheme="minorHAnsi" w:hAnsiTheme="minorHAnsi" w:cstheme="minorHAnsi"/>
          <w:color w:val="000000"/>
          <w:sz w:val="22"/>
          <w:szCs w:val="22"/>
        </w:rPr>
        <w:t>final energy consumption.</w:t>
      </w:r>
      <w:r w:rsidRPr="00C95595">
        <w:rPr>
          <w:rFonts w:asciiTheme="minorHAnsi" w:hAnsiTheme="minorHAnsi" w:cstheme="minorHAnsi"/>
          <w:color w:val="000000"/>
          <w:sz w:val="22"/>
          <w:szCs w:val="22"/>
        </w:rPr>
        <w:t xml:space="preserve"> I</w:t>
      </w:r>
      <w:r w:rsidR="00783277" w:rsidRPr="00C95595">
        <w:rPr>
          <w:rFonts w:asciiTheme="minorHAnsi" w:eastAsiaTheme="minorEastAsia" w:hAnsiTheme="minorHAnsi" w:cstheme="minorHAnsi"/>
          <w:color w:val="000000"/>
          <w:kern w:val="24"/>
          <w:sz w:val="22"/>
          <w:szCs w:val="22"/>
        </w:rPr>
        <w:t xml:space="preserve">ndicators of </w:t>
      </w:r>
      <w:r w:rsidR="00783277" w:rsidRPr="00654268">
        <w:rPr>
          <w:rFonts w:asciiTheme="minorHAnsi" w:eastAsiaTheme="minorEastAsia" w:hAnsiTheme="minorHAnsi" w:cstheme="minorHAnsi"/>
          <w:i/>
          <w:color w:val="000000"/>
          <w:kern w:val="24"/>
          <w:sz w:val="22"/>
          <w:szCs w:val="22"/>
        </w:rPr>
        <w:t>environmental quality of life</w:t>
      </w:r>
      <w:r w:rsidRPr="00C95595">
        <w:rPr>
          <w:rFonts w:asciiTheme="minorHAnsi" w:eastAsiaTheme="minorEastAsia" w:hAnsiTheme="minorHAnsi" w:cstheme="minorHAnsi"/>
          <w:color w:val="000000"/>
          <w:kern w:val="24"/>
          <w:sz w:val="22"/>
          <w:szCs w:val="22"/>
        </w:rPr>
        <w:t xml:space="preserve"> </w:t>
      </w:r>
      <w:r w:rsidR="00783277" w:rsidRPr="00C95595">
        <w:rPr>
          <w:rFonts w:asciiTheme="minorHAnsi" w:eastAsiaTheme="minorEastAsia" w:hAnsiTheme="minorHAnsi" w:cstheme="minorHAnsi"/>
          <w:color w:val="000000"/>
          <w:kern w:val="24"/>
          <w:sz w:val="22"/>
          <w:szCs w:val="22"/>
        </w:rPr>
        <w:t>capture the impact on people’s health and well</w:t>
      </w:r>
      <w:r w:rsidR="00C92133" w:rsidRPr="00C95595">
        <w:rPr>
          <w:rFonts w:asciiTheme="minorHAnsi" w:eastAsiaTheme="minorEastAsia" w:hAnsiTheme="minorHAnsi" w:cstheme="minorHAnsi"/>
          <w:color w:val="000000"/>
          <w:kern w:val="24"/>
          <w:sz w:val="22"/>
          <w:szCs w:val="22"/>
        </w:rPr>
        <w:t>-</w:t>
      </w:r>
      <w:r w:rsidR="00783277" w:rsidRPr="00C95595">
        <w:rPr>
          <w:rFonts w:asciiTheme="minorHAnsi" w:eastAsiaTheme="minorEastAsia" w:hAnsiTheme="minorHAnsi" w:cstheme="minorHAnsi"/>
          <w:color w:val="000000"/>
          <w:kern w:val="24"/>
          <w:sz w:val="22"/>
          <w:szCs w:val="22"/>
        </w:rPr>
        <w:t xml:space="preserve">being </w:t>
      </w:r>
      <w:r w:rsidR="00C92133" w:rsidRPr="00C95595">
        <w:rPr>
          <w:rFonts w:asciiTheme="minorHAnsi" w:eastAsiaTheme="minorEastAsia" w:hAnsiTheme="minorHAnsi" w:cstheme="minorHAnsi"/>
          <w:color w:val="000000"/>
          <w:kern w:val="24"/>
          <w:sz w:val="22"/>
          <w:szCs w:val="22"/>
        </w:rPr>
        <w:t xml:space="preserve">through </w:t>
      </w:r>
      <w:r w:rsidR="00783277" w:rsidRPr="00C95595">
        <w:rPr>
          <w:rFonts w:asciiTheme="minorHAnsi" w:eastAsiaTheme="minorEastAsia" w:hAnsiTheme="minorHAnsi" w:cstheme="minorHAnsi"/>
          <w:color w:val="000000"/>
          <w:kern w:val="24"/>
          <w:sz w:val="22"/>
          <w:szCs w:val="22"/>
        </w:rPr>
        <w:t>access to environmental services and amenities, exposure to air pollution, water pollution, hazardous substances and noise; tr</w:t>
      </w:r>
      <w:r w:rsidR="00C92133" w:rsidRPr="00C95595">
        <w:rPr>
          <w:rFonts w:asciiTheme="minorHAnsi" w:eastAsiaTheme="minorEastAsia" w:hAnsiTheme="minorHAnsi" w:cstheme="minorHAnsi"/>
          <w:color w:val="000000"/>
          <w:kern w:val="24"/>
          <w:sz w:val="22"/>
          <w:szCs w:val="22"/>
        </w:rPr>
        <w:t>ansformation in the water cycle</w:t>
      </w:r>
      <w:r w:rsidR="00783277" w:rsidRPr="00C95595">
        <w:rPr>
          <w:rFonts w:asciiTheme="minorHAnsi" w:eastAsiaTheme="minorEastAsia" w:hAnsiTheme="minorHAnsi" w:cstheme="minorHAnsi"/>
          <w:color w:val="000000"/>
          <w:kern w:val="24"/>
          <w:sz w:val="22"/>
          <w:szCs w:val="22"/>
        </w:rPr>
        <w:t>; biodiversity loss; and natural disasters. The green growth diagnostic uses the common term “negative environmental externality” to designate such phenomena. Examples incl</w:t>
      </w:r>
      <w:r w:rsidRPr="00C95595">
        <w:rPr>
          <w:rFonts w:asciiTheme="minorHAnsi" w:eastAsiaTheme="minorEastAsia" w:hAnsiTheme="minorHAnsi" w:cstheme="minorHAnsi"/>
          <w:color w:val="000000"/>
          <w:kern w:val="24"/>
          <w:sz w:val="22"/>
          <w:szCs w:val="22"/>
        </w:rPr>
        <w:t>ude</w:t>
      </w:r>
      <w:r w:rsidR="00783277" w:rsidRPr="00C95595">
        <w:rPr>
          <w:rFonts w:asciiTheme="minorHAnsi" w:eastAsiaTheme="minorEastAsia" w:hAnsiTheme="minorHAnsi" w:cstheme="minorHAnsi"/>
          <w:color w:val="000000"/>
          <w:kern w:val="24"/>
          <w:sz w:val="22"/>
          <w:szCs w:val="22"/>
        </w:rPr>
        <w:t xml:space="preserve"> sulphur oxides, nitrogen oxides, p</w:t>
      </w:r>
      <w:r w:rsidRPr="00C95595">
        <w:rPr>
          <w:rFonts w:asciiTheme="minorHAnsi" w:hAnsiTheme="minorHAnsi" w:cstheme="minorHAnsi"/>
          <w:color w:val="000000"/>
          <w:sz w:val="22"/>
          <w:szCs w:val="22"/>
        </w:rPr>
        <w:t xml:space="preserve">articulate matter concentrations, </w:t>
      </w:r>
      <w:r w:rsidR="00783277" w:rsidRPr="00C95595">
        <w:rPr>
          <w:rFonts w:asciiTheme="minorHAnsi" w:hAnsiTheme="minorHAnsi" w:cstheme="minorHAnsi"/>
          <w:color w:val="000000"/>
          <w:sz w:val="22"/>
          <w:szCs w:val="22"/>
        </w:rPr>
        <w:t>and water abstraction.</w:t>
      </w:r>
      <w:r>
        <w:rPr>
          <w:rFonts w:asciiTheme="minorHAnsi" w:hAnsiTheme="minorHAnsi" w:cstheme="minorHAnsi"/>
          <w:color w:val="000000"/>
          <w:sz w:val="22"/>
          <w:szCs w:val="22"/>
        </w:rPr>
        <w:t xml:space="preserve"> Finally, i</w:t>
      </w:r>
      <w:r w:rsidR="00783277" w:rsidRPr="00C95595">
        <w:rPr>
          <w:rFonts w:asciiTheme="minorHAnsi" w:eastAsiaTheme="minorEastAsia" w:hAnsiTheme="minorHAnsi" w:cstheme="minorHAnsi"/>
          <w:color w:val="000000"/>
          <w:kern w:val="24"/>
          <w:sz w:val="22"/>
          <w:szCs w:val="22"/>
        </w:rPr>
        <w:t xml:space="preserve">ndicators of </w:t>
      </w:r>
      <w:r w:rsidR="00783277" w:rsidRPr="00654268">
        <w:rPr>
          <w:rFonts w:asciiTheme="minorHAnsi" w:eastAsiaTheme="minorEastAsia" w:hAnsiTheme="minorHAnsi" w:cstheme="minorHAnsi"/>
          <w:i/>
          <w:color w:val="000000"/>
          <w:kern w:val="24"/>
          <w:sz w:val="22"/>
          <w:szCs w:val="22"/>
        </w:rPr>
        <w:t>pol</w:t>
      </w:r>
      <w:r w:rsidRPr="00654268">
        <w:rPr>
          <w:rFonts w:asciiTheme="minorHAnsi" w:eastAsiaTheme="minorEastAsia" w:hAnsiTheme="minorHAnsi" w:cstheme="minorHAnsi"/>
          <w:i/>
          <w:color w:val="000000"/>
          <w:kern w:val="24"/>
          <w:sz w:val="22"/>
          <w:szCs w:val="22"/>
        </w:rPr>
        <w:t>icy</w:t>
      </w:r>
      <w:r w:rsidR="00783277" w:rsidRPr="00654268">
        <w:rPr>
          <w:rFonts w:asciiTheme="minorHAnsi" w:eastAsiaTheme="minorEastAsia" w:hAnsiTheme="minorHAnsi" w:cstheme="minorHAnsi"/>
          <w:i/>
          <w:color w:val="000000"/>
          <w:kern w:val="24"/>
          <w:sz w:val="22"/>
          <w:szCs w:val="22"/>
        </w:rPr>
        <w:t xml:space="preserve"> and economic opportunities</w:t>
      </w:r>
      <w:r>
        <w:rPr>
          <w:rFonts w:asciiTheme="minorHAnsi" w:eastAsiaTheme="minorEastAsia" w:hAnsiTheme="minorHAnsi" w:cstheme="minorHAnsi"/>
          <w:color w:val="000000"/>
          <w:kern w:val="24"/>
          <w:sz w:val="22"/>
          <w:szCs w:val="22"/>
        </w:rPr>
        <w:t xml:space="preserve"> </w:t>
      </w:r>
      <w:r w:rsidR="00783277" w:rsidRPr="00C95595">
        <w:rPr>
          <w:rFonts w:asciiTheme="minorHAnsi" w:eastAsiaTheme="minorEastAsia" w:hAnsiTheme="minorHAnsi" w:cstheme="minorHAnsi"/>
          <w:color w:val="000000"/>
          <w:kern w:val="24"/>
          <w:sz w:val="22"/>
          <w:szCs w:val="22"/>
        </w:rPr>
        <w:t xml:space="preserve">measure a government’s efforts to stimulate sustainable production and consumption, encourage the development and use of new technologies and innovations, discourage unsustainable use of </w:t>
      </w:r>
      <w:r w:rsidR="00C92133" w:rsidRPr="00C95595">
        <w:rPr>
          <w:rFonts w:asciiTheme="minorHAnsi" w:eastAsiaTheme="minorEastAsia" w:hAnsiTheme="minorHAnsi" w:cstheme="minorHAnsi"/>
          <w:color w:val="000000"/>
          <w:kern w:val="24"/>
          <w:sz w:val="22"/>
          <w:szCs w:val="22"/>
        </w:rPr>
        <w:t>natural resources and energy, and</w:t>
      </w:r>
      <w:r w:rsidR="00783277" w:rsidRPr="00C95595">
        <w:rPr>
          <w:rFonts w:asciiTheme="minorHAnsi" w:eastAsiaTheme="minorEastAsia" w:hAnsiTheme="minorHAnsi" w:cstheme="minorHAnsi"/>
          <w:color w:val="000000"/>
          <w:kern w:val="24"/>
          <w:sz w:val="22"/>
          <w:szCs w:val="22"/>
        </w:rPr>
        <w:t xml:space="preserve"> employment </w:t>
      </w:r>
      <w:r w:rsidR="00C92133" w:rsidRPr="00C95595">
        <w:rPr>
          <w:rFonts w:asciiTheme="minorHAnsi" w:eastAsiaTheme="minorEastAsia" w:hAnsiTheme="minorHAnsi" w:cstheme="minorHAnsi"/>
          <w:color w:val="000000"/>
          <w:kern w:val="24"/>
          <w:sz w:val="22"/>
          <w:szCs w:val="22"/>
        </w:rPr>
        <w:t xml:space="preserve">or </w:t>
      </w:r>
      <w:r w:rsidR="00783277" w:rsidRPr="00C95595">
        <w:rPr>
          <w:rFonts w:asciiTheme="minorHAnsi" w:eastAsiaTheme="minorEastAsia" w:hAnsiTheme="minorHAnsi" w:cstheme="minorHAnsi"/>
          <w:color w:val="000000"/>
          <w:kern w:val="24"/>
          <w:sz w:val="22"/>
          <w:szCs w:val="22"/>
        </w:rPr>
        <w:t>other new economic opportunities associated with green gro</w:t>
      </w:r>
      <w:r w:rsidR="00EA068C">
        <w:rPr>
          <w:rFonts w:asciiTheme="minorHAnsi" w:eastAsiaTheme="minorEastAsia" w:hAnsiTheme="minorHAnsi" w:cstheme="minorHAnsi"/>
          <w:color w:val="000000"/>
          <w:kern w:val="24"/>
          <w:sz w:val="22"/>
          <w:szCs w:val="22"/>
        </w:rPr>
        <w:t>wth. In Eurostat, this includes</w:t>
      </w:r>
      <w:r w:rsidR="00783277" w:rsidRPr="00C95595">
        <w:rPr>
          <w:rFonts w:asciiTheme="minorHAnsi" w:eastAsiaTheme="minorEastAsia" w:hAnsiTheme="minorHAnsi" w:cstheme="minorHAnsi"/>
          <w:color w:val="000000"/>
          <w:kern w:val="24"/>
          <w:sz w:val="22"/>
          <w:szCs w:val="22"/>
        </w:rPr>
        <w:t xml:space="preserve"> </w:t>
      </w:r>
      <w:r w:rsidR="00783277" w:rsidRPr="00C95595">
        <w:rPr>
          <w:rFonts w:asciiTheme="minorHAnsi" w:hAnsiTheme="minorHAnsi" w:cstheme="minorHAnsi"/>
          <w:color w:val="000000"/>
          <w:sz w:val="22"/>
          <w:szCs w:val="22"/>
        </w:rPr>
        <w:t>environmental protection expenditure, and total environmental taxes.</w:t>
      </w:r>
      <w:r w:rsidR="00EA068C">
        <w:rPr>
          <w:rFonts w:asciiTheme="minorHAnsi" w:hAnsiTheme="minorHAnsi" w:cstheme="minorHAnsi"/>
          <w:color w:val="000000"/>
          <w:sz w:val="22"/>
          <w:szCs w:val="22"/>
        </w:rPr>
        <w:t xml:space="preserve"> </w:t>
      </w:r>
      <w:r w:rsidR="00783277" w:rsidRPr="00AA7FD5">
        <w:rPr>
          <w:rFonts w:asciiTheme="minorHAnsi" w:hAnsiTheme="minorHAnsi" w:cstheme="minorHAnsi"/>
          <w:sz w:val="22"/>
          <w:szCs w:val="22"/>
        </w:rPr>
        <w:t>For comparisons with macroeconomic data, the starting point would be to use national level / aggregate data, such as</w:t>
      </w:r>
      <w:r w:rsidR="005910D5">
        <w:rPr>
          <w:rFonts w:asciiTheme="minorHAnsi" w:hAnsiTheme="minorHAnsi" w:cstheme="minorHAnsi"/>
          <w:sz w:val="22"/>
          <w:szCs w:val="22"/>
        </w:rPr>
        <w:t xml:space="preserve"> greenhouse gas emissions</w:t>
      </w:r>
      <w:r w:rsidR="00783277" w:rsidRPr="00AA7FD5">
        <w:rPr>
          <w:rFonts w:asciiTheme="minorHAnsi" w:hAnsiTheme="minorHAnsi" w:cstheme="minorHAnsi"/>
          <w:sz w:val="22"/>
          <w:szCs w:val="22"/>
        </w:rPr>
        <w:t>.</w:t>
      </w:r>
    </w:p>
    <w:p w14:paraId="08F5F1E3" w14:textId="7C5B29B7" w:rsidR="00783277" w:rsidRPr="00AA7FD5" w:rsidRDefault="00783277" w:rsidP="00C77A61">
      <w:pPr>
        <w:pStyle w:val="Heading2"/>
      </w:pPr>
      <w:bookmarkStart w:id="45" w:name="_Toc508020582"/>
      <w:r w:rsidRPr="00AA7FD5">
        <w:t>Sector Level Analysis</w:t>
      </w:r>
      <w:bookmarkEnd w:id="45"/>
    </w:p>
    <w:p w14:paraId="5E4D45EA" w14:textId="169B94E2" w:rsidR="00783277" w:rsidRPr="0056134E" w:rsidRDefault="00783277" w:rsidP="00A77D0D">
      <w:pPr>
        <w:pStyle w:val="NormalWeb"/>
        <w:spacing w:before="240" w:beforeAutospacing="0" w:after="240" w:afterAutospacing="0" w:line="276" w:lineRule="auto"/>
        <w:jc w:val="both"/>
        <w:rPr>
          <w:rFonts w:asciiTheme="minorHAnsi" w:eastAsiaTheme="minorEastAsia" w:hAnsiTheme="minorHAnsi"/>
          <w:kern w:val="24"/>
          <w:sz w:val="22"/>
        </w:rPr>
      </w:pPr>
      <w:r w:rsidRPr="00AA7FD5">
        <w:rPr>
          <w:rFonts w:asciiTheme="minorHAnsi" w:hAnsiTheme="minorHAnsi" w:cstheme="minorHAnsi"/>
          <w:sz w:val="22"/>
          <w:szCs w:val="22"/>
        </w:rPr>
        <w:t xml:space="preserve">A deeper analysis is possible by exploring </w:t>
      </w:r>
      <w:r w:rsidR="00BF6F9B">
        <w:rPr>
          <w:rFonts w:asciiTheme="minorHAnsi" w:hAnsiTheme="minorHAnsi" w:cstheme="minorHAnsi"/>
          <w:sz w:val="22"/>
          <w:szCs w:val="22"/>
        </w:rPr>
        <w:t>linkages between economic and environmental</w:t>
      </w:r>
      <w:r w:rsidRPr="00AA7FD5">
        <w:rPr>
          <w:rFonts w:asciiTheme="minorHAnsi" w:hAnsiTheme="minorHAnsi" w:cstheme="minorHAnsi"/>
          <w:sz w:val="22"/>
          <w:szCs w:val="22"/>
        </w:rPr>
        <w:t xml:space="preserve"> indicators at various sector and sub-sector levels. The key limitation to expansion </w:t>
      </w:r>
      <w:r w:rsidR="00A77D0D" w:rsidRPr="00AA7FD5">
        <w:rPr>
          <w:rFonts w:asciiTheme="minorHAnsi" w:hAnsiTheme="minorHAnsi" w:cstheme="minorHAnsi"/>
          <w:sz w:val="22"/>
          <w:szCs w:val="22"/>
        </w:rPr>
        <w:t xml:space="preserve">at </w:t>
      </w:r>
      <w:r w:rsidRPr="00AA7FD5">
        <w:rPr>
          <w:rFonts w:asciiTheme="minorHAnsi" w:hAnsiTheme="minorHAnsi" w:cstheme="minorHAnsi"/>
          <w:sz w:val="22"/>
          <w:szCs w:val="22"/>
        </w:rPr>
        <w:t xml:space="preserve">the sector level is the availability of data, </w:t>
      </w:r>
      <w:r w:rsidR="00A77D0D" w:rsidRPr="00AA7FD5">
        <w:rPr>
          <w:rFonts w:asciiTheme="minorHAnsi" w:hAnsiTheme="minorHAnsi" w:cstheme="minorHAnsi"/>
          <w:sz w:val="22"/>
          <w:szCs w:val="22"/>
        </w:rPr>
        <w:t xml:space="preserve">and in the </w:t>
      </w:r>
      <w:r w:rsidRPr="00AA7FD5">
        <w:rPr>
          <w:rFonts w:asciiTheme="minorHAnsi" w:hAnsiTheme="minorHAnsi" w:cstheme="minorHAnsi"/>
          <w:sz w:val="22"/>
          <w:szCs w:val="22"/>
        </w:rPr>
        <w:t xml:space="preserve">case </w:t>
      </w:r>
      <w:r w:rsidR="00A77D0D" w:rsidRPr="00AA7FD5">
        <w:rPr>
          <w:rFonts w:asciiTheme="minorHAnsi" w:hAnsiTheme="minorHAnsi" w:cstheme="minorHAnsi"/>
          <w:sz w:val="22"/>
          <w:szCs w:val="22"/>
        </w:rPr>
        <w:t xml:space="preserve">of </w:t>
      </w:r>
      <w:r w:rsidR="00BF6F9B">
        <w:rPr>
          <w:rFonts w:asciiTheme="minorHAnsi" w:hAnsiTheme="minorHAnsi" w:cstheme="minorHAnsi"/>
          <w:sz w:val="22"/>
          <w:szCs w:val="22"/>
        </w:rPr>
        <w:t>Eurostat, especially for the environmental</w:t>
      </w:r>
      <w:r w:rsidRPr="00AA7FD5">
        <w:rPr>
          <w:rFonts w:asciiTheme="minorHAnsi" w:hAnsiTheme="minorHAnsi" w:cstheme="minorHAnsi"/>
          <w:sz w:val="22"/>
          <w:szCs w:val="22"/>
        </w:rPr>
        <w:t xml:space="preserve"> indicator data</w:t>
      </w:r>
      <w:r w:rsidR="00A77D0D" w:rsidRPr="00AA7FD5">
        <w:rPr>
          <w:rFonts w:asciiTheme="minorHAnsi" w:hAnsiTheme="minorHAnsi" w:cstheme="minorHAnsi"/>
          <w:sz w:val="22"/>
          <w:szCs w:val="22"/>
        </w:rPr>
        <w:t>.</w:t>
      </w:r>
      <w:r w:rsidR="00DA262A" w:rsidRPr="00DA262A">
        <w:rPr>
          <w:rFonts w:asciiTheme="minorHAnsi" w:eastAsiaTheme="minorEastAsia" w:hAnsiTheme="minorHAnsi"/>
          <w:kern w:val="24"/>
          <w:sz w:val="22"/>
        </w:rPr>
        <w:t xml:space="preserve"> </w:t>
      </w:r>
      <w:r w:rsidR="00DA262A">
        <w:rPr>
          <w:rFonts w:asciiTheme="minorHAnsi" w:eastAsiaTheme="minorEastAsia" w:hAnsiTheme="minorHAnsi"/>
          <w:kern w:val="24"/>
          <w:sz w:val="22"/>
        </w:rPr>
        <w:t>Decoupling exercise</w:t>
      </w:r>
      <w:r w:rsidR="00DA262A" w:rsidRPr="00DA262A">
        <w:rPr>
          <w:rFonts w:asciiTheme="minorHAnsi" w:eastAsiaTheme="minorEastAsia" w:hAnsiTheme="minorHAnsi"/>
          <w:kern w:val="24"/>
          <w:sz w:val="22"/>
        </w:rPr>
        <w:t xml:space="preserve">s </w:t>
      </w:r>
      <w:r w:rsidR="00DA262A">
        <w:rPr>
          <w:rFonts w:asciiTheme="minorHAnsi" w:eastAsiaTheme="minorEastAsia" w:hAnsiTheme="minorHAnsi"/>
          <w:kern w:val="24"/>
          <w:sz w:val="22"/>
        </w:rPr>
        <w:t>can focus on “impact” decoupling (i.e.</w:t>
      </w:r>
      <w:r w:rsidR="0056134E">
        <w:rPr>
          <w:rFonts w:asciiTheme="minorHAnsi" w:eastAsiaTheme="minorEastAsia" w:hAnsiTheme="minorHAnsi"/>
          <w:kern w:val="24"/>
          <w:sz w:val="22"/>
        </w:rPr>
        <w:t xml:space="preserve"> focusing on </w:t>
      </w:r>
      <w:r w:rsidR="0056134E" w:rsidRPr="00DA262A">
        <w:rPr>
          <w:rFonts w:asciiTheme="minorHAnsi" w:eastAsiaTheme="minorEastAsia" w:hAnsiTheme="minorHAnsi"/>
          <w:kern w:val="24"/>
          <w:sz w:val="22"/>
        </w:rPr>
        <w:t xml:space="preserve">economic indicators, such as GDP or EVA, </w:t>
      </w:r>
      <w:r w:rsidR="0056134E">
        <w:rPr>
          <w:rFonts w:asciiTheme="minorHAnsi" w:eastAsiaTheme="minorEastAsia" w:hAnsiTheme="minorHAnsi"/>
          <w:kern w:val="24"/>
          <w:sz w:val="22"/>
        </w:rPr>
        <w:t xml:space="preserve">and environmental </w:t>
      </w:r>
      <w:r w:rsidR="00DA262A">
        <w:rPr>
          <w:rFonts w:asciiTheme="minorHAnsi" w:eastAsiaTheme="minorEastAsia" w:hAnsiTheme="minorHAnsi"/>
          <w:kern w:val="24"/>
          <w:sz w:val="22"/>
        </w:rPr>
        <w:t>ex</w:t>
      </w:r>
      <w:r w:rsidR="0056134E">
        <w:rPr>
          <w:rFonts w:asciiTheme="minorHAnsi" w:eastAsiaTheme="minorEastAsia" w:hAnsiTheme="minorHAnsi"/>
          <w:kern w:val="24"/>
          <w:sz w:val="22"/>
        </w:rPr>
        <w:t>ternalities such as water or air pollution levels)</w:t>
      </w:r>
      <w:r w:rsidR="00DA262A">
        <w:rPr>
          <w:rFonts w:asciiTheme="minorHAnsi" w:eastAsiaTheme="minorEastAsia" w:hAnsiTheme="minorHAnsi"/>
          <w:kern w:val="24"/>
          <w:sz w:val="22"/>
        </w:rPr>
        <w:t xml:space="preserve">, or </w:t>
      </w:r>
      <w:r w:rsidR="00DA262A" w:rsidRPr="00DA262A">
        <w:rPr>
          <w:rFonts w:asciiTheme="minorHAnsi" w:eastAsiaTheme="minorEastAsia" w:hAnsiTheme="minorHAnsi"/>
          <w:kern w:val="24"/>
          <w:sz w:val="22"/>
        </w:rPr>
        <w:t xml:space="preserve">“resource” decoupling (i.e. trends </w:t>
      </w:r>
      <w:r w:rsidR="00DA262A" w:rsidRPr="00DA262A">
        <w:rPr>
          <w:rFonts w:asciiTheme="minorHAnsi" w:eastAsiaTheme="minorEastAsia" w:hAnsiTheme="minorHAnsi"/>
          <w:kern w:val="24"/>
          <w:sz w:val="22"/>
        </w:rPr>
        <w:lastRenderedPageBreak/>
        <w:t xml:space="preserve">between </w:t>
      </w:r>
      <w:r w:rsidR="0056134E">
        <w:rPr>
          <w:rFonts w:asciiTheme="minorHAnsi" w:eastAsiaTheme="minorEastAsia" w:hAnsiTheme="minorHAnsi"/>
          <w:kern w:val="24"/>
          <w:sz w:val="22"/>
        </w:rPr>
        <w:t>economic indicators</w:t>
      </w:r>
      <w:r w:rsidR="00DA262A" w:rsidRPr="00DA262A">
        <w:rPr>
          <w:rFonts w:asciiTheme="minorHAnsi" w:eastAsiaTheme="minorEastAsia" w:hAnsiTheme="minorHAnsi"/>
          <w:kern w:val="24"/>
          <w:sz w:val="22"/>
        </w:rPr>
        <w:t>, and resource indicators, such as water abstraction or final energy consumption).</w:t>
      </w:r>
      <w:r w:rsidR="0056134E">
        <w:rPr>
          <w:rFonts w:asciiTheme="minorHAnsi" w:eastAsiaTheme="minorEastAsia" w:hAnsiTheme="minorHAnsi"/>
          <w:kern w:val="24"/>
          <w:sz w:val="22"/>
        </w:rPr>
        <w:t xml:space="preserve"> Our examples focus mainly on impact decoupling</w:t>
      </w:r>
      <w:r w:rsidR="00831F8B">
        <w:rPr>
          <w:rFonts w:asciiTheme="minorHAnsi" w:eastAsiaTheme="minorEastAsia" w:hAnsiTheme="minorHAnsi"/>
          <w:kern w:val="24"/>
          <w:sz w:val="22"/>
        </w:rPr>
        <w:t xml:space="preserve"> due to data limitations</w:t>
      </w:r>
      <w:r w:rsidR="0056134E">
        <w:rPr>
          <w:rFonts w:asciiTheme="minorHAnsi" w:eastAsiaTheme="minorEastAsia" w:hAnsiTheme="minorHAnsi"/>
          <w:kern w:val="24"/>
          <w:sz w:val="22"/>
        </w:rPr>
        <w:t>.</w:t>
      </w:r>
    </w:p>
    <w:p w14:paraId="5580018A" w14:textId="71396CDC" w:rsidR="00783277" w:rsidRPr="00AA7FD5" w:rsidRDefault="00783277" w:rsidP="00C77A61">
      <w:pPr>
        <w:pStyle w:val="Heading3"/>
      </w:pPr>
      <w:bookmarkStart w:id="46" w:name="_Toc508020583"/>
      <w:r w:rsidRPr="00AA7FD5">
        <w:t>Economic Sector and Green Growth Indicators</w:t>
      </w:r>
      <w:bookmarkEnd w:id="46"/>
    </w:p>
    <w:p w14:paraId="2AC7FBAD" w14:textId="7920EBA5" w:rsidR="00C54DD9" w:rsidRPr="00AA7FD5" w:rsidRDefault="00783277" w:rsidP="00A77D0D">
      <w:pPr>
        <w:pStyle w:val="NormalWeb"/>
        <w:spacing w:before="240" w:beforeAutospacing="0" w:after="240" w:afterAutospacing="0" w:line="276" w:lineRule="auto"/>
        <w:jc w:val="both"/>
        <w:rPr>
          <w:rFonts w:asciiTheme="minorHAnsi" w:hAnsiTheme="minorHAnsi" w:cs="Arial"/>
          <w:sz w:val="22"/>
        </w:rPr>
      </w:pPr>
      <w:r w:rsidRPr="00AA7FD5">
        <w:rPr>
          <w:rFonts w:asciiTheme="minorHAnsi" w:eastAsiaTheme="minorEastAsia" w:hAnsiTheme="minorHAnsi"/>
          <w:kern w:val="24"/>
          <w:sz w:val="22"/>
        </w:rPr>
        <w:t>The key sectors that make up GDP (from the supply side) are agriculture, industry, and services</w:t>
      </w:r>
      <w:r w:rsidR="00C1122B">
        <w:rPr>
          <w:rFonts w:asciiTheme="minorHAnsi" w:eastAsiaTheme="minorEastAsia" w:hAnsiTheme="minorHAnsi"/>
          <w:kern w:val="24"/>
          <w:sz w:val="22"/>
        </w:rPr>
        <w:t>.</w:t>
      </w:r>
      <w:r w:rsidR="00700A2B" w:rsidRPr="00AA7FD5">
        <w:rPr>
          <w:rFonts w:asciiTheme="minorHAnsi" w:eastAsiaTheme="minorEastAsia" w:hAnsiTheme="minorHAnsi"/>
          <w:kern w:val="24"/>
          <w:sz w:val="22"/>
        </w:rPr>
        <w:t xml:space="preserve"> </w:t>
      </w:r>
      <w:r w:rsidR="00FE1C83" w:rsidRPr="00AA7FD5">
        <w:rPr>
          <w:rFonts w:asciiTheme="minorHAnsi" w:hAnsiTheme="minorHAnsi" w:cs="Arial"/>
          <w:sz w:val="22"/>
        </w:rPr>
        <w:t xml:space="preserve">Growth in these sectors is measured in terms of </w:t>
      </w:r>
      <w:r w:rsidR="003F4A15" w:rsidRPr="00AA7FD5">
        <w:rPr>
          <w:rFonts w:asciiTheme="minorHAnsi" w:hAnsiTheme="minorHAnsi" w:cs="Arial"/>
          <w:sz w:val="22"/>
        </w:rPr>
        <w:t>“</w:t>
      </w:r>
      <w:r w:rsidR="00FE1C83" w:rsidRPr="00AA7FD5">
        <w:rPr>
          <w:rFonts w:asciiTheme="minorHAnsi" w:hAnsiTheme="minorHAnsi" w:cs="Arial"/>
          <w:sz w:val="22"/>
        </w:rPr>
        <w:t>value-added</w:t>
      </w:r>
      <w:r w:rsidR="003F4A15" w:rsidRPr="00AA7FD5">
        <w:rPr>
          <w:rFonts w:asciiTheme="minorHAnsi" w:hAnsiTheme="minorHAnsi" w:cs="Arial"/>
          <w:sz w:val="22"/>
        </w:rPr>
        <w:t>” data.</w:t>
      </w:r>
      <w:r w:rsidR="00C54DD9" w:rsidRPr="00AA7FD5">
        <w:rPr>
          <w:rFonts w:asciiTheme="minorHAnsi" w:hAnsiTheme="minorHAnsi" w:cs="Arial"/>
          <w:sz w:val="22"/>
        </w:rPr>
        <w:t xml:space="preserve"> </w:t>
      </w:r>
      <w:r w:rsidR="00775EB1">
        <w:rPr>
          <w:rFonts w:asciiTheme="minorHAnsi" w:hAnsiTheme="minorHAnsi" w:cs="Arial"/>
          <w:sz w:val="22"/>
        </w:rPr>
        <w:t xml:space="preserve">When </w:t>
      </w:r>
      <w:r w:rsidR="00775EB1" w:rsidRPr="00AA7FD5">
        <w:rPr>
          <w:rFonts w:asciiTheme="minorHAnsi" w:hAnsiTheme="minorHAnsi" w:cs="Arial"/>
          <w:sz w:val="22"/>
        </w:rPr>
        <w:t>data is available</w:t>
      </w:r>
      <w:r w:rsidR="00775EB1">
        <w:rPr>
          <w:rFonts w:asciiTheme="minorHAnsi" w:hAnsiTheme="minorHAnsi" w:cs="Arial"/>
          <w:sz w:val="22"/>
        </w:rPr>
        <w:t>, t</w:t>
      </w:r>
      <w:r w:rsidR="00C54DD9" w:rsidRPr="00AA7FD5">
        <w:rPr>
          <w:rFonts w:asciiTheme="minorHAnsi" w:hAnsiTheme="minorHAnsi" w:cs="Arial"/>
          <w:sz w:val="22"/>
        </w:rPr>
        <w:t>hese sectors may be further disaggregated</w:t>
      </w:r>
      <w:r w:rsidR="00775EB1">
        <w:rPr>
          <w:rFonts w:asciiTheme="minorHAnsi" w:hAnsiTheme="minorHAnsi" w:cs="Arial"/>
          <w:sz w:val="22"/>
        </w:rPr>
        <w:t xml:space="preserve"> as:</w:t>
      </w:r>
    </w:p>
    <w:p w14:paraId="550EEEF1" w14:textId="77777777" w:rsidR="00C54DD9" w:rsidRPr="00AA7FD5" w:rsidRDefault="00700A2B" w:rsidP="00A77D0D">
      <w:pPr>
        <w:pStyle w:val="ListParagraph"/>
        <w:numPr>
          <w:ilvl w:val="0"/>
          <w:numId w:val="5"/>
        </w:numPr>
        <w:jc w:val="both"/>
        <w:rPr>
          <w:rFonts w:cs="Arial"/>
          <w:szCs w:val="24"/>
        </w:rPr>
      </w:pPr>
      <w:r w:rsidRPr="00AA7FD5">
        <w:rPr>
          <w:rFonts w:eastAsiaTheme="minorEastAsia"/>
          <w:kern w:val="24"/>
          <w:szCs w:val="24"/>
        </w:rPr>
        <w:t>Agriculture</w:t>
      </w:r>
      <w:r w:rsidR="00C54DD9" w:rsidRPr="00AA7FD5">
        <w:rPr>
          <w:rFonts w:eastAsiaTheme="minorEastAsia"/>
          <w:kern w:val="24"/>
          <w:szCs w:val="24"/>
        </w:rPr>
        <w:t>: C</w:t>
      </w:r>
      <w:r w:rsidRPr="00AA7FD5">
        <w:rPr>
          <w:rFonts w:eastAsiaTheme="minorEastAsia"/>
          <w:kern w:val="24"/>
          <w:szCs w:val="24"/>
        </w:rPr>
        <w:t xml:space="preserve">rop cultivation, livestock production, forestry, fishing, hunting. </w:t>
      </w:r>
    </w:p>
    <w:p w14:paraId="38F17E40" w14:textId="77777777" w:rsidR="00700A2B" w:rsidRPr="00AA7FD5" w:rsidRDefault="00C54DD9" w:rsidP="00A77D0D">
      <w:pPr>
        <w:pStyle w:val="ListParagraph"/>
        <w:numPr>
          <w:ilvl w:val="0"/>
          <w:numId w:val="5"/>
        </w:numPr>
        <w:jc w:val="both"/>
        <w:rPr>
          <w:rFonts w:cs="Arial"/>
          <w:szCs w:val="24"/>
        </w:rPr>
      </w:pPr>
      <w:r w:rsidRPr="00AA7FD5">
        <w:rPr>
          <w:rFonts w:eastAsiaTheme="minorEastAsia"/>
          <w:kern w:val="24"/>
          <w:szCs w:val="24"/>
        </w:rPr>
        <w:t>I</w:t>
      </w:r>
      <w:r w:rsidR="00700A2B" w:rsidRPr="00AA7FD5">
        <w:rPr>
          <w:rFonts w:eastAsiaTheme="minorEastAsia"/>
          <w:kern w:val="24"/>
          <w:szCs w:val="24"/>
        </w:rPr>
        <w:t>ndustry</w:t>
      </w:r>
      <w:r w:rsidRPr="00AA7FD5">
        <w:rPr>
          <w:rFonts w:eastAsiaTheme="minorEastAsia"/>
          <w:kern w:val="24"/>
          <w:szCs w:val="24"/>
        </w:rPr>
        <w:t>: M</w:t>
      </w:r>
      <w:r w:rsidR="00700A2B" w:rsidRPr="00AA7FD5">
        <w:rPr>
          <w:rFonts w:cs="Arial"/>
          <w:szCs w:val="24"/>
        </w:rPr>
        <w:t>ining, manufacturing, constr</w:t>
      </w:r>
      <w:r w:rsidRPr="00AA7FD5">
        <w:rPr>
          <w:rFonts w:cs="Arial"/>
          <w:szCs w:val="24"/>
        </w:rPr>
        <w:t xml:space="preserve">uction, electricity, water, </w:t>
      </w:r>
      <w:r w:rsidR="00700A2B" w:rsidRPr="00AA7FD5">
        <w:rPr>
          <w:rFonts w:cs="Arial"/>
          <w:szCs w:val="24"/>
        </w:rPr>
        <w:t>gas</w:t>
      </w:r>
      <w:r w:rsidR="00FE1C83" w:rsidRPr="00AA7FD5">
        <w:rPr>
          <w:rFonts w:cs="Arial"/>
          <w:szCs w:val="24"/>
        </w:rPr>
        <w:t>.</w:t>
      </w:r>
      <w:r w:rsidR="00700A2B" w:rsidRPr="00AA7FD5">
        <w:rPr>
          <w:rFonts w:eastAsiaTheme="minorEastAsia"/>
          <w:kern w:val="24"/>
          <w:szCs w:val="24"/>
        </w:rPr>
        <w:t xml:space="preserve"> </w:t>
      </w:r>
      <w:r w:rsidR="00700A2B" w:rsidRPr="00AA7FD5">
        <w:rPr>
          <w:rFonts w:cs="Arial"/>
          <w:szCs w:val="24"/>
        </w:rPr>
        <w:t xml:space="preserve"> </w:t>
      </w:r>
    </w:p>
    <w:p w14:paraId="238529E7" w14:textId="31C471C6" w:rsidR="00C54DD9" w:rsidRPr="00AA7FD5" w:rsidRDefault="00C54DD9" w:rsidP="00A77D0D">
      <w:pPr>
        <w:pStyle w:val="ListParagraph"/>
        <w:numPr>
          <w:ilvl w:val="0"/>
          <w:numId w:val="5"/>
        </w:numPr>
        <w:jc w:val="both"/>
        <w:rPr>
          <w:rFonts w:cs="Arial"/>
          <w:szCs w:val="24"/>
        </w:rPr>
      </w:pPr>
      <w:r w:rsidRPr="00AA7FD5">
        <w:rPr>
          <w:rFonts w:cs="Arial"/>
          <w:szCs w:val="24"/>
        </w:rPr>
        <w:t xml:space="preserve">Services: </w:t>
      </w:r>
      <w:r w:rsidR="00BC74AF" w:rsidRPr="00AA7FD5">
        <w:rPr>
          <w:rFonts w:cs="Arial"/>
          <w:szCs w:val="24"/>
        </w:rPr>
        <w:t>Wholesale and retail trade (including hotels and restaurants), transport, and government, financial, professional, and personal services such as education, health care, and real estate services</w:t>
      </w:r>
      <w:r w:rsidR="00D843DE" w:rsidRPr="00AA7FD5">
        <w:rPr>
          <w:rFonts w:cs="Arial"/>
          <w:szCs w:val="24"/>
        </w:rPr>
        <w:t>.</w:t>
      </w:r>
    </w:p>
    <w:p w14:paraId="6D7EBA78" w14:textId="52230C54" w:rsidR="00D843DE" w:rsidRPr="00AA7FD5" w:rsidRDefault="00D843DE" w:rsidP="00A77D0D">
      <w:pPr>
        <w:jc w:val="both"/>
        <w:rPr>
          <w:rFonts w:cs="Arial"/>
          <w:szCs w:val="24"/>
        </w:rPr>
      </w:pPr>
      <w:r w:rsidRPr="00AA7FD5">
        <w:rPr>
          <w:rFonts w:cs="Arial"/>
          <w:szCs w:val="24"/>
        </w:rPr>
        <w:t>In addition to “value-added” data, the Euros</w:t>
      </w:r>
      <w:r w:rsidR="00775EB1">
        <w:rPr>
          <w:rFonts w:cs="Arial"/>
          <w:szCs w:val="24"/>
        </w:rPr>
        <w:t>tat sectoral indicators include</w:t>
      </w:r>
      <w:r w:rsidRPr="00AA7FD5">
        <w:rPr>
          <w:rFonts w:cs="Arial"/>
          <w:szCs w:val="24"/>
        </w:rPr>
        <w:t xml:space="preserve"> employment, final consumption expenditure, </w:t>
      </w:r>
      <w:r w:rsidR="00F443C6" w:rsidRPr="00AA7FD5">
        <w:rPr>
          <w:rFonts w:cs="Arial"/>
          <w:szCs w:val="24"/>
        </w:rPr>
        <w:t xml:space="preserve">stock of vehicles, </w:t>
      </w:r>
      <w:r w:rsidR="009C031A" w:rsidRPr="00AA7FD5">
        <w:rPr>
          <w:rFonts w:cs="Arial"/>
          <w:szCs w:val="24"/>
        </w:rPr>
        <w:t>and final energy consumption (transport sector) for some of the countries in the EU.</w:t>
      </w:r>
    </w:p>
    <w:p w14:paraId="0409BFAE" w14:textId="0AE1B149" w:rsidR="00AA7FD5" w:rsidRPr="00AA7FD5" w:rsidRDefault="008616C2" w:rsidP="00A77D0D">
      <w:pPr>
        <w:pStyle w:val="NormalWeb"/>
        <w:spacing w:before="240" w:beforeAutospacing="0" w:after="240" w:afterAutospacing="0" w:line="276" w:lineRule="auto"/>
        <w:jc w:val="both"/>
        <w:rPr>
          <w:rFonts w:asciiTheme="minorHAnsi" w:hAnsiTheme="minorHAnsi"/>
          <w:sz w:val="22"/>
        </w:rPr>
      </w:pPr>
      <w:r>
        <w:rPr>
          <w:rFonts w:asciiTheme="minorHAnsi" w:hAnsiTheme="minorHAnsi"/>
          <w:sz w:val="22"/>
        </w:rPr>
        <w:t>Analysis can involve a</w:t>
      </w:r>
      <w:r w:rsidR="00D34685" w:rsidRPr="00AA7FD5">
        <w:rPr>
          <w:rFonts w:asciiTheme="minorHAnsi" w:hAnsiTheme="minorHAnsi"/>
          <w:sz w:val="22"/>
        </w:rPr>
        <w:t xml:space="preserve"> combination of sectors and sub-sectors depending on their relative importance in a given country’s economy</w:t>
      </w:r>
      <w:r w:rsidR="00A278CE" w:rsidRPr="00AA7FD5">
        <w:rPr>
          <w:rFonts w:asciiTheme="minorHAnsi" w:hAnsiTheme="minorHAnsi"/>
          <w:sz w:val="22"/>
        </w:rPr>
        <w:t>.</w:t>
      </w:r>
      <w:r w:rsidR="00026280" w:rsidRPr="00AA7FD5">
        <w:rPr>
          <w:rFonts w:asciiTheme="minorHAnsi" w:hAnsiTheme="minorHAnsi"/>
          <w:sz w:val="22"/>
        </w:rPr>
        <w:t xml:space="preserve"> </w:t>
      </w:r>
      <w:r>
        <w:rPr>
          <w:rFonts w:asciiTheme="minorHAnsi" w:hAnsiTheme="minorHAnsi"/>
          <w:sz w:val="22"/>
        </w:rPr>
        <w:t>These can</w:t>
      </w:r>
      <w:r w:rsidR="006F793B" w:rsidRPr="00AA7FD5">
        <w:rPr>
          <w:rFonts w:asciiTheme="minorHAnsi" w:hAnsiTheme="minorHAnsi"/>
          <w:sz w:val="22"/>
        </w:rPr>
        <w:t xml:space="preserve"> use disaggregated data </w:t>
      </w:r>
      <w:r w:rsidR="003F4A15" w:rsidRPr="00AA7FD5">
        <w:rPr>
          <w:rFonts w:asciiTheme="minorHAnsi" w:hAnsiTheme="minorHAnsi"/>
          <w:sz w:val="22"/>
        </w:rPr>
        <w:t xml:space="preserve">of </w:t>
      </w:r>
      <w:r w:rsidR="006F793B" w:rsidRPr="00AA7FD5">
        <w:rPr>
          <w:rFonts w:asciiTheme="minorHAnsi" w:hAnsiTheme="minorHAnsi"/>
          <w:sz w:val="22"/>
        </w:rPr>
        <w:t xml:space="preserve">relevant </w:t>
      </w:r>
      <w:r w:rsidR="00775EB1">
        <w:rPr>
          <w:rFonts w:asciiTheme="minorHAnsi" w:hAnsiTheme="minorHAnsi"/>
          <w:sz w:val="22"/>
        </w:rPr>
        <w:t>environmental</w:t>
      </w:r>
      <w:r w:rsidR="00026280" w:rsidRPr="00AA7FD5">
        <w:rPr>
          <w:rFonts w:asciiTheme="minorHAnsi" w:hAnsiTheme="minorHAnsi"/>
          <w:sz w:val="22"/>
        </w:rPr>
        <w:t xml:space="preserve"> </w:t>
      </w:r>
      <w:r w:rsidR="006F793B" w:rsidRPr="00AA7FD5">
        <w:rPr>
          <w:rFonts w:asciiTheme="minorHAnsi" w:hAnsiTheme="minorHAnsi"/>
          <w:sz w:val="22"/>
        </w:rPr>
        <w:t xml:space="preserve">indicators for each sector or sub-sector. </w:t>
      </w:r>
      <w:r w:rsidR="00A77D0D" w:rsidRPr="00AA7FD5">
        <w:rPr>
          <w:rFonts w:asciiTheme="minorHAnsi" w:hAnsiTheme="minorHAnsi" w:cstheme="minorHAnsi"/>
          <w:sz w:val="22"/>
        </w:rPr>
        <w:fldChar w:fldCharType="begin"/>
      </w:r>
      <w:r w:rsidR="00A77D0D" w:rsidRPr="00AA7FD5">
        <w:rPr>
          <w:rFonts w:asciiTheme="minorHAnsi" w:hAnsiTheme="minorHAnsi" w:cstheme="minorHAnsi"/>
          <w:sz w:val="22"/>
        </w:rPr>
        <w:instrText xml:space="preserve"> REF _Ref482869253 \h  \* MERGEFORMAT </w:instrText>
      </w:r>
      <w:r w:rsidR="00A77D0D" w:rsidRPr="00AA7FD5">
        <w:rPr>
          <w:rFonts w:asciiTheme="minorHAnsi" w:hAnsiTheme="minorHAnsi" w:cstheme="minorHAnsi"/>
          <w:sz w:val="22"/>
        </w:rPr>
      </w:r>
      <w:r w:rsidR="00A77D0D" w:rsidRPr="00AA7FD5">
        <w:rPr>
          <w:rFonts w:asciiTheme="minorHAnsi" w:hAnsiTheme="minorHAnsi" w:cstheme="minorHAnsi"/>
          <w:sz w:val="22"/>
        </w:rPr>
        <w:fldChar w:fldCharType="separate"/>
      </w:r>
      <w:r w:rsidR="006A2C19" w:rsidRPr="006A2C19">
        <w:rPr>
          <w:rFonts w:asciiTheme="minorHAnsi" w:hAnsiTheme="minorHAnsi" w:cstheme="minorHAnsi"/>
          <w:sz w:val="22"/>
        </w:rPr>
        <w:t xml:space="preserve">Table </w:t>
      </w:r>
      <w:r w:rsidR="006A2C19" w:rsidRPr="006A2C19">
        <w:rPr>
          <w:rFonts w:asciiTheme="minorHAnsi" w:hAnsiTheme="minorHAnsi" w:cstheme="minorHAnsi"/>
          <w:noProof/>
          <w:sz w:val="22"/>
        </w:rPr>
        <w:t>2</w:t>
      </w:r>
      <w:r w:rsidR="00A77D0D" w:rsidRPr="00AA7FD5">
        <w:rPr>
          <w:rFonts w:asciiTheme="minorHAnsi" w:hAnsiTheme="minorHAnsi" w:cstheme="minorHAnsi"/>
          <w:sz w:val="22"/>
        </w:rPr>
        <w:fldChar w:fldCharType="end"/>
      </w:r>
      <w:r w:rsidR="00026280" w:rsidRPr="00AA7FD5">
        <w:rPr>
          <w:rFonts w:asciiTheme="minorHAnsi" w:hAnsiTheme="minorHAnsi" w:cstheme="minorHAnsi"/>
          <w:sz w:val="22"/>
        </w:rPr>
        <w:t xml:space="preserve"> </w:t>
      </w:r>
      <w:r w:rsidR="00026280" w:rsidRPr="00AA7FD5">
        <w:rPr>
          <w:rFonts w:asciiTheme="minorHAnsi" w:hAnsiTheme="minorHAnsi"/>
          <w:sz w:val="22"/>
        </w:rPr>
        <w:t xml:space="preserve">presents </w:t>
      </w:r>
      <w:r w:rsidR="005503DB" w:rsidRPr="00AA7FD5">
        <w:rPr>
          <w:rFonts w:asciiTheme="minorHAnsi" w:hAnsiTheme="minorHAnsi"/>
          <w:sz w:val="22"/>
        </w:rPr>
        <w:t xml:space="preserve">some </w:t>
      </w:r>
      <w:r w:rsidR="00026280" w:rsidRPr="00AA7FD5">
        <w:rPr>
          <w:rFonts w:asciiTheme="minorHAnsi" w:hAnsiTheme="minorHAnsi"/>
          <w:sz w:val="22"/>
        </w:rPr>
        <w:t xml:space="preserve">examples of </w:t>
      </w:r>
      <w:r w:rsidR="00EB7A01" w:rsidRPr="00AA7FD5">
        <w:rPr>
          <w:rFonts w:asciiTheme="minorHAnsi" w:hAnsiTheme="minorHAnsi"/>
          <w:sz w:val="22"/>
        </w:rPr>
        <w:t xml:space="preserve">potential </w:t>
      </w:r>
      <w:r w:rsidR="00026280" w:rsidRPr="00AA7FD5">
        <w:rPr>
          <w:rFonts w:asciiTheme="minorHAnsi" w:hAnsiTheme="minorHAnsi"/>
          <w:sz w:val="22"/>
        </w:rPr>
        <w:t>sector and sub-sector analyses</w:t>
      </w:r>
      <w:r w:rsidR="00EB7A01" w:rsidRPr="00AA7FD5">
        <w:rPr>
          <w:rFonts w:asciiTheme="minorHAnsi" w:hAnsiTheme="minorHAnsi"/>
          <w:sz w:val="22"/>
        </w:rPr>
        <w:t xml:space="preserve"> based on the Eurostat data</w:t>
      </w:r>
      <w:r w:rsidR="001846A0" w:rsidRPr="00AA7FD5">
        <w:rPr>
          <w:rFonts w:asciiTheme="minorHAnsi" w:hAnsiTheme="minorHAnsi"/>
          <w:sz w:val="22"/>
        </w:rPr>
        <w:t>.</w:t>
      </w:r>
      <w:r w:rsidR="005503DB" w:rsidRPr="00AA7FD5">
        <w:rPr>
          <w:rFonts w:asciiTheme="minorHAnsi" w:hAnsiTheme="minorHAnsi"/>
          <w:sz w:val="22"/>
        </w:rPr>
        <w:t xml:space="preserve"> The extent to which an economic </w:t>
      </w:r>
      <w:r w:rsidR="00775EB1">
        <w:rPr>
          <w:rFonts w:asciiTheme="minorHAnsi" w:hAnsiTheme="minorHAnsi"/>
          <w:sz w:val="22"/>
        </w:rPr>
        <w:t>indicator can be matched with an environmental</w:t>
      </w:r>
      <w:r w:rsidR="005503DB" w:rsidRPr="00AA7FD5">
        <w:rPr>
          <w:rFonts w:asciiTheme="minorHAnsi" w:hAnsiTheme="minorHAnsi"/>
          <w:sz w:val="22"/>
        </w:rPr>
        <w:t xml:space="preserve"> indicator depends also on the time series </w:t>
      </w:r>
      <w:r w:rsidR="00775EB1">
        <w:rPr>
          <w:rFonts w:asciiTheme="minorHAnsi" w:hAnsiTheme="minorHAnsi"/>
          <w:sz w:val="22"/>
        </w:rPr>
        <w:t xml:space="preserve">of </w:t>
      </w:r>
      <w:r w:rsidR="005503DB" w:rsidRPr="00AA7FD5">
        <w:rPr>
          <w:rFonts w:asciiTheme="minorHAnsi" w:hAnsiTheme="minorHAnsi"/>
          <w:sz w:val="22"/>
        </w:rPr>
        <w:t>available</w:t>
      </w:r>
      <w:r w:rsidR="00775EB1">
        <w:rPr>
          <w:rFonts w:asciiTheme="minorHAnsi" w:hAnsiTheme="minorHAnsi"/>
          <w:sz w:val="22"/>
        </w:rPr>
        <w:t xml:space="preserve"> data</w:t>
      </w:r>
      <w:r w:rsidR="005503DB" w:rsidRPr="00AA7FD5">
        <w:rPr>
          <w:rFonts w:asciiTheme="minorHAnsi" w:hAnsiTheme="minorHAnsi"/>
          <w:sz w:val="22"/>
        </w:rPr>
        <w:t>.</w:t>
      </w:r>
      <w:r w:rsidR="00D843DE" w:rsidRPr="00AA7FD5">
        <w:rPr>
          <w:rFonts w:asciiTheme="minorHAnsi" w:hAnsiTheme="minorHAnsi"/>
          <w:sz w:val="22"/>
        </w:rPr>
        <w:t xml:space="preserve"> </w:t>
      </w:r>
      <w:r w:rsidR="00775EB1">
        <w:rPr>
          <w:rFonts w:asciiTheme="minorHAnsi" w:hAnsiTheme="minorHAnsi"/>
          <w:sz w:val="22"/>
        </w:rPr>
        <w:t>When</w:t>
      </w:r>
      <w:r w:rsidR="00A12E31" w:rsidRPr="00AA7FD5">
        <w:rPr>
          <w:rFonts w:asciiTheme="minorHAnsi" w:hAnsiTheme="minorHAnsi"/>
          <w:sz w:val="22"/>
        </w:rPr>
        <w:t xml:space="preserve"> </w:t>
      </w:r>
      <w:r w:rsidR="00775EB1">
        <w:rPr>
          <w:rFonts w:asciiTheme="minorHAnsi" w:hAnsiTheme="minorHAnsi"/>
          <w:sz w:val="22"/>
        </w:rPr>
        <w:t xml:space="preserve">available </w:t>
      </w:r>
      <w:r w:rsidR="00061303" w:rsidRPr="00AA7FD5">
        <w:rPr>
          <w:rFonts w:asciiTheme="minorHAnsi" w:hAnsiTheme="minorHAnsi"/>
          <w:sz w:val="22"/>
        </w:rPr>
        <w:t xml:space="preserve">economic </w:t>
      </w:r>
      <w:r w:rsidR="00775EB1">
        <w:rPr>
          <w:rFonts w:asciiTheme="minorHAnsi" w:hAnsiTheme="minorHAnsi"/>
          <w:sz w:val="22"/>
        </w:rPr>
        <w:t>and environmental</w:t>
      </w:r>
      <w:r w:rsidR="00061303" w:rsidRPr="00AA7FD5">
        <w:rPr>
          <w:rFonts w:asciiTheme="minorHAnsi" w:hAnsiTheme="minorHAnsi"/>
          <w:sz w:val="22"/>
        </w:rPr>
        <w:t xml:space="preserve"> indicators</w:t>
      </w:r>
      <w:r w:rsidR="00775EB1">
        <w:rPr>
          <w:rFonts w:asciiTheme="minorHAnsi" w:hAnsiTheme="minorHAnsi"/>
          <w:sz w:val="22"/>
        </w:rPr>
        <w:t xml:space="preserve"> cannot be matched, </w:t>
      </w:r>
      <w:r w:rsidR="00D843DE" w:rsidRPr="00AA7FD5">
        <w:rPr>
          <w:rFonts w:asciiTheme="minorHAnsi" w:hAnsiTheme="minorHAnsi"/>
          <w:sz w:val="22"/>
        </w:rPr>
        <w:t>additional dat</w:t>
      </w:r>
      <w:r w:rsidR="00027BFD">
        <w:rPr>
          <w:rFonts w:asciiTheme="minorHAnsi" w:hAnsiTheme="minorHAnsi"/>
          <w:sz w:val="22"/>
        </w:rPr>
        <w:t>a source</w:t>
      </w:r>
      <w:r w:rsidR="004D40EF" w:rsidRPr="00AA7FD5">
        <w:rPr>
          <w:rFonts w:asciiTheme="minorHAnsi" w:hAnsiTheme="minorHAnsi"/>
          <w:sz w:val="22"/>
        </w:rPr>
        <w:t xml:space="preserve">s </w:t>
      </w:r>
      <w:r w:rsidR="00775EB1">
        <w:rPr>
          <w:rFonts w:asciiTheme="minorHAnsi" w:hAnsiTheme="minorHAnsi"/>
          <w:sz w:val="22"/>
        </w:rPr>
        <w:t xml:space="preserve">may be required </w:t>
      </w:r>
      <w:r w:rsidR="00027BFD">
        <w:rPr>
          <w:rFonts w:asciiTheme="minorHAnsi" w:hAnsiTheme="minorHAnsi"/>
          <w:sz w:val="22"/>
        </w:rPr>
        <w:t>for data augmentation</w:t>
      </w:r>
      <w:r w:rsidR="00A77D0D" w:rsidRPr="00AA7FD5">
        <w:rPr>
          <w:rFonts w:asciiTheme="minorHAnsi" w:hAnsiTheme="minorHAnsi"/>
          <w:sz w:val="22"/>
        </w:rPr>
        <w:t>.</w:t>
      </w:r>
    </w:p>
    <w:p w14:paraId="4FD8FC2D" w14:textId="15EC53C4" w:rsidR="00211C94" w:rsidRPr="00AA7FD5" w:rsidRDefault="00A77D0D" w:rsidP="00491B6E">
      <w:pPr>
        <w:pStyle w:val="Caption"/>
        <w:jc w:val="center"/>
        <w:rPr>
          <w:i w:val="0"/>
          <w:color w:val="auto"/>
          <w:sz w:val="22"/>
        </w:rPr>
      </w:pPr>
      <w:bookmarkStart w:id="47" w:name="_Ref482869253"/>
      <w:r w:rsidRPr="00AA7FD5">
        <w:rPr>
          <w:i w:val="0"/>
          <w:color w:val="auto"/>
          <w:sz w:val="22"/>
        </w:rPr>
        <w:t xml:space="preserve">Table </w:t>
      </w:r>
      <w:r w:rsidRPr="00AA7FD5">
        <w:rPr>
          <w:i w:val="0"/>
          <w:color w:val="auto"/>
          <w:sz w:val="22"/>
        </w:rPr>
        <w:fldChar w:fldCharType="begin"/>
      </w:r>
      <w:r w:rsidRPr="00AA7FD5">
        <w:rPr>
          <w:i w:val="0"/>
          <w:color w:val="auto"/>
          <w:sz w:val="22"/>
        </w:rPr>
        <w:instrText xml:space="preserve"> SEQ Table \* ARABIC </w:instrText>
      </w:r>
      <w:r w:rsidRPr="00AA7FD5">
        <w:rPr>
          <w:i w:val="0"/>
          <w:color w:val="auto"/>
          <w:sz w:val="22"/>
        </w:rPr>
        <w:fldChar w:fldCharType="separate"/>
      </w:r>
      <w:r w:rsidR="006A2C19">
        <w:rPr>
          <w:i w:val="0"/>
          <w:noProof/>
          <w:color w:val="auto"/>
          <w:sz w:val="22"/>
        </w:rPr>
        <w:t>2</w:t>
      </w:r>
      <w:r w:rsidRPr="00AA7FD5">
        <w:rPr>
          <w:i w:val="0"/>
          <w:color w:val="auto"/>
          <w:sz w:val="22"/>
        </w:rPr>
        <w:fldChar w:fldCharType="end"/>
      </w:r>
      <w:bookmarkEnd w:id="47"/>
      <w:r w:rsidR="0057494F" w:rsidRPr="00AA7FD5">
        <w:rPr>
          <w:i w:val="0"/>
          <w:color w:val="auto"/>
          <w:sz w:val="22"/>
        </w:rPr>
        <w:t>.</w:t>
      </w:r>
      <w:r w:rsidRPr="00AA7FD5">
        <w:rPr>
          <w:i w:val="0"/>
          <w:color w:val="auto"/>
          <w:sz w:val="22"/>
        </w:rPr>
        <w:t xml:space="preserve"> Example sector and environmental indicator comparisons</w:t>
      </w:r>
    </w:p>
    <w:tbl>
      <w:tblPr>
        <w:tblStyle w:val="TableGrid"/>
        <w:tblW w:w="9805" w:type="dxa"/>
        <w:tblLook w:val="04A0" w:firstRow="1" w:lastRow="0" w:firstColumn="1" w:lastColumn="0" w:noHBand="0" w:noVBand="1"/>
      </w:tblPr>
      <w:tblGrid>
        <w:gridCol w:w="2965"/>
        <w:gridCol w:w="488"/>
        <w:gridCol w:w="6352"/>
      </w:tblGrid>
      <w:tr w:rsidR="0033245F" w:rsidRPr="00E438F5" w14:paraId="3546FE4F" w14:textId="77777777" w:rsidTr="0016035D">
        <w:trPr>
          <w:tblHeader/>
        </w:trPr>
        <w:tc>
          <w:tcPr>
            <w:tcW w:w="2965" w:type="dxa"/>
            <w:tcBorders>
              <w:right w:val="nil"/>
            </w:tcBorders>
          </w:tcPr>
          <w:p w14:paraId="524F235D" w14:textId="77777777" w:rsidR="0033245F" w:rsidRPr="001846A0" w:rsidRDefault="0033245F" w:rsidP="00C926AB">
            <w:pPr>
              <w:pStyle w:val="NormalWeb"/>
              <w:spacing w:before="0" w:beforeAutospacing="0" w:after="0" w:afterAutospacing="0" w:line="276" w:lineRule="auto"/>
              <w:rPr>
                <w:rFonts w:asciiTheme="minorHAnsi" w:hAnsiTheme="minorHAnsi"/>
                <w:b/>
                <w:sz w:val="20"/>
                <w:szCs w:val="20"/>
              </w:rPr>
            </w:pPr>
            <w:r w:rsidRPr="001846A0">
              <w:rPr>
                <w:rFonts w:asciiTheme="minorHAnsi" w:hAnsiTheme="minorHAnsi"/>
                <w:b/>
                <w:sz w:val="20"/>
                <w:szCs w:val="20"/>
              </w:rPr>
              <w:t>Sector / Sub-sector</w:t>
            </w:r>
          </w:p>
        </w:tc>
        <w:tc>
          <w:tcPr>
            <w:tcW w:w="488" w:type="dxa"/>
            <w:tcBorders>
              <w:left w:val="nil"/>
              <w:right w:val="nil"/>
            </w:tcBorders>
          </w:tcPr>
          <w:p w14:paraId="410C7888" w14:textId="77777777" w:rsidR="0033245F" w:rsidRPr="001846A0" w:rsidRDefault="0033245F" w:rsidP="00400500">
            <w:pPr>
              <w:pStyle w:val="NormalWeb"/>
              <w:spacing w:before="0" w:beforeAutospacing="0" w:after="0" w:afterAutospacing="0" w:line="276" w:lineRule="auto"/>
              <w:rPr>
                <w:rFonts w:asciiTheme="minorHAnsi" w:hAnsiTheme="minorHAnsi"/>
                <w:b/>
                <w:sz w:val="20"/>
                <w:szCs w:val="20"/>
              </w:rPr>
            </w:pPr>
            <w:r w:rsidRPr="001846A0">
              <w:rPr>
                <w:rFonts w:asciiTheme="minorHAnsi" w:hAnsiTheme="minorHAnsi"/>
                <w:b/>
                <w:sz w:val="20"/>
                <w:szCs w:val="20"/>
              </w:rPr>
              <w:t>vs.</w:t>
            </w:r>
          </w:p>
        </w:tc>
        <w:tc>
          <w:tcPr>
            <w:tcW w:w="6352" w:type="dxa"/>
            <w:tcBorders>
              <w:left w:val="nil"/>
            </w:tcBorders>
          </w:tcPr>
          <w:p w14:paraId="1678D9C4" w14:textId="08801CC4" w:rsidR="0033245F" w:rsidRPr="001846A0" w:rsidRDefault="009A5E6A" w:rsidP="00560578">
            <w:pPr>
              <w:pStyle w:val="NormalWeb"/>
              <w:spacing w:before="0" w:beforeAutospacing="0" w:after="0" w:afterAutospacing="0" w:line="276" w:lineRule="auto"/>
              <w:rPr>
                <w:rFonts w:asciiTheme="minorHAnsi" w:hAnsiTheme="minorHAnsi"/>
                <w:sz w:val="20"/>
                <w:szCs w:val="20"/>
              </w:rPr>
            </w:pPr>
            <w:r>
              <w:rPr>
                <w:rFonts w:asciiTheme="minorHAnsi" w:hAnsiTheme="minorHAnsi"/>
                <w:b/>
                <w:sz w:val="20"/>
                <w:szCs w:val="20"/>
              </w:rPr>
              <w:t>Environmental</w:t>
            </w:r>
            <w:r w:rsidR="0033245F" w:rsidRPr="001846A0">
              <w:rPr>
                <w:rFonts w:asciiTheme="minorHAnsi" w:hAnsiTheme="minorHAnsi"/>
                <w:b/>
                <w:sz w:val="20"/>
                <w:szCs w:val="20"/>
              </w:rPr>
              <w:t xml:space="preserve"> Indicator </w:t>
            </w:r>
            <w:r w:rsidR="00C926AB" w:rsidRPr="001846A0">
              <w:rPr>
                <w:rFonts w:asciiTheme="minorHAnsi" w:hAnsiTheme="minorHAnsi"/>
                <w:b/>
                <w:sz w:val="20"/>
                <w:szCs w:val="20"/>
              </w:rPr>
              <w:t>Specific to S</w:t>
            </w:r>
            <w:r w:rsidR="0033245F" w:rsidRPr="001846A0">
              <w:rPr>
                <w:rFonts w:asciiTheme="minorHAnsi" w:hAnsiTheme="minorHAnsi"/>
                <w:b/>
                <w:sz w:val="20"/>
                <w:szCs w:val="20"/>
              </w:rPr>
              <w:t>ector/</w:t>
            </w:r>
            <w:r w:rsidR="00560578">
              <w:rPr>
                <w:rFonts w:asciiTheme="minorHAnsi" w:hAnsiTheme="minorHAnsi"/>
                <w:b/>
                <w:sz w:val="20"/>
                <w:szCs w:val="20"/>
              </w:rPr>
              <w:t>S</w:t>
            </w:r>
            <w:r w:rsidR="0033245F" w:rsidRPr="001846A0">
              <w:rPr>
                <w:rFonts w:asciiTheme="minorHAnsi" w:hAnsiTheme="minorHAnsi"/>
                <w:b/>
                <w:sz w:val="20"/>
                <w:szCs w:val="20"/>
              </w:rPr>
              <w:t>ubsector</w:t>
            </w:r>
          </w:p>
        </w:tc>
      </w:tr>
      <w:tr w:rsidR="0033245F" w:rsidRPr="00E438F5" w14:paraId="14EF6710" w14:textId="77777777" w:rsidTr="00C926AB">
        <w:tc>
          <w:tcPr>
            <w:tcW w:w="2965" w:type="dxa"/>
            <w:tcBorders>
              <w:right w:val="nil"/>
            </w:tcBorders>
          </w:tcPr>
          <w:p w14:paraId="7F96E8D3" w14:textId="77777777" w:rsidR="0033245F" w:rsidRPr="001846A0" w:rsidRDefault="0033245F" w:rsidP="00C926AB">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Agriculture value added</w:t>
            </w:r>
          </w:p>
        </w:tc>
        <w:tc>
          <w:tcPr>
            <w:tcW w:w="488" w:type="dxa"/>
            <w:tcBorders>
              <w:left w:val="nil"/>
              <w:right w:val="nil"/>
            </w:tcBorders>
          </w:tcPr>
          <w:p w14:paraId="5B6ED578" w14:textId="77777777" w:rsidR="0033245F" w:rsidRPr="001846A0" w:rsidRDefault="006A4A0D" w:rsidP="00211C94">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46004F4F" w14:textId="6B03AEDB" w:rsidR="0033245F" w:rsidRPr="001846A0" w:rsidRDefault="0033245F" w:rsidP="00CF06E2">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GHG, SO</w:t>
            </w:r>
            <w:r w:rsidRPr="001846A0">
              <w:rPr>
                <w:rFonts w:asciiTheme="minorHAnsi" w:hAnsiTheme="minorHAnsi"/>
                <w:sz w:val="20"/>
                <w:szCs w:val="20"/>
                <w:vertAlign w:val="subscript"/>
              </w:rPr>
              <w:t>x</w:t>
            </w:r>
            <w:r w:rsidRPr="001846A0">
              <w:rPr>
                <w:rFonts w:asciiTheme="minorHAnsi" w:hAnsiTheme="minorHAnsi"/>
                <w:sz w:val="20"/>
                <w:szCs w:val="20"/>
              </w:rPr>
              <w:t>, NO</w:t>
            </w:r>
            <w:r w:rsidRPr="001846A0">
              <w:rPr>
                <w:rFonts w:asciiTheme="minorHAnsi" w:hAnsiTheme="minorHAnsi"/>
                <w:sz w:val="20"/>
                <w:szCs w:val="20"/>
                <w:vertAlign w:val="subscript"/>
              </w:rPr>
              <w:t>x</w:t>
            </w:r>
            <w:r w:rsidRPr="001846A0">
              <w:rPr>
                <w:rFonts w:asciiTheme="minorHAnsi" w:hAnsiTheme="minorHAnsi"/>
                <w:sz w:val="20"/>
                <w:szCs w:val="20"/>
              </w:rPr>
              <w:t>, PM</w:t>
            </w:r>
            <w:r w:rsidRPr="001846A0">
              <w:rPr>
                <w:rFonts w:asciiTheme="minorHAnsi" w:hAnsiTheme="minorHAnsi"/>
                <w:sz w:val="20"/>
                <w:szCs w:val="20"/>
                <w:vertAlign w:val="subscript"/>
              </w:rPr>
              <w:t>10</w:t>
            </w:r>
            <w:r w:rsidRPr="001846A0">
              <w:rPr>
                <w:rFonts w:asciiTheme="minorHAnsi" w:hAnsiTheme="minorHAnsi"/>
                <w:sz w:val="20"/>
                <w:szCs w:val="20"/>
              </w:rPr>
              <w:t xml:space="preserve">, </w:t>
            </w:r>
            <w:r w:rsidR="00BC0910">
              <w:rPr>
                <w:rFonts w:asciiTheme="minorHAnsi" w:hAnsiTheme="minorHAnsi"/>
                <w:sz w:val="20"/>
                <w:szCs w:val="20"/>
              </w:rPr>
              <w:t xml:space="preserve">final </w:t>
            </w:r>
            <w:r w:rsidRPr="001846A0">
              <w:rPr>
                <w:rFonts w:asciiTheme="minorHAnsi" w:hAnsiTheme="minorHAnsi"/>
                <w:sz w:val="20"/>
                <w:szCs w:val="20"/>
              </w:rPr>
              <w:t>energy consumption</w:t>
            </w:r>
            <w:r w:rsidR="00ED42F9" w:rsidRPr="001846A0">
              <w:rPr>
                <w:rFonts w:asciiTheme="minorHAnsi" w:hAnsiTheme="minorHAnsi"/>
                <w:sz w:val="20"/>
                <w:szCs w:val="20"/>
              </w:rPr>
              <w:t xml:space="preserve">, environmental </w:t>
            </w:r>
            <w:r w:rsidR="00BC0910">
              <w:rPr>
                <w:rFonts w:asciiTheme="minorHAnsi" w:hAnsiTheme="minorHAnsi"/>
                <w:sz w:val="20"/>
                <w:szCs w:val="20"/>
              </w:rPr>
              <w:t xml:space="preserve">protection </w:t>
            </w:r>
            <w:r w:rsidR="00ED42F9" w:rsidRPr="001846A0">
              <w:rPr>
                <w:rFonts w:asciiTheme="minorHAnsi" w:hAnsiTheme="minorHAnsi"/>
                <w:sz w:val="20"/>
                <w:szCs w:val="20"/>
              </w:rPr>
              <w:t>expenditure, water abstraction</w:t>
            </w:r>
          </w:p>
        </w:tc>
      </w:tr>
      <w:tr w:rsidR="0033245F" w:rsidRPr="00E438F5" w14:paraId="6698A2B4" w14:textId="77777777" w:rsidTr="00C926AB">
        <w:tc>
          <w:tcPr>
            <w:tcW w:w="2965" w:type="dxa"/>
            <w:tcBorders>
              <w:right w:val="nil"/>
            </w:tcBorders>
          </w:tcPr>
          <w:p w14:paraId="3F5190BA" w14:textId="77777777" w:rsidR="0033245F" w:rsidRPr="001846A0" w:rsidRDefault="0033245F" w:rsidP="00C926AB">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Manufacturing value added</w:t>
            </w:r>
          </w:p>
        </w:tc>
        <w:tc>
          <w:tcPr>
            <w:tcW w:w="488" w:type="dxa"/>
            <w:tcBorders>
              <w:left w:val="nil"/>
              <w:right w:val="nil"/>
            </w:tcBorders>
          </w:tcPr>
          <w:p w14:paraId="372A0716" w14:textId="77777777" w:rsidR="0033245F" w:rsidRPr="001846A0" w:rsidRDefault="006A4A0D" w:rsidP="00211C94">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625EB6D3" w14:textId="6686460E" w:rsidR="0033245F" w:rsidRPr="001846A0" w:rsidRDefault="0033245F" w:rsidP="00CF06E2">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GHG</w:t>
            </w:r>
            <w:r w:rsidR="00BC0910">
              <w:rPr>
                <w:rFonts w:asciiTheme="minorHAnsi" w:hAnsiTheme="minorHAnsi"/>
                <w:sz w:val="20"/>
                <w:szCs w:val="20"/>
              </w:rPr>
              <w:t>,</w:t>
            </w:r>
            <w:r w:rsidRPr="001846A0">
              <w:rPr>
                <w:rFonts w:asciiTheme="minorHAnsi" w:hAnsiTheme="minorHAnsi"/>
                <w:sz w:val="20"/>
                <w:szCs w:val="20"/>
              </w:rPr>
              <w:t xml:space="preserve"> SO</w:t>
            </w:r>
            <w:r w:rsidRPr="001846A0">
              <w:rPr>
                <w:rFonts w:asciiTheme="minorHAnsi" w:hAnsiTheme="minorHAnsi"/>
                <w:sz w:val="20"/>
                <w:szCs w:val="20"/>
                <w:vertAlign w:val="subscript"/>
              </w:rPr>
              <w:t>x</w:t>
            </w:r>
            <w:r w:rsidRPr="001846A0">
              <w:rPr>
                <w:rFonts w:asciiTheme="minorHAnsi" w:hAnsiTheme="minorHAnsi"/>
                <w:sz w:val="20"/>
                <w:szCs w:val="20"/>
              </w:rPr>
              <w:t>, NO</w:t>
            </w:r>
            <w:r w:rsidRPr="001846A0">
              <w:rPr>
                <w:rFonts w:asciiTheme="minorHAnsi" w:hAnsiTheme="minorHAnsi"/>
                <w:sz w:val="20"/>
                <w:szCs w:val="20"/>
                <w:vertAlign w:val="subscript"/>
              </w:rPr>
              <w:t>x</w:t>
            </w:r>
            <w:r w:rsidRPr="001846A0">
              <w:rPr>
                <w:rFonts w:asciiTheme="minorHAnsi" w:hAnsiTheme="minorHAnsi"/>
                <w:sz w:val="20"/>
                <w:szCs w:val="20"/>
              </w:rPr>
              <w:t>, PM</w:t>
            </w:r>
            <w:r w:rsidRPr="001846A0">
              <w:rPr>
                <w:rFonts w:asciiTheme="minorHAnsi" w:hAnsiTheme="minorHAnsi"/>
                <w:sz w:val="20"/>
                <w:szCs w:val="20"/>
                <w:vertAlign w:val="subscript"/>
              </w:rPr>
              <w:t>10</w:t>
            </w:r>
            <w:r w:rsidRPr="001846A0">
              <w:rPr>
                <w:rFonts w:asciiTheme="minorHAnsi" w:hAnsiTheme="minorHAnsi"/>
                <w:sz w:val="20"/>
                <w:szCs w:val="20"/>
              </w:rPr>
              <w:t>,</w:t>
            </w:r>
            <w:r w:rsidR="00353836" w:rsidRPr="001846A0">
              <w:rPr>
                <w:rFonts w:asciiTheme="minorHAnsi" w:hAnsiTheme="minorHAnsi"/>
                <w:sz w:val="20"/>
                <w:szCs w:val="20"/>
              </w:rPr>
              <w:t xml:space="preserve"> environmental </w:t>
            </w:r>
            <w:r w:rsidR="00353836">
              <w:rPr>
                <w:rFonts w:asciiTheme="minorHAnsi" w:hAnsiTheme="minorHAnsi"/>
                <w:sz w:val="20"/>
                <w:szCs w:val="20"/>
              </w:rPr>
              <w:t xml:space="preserve">protection </w:t>
            </w:r>
            <w:r w:rsidR="00353836" w:rsidRPr="001846A0">
              <w:rPr>
                <w:rFonts w:asciiTheme="minorHAnsi" w:hAnsiTheme="minorHAnsi"/>
                <w:sz w:val="20"/>
                <w:szCs w:val="20"/>
              </w:rPr>
              <w:t>expenditure</w:t>
            </w:r>
            <w:r w:rsidR="00CF06E2">
              <w:rPr>
                <w:rFonts w:asciiTheme="minorHAnsi" w:hAnsiTheme="minorHAnsi"/>
                <w:sz w:val="20"/>
                <w:szCs w:val="20"/>
              </w:rPr>
              <w:t>.</w:t>
            </w:r>
          </w:p>
        </w:tc>
      </w:tr>
      <w:tr w:rsidR="00C25024" w:rsidRPr="00E438F5" w14:paraId="5E9CFEC9" w14:textId="77777777" w:rsidTr="006A4A0D">
        <w:tc>
          <w:tcPr>
            <w:tcW w:w="2965" w:type="dxa"/>
            <w:tcBorders>
              <w:right w:val="nil"/>
            </w:tcBorders>
          </w:tcPr>
          <w:p w14:paraId="08A6BC5E" w14:textId="77777777" w:rsidR="00C25024" w:rsidRPr="001846A0" w:rsidRDefault="00C25024"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Industry value added</w:t>
            </w:r>
          </w:p>
        </w:tc>
        <w:tc>
          <w:tcPr>
            <w:tcW w:w="488" w:type="dxa"/>
            <w:tcBorders>
              <w:left w:val="nil"/>
              <w:right w:val="nil"/>
            </w:tcBorders>
          </w:tcPr>
          <w:p w14:paraId="7F9527FA" w14:textId="77777777" w:rsidR="00C25024" w:rsidRPr="001846A0" w:rsidRDefault="00C25024"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182BAD1D" w14:textId="5322EEB5" w:rsidR="00C25024" w:rsidRPr="001846A0" w:rsidRDefault="00D23310" w:rsidP="00353836">
            <w:pPr>
              <w:pStyle w:val="NormalWeb"/>
              <w:spacing w:before="0" w:beforeAutospacing="0" w:after="0" w:afterAutospacing="0" w:line="276" w:lineRule="auto"/>
              <w:rPr>
                <w:rFonts w:asciiTheme="minorHAnsi" w:hAnsiTheme="minorHAnsi"/>
                <w:sz w:val="20"/>
                <w:szCs w:val="20"/>
              </w:rPr>
            </w:pPr>
            <w:r>
              <w:rPr>
                <w:rFonts w:asciiTheme="minorHAnsi" w:hAnsiTheme="minorHAnsi"/>
                <w:sz w:val="20"/>
                <w:szCs w:val="20"/>
              </w:rPr>
              <w:t>E</w:t>
            </w:r>
            <w:r w:rsidR="00353836" w:rsidRPr="001846A0">
              <w:rPr>
                <w:rFonts w:asciiTheme="minorHAnsi" w:hAnsiTheme="minorHAnsi"/>
                <w:sz w:val="20"/>
                <w:szCs w:val="20"/>
              </w:rPr>
              <w:t xml:space="preserve">nvironmental </w:t>
            </w:r>
            <w:r w:rsidR="00353836">
              <w:rPr>
                <w:rFonts w:asciiTheme="minorHAnsi" w:hAnsiTheme="minorHAnsi"/>
                <w:sz w:val="20"/>
                <w:szCs w:val="20"/>
              </w:rPr>
              <w:t xml:space="preserve">protection </w:t>
            </w:r>
            <w:r w:rsidR="00353836" w:rsidRPr="001846A0">
              <w:rPr>
                <w:rFonts w:asciiTheme="minorHAnsi" w:hAnsiTheme="minorHAnsi"/>
                <w:sz w:val="20"/>
                <w:szCs w:val="20"/>
              </w:rPr>
              <w:t xml:space="preserve">expenditure </w:t>
            </w:r>
          </w:p>
        </w:tc>
      </w:tr>
      <w:tr w:rsidR="006A4A0D" w:rsidRPr="00E438F5" w14:paraId="5090E215" w14:textId="77777777" w:rsidTr="00C926AB">
        <w:tc>
          <w:tcPr>
            <w:tcW w:w="2965" w:type="dxa"/>
            <w:tcBorders>
              <w:right w:val="nil"/>
            </w:tcBorders>
          </w:tcPr>
          <w:p w14:paraId="47E74946" w14:textId="77777777" w:rsidR="006A4A0D" w:rsidRPr="001846A0" w:rsidRDefault="006A4A0D"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Construction value added</w:t>
            </w:r>
          </w:p>
        </w:tc>
        <w:tc>
          <w:tcPr>
            <w:tcW w:w="488" w:type="dxa"/>
            <w:tcBorders>
              <w:left w:val="nil"/>
              <w:right w:val="nil"/>
            </w:tcBorders>
          </w:tcPr>
          <w:p w14:paraId="0EF2DD9F" w14:textId="77777777" w:rsidR="006A4A0D" w:rsidRPr="001846A0" w:rsidRDefault="006A4A0D"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162CD26A" w14:textId="31DAE578" w:rsidR="006A4A0D" w:rsidRPr="001846A0" w:rsidRDefault="00353836" w:rsidP="00353836">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GHG</w:t>
            </w:r>
            <w:r>
              <w:rPr>
                <w:rFonts w:asciiTheme="minorHAnsi" w:hAnsiTheme="minorHAnsi"/>
                <w:sz w:val="20"/>
                <w:szCs w:val="20"/>
              </w:rPr>
              <w:t>,</w:t>
            </w:r>
            <w:r w:rsidRPr="001846A0">
              <w:rPr>
                <w:rFonts w:asciiTheme="minorHAnsi" w:hAnsiTheme="minorHAnsi"/>
                <w:sz w:val="20"/>
                <w:szCs w:val="20"/>
              </w:rPr>
              <w:t xml:space="preserve"> SO</w:t>
            </w:r>
            <w:r w:rsidRPr="001846A0">
              <w:rPr>
                <w:rFonts w:asciiTheme="minorHAnsi" w:hAnsiTheme="minorHAnsi"/>
                <w:sz w:val="20"/>
                <w:szCs w:val="20"/>
                <w:vertAlign w:val="subscript"/>
              </w:rPr>
              <w:t>x</w:t>
            </w:r>
            <w:r w:rsidRPr="001846A0">
              <w:rPr>
                <w:rFonts w:asciiTheme="minorHAnsi" w:hAnsiTheme="minorHAnsi"/>
                <w:sz w:val="20"/>
                <w:szCs w:val="20"/>
              </w:rPr>
              <w:t>, NO</w:t>
            </w:r>
            <w:r w:rsidRPr="001846A0">
              <w:rPr>
                <w:rFonts w:asciiTheme="minorHAnsi" w:hAnsiTheme="minorHAnsi"/>
                <w:sz w:val="20"/>
                <w:szCs w:val="20"/>
                <w:vertAlign w:val="subscript"/>
              </w:rPr>
              <w:t>x</w:t>
            </w:r>
            <w:r w:rsidRPr="001846A0">
              <w:rPr>
                <w:rFonts w:asciiTheme="minorHAnsi" w:hAnsiTheme="minorHAnsi"/>
                <w:sz w:val="20"/>
                <w:szCs w:val="20"/>
              </w:rPr>
              <w:t>, PM</w:t>
            </w:r>
            <w:r w:rsidRPr="001846A0">
              <w:rPr>
                <w:rFonts w:asciiTheme="minorHAnsi" w:hAnsiTheme="minorHAnsi"/>
                <w:sz w:val="20"/>
                <w:szCs w:val="20"/>
                <w:vertAlign w:val="subscript"/>
              </w:rPr>
              <w:t>10</w:t>
            </w:r>
            <w:r w:rsidR="006A4A0D" w:rsidRPr="001846A0">
              <w:rPr>
                <w:rFonts w:asciiTheme="minorHAnsi" w:hAnsiTheme="minorHAnsi"/>
                <w:sz w:val="20"/>
                <w:szCs w:val="20"/>
              </w:rPr>
              <w:t xml:space="preserve"> </w:t>
            </w:r>
          </w:p>
        </w:tc>
      </w:tr>
      <w:tr w:rsidR="006A4A0D" w:rsidRPr="00E438F5" w14:paraId="07D11DC5" w14:textId="77777777" w:rsidTr="002B0E50">
        <w:tc>
          <w:tcPr>
            <w:tcW w:w="2965" w:type="dxa"/>
            <w:tcBorders>
              <w:right w:val="nil"/>
            </w:tcBorders>
          </w:tcPr>
          <w:p w14:paraId="613E1499" w14:textId="6DBE6920" w:rsidR="006A4A0D" w:rsidRPr="001846A0" w:rsidRDefault="00783277" w:rsidP="002B0E50">
            <w:pPr>
              <w:pStyle w:val="NormalWeb"/>
              <w:spacing w:before="0" w:beforeAutospacing="0" w:after="0" w:afterAutospacing="0" w:line="276" w:lineRule="auto"/>
              <w:rPr>
                <w:rFonts w:asciiTheme="minorHAnsi" w:hAnsiTheme="minorHAnsi"/>
                <w:sz w:val="20"/>
                <w:szCs w:val="20"/>
              </w:rPr>
            </w:pPr>
            <w:r>
              <w:rPr>
                <w:rFonts w:asciiTheme="minorHAnsi" w:hAnsiTheme="minorHAnsi"/>
                <w:sz w:val="20"/>
                <w:szCs w:val="20"/>
              </w:rPr>
              <w:t>Utilities</w:t>
            </w:r>
            <w:r w:rsidR="006A4A0D" w:rsidRPr="001846A0">
              <w:rPr>
                <w:rFonts w:asciiTheme="minorHAnsi" w:hAnsiTheme="minorHAnsi"/>
                <w:sz w:val="20"/>
                <w:szCs w:val="20"/>
              </w:rPr>
              <w:t xml:space="preserve"> value added</w:t>
            </w:r>
          </w:p>
        </w:tc>
        <w:tc>
          <w:tcPr>
            <w:tcW w:w="488" w:type="dxa"/>
            <w:tcBorders>
              <w:left w:val="nil"/>
              <w:right w:val="nil"/>
            </w:tcBorders>
          </w:tcPr>
          <w:p w14:paraId="25A90AAC" w14:textId="77777777" w:rsidR="006A4A0D" w:rsidRPr="001846A0" w:rsidRDefault="006A4A0D"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610B4133" w14:textId="77777777" w:rsidR="006A4A0D" w:rsidRPr="001846A0" w:rsidRDefault="006A4A0D" w:rsidP="00560578">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GHG</w:t>
            </w:r>
            <w:r w:rsidR="0033774E" w:rsidRPr="001846A0">
              <w:rPr>
                <w:rFonts w:asciiTheme="minorHAnsi" w:hAnsiTheme="minorHAnsi"/>
                <w:sz w:val="20"/>
                <w:szCs w:val="20"/>
              </w:rPr>
              <w:t xml:space="preserve">, </w:t>
            </w:r>
            <w:r w:rsidRPr="001846A0">
              <w:rPr>
                <w:rFonts w:asciiTheme="minorHAnsi" w:hAnsiTheme="minorHAnsi"/>
                <w:sz w:val="20"/>
                <w:szCs w:val="20"/>
              </w:rPr>
              <w:t>SO</w:t>
            </w:r>
            <w:r w:rsidRPr="001846A0">
              <w:rPr>
                <w:rFonts w:asciiTheme="minorHAnsi" w:hAnsiTheme="minorHAnsi"/>
                <w:sz w:val="20"/>
                <w:szCs w:val="20"/>
                <w:vertAlign w:val="subscript"/>
              </w:rPr>
              <w:t>x</w:t>
            </w:r>
            <w:r w:rsidRPr="001846A0">
              <w:rPr>
                <w:rFonts w:asciiTheme="minorHAnsi" w:hAnsiTheme="minorHAnsi"/>
                <w:sz w:val="20"/>
                <w:szCs w:val="20"/>
              </w:rPr>
              <w:t>, NOx, PM</w:t>
            </w:r>
            <w:r w:rsidRPr="001846A0">
              <w:rPr>
                <w:rFonts w:asciiTheme="minorHAnsi" w:hAnsiTheme="minorHAnsi"/>
                <w:sz w:val="20"/>
                <w:szCs w:val="20"/>
                <w:vertAlign w:val="subscript"/>
              </w:rPr>
              <w:t>10</w:t>
            </w:r>
            <w:r w:rsidRPr="001846A0">
              <w:rPr>
                <w:rFonts w:asciiTheme="minorHAnsi" w:hAnsiTheme="minorHAnsi"/>
                <w:sz w:val="20"/>
                <w:szCs w:val="20"/>
              </w:rPr>
              <w:t xml:space="preserve"> </w:t>
            </w:r>
          </w:p>
        </w:tc>
      </w:tr>
      <w:tr w:rsidR="006A4A0D" w:rsidRPr="00E438F5" w14:paraId="62EC441E" w14:textId="77777777" w:rsidTr="002B0E50">
        <w:tc>
          <w:tcPr>
            <w:tcW w:w="2965" w:type="dxa"/>
            <w:tcBorders>
              <w:right w:val="nil"/>
            </w:tcBorders>
          </w:tcPr>
          <w:p w14:paraId="7C6FB2AE" w14:textId="77777777" w:rsidR="006A4A0D" w:rsidRPr="001846A0" w:rsidRDefault="006A4A0D"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Mining value added</w:t>
            </w:r>
          </w:p>
        </w:tc>
        <w:tc>
          <w:tcPr>
            <w:tcW w:w="488" w:type="dxa"/>
            <w:tcBorders>
              <w:left w:val="nil"/>
              <w:right w:val="nil"/>
            </w:tcBorders>
          </w:tcPr>
          <w:p w14:paraId="6426AC2E" w14:textId="77777777" w:rsidR="006A4A0D" w:rsidRPr="001846A0" w:rsidRDefault="006A4A0D"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3AA83B00" w14:textId="3917FE5E" w:rsidR="006A4A0D" w:rsidRPr="001846A0" w:rsidRDefault="006A4A0D" w:rsidP="006F669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SO</w:t>
            </w:r>
            <w:r w:rsidRPr="001846A0">
              <w:rPr>
                <w:rFonts w:asciiTheme="minorHAnsi" w:hAnsiTheme="minorHAnsi"/>
                <w:sz w:val="20"/>
                <w:szCs w:val="20"/>
                <w:vertAlign w:val="subscript"/>
              </w:rPr>
              <w:t>x</w:t>
            </w:r>
            <w:r w:rsidRPr="001846A0">
              <w:rPr>
                <w:rFonts w:asciiTheme="minorHAnsi" w:hAnsiTheme="minorHAnsi"/>
                <w:sz w:val="20"/>
                <w:szCs w:val="20"/>
              </w:rPr>
              <w:t>, NOx, PM</w:t>
            </w:r>
            <w:r w:rsidRPr="001846A0">
              <w:rPr>
                <w:rFonts w:asciiTheme="minorHAnsi" w:hAnsiTheme="minorHAnsi"/>
                <w:sz w:val="20"/>
                <w:szCs w:val="20"/>
                <w:vertAlign w:val="subscript"/>
              </w:rPr>
              <w:t>10</w:t>
            </w:r>
            <w:r w:rsidR="00353836">
              <w:rPr>
                <w:rFonts w:asciiTheme="minorHAnsi" w:hAnsiTheme="minorHAnsi"/>
                <w:sz w:val="20"/>
                <w:szCs w:val="20"/>
              </w:rPr>
              <w:t xml:space="preserve">, </w:t>
            </w:r>
            <w:r w:rsidR="00353836" w:rsidRPr="001846A0">
              <w:rPr>
                <w:rFonts w:asciiTheme="minorHAnsi" w:hAnsiTheme="minorHAnsi"/>
                <w:sz w:val="20"/>
                <w:szCs w:val="20"/>
              </w:rPr>
              <w:t xml:space="preserve">environmental </w:t>
            </w:r>
            <w:r w:rsidR="00353836">
              <w:rPr>
                <w:rFonts w:asciiTheme="minorHAnsi" w:hAnsiTheme="minorHAnsi"/>
                <w:sz w:val="20"/>
                <w:szCs w:val="20"/>
              </w:rPr>
              <w:t xml:space="preserve">protection </w:t>
            </w:r>
            <w:r w:rsidR="00353836" w:rsidRPr="001846A0">
              <w:rPr>
                <w:rFonts w:asciiTheme="minorHAnsi" w:hAnsiTheme="minorHAnsi"/>
                <w:sz w:val="20"/>
                <w:szCs w:val="20"/>
              </w:rPr>
              <w:t>expenditure</w:t>
            </w:r>
            <w:r w:rsidRPr="001846A0">
              <w:rPr>
                <w:rFonts w:asciiTheme="minorHAnsi" w:hAnsiTheme="minorHAnsi"/>
                <w:sz w:val="20"/>
                <w:szCs w:val="20"/>
              </w:rPr>
              <w:t xml:space="preserve"> </w:t>
            </w:r>
          </w:p>
        </w:tc>
      </w:tr>
      <w:tr w:rsidR="006A4A0D" w:rsidRPr="00E438F5" w14:paraId="015546FC" w14:textId="77777777" w:rsidTr="002B0E50">
        <w:tc>
          <w:tcPr>
            <w:tcW w:w="2965" w:type="dxa"/>
            <w:tcBorders>
              <w:right w:val="nil"/>
            </w:tcBorders>
          </w:tcPr>
          <w:p w14:paraId="1CFE19ED" w14:textId="1DF844BE" w:rsidR="006A4A0D" w:rsidRPr="001846A0" w:rsidRDefault="006A4A0D" w:rsidP="00353836">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 xml:space="preserve">Transport </w:t>
            </w:r>
            <w:r w:rsidR="00353836">
              <w:rPr>
                <w:rFonts w:asciiTheme="minorHAnsi" w:hAnsiTheme="minorHAnsi"/>
                <w:sz w:val="20"/>
                <w:szCs w:val="20"/>
              </w:rPr>
              <w:t xml:space="preserve">stock of </w:t>
            </w:r>
            <w:r w:rsidR="00703318">
              <w:rPr>
                <w:rFonts w:asciiTheme="minorHAnsi" w:hAnsiTheme="minorHAnsi"/>
                <w:sz w:val="20"/>
                <w:szCs w:val="20"/>
              </w:rPr>
              <w:t>vehicles</w:t>
            </w:r>
          </w:p>
        </w:tc>
        <w:tc>
          <w:tcPr>
            <w:tcW w:w="488" w:type="dxa"/>
            <w:tcBorders>
              <w:left w:val="nil"/>
              <w:right w:val="nil"/>
            </w:tcBorders>
          </w:tcPr>
          <w:p w14:paraId="5B356992" w14:textId="77777777" w:rsidR="006A4A0D" w:rsidRPr="001846A0" w:rsidRDefault="006A4A0D"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2B1FE307" w14:textId="55F67FF5" w:rsidR="006A4A0D" w:rsidRPr="001846A0" w:rsidRDefault="00353836" w:rsidP="006F669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GHG</w:t>
            </w:r>
            <w:r>
              <w:rPr>
                <w:rFonts w:asciiTheme="minorHAnsi" w:hAnsiTheme="minorHAnsi"/>
                <w:sz w:val="20"/>
                <w:szCs w:val="20"/>
              </w:rPr>
              <w:t>,</w:t>
            </w:r>
            <w:r w:rsidRPr="001846A0">
              <w:rPr>
                <w:rFonts w:asciiTheme="minorHAnsi" w:hAnsiTheme="minorHAnsi"/>
                <w:sz w:val="20"/>
                <w:szCs w:val="20"/>
              </w:rPr>
              <w:t xml:space="preserve"> SO</w:t>
            </w:r>
            <w:r w:rsidRPr="001846A0">
              <w:rPr>
                <w:rFonts w:asciiTheme="minorHAnsi" w:hAnsiTheme="minorHAnsi"/>
                <w:sz w:val="20"/>
                <w:szCs w:val="20"/>
                <w:vertAlign w:val="subscript"/>
              </w:rPr>
              <w:t>x</w:t>
            </w:r>
            <w:r w:rsidRPr="001846A0">
              <w:rPr>
                <w:rFonts w:asciiTheme="minorHAnsi" w:hAnsiTheme="minorHAnsi"/>
                <w:sz w:val="20"/>
                <w:szCs w:val="20"/>
              </w:rPr>
              <w:t>, NO</w:t>
            </w:r>
            <w:r w:rsidRPr="001846A0">
              <w:rPr>
                <w:rFonts w:asciiTheme="minorHAnsi" w:hAnsiTheme="minorHAnsi"/>
                <w:sz w:val="20"/>
                <w:szCs w:val="20"/>
                <w:vertAlign w:val="subscript"/>
              </w:rPr>
              <w:t>x</w:t>
            </w:r>
            <w:r w:rsidRPr="001846A0">
              <w:rPr>
                <w:rFonts w:asciiTheme="minorHAnsi" w:hAnsiTheme="minorHAnsi"/>
                <w:sz w:val="20"/>
                <w:szCs w:val="20"/>
              </w:rPr>
              <w:t>, PM</w:t>
            </w:r>
            <w:r w:rsidRPr="001846A0">
              <w:rPr>
                <w:rFonts w:asciiTheme="minorHAnsi" w:hAnsiTheme="minorHAnsi"/>
                <w:sz w:val="20"/>
                <w:szCs w:val="20"/>
                <w:vertAlign w:val="subscript"/>
              </w:rPr>
              <w:t>10</w:t>
            </w:r>
            <w:r w:rsidRPr="001846A0">
              <w:rPr>
                <w:rFonts w:asciiTheme="minorHAnsi" w:hAnsiTheme="minorHAnsi"/>
                <w:sz w:val="20"/>
                <w:szCs w:val="20"/>
              </w:rPr>
              <w:t xml:space="preserve">, </w:t>
            </w:r>
            <w:r>
              <w:rPr>
                <w:rFonts w:asciiTheme="minorHAnsi" w:hAnsiTheme="minorHAnsi"/>
                <w:sz w:val="20"/>
                <w:szCs w:val="20"/>
              </w:rPr>
              <w:t xml:space="preserve">final </w:t>
            </w:r>
            <w:r w:rsidR="006A4A0D" w:rsidRPr="001846A0">
              <w:rPr>
                <w:rFonts w:asciiTheme="minorHAnsi" w:hAnsiTheme="minorHAnsi"/>
                <w:sz w:val="20"/>
                <w:szCs w:val="20"/>
              </w:rPr>
              <w:t>energy consumption</w:t>
            </w:r>
          </w:p>
        </w:tc>
      </w:tr>
      <w:tr w:rsidR="006A4A0D" w:rsidRPr="00E438F5" w14:paraId="60B43A96" w14:textId="77777777" w:rsidTr="002B0E50">
        <w:tc>
          <w:tcPr>
            <w:tcW w:w="2965" w:type="dxa"/>
            <w:tcBorders>
              <w:right w:val="nil"/>
            </w:tcBorders>
          </w:tcPr>
          <w:p w14:paraId="3F90D0F1" w14:textId="2FBEB9AC" w:rsidR="006A4A0D" w:rsidRPr="001846A0" w:rsidRDefault="006A4A0D" w:rsidP="002B0E50">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 xml:space="preserve">Households </w:t>
            </w:r>
            <w:r w:rsidR="00FD0DCF">
              <w:rPr>
                <w:rFonts w:asciiTheme="minorHAnsi" w:hAnsiTheme="minorHAnsi"/>
                <w:sz w:val="20"/>
                <w:szCs w:val="20"/>
              </w:rPr>
              <w:t xml:space="preserve">final </w:t>
            </w:r>
            <w:r w:rsidRPr="001846A0">
              <w:rPr>
                <w:rFonts w:asciiTheme="minorHAnsi" w:hAnsiTheme="minorHAnsi"/>
                <w:sz w:val="20"/>
                <w:szCs w:val="20"/>
              </w:rPr>
              <w:t>consumption</w:t>
            </w:r>
            <w:r w:rsidR="00FD0DCF">
              <w:rPr>
                <w:rFonts w:asciiTheme="minorHAnsi" w:hAnsiTheme="minorHAnsi"/>
                <w:sz w:val="20"/>
                <w:szCs w:val="20"/>
              </w:rPr>
              <w:t xml:space="preserve"> </w:t>
            </w:r>
          </w:p>
        </w:tc>
        <w:tc>
          <w:tcPr>
            <w:tcW w:w="488" w:type="dxa"/>
            <w:tcBorders>
              <w:left w:val="nil"/>
              <w:right w:val="nil"/>
            </w:tcBorders>
          </w:tcPr>
          <w:p w14:paraId="31AC8B83" w14:textId="77777777" w:rsidR="006A4A0D" w:rsidRPr="001846A0" w:rsidRDefault="006A4A0D"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4370FD5A" w14:textId="44B28A30" w:rsidR="006A4A0D" w:rsidRPr="001846A0" w:rsidRDefault="005B66B3" w:rsidP="005B66B3">
            <w:pPr>
              <w:pStyle w:val="NormalWeb"/>
              <w:spacing w:before="0" w:beforeAutospacing="0" w:after="0" w:afterAutospacing="0" w:line="276" w:lineRule="auto"/>
              <w:ind w:right="-108"/>
              <w:rPr>
                <w:rFonts w:asciiTheme="minorHAnsi" w:hAnsiTheme="minorHAnsi"/>
                <w:sz w:val="20"/>
                <w:szCs w:val="20"/>
              </w:rPr>
            </w:pPr>
            <w:r w:rsidRPr="001846A0">
              <w:rPr>
                <w:rFonts w:asciiTheme="minorHAnsi" w:hAnsiTheme="minorHAnsi"/>
                <w:sz w:val="20"/>
                <w:szCs w:val="20"/>
              </w:rPr>
              <w:t>SO</w:t>
            </w:r>
            <w:r w:rsidRPr="001846A0">
              <w:rPr>
                <w:rFonts w:asciiTheme="minorHAnsi" w:hAnsiTheme="minorHAnsi"/>
                <w:sz w:val="20"/>
                <w:szCs w:val="20"/>
                <w:vertAlign w:val="subscript"/>
              </w:rPr>
              <w:t>x</w:t>
            </w:r>
            <w:r w:rsidRPr="001846A0">
              <w:rPr>
                <w:rFonts w:asciiTheme="minorHAnsi" w:hAnsiTheme="minorHAnsi"/>
                <w:sz w:val="20"/>
                <w:szCs w:val="20"/>
              </w:rPr>
              <w:t>, NO</w:t>
            </w:r>
            <w:r w:rsidRPr="001846A0">
              <w:rPr>
                <w:rFonts w:asciiTheme="minorHAnsi" w:hAnsiTheme="minorHAnsi"/>
                <w:sz w:val="20"/>
                <w:szCs w:val="20"/>
                <w:vertAlign w:val="subscript"/>
              </w:rPr>
              <w:t>x</w:t>
            </w:r>
            <w:r w:rsidRPr="001846A0">
              <w:rPr>
                <w:rFonts w:asciiTheme="minorHAnsi" w:hAnsiTheme="minorHAnsi"/>
                <w:sz w:val="20"/>
                <w:szCs w:val="20"/>
              </w:rPr>
              <w:t>, PM</w:t>
            </w:r>
            <w:r w:rsidRPr="001846A0">
              <w:rPr>
                <w:rFonts w:asciiTheme="minorHAnsi" w:hAnsiTheme="minorHAnsi"/>
                <w:sz w:val="20"/>
                <w:szCs w:val="20"/>
                <w:vertAlign w:val="subscript"/>
              </w:rPr>
              <w:t>10</w:t>
            </w:r>
            <w:r w:rsidR="006A4A0D" w:rsidRPr="001846A0">
              <w:rPr>
                <w:rFonts w:asciiTheme="minorHAnsi" w:hAnsiTheme="minorHAnsi"/>
                <w:sz w:val="20"/>
                <w:szCs w:val="20"/>
              </w:rPr>
              <w:t xml:space="preserve">, </w:t>
            </w:r>
            <w:r w:rsidR="00FD0DCF">
              <w:rPr>
                <w:rFonts w:asciiTheme="minorHAnsi" w:hAnsiTheme="minorHAnsi"/>
                <w:sz w:val="20"/>
                <w:szCs w:val="20"/>
              </w:rPr>
              <w:t xml:space="preserve">final </w:t>
            </w:r>
            <w:r w:rsidR="006A4A0D" w:rsidRPr="001846A0">
              <w:rPr>
                <w:rFonts w:asciiTheme="minorHAnsi" w:hAnsiTheme="minorHAnsi"/>
                <w:sz w:val="20"/>
                <w:szCs w:val="20"/>
              </w:rPr>
              <w:t>energy consumption</w:t>
            </w:r>
          </w:p>
        </w:tc>
      </w:tr>
      <w:tr w:rsidR="006A4A0D" w:rsidRPr="00E438F5" w14:paraId="7137A622" w14:textId="77777777" w:rsidTr="002B0E50">
        <w:tc>
          <w:tcPr>
            <w:tcW w:w="2965" w:type="dxa"/>
            <w:tcBorders>
              <w:right w:val="nil"/>
            </w:tcBorders>
          </w:tcPr>
          <w:p w14:paraId="7D3884F9" w14:textId="77777777" w:rsidR="006A4A0D" w:rsidRPr="001846A0" w:rsidRDefault="006A4A0D" w:rsidP="002B0E50">
            <w:pPr>
              <w:pStyle w:val="NormalWeb"/>
              <w:spacing w:before="0" w:beforeAutospacing="0" w:after="0" w:afterAutospacing="0" w:line="276" w:lineRule="auto"/>
              <w:ind w:right="-108"/>
              <w:rPr>
                <w:rFonts w:asciiTheme="minorHAnsi" w:hAnsiTheme="minorHAnsi"/>
                <w:sz w:val="20"/>
                <w:szCs w:val="20"/>
              </w:rPr>
            </w:pPr>
            <w:r w:rsidRPr="001846A0">
              <w:rPr>
                <w:rFonts w:asciiTheme="minorHAnsi" w:hAnsiTheme="minorHAnsi"/>
                <w:sz w:val="20"/>
                <w:szCs w:val="20"/>
              </w:rPr>
              <w:t>Energy generation value added</w:t>
            </w:r>
          </w:p>
        </w:tc>
        <w:tc>
          <w:tcPr>
            <w:tcW w:w="488" w:type="dxa"/>
            <w:tcBorders>
              <w:left w:val="nil"/>
              <w:right w:val="nil"/>
            </w:tcBorders>
          </w:tcPr>
          <w:p w14:paraId="7C5247A7" w14:textId="77777777" w:rsidR="006A4A0D" w:rsidRPr="001846A0" w:rsidRDefault="006A4A0D" w:rsidP="006A4A0D">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7B93D3F7" w14:textId="214A9F30" w:rsidR="006A4A0D" w:rsidRPr="001846A0" w:rsidRDefault="00671655" w:rsidP="00560578">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GHG, SO</w:t>
            </w:r>
            <w:r w:rsidRPr="001846A0">
              <w:rPr>
                <w:rFonts w:asciiTheme="minorHAnsi" w:hAnsiTheme="minorHAnsi"/>
                <w:sz w:val="20"/>
                <w:szCs w:val="20"/>
                <w:vertAlign w:val="subscript"/>
              </w:rPr>
              <w:t>x</w:t>
            </w:r>
            <w:r w:rsidRPr="001846A0">
              <w:rPr>
                <w:rFonts w:asciiTheme="minorHAnsi" w:hAnsiTheme="minorHAnsi"/>
                <w:sz w:val="20"/>
                <w:szCs w:val="20"/>
              </w:rPr>
              <w:t>, NO</w:t>
            </w:r>
            <w:r w:rsidRPr="001846A0">
              <w:rPr>
                <w:rFonts w:asciiTheme="minorHAnsi" w:hAnsiTheme="minorHAnsi"/>
                <w:sz w:val="20"/>
                <w:szCs w:val="20"/>
                <w:vertAlign w:val="subscript"/>
              </w:rPr>
              <w:t>x</w:t>
            </w:r>
            <w:r w:rsidRPr="001846A0">
              <w:rPr>
                <w:rFonts w:asciiTheme="minorHAnsi" w:hAnsiTheme="minorHAnsi"/>
                <w:sz w:val="20"/>
                <w:szCs w:val="20"/>
              </w:rPr>
              <w:t>, PM</w:t>
            </w:r>
            <w:r w:rsidRPr="001846A0">
              <w:rPr>
                <w:rFonts w:asciiTheme="minorHAnsi" w:hAnsiTheme="minorHAnsi"/>
                <w:sz w:val="20"/>
                <w:szCs w:val="20"/>
                <w:vertAlign w:val="subscript"/>
              </w:rPr>
              <w:t>10</w:t>
            </w:r>
            <w:r w:rsidRPr="001846A0">
              <w:rPr>
                <w:rFonts w:asciiTheme="minorHAnsi" w:hAnsiTheme="minorHAnsi"/>
                <w:sz w:val="20"/>
                <w:szCs w:val="20"/>
              </w:rPr>
              <w:t xml:space="preserve">, environmental </w:t>
            </w:r>
            <w:r>
              <w:rPr>
                <w:rFonts w:asciiTheme="minorHAnsi" w:hAnsiTheme="minorHAnsi"/>
                <w:sz w:val="20"/>
                <w:szCs w:val="20"/>
              </w:rPr>
              <w:t xml:space="preserve">protection </w:t>
            </w:r>
            <w:r w:rsidR="003B77EB">
              <w:rPr>
                <w:rFonts w:asciiTheme="minorHAnsi" w:hAnsiTheme="minorHAnsi"/>
                <w:sz w:val="20"/>
                <w:szCs w:val="20"/>
              </w:rPr>
              <w:t>expenditure</w:t>
            </w:r>
          </w:p>
        </w:tc>
      </w:tr>
      <w:tr w:rsidR="0033245F" w:rsidRPr="00E438F5" w14:paraId="7B4CC73D" w14:textId="77777777" w:rsidTr="002B0E50">
        <w:tc>
          <w:tcPr>
            <w:tcW w:w="2965" w:type="dxa"/>
            <w:tcBorders>
              <w:right w:val="nil"/>
            </w:tcBorders>
          </w:tcPr>
          <w:p w14:paraId="7EED6CD8" w14:textId="49060A59" w:rsidR="0033245F" w:rsidRPr="001846A0" w:rsidRDefault="00ED42F9" w:rsidP="00F60711">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Services value added</w:t>
            </w:r>
          </w:p>
        </w:tc>
        <w:tc>
          <w:tcPr>
            <w:tcW w:w="488" w:type="dxa"/>
            <w:tcBorders>
              <w:left w:val="nil"/>
              <w:right w:val="nil"/>
            </w:tcBorders>
          </w:tcPr>
          <w:p w14:paraId="75759C77" w14:textId="77777777" w:rsidR="0033245F" w:rsidRPr="001846A0" w:rsidRDefault="00ED42F9" w:rsidP="00211C94">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vs.</w:t>
            </w:r>
          </w:p>
        </w:tc>
        <w:tc>
          <w:tcPr>
            <w:tcW w:w="6352" w:type="dxa"/>
            <w:tcBorders>
              <w:left w:val="nil"/>
            </w:tcBorders>
          </w:tcPr>
          <w:p w14:paraId="3C008721" w14:textId="6B95ED21" w:rsidR="0033245F" w:rsidRPr="001846A0" w:rsidRDefault="00671655" w:rsidP="00EA4605">
            <w:pPr>
              <w:pStyle w:val="NormalWeb"/>
              <w:spacing w:before="0" w:beforeAutospacing="0" w:after="0" w:afterAutospacing="0" w:line="276" w:lineRule="auto"/>
              <w:rPr>
                <w:rFonts w:asciiTheme="minorHAnsi" w:hAnsiTheme="minorHAnsi"/>
                <w:sz w:val="20"/>
                <w:szCs w:val="20"/>
              </w:rPr>
            </w:pPr>
            <w:r w:rsidRPr="001846A0">
              <w:rPr>
                <w:rFonts w:asciiTheme="minorHAnsi" w:hAnsiTheme="minorHAnsi"/>
                <w:sz w:val="20"/>
                <w:szCs w:val="20"/>
              </w:rPr>
              <w:t>SO</w:t>
            </w:r>
            <w:r w:rsidRPr="001846A0">
              <w:rPr>
                <w:rFonts w:asciiTheme="minorHAnsi" w:hAnsiTheme="minorHAnsi"/>
                <w:sz w:val="20"/>
                <w:szCs w:val="20"/>
                <w:vertAlign w:val="subscript"/>
              </w:rPr>
              <w:t>x</w:t>
            </w:r>
            <w:r w:rsidRPr="001846A0">
              <w:rPr>
                <w:rFonts w:asciiTheme="minorHAnsi" w:hAnsiTheme="minorHAnsi"/>
                <w:sz w:val="20"/>
                <w:szCs w:val="20"/>
              </w:rPr>
              <w:t>, NO</w:t>
            </w:r>
            <w:r w:rsidRPr="001846A0">
              <w:rPr>
                <w:rFonts w:asciiTheme="minorHAnsi" w:hAnsiTheme="minorHAnsi"/>
                <w:sz w:val="20"/>
                <w:szCs w:val="20"/>
                <w:vertAlign w:val="subscript"/>
              </w:rPr>
              <w:t>x</w:t>
            </w:r>
            <w:r w:rsidRPr="001846A0">
              <w:rPr>
                <w:rFonts w:asciiTheme="minorHAnsi" w:hAnsiTheme="minorHAnsi"/>
                <w:sz w:val="20"/>
                <w:szCs w:val="20"/>
              </w:rPr>
              <w:t>, PM</w:t>
            </w:r>
            <w:r w:rsidRPr="001846A0">
              <w:rPr>
                <w:rFonts w:asciiTheme="minorHAnsi" w:hAnsiTheme="minorHAnsi"/>
                <w:sz w:val="20"/>
                <w:szCs w:val="20"/>
                <w:vertAlign w:val="subscript"/>
              </w:rPr>
              <w:t>10</w:t>
            </w:r>
          </w:p>
        </w:tc>
      </w:tr>
    </w:tbl>
    <w:p w14:paraId="1852645D" w14:textId="05FE3178" w:rsidR="0033774E" w:rsidRPr="00E438F5" w:rsidRDefault="005503DB" w:rsidP="0095351E">
      <w:pPr>
        <w:pStyle w:val="NormalWeb"/>
        <w:spacing w:before="0" w:beforeAutospacing="0" w:after="0" w:afterAutospacing="0" w:line="276" w:lineRule="auto"/>
        <w:rPr>
          <w:rFonts w:asciiTheme="minorHAnsi" w:hAnsiTheme="minorHAnsi"/>
          <w:sz w:val="20"/>
          <w:szCs w:val="20"/>
        </w:rPr>
      </w:pPr>
      <w:r>
        <w:rPr>
          <w:rFonts w:asciiTheme="minorHAnsi" w:hAnsiTheme="minorHAnsi"/>
          <w:sz w:val="20"/>
          <w:szCs w:val="20"/>
        </w:rPr>
        <w:t>Source</w:t>
      </w:r>
      <w:r w:rsidR="0033774E" w:rsidRPr="00E438F5">
        <w:rPr>
          <w:rFonts w:asciiTheme="minorHAnsi" w:hAnsiTheme="minorHAnsi"/>
          <w:sz w:val="20"/>
          <w:szCs w:val="20"/>
        </w:rPr>
        <w:t>:</w:t>
      </w:r>
      <w:r>
        <w:rPr>
          <w:rFonts w:asciiTheme="minorHAnsi" w:hAnsiTheme="minorHAnsi"/>
          <w:sz w:val="20"/>
          <w:szCs w:val="20"/>
        </w:rPr>
        <w:t xml:space="preserve"> Eurostat and</w:t>
      </w:r>
      <w:r w:rsidR="00783277">
        <w:rPr>
          <w:rFonts w:asciiTheme="minorHAnsi" w:hAnsiTheme="minorHAnsi"/>
          <w:sz w:val="20"/>
          <w:szCs w:val="20"/>
        </w:rPr>
        <w:t xml:space="preserve"> EEA in the case of GHGs</w:t>
      </w:r>
      <w:r w:rsidR="0095351E" w:rsidRPr="005503DB">
        <w:rPr>
          <w:rFonts w:asciiTheme="minorHAnsi" w:eastAsiaTheme="minorEastAsia" w:hAnsiTheme="minorHAnsi"/>
          <w:color w:val="000000"/>
          <w:kern w:val="24"/>
          <w:sz w:val="20"/>
          <w:szCs w:val="20"/>
        </w:rPr>
        <w:t>.</w:t>
      </w:r>
    </w:p>
    <w:p w14:paraId="2BE101D4" w14:textId="246EE568" w:rsidR="00026280" w:rsidRPr="00AA7FD5" w:rsidRDefault="00ED42F9" w:rsidP="00A77D0D">
      <w:pPr>
        <w:pStyle w:val="NormalWeb"/>
        <w:spacing w:before="240" w:beforeAutospacing="0" w:after="240" w:afterAutospacing="0" w:line="276" w:lineRule="auto"/>
        <w:jc w:val="both"/>
        <w:rPr>
          <w:rFonts w:asciiTheme="minorHAnsi" w:hAnsiTheme="minorHAnsi"/>
          <w:sz w:val="22"/>
        </w:rPr>
      </w:pPr>
      <w:r w:rsidRPr="00AA7FD5">
        <w:rPr>
          <w:rFonts w:asciiTheme="minorHAnsi" w:hAnsiTheme="minorHAnsi"/>
          <w:sz w:val="22"/>
        </w:rPr>
        <w:t xml:space="preserve">In cases where </w:t>
      </w:r>
      <w:r w:rsidR="00B72FDE" w:rsidRPr="00AA7FD5">
        <w:rPr>
          <w:rFonts w:asciiTheme="minorHAnsi" w:hAnsiTheme="minorHAnsi"/>
          <w:sz w:val="22"/>
        </w:rPr>
        <w:t xml:space="preserve">data for </w:t>
      </w:r>
      <w:r w:rsidR="009A5E6A">
        <w:rPr>
          <w:rFonts w:asciiTheme="minorHAnsi" w:hAnsiTheme="minorHAnsi"/>
          <w:sz w:val="22"/>
        </w:rPr>
        <w:t>economic and environmental</w:t>
      </w:r>
      <w:r w:rsidRPr="00AA7FD5">
        <w:rPr>
          <w:rFonts w:asciiTheme="minorHAnsi" w:hAnsiTheme="minorHAnsi"/>
          <w:sz w:val="22"/>
        </w:rPr>
        <w:t xml:space="preserve"> indicator</w:t>
      </w:r>
      <w:r w:rsidR="00B72FDE" w:rsidRPr="00AA7FD5">
        <w:rPr>
          <w:rFonts w:asciiTheme="minorHAnsi" w:hAnsiTheme="minorHAnsi"/>
          <w:sz w:val="22"/>
        </w:rPr>
        <w:t>s</w:t>
      </w:r>
      <w:r w:rsidRPr="00AA7FD5">
        <w:rPr>
          <w:rFonts w:asciiTheme="minorHAnsi" w:hAnsiTheme="minorHAnsi"/>
          <w:sz w:val="22"/>
        </w:rPr>
        <w:t xml:space="preserve"> are obtained from different sources, </w:t>
      </w:r>
      <w:r w:rsidR="001C6487" w:rsidRPr="00AA7FD5">
        <w:rPr>
          <w:rFonts w:asciiTheme="minorHAnsi" w:hAnsiTheme="minorHAnsi"/>
          <w:sz w:val="22"/>
        </w:rPr>
        <w:t xml:space="preserve">sector/sub-sector classifications may </w:t>
      </w:r>
      <w:r w:rsidRPr="00AA7FD5">
        <w:rPr>
          <w:rFonts w:asciiTheme="minorHAnsi" w:hAnsiTheme="minorHAnsi"/>
          <w:sz w:val="22"/>
        </w:rPr>
        <w:t>not be fully compatible</w:t>
      </w:r>
      <w:r w:rsidR="001C6487" w:rsidRPr="00AA7FD5">
        <w:rPr>
          <w:rFonts w:asciiTheme="minorHAnsi" w:hAnsiTheme="minorHAnsi"/>
          <w:sz w:val="22"/>
        </w:rPr>
        <w:t>.</w:t>
      </w:r>
      <w:r w:rsidR="009A5E6A">
        <w:rPr>
          <w:rFonts w:asciiTheme="minorHAnsi" w:hAnsiTheme="minorHAnsi"/>
          <w:sz w:val="22"/>
        </w:rPr>
        <w:t xml:space="preserve"> For example, </w:t>
      </w:r>
      <w:r w:rsidR="001066A6">
        <w:rPr>
          <w:rFonts w:asciiTheme="minorHAnsi" w:hAnsiTheme="minorHAnsi"/>
          <w:sz w:val="22"/>
        </w:rPr>
        <w:t>diagnostic analyses for</w:t>
      </w:r>
      <w:r w:rsidR="001066A6" w:rsidRPr="00AA7FD5">
        <w:rPr>
          <w:rFonts w:asciiTheme="minorHAnsi" w:hAnsiTheme="minorHAnsi"/>
          <w:sz w:val="22"/>
        </w:rPr>
        <w:t xml:space="preserve"> </w:t>
      </w:r>
      <w:r w:rsidR="00536D8D" w:rsidRPr="00AA7FD5">
        <w:rPr>
          <w:rFonts w:asciiTheme="minorHAnsi" w:hAnsiTheme="minorHAnsi"/>
          <w:sz w:val="22"/>
        </w:rPr>
        <w:t>Bulgaria, Croatia</w:t>
      </w:r>
      <w:r w:rsidR="001066A6">
        <w:rPr>
          <w:rFonts w:asciiTheme="minorHAnsi" w:hAnsiTheme="minorHAnsi"/>
          <w:sz w:val="22"/>
        </w:rPr>
        <w:t>,</w:t>
      </w:r>
      <w:r w:rsidR="00536D8D" w:rsidRPr="00AA7FD5">
        <w:rPr>
          <w:rFonts w:asciiTheme="minorHAnsi" w:hAnsiTheme="minorHAnsi"/>
          <w:sz w:val="22"/>
        </w:rPr>
        <w:t xml:space="preserve"> and </w:t>
      </w:r>
      <w:r w:rsidR="00494A82">
        <w:rPr>
          <w:rFonts w:asciiTheme="minorHAnsi" w:hAnsiTheme="minorHAnsi"/>
          <w:sz w:val="22"/>
        </w:rPr>
        <w:t>Romania</w:t>
      </w:r>
      <w:r w:rsidR="001066A6">
        <w:rPr>
          <w:rFonts w:asciiTheme="minorHAnsi" w:hAnsiTheme="minorHAnsi"/>
          <w:sz w:val="22"/>
        </w:rPr>
        <w:t xml:space="preserve"> required</w:t>
      </w:r>
      <w:r w:rsidRPr="00AA7FD5">
        <w:rPr>
          <w:rFonts w:asciiTheme="minorHAnsi" w:hAnsiTheme="minorHAnsi"/>
          <w:sz w:val="22"/>
        </w:rPr>
        <w:t xml:space="preserve"> data for GHG emissions were sourced from </w:t>
      </w:r>
      <w:r w:rsidR="0021127C" w:rsidRPr="00AA7FD5">
        <w:rPr>
          <w:rFonts w:asciiTheme="minorHAnsi" w:hAnsiTheme="minorHAnsi"/>
          <w:sz w:val="22"/>
        </w:rPr>
        <w:t xml:space="preserve">the </w:t>
      </w:r>
      <w:r w:rsidR="009430C7" w:rsidRPr="00AA7FD5">
        <w:rPr>
          <w:rFonts w:asciiTheme="minorHAnsi" w:hAnsiTheme="minorHAnsi"/>
          <w:sz w:val="22"/>
        </w:rPr>
        <w:t>European</w:t>
      </w:r>
      <w:r w:rsidR="0021127C" w:rsidRPr="00AA7FD5">
        <w:rPr>
          <w:rFonts w:asciiTheme="minorHAnsi" w:hAnsiTheme="minorHAnsi"/>
          <w:sz w:val="22"/>
        </w:rPr>
        <w:t xml:space="preserve"> Energy </w:t>
      </w:r>
      <w:r w:rsidR="0021127C" w:rsidRPr="00AA7FD5">
        <w:rPr>
          <w:rFonts w:asciiTheme="minorHAnsi" w:hAnsiTheme="minorHAnsi"/>
          <w:sz w:val="22"/>
        </w:rPr>
        <w:lastRenderedPageBreak/>
        <w:t>Agency</w:t>
      </w:r>
      <w:r w:rsidR="009430C7" w:rsidRPr="00AA7FD5">
        <w:rPr>
          <w:rFonts w:asciiTheme="minorHAnsi" w:hAnsiTheme="minorHAnsi"/>
          <w:sz w:val="22"/>
        </w:rPr>
        <w:t xml:space="preserve">, </w:t>
      </w:r>
      <w:r w:rsidR="0021127C" w:rsidRPr="00AA7FD5">
        <w:rPr>
          <w:rFonts w:asciiTheme="minorHAnsi" w:hAnsiTheme="minorHAnsi"/>
          <w:sz w:val="22"/>
        </w:rPr>
        <w:t xml:space="preserve">which has GHG emissions data for “energy industries”, </w:t>
      </w:r>
      <w:r w:rsidR="001C6487" w:rsidRPr="00AA7FD5">
        <w:rPr>
          <w:rFonts w:asciiTheme="minorHAnsi" w:hAnsiTheme="minorHAnsi"/>
          <w:sz w:val="22"/>
        </w:rPr>
        <w:t>while economic data were obtained from Eurostat</w:t>
      </w:r>
      <w:r w:rsidR="0021127C" w:rsidRPr="00AA7FD5">
        <w:rPr>
          <w:rFonts w:asciiTheme="minorHAnsi" w:hAnsiTheme="minorHAnsi"/>
          <w:sz w:val="22"/>
        </w:rPr>
        <w:t xml:space="preserve">, which </w:t>
      </w:r>
      <w:r w:rsidR="00A77D0D" w:rsidRPr="00AA7FD5">
        <w:rPr>
          <w:rFonts w:asciiTheme="minorHAnsi" w:hAnsiTheme="minorHAnsi"/>
          <w:sz w:val="22"/>
        </w:rPr>
        <w:t xml:space="preserve">has </w:t>
      </w:r>
      <w:r w:rsidR="0021127C" w:rsidRPr="00AA7FD5">
        <w:rPr>
          <w:rFonts w:asciiTheme="minorHAnsi" w:hAnsiTheme="minorHAnsi"/>
          <w:sz w:val="22"/>
        </w:rPr>
        <w:t>value added data for “electricity” only</w:t>
      </w:r>
      <w:r w:rsidR="001C6487" w:rsidRPr="00AA7FD5">
        <w:rPr>
          <w:rFonts w:asciiTheme="minorHAnsi" w:hAnsiTheme="minorHAnsi"/>
          <w:sz w:val="22"/>
        </w:rPr>
        <w:t xml:space="preserve">. </w:t>
      </w:r>
      <w:r w:rsidR="00F91BCA" w:rsidRPr="00AA7FD5">
        <w:rPr>
          <w:rFonts w:asciiTheme="minorHAnsi" w:hAnsiTheme="minorHAnsi"/>
          <w:sz w:val="22"/>
        </w:rPr>
        <w:t xml:space="preserve">Nevertheless, in </w:t>
      </w:r>
      <w:r w:rsidR="00536D8D" w:rsidRPr="00AA7FD5">
        <w:rPr>
          <w:rFonts w:asciiTheme="minorHAnsi" w:hAnsiTheme="minorHAnsi"/>
          <w:sz w:val="22"/>
        </w:rPr>
        <w:t>these countries</w:t>
      </w:r>
      <w:r w:rsidR="007A3BCE" w:rsidRPr="00AA7FD5">
        <w:rPr>
          <w:rFonts w:asciiTheme="minorHAnsi" w:hAnsiTheme="minorHAnsi"/>
          <w:sz w:val="22"/>
        </w:rPr>
        <w:t>,</w:t>
      </w:r>
      <w:r w:rsidR="00F91BCA" w:rsidRPr="00AA7FD5">
        <w:rPr>
          <w:rFonts w:asciiTheme="minorHAnsi" w:hAnsiTheme="minorHAnsi"/>
          <w:sz w:val="22"/>
        </w:rPr>
        <w:t xml:space="preserve"> electricity is the dominant form of e</w:t>
      </w:r>
      <w:r w:rsidR="00494A82">
        <w:rPr>
          <w:rFonts w:asciiTheme="minorHAnsi" w:hAnsiTheme="minorHAnsi"/>
          <w:sz w:val="22"/>
        </w:rPr>
        <w:t xml:space="preserve">nergy generated; therefore, </w:t>
      </w:r>
      <w:r w:rsidR="00F91BCA" w:rsidRPr="00AA7FD5">
        <w:rPr>
          <w:rFonts w:asciiTheme="minorHAnsi" w:hAnsiTheme="minorHAnsi"/>
          <w:sz w:val="22"/>
        </w:rPr>
        <w:t xml:space="preserve">two datasets </w:t>
      </w:r>
      <w:r w:rsidR="00494A82">
        <w:rPr>
          <w:rFonts w:asciiTheme="minorHAnsi" w:hAnsiTheme="minorHAnsi"/>
          <w:sz w:val="22"/>
        </w:rPr>
        <w:t>could be combined</w:t>
      </w:r>
      <w:r w:rsidR="0095351E" w:rsidRPr="00AA7FD5">
        <w:rPr>
          <w:rFonts w:asciiTheme="minorHAnsi" w:hAnsiTheme="minorHAnsi"/>
          <w:sz w:val="22"/>
        </w:rPr>
        <w:t xml:space="preserve"> </w:t>
      </w:r>
      <w:r w:rsidR="005F78C9">
        <w:rPr>
          <w:rFonts w:asciiTheme="minorHAnsi" w:hAnsiTheme="minorHAnsi"/>
          <w:sz w:val="22"/>
        </w:rPr>
        <w:fldChar w:fldCharType="begin"/>
      </w:r>
      <w:r w:rsidR="005F78C9">
        <w:rPr>
          <w:rFonts w:asciiTheme="minorHAnsi" w:hAnsiTheme="minorHAnsi"/>
          <w:sz w:val="22"/>
        </w:rPr>
        <w:instrText xml:space="preserve"> ADDIN ZOTERO_ITEM CSL_CITATION {"citationID":"sEokhFzj","properties":{"formattedCitation":"(World Bank 2016b, 2016c, 2016d)","plainCitation":"(World Bank 2016b, 2016c, 2016d)"},"citationItems":[{"id":6754,"uris":["http://zotero.org/users/3805591/items/PAU8J2MH"],"uri":["http://zotero.org/users/3805591/items/PAU8J2MH"],"itemData":{"id":6754,"type":"report","title":"Green Growth in the European Union: Bulgaria. Phase 1 Diagnostic Results and Observations","genre":"Powerpoint","author":[{"literal":"World Bank"}],"issued":{"date-parts":[["2016"]]}}},{"id":6757,"uris":["http://zotero.org/users/3805591/items/SQUCX7AG"],"uri":["http://zotero.org/users/3805591/items/SQUCX7AG"],"itemData":{"id":6757,"type":"report","title":"Green Growth in the European Union: Croatia. Phase 1 Diagnostic Results and Observations","author":[{"literal":"World Bank"}],"issued":{"date-parts":[["2016"]]}}},{"id":6758,"uris":["http://zotero.org/users/3805591/items/6ERN8CUR"],"uri":["http://zotero.org/users/3805591/items/6ERN8CUR"],"itemData":{"id":6758,"type":"report","title":"Green Growth in the European Union: Romania. Phase 1 Diagnostic Results and Observations","author":[{"literal":"World Bank"}],"issued":{"date-parts":[["2016"]]}}}],"schema":"https://github.com/citation-style-language/schema/raw/master/csl-citation.json"} </w:instrText>
      </w:r>
      <w:r w:rsidR="005F78C9">
        <w:rPr>
          <w:rFonts w:asciiTheme="minorHAnsi" w:hAnsiTheme="minorHAnsi"/>
          <w:sz w:val="22"/>
        </w:rPr>
        <w:fldChar w:fldCharType="separate"/>
      </w:r>
      <w:r w:rsidR="005F78C9" w:rsidRPr="005F78C9">
        <w:rPr>
          <w:rFonts w:ascii="Calibri" w:hAnsi="Calibri" w:cs="Calibri"/>
          <w:sz w:val="22"/>
        </w:rPr>
        <w:t>(World Bank 2016b, 2016c, 2016d)</w:t>
      </w:r>
      <w:r w:rsidR="005F78C9">
        <w:rPr>
          <w:rFonts w:asciiTheme="minorHAnsi" w:hAnsiTheme="minorHAnsi"/>
          <w:sz w:val="22"/>
        </w:rPr>
        <w:fldChar w:fldCharType="end"/>
      </w:r>
      <w:r w:rsidR="003C7C20" w:rsidRPr="00AA7FD5">
        <w:rPr>
          <w:rFonts w:asciiTheme="minorHAnsi" w:hAnsiTheme="minorHAnsi"/>
          <w:sz w:val="22"/>
        </w:rPr>
        <w:t>.</w:t>
      </w:r>
    </w:p>
    <w:p w14:paraId="7CB25977" w14:textId="1543C581" w:rsidR="00A806AE" w:rsidRPr="00AA7FD5" w:rsidRDefault="002942C0" w:rsidP="001E25CC">
      <w:pPr>
        <w:pStyle w:val="Heading3"/>
      </w:pPr>
      <w:bookmarkStart w:id="48" w:name="_Toc508020584"/>
      <w:r w:rsidRPr="00AA7FD5">
        <w:t>Presentation and Functionality</w:t>
      </w:r>
      <w:bookmarkEnd w:id="48"/>
    </w:p>
    <w:p w14:paraId="7CFA9D6C" w14:textId="18BE5A28" w:rsidR="00001713" w:rsidRPr="00AA7FD5" w:rsidRDefault="0020778C" w:rsidP="00490699">
      <w:pPr>
        <w:pStyle w:val="NormalWeb"/>
        <w:spacing w:before="0" w:beforeAutospacing="0" w:after="160" w:afterAutospacing="0" w:line="276" w:lineRule="auto"/>
        <w:jc w:val="both"/>
        <w:rPr>
          <w:rFonts w:asciiTheme="minorHAnsi" w:hAnsiTheme="minorHAnsi"/>
          <w:sz w:val="22"/>
        </w:rPr>
      </w:pPr>
      <w:r>
        <w:rPr>
          <w:rFonts w:ascii="Calibri" w:hAnsi="Calibri"/>
          <w:sz w:val="22"/>
        </w:rPr>
        <w:t xml:space="preserve">The methodology used here </w:t>
      </w:r>
      <w:r w:rsidR="00927E22" w:rsidRPr="00AA7FD5">
        <w:rPr>
          <w:rFonts w:ascii="Calibri" w:hAnsi="Calibri"/>
          <w:sz w:val="22"/>
        </w:rPr>
        <w:t>buil</w:t>
      </w:r>
      <w:r>
        <w:rPr>
          <w:rFonts w:ascii="Calibri" w:hAnsi="Calibri"/>
          <w:sz w:val="22"/>
        </w:rPr>
        <w:t>ds</w:t>
      </w:r>
      <w:r w:rsidR="00927E22" w:rsidRPr="00AA7FD5">
        <w:rPr>
          <w:rFonts w:ascii="Calibri" w:hAnsi="Calibri"/>
          <w:sz w:val="22"/>
        </w:rPr>
        <w:t xml:space="preserve"> </w:t>
      </w:r>
      <w:r>
        <w:rPr>
          <w:rFonts w:ascii="Calibri" w:hAnsi="Calibri"/>
          <w:sz w:val="22"/>
        </w:rPr>
        <w:t>on</w:t>
      </w:r>
      <w:r w:rsidR="00927E22" w:rsidRPr="00AA7FD5">
        <w:rPr>
          <w:rFonts w:ascii="Calibri" w:hAnsi="Calibri"/>
          <w:sz w:val="22"/>
        </w:rPr>
        <w:t xml:space="preserve"> the concept of </w:t>
      </w:r>
      <w:r w:rsidR="005542A0" w:rsidRPr="00AA7FD5">
        <w:rPr>
          <w:rFonts w:ascii="Calibri" w:hAnsi="Calibri"/>
          <w:sz w:val="22"/>
        </w:rPr>
        <w:t>decoupling between economic growth and</w:t>
      </w:r>
      <w:r w:rsidR="000A128E" w:rsidRPr="00AA7FD5">
        <w:rPr>
          <w:rFonts w:ascii="Calibri" w:hAnsi="Calibri"/>
          <w:sz w:val="22"/>
        </w:rPr>
        <w:t xml:space="preserve"> the growth of </w:t>
      </w:r>
      <w:r>
        <w:rPr>
          <w:rFonts w:ascii="Calibri" w:hAnsi="Calibri"/>
          <w:sz w:val="22"/>
        </w:rPr>
        <w:t xml:space="preserve">negative </w:t>
      </w:r>
      <w:r w:rsidR="000A128E" w:rsidRPr="00AA7FD5">
        <w:rPr>
          <w:rFonts w:ascii="Calibri" w:hAnsi="Calibri"/>
          <w:sz w:val="22"/>
        </w:rPr>
        <w:t>environmental</w:t>
      </w:r>
      <w:r>
        <w:rPr>
          <w:rFonts w:ascii="Calibri" w:hAnsi="Calibri"/>
          <w:sz w:val="22"/>
        </w:rPr>
        <w:t xml:space="preserve"> externalities</w:t>
      </w:r>
      <w:r w:rsidR="005542A0" w:rsidRPr="00AA7FD5">
        <w:rPr>
          <w:rFonts w:ascii="Calibri" w:hAnsi="Calibri"/>
          <w:sz w:val="22"/>
        </w:rPr>
        <w:t xml:space="preserve">. </w:t>
      </w:r>
      <w:r w:rsidR="00E166EA" w:rsidRPr="00AA7FD5">
        <w:rPr>
          <w:rFonts w:ascii="Calibri" w:hAnsi="Calibri"/>
          <w:sz w:val="22"/>
        </w:rPr>
        <w:t>In the context of Green Growth, d</w:t>
      </w:r>
      <w:r w:rsidR="002838F3" w:rsidRPr="00AA7FD5">
        <w:rPr>
          <w:rFonts w:ascii="Calibri" w:hAnsi="Calibri"/>
          <w:sz w:val="22"/>
        </w:rPr>
        <w:t xml:space="preserve">ecoupling </w:t>
      </w:r>
      <w:r w:rsidR="002178C5" w:rsidRPr="00AA7FD5">
        <w:rPr>
          <w:rFonts w:ascii="Calibri" w:hAnsi="Calibri"/>
          <w:sz w:val="22"/>
        </w:rPr>
        <w:t xml:space="preserve">is defined as </w:t>
      </w:r>
      <w:r w:rsidR="002838F3" w:rsidRPr="00AA7FD5">
        <w:rPr>
          <w:rFonts w:ascii="Calibri" w:hAnsi="Calibri"/>
          <w:sz w:val="22"/>
        </w:rPr>
        <w:t>using fewer resources per unit of economic output</w:t>
      </w:r>
      <w:r w:rsidR="001500DF" w:rsidRPr="00AA7FD5">
        <w:rPr>
          <w:rFonts w:ascii="Calibri" w:hAnsi="Calibri"/>
          <w:sz w:val="22"/>
        </w:rPr>
        <w:t xml:space="preserve"> (resource decoupling)</w:t>
      </w:r>
      <w:r w:rsidR="002838F3" w:rsidRPr="00AA7FD5">
        <w:rPr>
          <w:rFonts w:ascii="Calibri" w:hAnsi="Calibri"/>
          <w:sz w:val="22"/>
        </w:rPr>
        <w:t xml:space="preserve"> and reducing the </w:t>
      </w:r>
      <w:r w:rsidR="00001713" w:rsidRPr="00AA7FD5">
        <w:rPr>
          <w:rFonts w:ascii="Calibri" w:hAnsi="Calibri"/>
          <w:sz w:val="22"/>
        </w:rPr>
        <w:t xml:space="preserve">negative </w:t>
      </w:r>
      <w:r w:rsidR="002838F3" w:rsidRPr="00AA7FD5">
        <w:rPr>
          <w:rFonts w:ascii="Calibri" w:hAnsi="Calibri"/>
          <w:sz w:val="22"/>
        </w:rPr>
        <w:t>environmental impact of any resources</w:t>
      </w:r>
      <w:r w:rsidR="002838F3" w:rsidRPr="00AA7FD5">
        <w:rPr>
          <w:rFonts w:asciiTheme="minorHAnsi" w:hAnsiTheme="minorHAnsi"/>
          <w:sz w:val="22"/>
        </w:rPr>
        <w:t xml:space="preserve"> used or economic activities undertaken</w:t>
      </w:r>
      <w:r w:rsidR="001500DF" w:rsidRPr="00AA7FD5">
        <w:rPr>
          <w:rFonts w:asciiTheme="minorHAnsi" w:hAnsiTheme="minorHAnsi"/>
          <w:sz w:val="22"/>
        </w:rPr>
        <w:t xml:space="preserve"> (impact decoupling)</w:t>
      </w:r>
      <w:r w:rsidR="002838F3" w:rsidRPr="00AA7FD5">
        <w:rPr>
          <w:rFonts w:asciiTheme="minorHAnsi" w:hAnsiTheme="minorHAnsi"/>
          <w:sz w:val="22"/>
        </w:rPr>
        <w:t xml:space="preserve"> </w:t>
      </w:r>
      <w:r w:rsidR="005F78C9">
        <w:rPr>
          <w:rFonts w:asciiTheme="minorHAnsi" w:hAnsiTheme="minorHAnsi"/>
          <w:sz w:val="22"/>
        </w:rPr>
        <w:fldChar w:fldCharType="begin"/>
      </w:r>
      <w:r w:rsidR="005F78C9">
        <w:rPr>
          <w:rFonts w:asciiTheme="minorHAnsi" w:hAnsiTheme="minorHAnsi"/>
          <w:sz w:val="22"/>
        </w:rPr>
        <w:instrText xml:space="preserve"> ADDIN ZOTERO_ITEM CSL_CITATION {"citationID":"kyGEJbsw","properties":{"formattedCitation":"(UNEP 2011a)","plainCitation":"(UNEP 2011a)"},"citationItems":[{"id":6753,"uris":["http://zotero.org/users/3805591/items/RHEFTIXM"],"uri":["http://zotero.org/users/3805591/items/RHEFTIXM"],"itemData":{"id":6753,"type":"report","title":"Decoupling natural resource use and environmental impacts from economic growth","publisher":"Fischer-Kowalski, M., Swilling, M.von Weizsäcker, E.U., Ren, Y., Moriguchi, Y., Crane, W., Krausmann, F., Eisenmenger, N., Giljum, S., Hennicke, P., Romero Lankao, P., Siriban Manalang, A.","genre":"A Report of the Working Group on Decoupling to the International Resource Panel","author":[{"literal":"UNEP"}],"issued":{"date-parts":[["2011"]]}}}],"schema":"https://github.com/citation-style-language/schema/raw/master/csl-citation.json"} </w:instrText>
      </w:r>
      <w:r w:rsidR="005F78C9">
        <w:rPr>
          <w:rFonts w:asciiTheme="minorHAnsi" w:hAnsiTheme="minorHAnsi"/>
          <w:sz w:val="22"/>
        </w:rPr>
        <w:fldChar w:fldCharType="separate"/>
      </w:r>
      <w:r w:rsidR="005F78C9" w:rsidRPr="005F78C9">
        <w:rPr>
          <w:rFonts w:ascii="Calibri" w:hAnsi="Calibri" w:cs="Calibri"/>
          <w:sz w:val="22"/>
        </w:rPr>
        <w:t>(UNEP 2011a)</w:t>
      </w:r>
      <w:r w:rsidR="005F78C9">
        <w:rPr>
          <w:rFonts w:asciiTheme="minorHAnsi" w:hAnsiTheme="minorHAnsi"/>
          <w:sz w:val="22"/>
        </w:rPr>
        <w:fldChar w:fldCharType="end"/>
      </w:r>
      <w:r w:rsidR="002838F3" w:rsidRPr="00AA7FD5">
        <w:rPr>
          <w:rFonts w:asciiTheme="minorHAnsi" w:hAnsiTheme="minorHAnsi"/>
          <w:sz w:val="22"/>
        </w:rPr>
        <w:t xml:space="preserve">. </w:t>
      </w:r>
      <w:r w:rsidR="00A63EEE" w:rsidRPr="00AA7FD5">
        <w:rPr>
          <w:rFonts w:asciiTheme="minorHAnsi" w:hAnsiTheme="minorHAnsi"/>
          <w:sz w:val="22"/>
        </w:rPr>
        <w:t xml:space="preserve"> Depending on the data available, </w:t>
      </w:r>
      <w:r w:rsidR="004868AD">
        <w:rPr>
          <w:rFonts w:asciiTheme="minorHAnsi" w:hAnsiTheme="minorHAnsi"/>
          <w:sz w:val="22"/>
        </w:rPr>
        <w:t>countr</w:t>
      </w:r>
      <w:r w:rsidR="00DC6673">
        <w:rPr>
          <w:rFonts w:asciiTheme="minorHAnsi" w:hAnsiTheme="minorHAnsi"/>
          <w:sz w:val="22"/>
        </w:rPr>
        <w:t>ies</w:t>
      </w:r>
      <w:r w:rsidR="004868AD">
        <w:rPr>
          <w:rFonts w:asciiTheme="minorHAnsi" w:hAnsiTheme="minorHAnsi"/>
          <w:sz w:val="22"/>
        </w:rPr>
        <w:t xml:space="preserve"> can benefit from analysis of </w:t>
      </w:r>
      <w:r w:rsidR="00A63EEE" w:rsidRPr="00AA7FD5">
        <w:rPr>
          <w:rFonts w:asciiTheme="minorHAnsi" w:hAnsiTheme="minorHAnsi"/>
          <w:sz w:val="22"/>
        </w:rPr>
        <w:t>resource decoupling (</w:t>
      </w:r>
      <w:r w:rsidR="001E49ED" w:rsidRPr="00AA7FD5">
        <w:rPr>
          <w:rFonts w:asciiTheme="minorHAnsi" w:hAnsiTheme="minorHAnsi"/>
          <w:sz w:val="22"/>
        </w:rPr>
        <w:t xml:space="preserve">e.g. </w:t>
      </w:r>
      <w:r w:rsidR="00A63EEE" w:rsidRPr="00AA7FD5">
        <w:rPr>
          <w:rFonts w:asciiTheme="minorHAnsi" w:hAnsiTheme="minorHAnsi"/>
          <w:sz w:val="22"/>
        </w:rPr>
        <w:t>GDP and energy consumption)</w:t>
      </w:r>
      <w:r w:rsidR="004868AD">
        <w:rPr>
          <w:rFonts w:asciiTheme="minorHAnsi" w:hAnsiTheme="minorHAnsi"/>
          <w:sz w:val="22"/>
        </w:rPr>
        <w:t>,</w:t>
      </w:r>
      <w:r w:rsidR="00A63EEE" w:rsidRPr="00AA7FD5">
        <w:rPr>
          <w:rFonts w:asciiTheme="minorHAnsi" w:hAnsiTheme="minorHAnsi"/>
          <w:sz w:val="22"/>
        </w:rPr>
        <w:t xml:space="preserve"> </w:t>
      </w:r>
      <w:r w:rsidR="002500D8" w:rsidRPr="00AA7FD5">
        <w:rPr>
          <w:rFonts w:asciiTheme="minorHAnsi" w:hAnsiTheme="minorHAnsi"/>
          <w:sz w:val="22"/>
        </w:rPr>
        <w:t xml:space="preserve">impact </w:t>
      </w:r>
      <w:r w:rsidR="00A63EEE" w:rsidRPr="00AA7FD5">
        <w:rPr>
          <w:rFonts w:asciiTheme="minorHAnsi" w:hAnsiTheme="minorHAnsi"/>
          <w:sz w:val="22"/>
        </w:rPr>
        <w:t>decoupling (</w:t>
      </w:r>
      <w:r w:rsidR="001E49ED" w:rsidRPr="00AA7FD5">
        <w:rPr>
          <w:rFonts w:asciiTheme="minorHAnsi" w:hAnsiTheme="minorHAnsi"/>
          <w:sz w:val="22"/>
        </w:rPr>
        <w:t xml:space="preserve">e.g. </w:t>
      </w:r>
      <w:r w:rsidR="00A63EEE" w:rsidRPr="00AA7FD5">
        <w:rPr>
          <w:rFonts w:asciiTheme="minorHAnsi" w:hAnsiTheme="minorHAnsi"/>
          <w:sz w:val="22"/>
        </w:rPr>
        <w:t>E</w:t>
      </w:r>
      <w:r w:rsidR="004E3BD7" w:rsidRPr="00AA7FD5">
        <w:rPr>
          <w:rFonts w:asciiTheme="minorHAnsi" w:hAnsiTheme="minorHAnsi"/>
          <w:sz w:val="22"/>
        </w:rPr>
        <w:t>conomic Value Added</w:t>
      </w:r>
      <w:r w:rsidR="00A63EEE" w:rsidRPr="00AA7FD5">
        <w:rPr>
          <w:rFonts w:asciiTheme="minorHAnsi" w:hAnsiTheme="minorHAnsi"/>
          <w:sz w:val="22"/>
        </w:rPr>
        <w:t xml:space="preserve"> and S</w:t>
      </w:r>
      <w:r w:rsidR="001E49ED" w:rsidRPr="00AA7FD5">
        <w:rPr>
          <w:rFonts w:asciiTheme="minorHAnsi" w:hAnsiTheme="minorHAnsi"/>
          <w:sz w:val="22"/>
        </w:rPr>
        <w:t>O</w:t>
      </w:r>
      <w:r w:rsidR="00A63EEE" w:rsidRPr="00AA7FD5">
        <w:rPr>
          <w:rFonts w:asciiTheme="minorHAnsi" w:hAnsiTheme="minorHAnsi"/>
          <w:sz w:val="22"/>
        </w:rPr>
        <w:t>x</w:t>
      </w:r>
      <w:r w:rsidR="001E49ED" w:rsidRPr="00AA7FD5">
        <w:rPr>
          <w:rFonts w:asciiTheme="minorHAnsi" w:hAnsiTheme="minorHAnsi"/>
          <w:sz w:val="22"/>
        </w:rPr>
        <w:t xml:space="preserve"> emissions</w:t>
      </w:r>
      <w:r w:rsidR="00A63EEE" w:rsidRPr="00AA7FD5">
        <w:rPr>
          <w:rFonts w:asciiTheme="minorHAnsi" w:hAnsiTheme="minorHAnsi"/>
          <w:sz w:val="22"/>
        </w:rPr>
        <w:t>)</w:t>
      </w:r>
      <w:r w:rsidR="00490699" w:rsidRPr="00AA7FD5">
        <w:rPr>
          <w:rFonts w:asciiTheme="minorHAnsi" w:hAnsiTheme="minorHAnsi"/>
          <w:sz w:val="22"/>
        </w:rPr>
        <w:t>, or both</w:t>
      </w:r>
      <w:r w:rsidR="00A63EEE" w:rsidRPr="00AA7FD5">
        <w:rPr>
          <w:rFonts w:asciiTheme="minorHAnsi" w:hAnsiTheme="minorHAnsi"/>
          <w:sz w:val="22"/>
        </w:rPr>
        <w:t>.</w:t>
      </w:r>
      <w:r w:rsidR="002838F3" w:rsidRPr="00AA7FD5">
        <w:rPr>
          <w:rFonts w:asciiTheme="minorHAnsi" w:hAnsiTheme="minorHAnsi"/>
          <w:sz w:val="22"/>
        </w:rPr>
        <w:t xml:space="preserve"> Decoupling can be “absolute”, “relative”, or “negative”</w:t>
      </w:r>
      <w:r w:rsidR="004F50EC" w:rsidRPr="00AA7FD5">
        <w:rPr>
          <w:rFonts w:asciiTheme="minorHAnsi" w:hAnsiTheme="minorHAnsi"/>
          <w:sz w:val="22"/>
        </w:rPr>
        <w:t>; o</w:t>
      </w:r>
      <w:r w:rsidR="00001713" w:rsidRPr="00AA7FD5">
        <w:rPr>
          <w:rFonts w:asciiTheme="minorHAnsi" w:hAnsiTheme="minorHAnsi"/>
          <w:sz w:val="22"/>
        </w:rPr>
        <w:t xml:space="preserve">r there may </w:t>
      </w:r>
      <w:r w:rsidR="00EF64F4" w:rsidRPr="00AA7FD5">
        <w:rPr>
          <w:rFonts w:asciiTheme="minorHAnsi" w:hAnsiTheme="minorHAnsi"/>
          <w:sz w:val="22"/>
        </w:rPr>
        <w:t xml:space="preserve">be </w:t>
      </w:r>
      <w:r w:rsidR="00001713" w:rsidRPr="00AA7FD5">
        <w:rPr>
          <w:rFonts w:asciiTheme="minorHAnsi" w:hAnsiTheme="minorHAnsi"/>
          <w:sz w:val="22"/>
        </w:rPr>
        <w:t>no decoupling at all</w:t>
      </w:r>
      <w:r w:rsidR="005F2093">
        <w:rPr>
          <w:rStyle w:val="FootnoteReference"/>
          <w:rFonts w:asciiTheme="minorHAnsi" w:hAnsiTheme="minorHAnsi"/>
          <w:sz w:val="22"/>
        </w:rPr>
        <w:footnoteReference w:id="13"/>
      </w:r>
      <w:r w:rsidR="00001713" w:rsidRPr="00AA7FD5">
        <w:rPr>
          <w:rFonts w:asciiTheme="minorHAnsi" w:hAnsiTheme="minorHAnsi"/>
          <w:sz w:val="22"/>
        </w:rPr>
        <w:t>.</w:t>
      </w:r>
    </w:p>
    <w:p w14:paraId="01134354" w14:textId="2A519BA8" w:rsidR="00610FA2" w:rsidRPr="00AA7FD5" w:rsidRDefault="00001713" w:rsidP="00490699">
      <w:pPr>
        <w:pStyle w:val="NormalWeb"/>
        <w:numPr>
          <w:ilvl w:val="0"/>
          <w:numId w:val="4"/>
        </w:numPr>
        <w:spacing w:before="0" w:beforeAutospacing="0" w:after="160" w:afterAutospacing="0"/>
        <w:jc w:val="both"/>
        <w:rPr>
          <w:rFonts w:asciiTheme="minorHAnsi" w:eastAsiaTheme="minorEastAsia" w:hAnsiTheme="minorHAnsi"/>
          <w:color w:val="000000"/>
          <w:kern w:val="24"/>
          <w:sz w:val="22"/>
        </w:rPr>
      </w:pPr>
      <w:r w:rsidRPr="00AA7FD5">
        <w:rPr>
          <w:rFonts w:asciiTheme="minorHAnsi" w:hAnsiTheme="minorHAnsi"/>
          <w:color w:val="000000" w:themeColor="text1"/>
          <w:sz w:val="22"/>
          <w:u w:val="single"/>
        </w:rPr>
        <w:t>Absolute</w:t>
      </w:r>
      <w:r w:rsidRPr="00AA7FD5">
        <w:rPr>
          <w:rFonts w:asciiTheme="minorHAnsi" w:hAnsiTheme="minorHAnsi"/>
          <w:color w:val="000000" w:themeColor="text1"/>
          <w:sz w:val="22"/>
        </w:rPr>
        <w:t xml:space="preserve"> decoupling </w:t>
      </w:r>
      <w:r w:rsidRPr="00AA7FD5">
        <w:rPr>
          <w:rFonts w:asciiTheme="minorHAnsi" w:hAnsiTheme="minorHAnsi"/>
          <w:sz w:val="22"/>
        </w:rPr>
        <w:t xml:space="preserve">is said to occur when </w:t>
      </w:r>
      <w:r w:rsidR="0020778C">
        <w:rPr>
          <w:rFonts w:asciiTheme="minorHAnsi" w:hAnsiTheme="minorHAnsi"/>
          <w:sz w:val="22"/>
        </w:rPr>
        <w:t>a negative</w:t>
      </w:r>
      <w:r w:rsidRPr="00AA7FD5">
        <w:rPr>
          <w:rFonts w:asciiTheme="minorHAnsi" w:hAnsiTheme="minorHAnsi"/>
          <w:sz w:val="22"/>
        </w:rPr>
        <w:t xml:space="preserve"> environmental externality is decreasing while the economy </w:t>
      </w:r>
      <w:r w:rsidR="004F50EC" w:rsidRPr="00AA7FD5">
        <w:rPr>
          <w:rFonts w:asciiTheme="minorHAnsi" w:hAnsiTheme="minorHAnsi"/>
          <w:sz w:val="22"/>
        </w:rPr>
        <w:t>(</w:t>
      </w:r>
      <w:r w:rsidRPr="00AA7FD5">
        <w:rPr>
          <w:rFonts w:asciiTheme="minorHAnsi" w:hAnsiTheme="minorHAnsi"/>
          <w:sz w:val="22"/>
        </w:rPr>
        <w:t>or a sector</w:t>
      </w:r>
      <w:r w:rsidR="004F50EC" w:rsidRPr="00AA7FD5">
        <w:rPr>
          <w:rFonts w:asciiTheme="minorHAnsi" w:hAnsiTheme="minorHAnsi"/>
          <w:sz w:val="22"/>
        </w:rPr>
        <w:t xml:space="preserve"> of the economy)</w:t>
      </w:r>
      <w:r w:rsidRPr="00AA7FD5">
        <w:rPr>
          <w:rFonts w:asciiTheme="minorHAnsi" w:hAnsiTheme="minorHAnsi"/>
          <w:sz w:val="22"/>
        </w:rPr>
        <w:t xml:space="preserve"> is growing</w:t>
      </w:r>
      <w:r w:rsidR="0020778C">
        <w:rPr>
          <w:rFonts w:asciiTheme="minorHAnsi" w:hAnsiTheme="minorHAnsi"/>
          <w:sz w:val="22"/>
        </w:rPr>
        <w:t>,</w:t>
      </w:r>
      <w:r w:rsidR="00610FA2" w:rsidRPr="00AA7FD5">
        <w:rPr>
          <w:rFonts w:asciiTheme="minorHAnsi" w:hAnsiTheme="minorHAnsi"/>
          <w:sz w:val="22"/>
        </w:rPr>
        <w:t xml:space="preserve"> </w:t>
      </w:r>
      <w:r w:rsidR="00073491" w:rsidRPr="00AA7FD5">
        <w:rPr>
          <w:rFonts w:asciiTheme="minorHAnsi" w:hAnsiTheme="minorHAnsi"/>
          <w:sz w:val="22"/>
        </w:rPr>
        <w:t xml:space="preserve">when </w:t>
      </w:r>
      <w:r w:rsidR="00610FA2" w:rsidRPr="00AA7FD5">
        <w:rPr>
          <w:rFonts w:asciiTheme="minorHAnsi" w:hAnsiTheme="minorHAnsi"/>
          <w:sz w:val="22"/>
        </w:rPr>
        <w:t>compared to a reference level (i.e. base year).</w:t>
      </w:r>
    </w:p>
    <w:p w14:paraId="136E51B7" w14:textId="035153AC" w:rsidR="00001713" w:rsidRPr="00AA7FD5" w:rsidRDefault="003057F4" w:rsidP="00490699">
      <w:pPr>
        <w:pStyle w:val="NormalWeb"/>
        <w:numPr>
          <w:ilvl w:val="0"/>
          <w:numId w:val="4"/>
        </w:numPr>
        <w:spacing w:before="0" w:beforeAutospacing="0" w:after="160" w:afterAutospacing="0"/>
        <w:jc w:val="both"/>
        <w:rPr>
          <w:rFonts w:asciiTheme="minorHAnsi" w:eastAsiaTheme="minorEastAsia" w:hAnsiTheme="minorHAnsi"/>
          <w:color w:val="000000"/>
          <w:kern w:val="24"/>
          <w:sz w:val="22"/>
        </w:rPr>
      </w:pPr>
      <w:r w:rsidRPr="00AA7FD5">
        <w:rPr>
          <w:rFonts w:asciiTheme="minorHAnsi" w:hAnsiTheme="minorHAnsi"/>
          <w:color w:val="000000" w:themeColor="text1"/>
          <w:sz w:val="22"/>
        </w:rPr>
        <w:t>D</w:t>
      </w:r>
      <w:r w:rsidR="00001713" w:rsidRPr="00AA7FD5">
        <w:rPr>
          <w:rFonts w:asciiTheme="minorHAnsi" w:hAnsiTheme="minorHAnsi"/>
          <w:color w:val="000000" w:themeColor="text1"/>
          <w:sz w:val="22"/>
        </w:rPr>
        <w:t xml:space="preserve">ecoupling is said to be </w:t>
      </w:r>
      <w:r w:rsidR="00001713" w:rsidRPr="00AA7FD5">
        <w:rPr>
          <w:rFonts w:asciiTheme="minorHAnsi" w:hAnsiTheme="minorHAnsi"/>
          <w:color w:val="000000" w:themeColor="text1"/>
          <w:sz w:val="22"/>
          <w:u w:val="single"/>
        </w:rPr>
        <w:t>relative</w:t>
      </w:r>
      <w:r w:rsidRPr="00AA7FD5">
        <w:rPr>
          <w:rFonts w:asciiTheme="minorHAnsi" w:hAnsiTheme="minorHAnsi"/>
          <w:color w:val="000000" w:themeColor="text1"/>
          <w:sz w:val="22"/>
        </w:rPr>
        <w:t xml:space="preserve"> in the following t</w:t>
      </w:r>
      <w:r w:rsidR="003F53B6" w:rsidRPr="00AA7FD5">
        <w:rPr>
          <w:rFonts w:asciiTheme="minorHAnsi" w:hAnsiTheme="minorHAnsi"/>
          <w:color w:val="000000" w:themeColor="text1"/>
          <w:sz w:val="22"/>
        </w:rPr>
        <w:t>w</w:t>
      </w:r>
      <w:r w:rsidRPr="00AA7FD5">
        <w:rPr>
          <w:rFonts w:asciiTheme="minorHAnsi" w:hAnsiTheme="minorHAnsi"/>
          <w:color w:val="000000" w:themeColor="text1"/>
          <w:sz w:val="22"/>
        </w:rPr>
        <w:t>o cases</w:t>
      </w:r>
      <w:r w:rsidR="00610FA2" w:rsidRPr="00AA7FD5">
        <w:rPr>
          <w:rFonts w:asciiTheme="minorHAnsi" w:hAnsiTheme="minorHAnsi"/>
          <w:color w:val="000000" w:themeColor="text1"/>
          <w:sz w:val="22"/>
        </w:rPr>
        <w:t>. First, decoupling is relative when</w:t>
      </w:r>
      <w:r w:rsidR="00001713" w:rsidRPr="00AA7FD5">
        <w:rPr>
          <w:rFonts w:asciiTheme="minorHAnsi" w:hAnsiTheme="minorHAnsi"/>
          <w:sz w:val="22"/>
        </w:rPr>
        <w:t xml:space="preserve"> the growth rate of the environmental externality is positive, but lower than the growth rate of the economic indicator</w:t>
      </w:r>
      <w:r w:rsidR="00610FA2" w:rsidRPr="00AA7FD5">
        <w:rPr>
          <w:rFonts w:asciiTheme="minorHAnsi" w:hAnsiTheme="minorHAnsi"/>
          <w:sz w:val="22"/>
        </w:rPr>
        <w:t>. Second</w:t>
      </w:r>
      <w:r w:rsidR="00073491" w:rsidRPr="00AA7FD5">
        <w:rPr>
          <w:rFonts w:asciiTheme="minorHAnsi" w:hAnsiTheme="minorHAnsi"/>
          <w:sz w:val="22"/>
        </w:rPr>
        <w:t>, decoupling</w:t>
      </w:r>
      <w:r w:rsidR="00610FA2" w:rsidRPr="00AA7FD5">
        <w:rPr>
          <w:rFonts w:asciiTheme="minorHAnsi" w:hAnsiTheme="minorHAnsi"/>
          <w:sz w:val="22"/>
        </w:rPr>
        <w:t xml:space="preserve"> is said to be relative </w:t>
      </w:r>
      <w:r w:rsidR="008C4763" w:rsidRPr="00AA7FD5">
        <w:rPr>
          <w:rFonts w:asciiTheme="minorHAnsi" w:hAnsiTheme="minorHAnsi"/>
          <w:sz w:val="22"/>
        </w:rPr>
        <w:t xml:space="preserve">when </w:t>
      </w:r>
      <w:r w:rsidR="00073491" w:rsidRPr="00AA7FD5">
        <w:rPr>
          <w:rFonts w:asciiTheme="minorHAnsi" w:hAnsiTheme="minorHAnsi"/>
          <w:sz w:val="22"/>
        </w:rPr>
        <w:t xml:space="preserve">both </w:t>
      </w:r>
      <w:r w:rsidR="008C4763" w:rsidRPr="00AA7FD5">
        <w:rPr>
          <w:rFonts w:asciiTheme="minorHAnsi" w:hAnsiTheme="minorHAnsi"/>
          <w:sz w:val="22"/>
        </w:rPr>
        <w:t xml:space="preserve">the </w:t>
      </w:r>
      <w:r w:rsidR="00610FA2" w:rsidRPr="00AA7FD5">
        <w:rPr>
          <w:rFonts w:asciiTheme="minorHAnsi" w:hAnsiTheme="minorHAnsi"/>
          <w:sz w:val="22"/>
        </w:rPr>
        <w:t xml:space="preserve">environmental externality </w:t>
      </w:r>
      <w:r w:rsidR="00113533" w:rsidRPr="00AA7FD5">
        <w:rPr>
          <w:rFonts w:asciiTheme="minorHAnsi" w:hAnsiTheme="minorHAnsi"/>
          <w:sz w:val="22"/>
        </w:rPr>
        <w:t xml:space="preserve">and </w:t>
      </w:r>
      <w:r w:rsidR="00073491" w:rsidRPr="00AA7FD5">
        <w:rPr>
          <w:rFonts w:asciiTheme="minorHAnsi" w:hAnsiTheme="minorHAnsi"/>
          <w:sz w:val="22"/>
        </w:rPr>
        <w:t xml:space="preserve">the economic indicator </w:t>
      </w:r>
      <w:r w:rsidR="009B7035" w:rsidRPr="00AA7FD5">
        <w:rPr>
          <w:rFonts w:asciiTheme="minorHAnsi" w:hAnsiTheme="minorHAnsi"/>
          <w:sz w:val="22"/>
        </w:rPr>
        <w:t xml:space="preserve">decrease below a reference level. </w:t>
      </w:r>
    </w:p>
    <w:p w14:paraId="0A419E45" w14:textId="24D7F9C2" w:rsidR="00001713" w:rsidRPr="00AA7FD5" w:rsidRDefault="00001713" w:rsidP="0057494F">
      <w:pPr>
        <w:pStyle w:val="NormalWeb"/>
        <w:numPr>
          <w:ilvl w:val="0"/>
          <w:numId w:val="4"/>
        </w:numPr>
        <w:spacing w:before="0" w:beforeAutospacing="0" w:after="160" w:afterAutospacing="0"/>
        <w:jc w:val="both"/>
        <w:rPr>
          <w:rFonts w:asciiTheme="minorHAnsi" w:eastAsiaTheme="minorEastAsia" w:hAnsiTheme="minorHAnsi"/>
          <w:color w:val="000000"/>
          <w:kern w:val="24"/>
          <w:sz w:val="22"/>
        </w:rPr>
      </w:pPr>
      <w:r w:rsidRPr="00AA7FD5">
        <w:rPr>
          <w:rFonts w:asciiTheme="minorHAnsi" w:hAnsiTheme="minorHAnsi"/>
          <w:sz w:val="22"/>
        </w:rPr>
        <w:t xml:space="preserve">Decoupling is </w:t>
      </w:r>
      <w:r w:rsidRPr="00AA7FD5">
        <w:rPr>
          <w:rFonts w:asciiTheme="minorHAnsi" w:hAnsiTheme="minorHAnsi"/>
          <w:sz w:val="22"/>
          <w:u w:val="single"/>
        </w:rPr>
        <w:t>negative</w:t>
      </w:r>
      <w:r w:rsidRPr="00AA7FD5">
        <w:rPr>
          <w:rFonts w:asciiTheme="minorHAnsi" w:hAnsiTheme="minorHAnsi"/>
          <w:sz w:val="22"/>
        </w:rPr>
        <w:t xml:space="preserve"> when </w:t>
      </w:r>
      <w:r w:rsidR="0020778C">
        <w:rPr>
          <w:rFonts w:asciiTheme="minorHAnsi" w:eastAsiaTheme="minorHAnsi" w:hAnsiTheme="minorHAnsi" w:cstheme="minorBidi"/>
          <w:sz w:val="22"/>
        </w:rPr>
        <w:t>a negative</w:t>
      </w:r>
      <w:r w:rsidRPr="00AA7FD5">
        <w:rPr>
          <w:rFonts w:asciiTheme="minorHAnsi" w:eastAsiaTheme="minorHAnsi" w:hAnsiTheme="minorHAnsi" w:cstheme="minorBidi"/>
          <w:sz w:val="22"/>
        </w:rPr>
        <w:t xml:space="preserve"> environmental externality grows at a higher rate than the economic indicator. </w:t>
      </w:r>
    </w:p>
    <w:p w14:paraId="126166CE" w14:textId="2A9C95BF" w:rsidR="00001713" w:rsidRPr="00AA7FD5" w:rsidRDefault="00001713" w:rsidP="0057494F">
      <w:pPr>
        <w:pStyle w:val="NormalWeb"/>
        <w:numPr>
          <w:ilvl w:val="0"/>
          <w:numId w:val="4"/>
        </w:numPr>
        <w:spacing w:before="0" w:beforeAutospacing="0" w:after="160" w:afterAutospacing="0"/>
        <w:jc w:val="both"/>
        <w:rPr>
          <w:rFonts w:asciiTheme="minorHAnsi" w:eastAsiaTheme="minorEastAsia" w:hAnsiTheme="minorHAnsi"/>
          <w:color w:val="000000"/>
          <w:kern w:val="24"/>
          <w:sz w:val="22"/>
        </w:rPr>
      </w:pPr>
      <w:r w:rsidRPr="00AA7FD5">
        <w:rPr>
          <w:rFonts w:asciiTheme="minorHAnsi" w:eastAsiaTheme="minorHAnsi" w:hAnsiTheme="minorHAnsi" w:cstheme="minorBidi"/>
          <w:sz w:val="22"/>
        </w:rPr>
        <w:t>Finally, no decoupling</w:t>
      </w:r>
      <w:r w:rsidRPr="00AA7FD5">
        <w:rPr>
          <w:rFonts w:asciiTheme="minorHAnsi" w:eastAsiaTheme="minorHAnsi" w:hAnsiTheme="minorHAnsi" w:cstheme="minorBidi"/>
          <w:b/>
          <w:sz w:val="22"/>
        </w:rPr>
        <w:t xml:space="preserve"> </w:t>
      </w:r>
      <w:r w:rsidRPr="00AA7FD5">
        <w:rPr>
          <w:rFonts w:asciiTheme="minorHAnsi" w:eastAsiaTheme="minorHAnsi" w:hAnsiTheme="minorHAnsi" w:cstheme="minorBidi"/>
          <w:color w:val="000000" w:themeColor="text1"/>
          <w:sz w:val="22"/>
        </w:rPr>
        <w:t>occurs</w:t>
      </w:r>
      <w:r w:rsidRPr="00AA7FD5">
        <w:rPr>
          <w:rFonts w:asciiTheme="minorHAnsi" w:eastAsiaTheme="minorHAnsi" w:hAnsiTheme="minorHAnsi" w:cstheme="minorBidi"/>
          <w:color w:val="FFC000"/>
          <w:sz w:val="22"/>
        </w:rPr>
        <w:t xml:space="preserve"> </w:t>
      </w:r>
      <w:r w:rsidRPr="00AA7FD5">
        <w:rPr>
          <w:rFonts w:asciiTheme="minorHAnsi" w:eastAsiaTheme="minorHAnsi" w:hAnsiTheme="minorHAnsi" w:cstheme="minorBidi"/>
          <w:sz w:val="22"/>
        </w:rPr>
        <w:t xml:space="preserve">when both the economic indicator and the environmental externality are growing at approximately the same rate. </w:t>
      </w:r>
    </w:p>
    <w:p w14:paraId="6AD9D252" w14:textId="4B00CF1A" w:rsidR="00763EF7" w:rsidRPr="00AA7FD5" w:rsidRDefault="0057494F" w:rsidP="0057494F">
      <w:pPr>
        <w:pStyle w:val="NormalWeb"/>
        <w:spacing w:before="0" w:beforeAutospacing="0" w:after="160" w:afterAutospacing="0"/>
        <w:jc w:val="both"/>
        <w:rPr>
          <w:rFonts w:asciiTheme="minorHAnsi" w:eastAsiaTheme="minorHAnsi" w:hAnsiTheme="minorHAnsi" w:cstheme="minorBidi"/>
          <w:sz w:val="22"/>
        </w:rPr>
      </w:pPr>
      <w:r w:rsidRPr="00AA7FD5">
        <w:rPr>
          <w:rFonts w:asciiTheme="minorHAnsi" w:hAnsiTheme="minorHAnsi" w:cstheme="minorHAnsi"/>
          <w:sz w:val="22"/>
        </w:rPr>
        <w:fldChar w:fldCharType="begin"/>
      </w:r>
      <w:r w:rsidRPr="00AA7FD5">
        <w:rPr>
          <w:rFonts w:asciiTheme="minorHAnsi" w:hAnsiTheme="minorHAnsi" w:cstheme="minorHAnsi"/>
          <w:sz w:val="22"/>
        </w:rPr>
        <w:instrText xml:space="preserve"> REF _Ref482870160 \h  \* MERGEFORMAT </w:instrText>
      </w:r>
      <w:r w:rsidRPr="00AA7FD5">
        <w:rPr>
          <w:rFonts w:asciiTheme="minorHAnsi" w:hAnsiTheme="minorHAnsi" w:cstheme="minorHAnsi"/>
          <w:sz w:val="22"/>
        </w:rPr>
      </w:r>
      <w:r w:rsidRPr="00AA7FD5">
        <w:rPr>
          <w:rFonts w:asciiTheme="minorHAnsi" w:hAnsiTheme="minorHAnsi" w:cstheme="minorHAnsi"/>
          <w:sz w:val="22"/>
        </w:rPr>
        <w:fldChar w:fldCharType="separate"/>
      </w:r>
      <w:r w:rsidR="006A2C19" w:rsidRPr="006A2C19">
        <w:rPr>
          <w:rFonts w:asciiTheme="minorHAnsi" w:hAnsiTheme="minorHAnsi" w:cstheme="minorHAnsi"/>
          <w:sz w:val="22"/>
        </w:rPr>
        <w:t xml:space="preserve">Figure </w:t>
      </w:r>
      <w:r w:rsidR="006A2C19" w:rsidRPr="006A2C19">
        <w:rPr>
          <w:rFonts w:asciiTheme="minorHAnsi" w:hAnsiTheme="minorHAnsi" w:cstheme="minorHAnsi"/>
          <w:noProof/>
          <w:sz w:val="22"/>
        </w:rPr>
        <w:t>11</w:t>
      </w:r>
      <w:r w:rsidRPr="00AA7FD5">
        <w:rPr>
          <w:rFonts w:asciiTheme="minorHAnsi" w:hAnsiTheme="minorHAnsi" w:cstheme="minorHAnsi"/>
          <w:sz w:val="22"/>
        </w:rPr>
        <w:fldChar w:fldCharType="end"/>
      </w:r>
      <w:r w:rsidR="003057F4" w:rsidRPr="00AA7FD5">
        <w:rPr>
          <w:rFonts w:asciiTheme="minorHAnsi" w:hAnsiTheme="minorHAnsi" w:cstheme="minorHAnsi"/>
          <w:sz w:val="22"/>
        </w:rPr>
        <w:t xml:space="preserve"> p</w:t>
      </w:r>
      <w:r w:rsidR="003057F4" w:rsidRPr="00AA7FD5">
        <w:rPr>
          <w:rFonts w:asciiTheme="minorHAnsi" w:hAnsiTheme="minorHAnsi"/>
          <w:sz w:val="22"/>
        </w:rPr>
        <w:t>rovides a visual representation of the decoupling concept</w:t>
      </w:r>
      <w:r w:rsidR="003C5281">
        <w:rPr>
          <w:rFonts w:asciiTheme="minorHAnsi" w:hAnsiTheme="minorHAnsi"/>
          <w:sz w:val="22"/>
        </w:rPr>
        <w:t>, but</w:t>
      </w:r>
      <w:r w:rsidR="009E1191" w:rsidRPr="00AA7FD5">
        <w:rPr>
          <w:rFonts w:asciiTheme="minorHAnsi" w:hAnsiTheme="minorHAnsi"/>
          <w:sz w:val="22"/>
        </w:rPr>
        <w:t xml:space="preserve"> does not show the second case of relative decoupling (i.e. both the economic indicator and</w:t>
      </w:r>
      <w:r w:rsidRPr="00AA7FD5">
        <w:rPr>
          <w:rFonts w:asciiTheme="minorHAnsi" w:hAnsiTheme="minorHAnsi"/>
          <w:sz w:val="22"/>
        </w:rPr>
        <w:t xml:space="preserve"> the environmental externality</w:t>
      </w:r>
      <w:r w:rsidR="009E1191" w:rsidRPr="00AA7FD5">
        <w:rPr>
          <w:rFonts w:asciiTheme="minorHAnsi" w:hAnsiTheme="minorHAnsi"/>
          <w:sz w:val="22"/>
        </w:rPr>
        <w:t xml:space="preserve"> are decr</w:t>
      </w:r>
      <w:r w:rsidRPr="00AA7FD5">
        <w:rPr>
          <w:rFonts w:asciiTheme="minorHAnsi" w:hAnsiTheme="minorHAnsi"/>
          <w:sz w:val="22"/>
        </w:rPr>
        <w:t>easing compared to the base period).</w:t>
      </w:r>
      <w:r w:rsidR="00FC0174">
        <w:rPr>
          <w:rFonts w:asciiTheme="minorHAnsi" w:hAnsiTheme="minorHAnsi"/>
          <w:sz w:val="22"/>
        </w:rPr>
        <w:t xml:space="preserve"> The </w:t>
      </w:r>
      <w:r w:rsidR="00946572">
        <w:rPr>
          <w:rFonts w:asciiTheme="minorHAnsi" w:hAnsiTheme="minorHAnsi"/>
          <w:sz w:val="22"/>
        </w:rPr>
        <w:t>color scheme shown in this figure is used in subsequent examples to identify different types of decoupling.</w:t>
      </w:r>
    </w:p>
    <w:p w14:paraId="7879CE91" w14:textId="1DB1434C" w:rsidR="00783277" w:rsidRDefault="00783277" w:rsidP="0020778C">
      <w:pPr>
        <w:pStyle w:val="NormalWeb"/>
        <w:spacing w:before="0" w:beforeAutospacing="0" w:after="160" w:afterAutospacing="0"/>
        <w:jc w:val="both"/>
        <w:rPr>
          <w:rFonts w:asciiTheme="minorHAnsi" w:eastAsiaTheme="minorHAnsi" w:hAnsiTheme="minorHAnsi" w:cstheme="minorBidi"/>
          <w:sz w:val="22"/>
        </w:rPr>
      </w:pPr>
    </w:p>
    <w:p w14:paraId="346F732E" w14:textId="4B8C529E" w:rsidR="006A2C19" w:rsidRDefault="006A2C19" w:rsidP="0020778C">
      <w:pPr>
        <w:pStyle w:val="NormalWeb"/>
        <w:spacing w:before="0" w:beforeAutospacing="0" w:after="160" w:afterAutospacing="0"/>
        <w:jc w:val="both"/>
        <w:rPr>
          <w:rFonts w:asciiTheme="minorHAnsi" w:eastAsiaTheme="minorHAnsi" w:hAnsiTheme="minorHAnsi" w:cstheme="minorBidi"/>
          <w:sz w:val="22"/>
        </w:rPr>
      </w:pPr>
    </w:p>
    <w:p w14:paraId="614A464C" w14:textId="2CBB550B" w:rsidR="006A2C19" w:rsidRDefault="006A2C19" w:rsidP="0020778C">
      <w:pPr>
        <w:pStyle w:val="NormalWeb"/>
        <w:spacing w:before="0" w:beforeAutospacing="0" w:after="160" w:afterAutospacing="0"/>
        <w:jc w:val="both"/>
        <w:rPr>
          <w:rFonts w:asciiTheme="minorHAnsi" w:eastAsiaTheme="minorHAnsi" w:hAnsiTheme="minorHAnsi" w:cstheme="minorBidi"/>
          <w:sz w:val="22"/>
        </w:rPr>
      </w:pPr>
    </w:p>
    <w:p w14:paraId="29BA49E9" w14:textId="02BDD4C3" w:rsidR="006A2C19" w:rsidRDefault="006A2C19" w:rsidP="0020778C">
      <w:pPr>
        <w:pStyle w:val="NormalWeb"/>
        <w:spacing w:before="0" w:beforeAutospacing="0" w:after="160" w:afterAutospacing="0"/>
        <w:jc w:val="both"/>
        <w:rPr>
          <w:rFonts w:asciiTheme="minorHAnsi" w:eastAsiaTheme="minorHAnsi" w:hAnsiTheme="minorHAnsi" w:cstheme="minorBidi"/>
          <w:sz w:val="22"/>
        </w:rPr>
      </w:pPr>
    </w:p>
    <w:p w14:paraId="4797EC6B" w14:textId="080285AA" w:rsidR="006A2C19" w:rsidRDefault="006A2C19" w:rsidP="0020778C">
      <w:pPr>
        <w:pStyle w:val="NormalWeb"/>
        <w:spacing w:before="0" w:beforeAutospacing="0" w:after="160" w:afterAutospacing="0"/>
        <w:jc w:val="both"/>
        <w:rPr>
          <w:rFonts w:asciiTheme="minorHAnsi" w:eastAsiaTheme="minorHAnsi" w:hAnsiTheme="minorHAnsi" w:cstheme="minorBidi"/>
          <w:sz w:val="22"/>
        </w:rPr>
      </w:pPr>
    </w:p>
    <w:p w14:paraId="63CE7132" w14:textId="403BF6F9" w:rsidR="006A2C19" w:rsidRDefault="006A2C19" w:rsidP="0020778C">
      <w:pPr>
        <w:pStyle w:val="NormalWeb"/>
        <w:spacing w:before="0" w:beforeAutospacing="0" w:after="160" w:afterAutospacing="0"/>
        <w:jc w:val="both"/>
        <w:rPr>
          <w:rFonts w:asciiTheme="minorHAnsi" w:eastAsiaTheme="minorHAnsi" w:hAnsiTheme="minorHAnsi" w:cstheme="minorBidi"/>
          <w:sz w:val="22"/>
        </w:rPr>
      </w:pPr>
    </w:p>
    <w:p w14:paraId="577E76D6" w14:textId="77777777" w:rsidR="006A2C19" w:rsidRPr="00AA7FD5" w:rsidRDefault="006A2C19" w:rsidP="0020778C">
      <w:pPr>
        <w:pStyle w:val="NormalWeb"/>
        <w:spacing w:before="0" w:beforeAutospacing="0" w:after="160" w:afterAutospacing="0"/>
        <w:jc w:val="both"/>
        <w:rPr>
          <w:rFonts w:asciiTheme="minorHAnsi" w:eastAsiaTheme="minorHAnsi" w:hAnsiTheme="minorHAnsi" w:cstheme="minorBidi"/>
          <w:sz w:val="22"/>
        </w:rPr>
      </w:pPr>
    </w:p>
    <w:p w14:paraId="635FC339" w14:textId="6E3569A1" w:rsidR="00804830" w:rsidRPr="00AA7FD5" w:rsidRDefault="0057494F" w:rsidP="00491B6E">
      <w:pPr>
        <w:pStyle w:val="Caption"/>
        <w:jc w:val="center"/>
        <w:rPr>
          <w:i w:val="0"/>
          <w:color w:val="auto"/>
          <w:sz w:val="22"/>
        </w:rPr>
      </w:pPr>
      <w:bookmarkStart w:id="49" w:name="_Ref482870160"/>
      <w:bookmarkStart w:id="50" w:name="_Toc508013117"/>
      <w:r w:rsidRPr="00AA7FD5">
        <w:rPr>
          <w:i w:val="0"/>
          <w:color w:val="auto"/>
          <w:sz w:val="22"/>
        </w:rPr>
        <w:lastRenderedPageBreak/>
        <w:t xml:space="preserve">Figure </w:t>
      </w:r>
      <w:r w:rsidR="00E158DF">
        <w:rPr>
          <w:i w:val="0"/>
          <w:color w:val="auto"/>
          <w:sz w:val="22"/>
        </w:rPr>
        <w:fldChar w:fldCharType="begin"/>
      </w:r>
      <w:r w:rsidR="00E158DF">
        <w:rPr>
          <w:i w:val="0"/>
          <w:color w:val="auto"/>
          <w:sz w:val="22"/>
        </w:rPr>
        <w:instrText xml:space="preserve"> SEQ Figure \* ARABIC </w:instrText>
      </w:r>
      <w:r w:rsidR="00E158DF">
        <w:rPr>
          <w:i w:val="0"/>
          <w:color w:val="auto"/>
          <w:sz w:val="22"/>
        </w:rPr>
        <w:fldChar w:fldCharType="separate"/>
      </w:r>
      <w:r w:rsidR="006A2C19">
        <w:rPr>
          <w:i w:val="0"/>
          <w:noProof/>
          <w:color w:val="auto"/>
          <w:sz w:val="22"/>
        </w:rPr>
        <w:t>11</w:t>
      </w:r>
      <w:r w:rsidR="00E158DF">
        <w:rPr>
          <w:i w:val="0"/>
          <w:color w:val="auto"/>
          <w:sz w:val="22"/>
        </w:rPr>
        <w:fldChar w:fldCharType="end"/>
      </w:r>
      <w:bookmarkEnd w:id="49"/>
      <w:r w:rsidR="00804830" w:rsidRPr="00AA7FD5">
        <w:rPr>
          <w:i w:val="0"/>
          <w:color w:val="auto"/>
          <w:sz w:val="22"/>
        </w:rPr>
        <w:t>.</w:t>
      </w:r>
      <w:r w:rsidR="00615FDA" w:rsidRPr="00AA7FD5">
        <w:rPr>
          <w:i w:val="0"/>
          <w:color w:val="auto"/>
          <w:sz w:val="22"/>
        </w:rPr>
        <w:t xml:space="preserve"> Green Grow</w:t>
      </w:r>
      <w:r w:rsidRPr="00AA7FD5">
        <w:rPr>
          <w:i w:val="0"/>
          <w:color w:val="auto"/>
          <w:sz w:val="22"/>
        </w:rPr>
        <w:t>th Decoupling – Generic Example</w:t>
      </w:r>
      <w:bookmarkEnd w:id="50"/>
    </w:p>
    <w:p w14:paraId="6BD14BF4" w14:textId="77777777" w:rsidR="00281D2E" w:rsidRPr="006E524A" w:rsidRDefault="00281D2E" w:rsidP="006E524A">
      <w:pPr>
        <w:pStyle w:val="NormalWeb"/>
        <w:spacing w:before="0" w:beforeAutospacing="0" w:after="0" w:afterAutospacing="0"/>
        <w:rPr>
          <w:rFonts w:asciiTheme="minorHAnsi" w:eastAsiaTheme="minorHAnsi" w:hAnsiTheme="minorHAnsi" w:cstheme="minorBidi"/>
          <w:sz w:val="20"/>
          <w:szCs w:val="20"/>
        </w:rPr>
      </w:pPr>
      <w:r w:rsidRPr="0016035D">
        <w:rPr>
          <w:rFonts w:asciiTheme="minorHAnsi" w:hAnsiTheme="minorHAnsi"/>
          <w:noProof/>
        </w:rPr>
        <w:drawing>
          <wp:inline distT="0" distB="0" distL="0" distR="0" wp14:anchorId="4D4929C1" wp14:editId="69B7CFB2">
            <wp:extent cx="5781675" cy="3707805"/>
            <wp:effectExtent l="133350" t="114300" r="142875" b="15938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stretch>
                      <a:fillRect/>
                    </a:stretch>
                  </pic:blipFill>
                  <pic:spPr>
                    <a:xfrm>
                      <a:off x="0" y="0"/>
                      <a:ext cx="5822736" cy="3734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5BBF35" w14:textId="738EF596" w:rsidR="006E524A" w:rsidRDefault="006E524A" w:rsidP="006E524A">
      <w:pPr>
        <w:pStyle w:val="NormalWeb"/>
        <w:spacing w:before="0" w:beforeAutospacing="0" w:after="0" w:afterAutospacing="0"/>
        <w:rPr>
          <w:rFonts w:asciiTheme="minorHAnsi" w:eastAsiaTheme="minorHAnsi" w:hAnsiTheme="minorHAnsi" w:cstheme="minorBidi"/>
          <w:sz w:val="20"/>
          <w:szCs w:val="20"/>
        </w:rPr>
      </w:pPr>
      <w:r w:rsidRPr="00654268">
        <w:rPr>
          <w:rFonts w:asciiTheme="minorHAnsi" w:eastAsiaTheme="minorHAnsi" w:hAnsiTheme="minorHAnsi" w:cstheme="minorBidi"/>
          <w:i/>
          <w:sz w:val="20"/>
          <w:szCs w:val="20"/>
        </w:rPr>
        <w:t>Source</w:t>
      </w:r>
      <w:r w:rsidRPr="006E524A">
        <w:rPr>
          <w:rFonts w:asciiTheme="minorHAnsi" w:eastAsiaTheme="minorHAnsi" w:hAnsiTheme="minorHAnsi" w:cstheme="minorBidi"/>
          <w:sz w:val="20"/>
          <w:szCs w:val="20"/>
        </w:rPr>
        <w:t xml:space="preserve">: </w:t>
      </w:r>
      <w:r w:rsidR="00702149">
        <w:rPr>
          <w:rFonts w:asciiTheme="minorHAnsi" w:eastAsiaTheme="minorHAnsi" w:hAnsiTheme="minorHAnsi" w:cstheme="minorBidi"/>
          <w:sz w:val="20"/>
          <w:szCs w:val="20"/>
        </w:rPr>
        <w:t>Eurostat, 2016</w:t>
      </w:r>
    </w:p>
    <w:p w14:paraId="75C33FEC" w14:textId="77777777" w:rsidR="006E524A" w:rsidRPr="006E524A" w:rsidRDefault="006E524A" w:rsidP="006E524A">
      <w:pPr>
        <w:pStyle w:val="NormalWeb"/>
        <w:spacing w:before="0" w:beforeAutospacing="0" w:after="0" w:afterAutospacing="0"/>
        <w:rPr>
          <w:rFonts w:asciiTheme="minorHAnsi" w:eastAsiaTheme="minorHAnsi" w:hAnsiTheme="minorHAnsi" w:cstheme="minorBidi"/>
          <w:sz w:val="20"/>
          <w:szCs w:val="20"/>
        </w:rPr>
      </w:pPr>
    </w:p>
    <w:p w14:paraId="6B42C1E2" w14:textId="1FF66010" w:rsidR="000B3B80" w:rsidRPr="00AA7FD5" w:rsidRDefault="0020575C" w:rsidP="00D64234">
      <w:pPr>
        <w:pStyle w:val="NormalWeb"/>
        <w:spacing w:before="0" w:beforeAutospacing="0" w:after="160" w:afterAutospacing="0"/>
        <w:jc w:val="both"/>
        <w:rPr>
          <w:rFonts w:asciiTheme="minorHAnsi" w:eastAsiaTheme="minorHAnsi" w:hAnsiTheme="minorHAnsi" w:cstheme="minorBidi"/>
          <w:sz w:val="22"/>
        </w:rPr>
      </w:pPr>
      <w:r w:rsidRPr="00AA7FD5">
        <w:rPr>
          <w:rFonts w:asciiTheme="minorHAnsi" w:eastAsiaTheme="minorHAnsi" w:hAnsiTheme="minorHAnsi" w:cstheme="minorBidi"/>
          <w:sz w:val="22"/>
        </w:rPr>
        <w:t xml:space="preserve">The decoupling framework </w:t>
      </w:r>
      <w:r w:rsidR="00D64234" w:rsidRPr="00AA7FD5">
        <w:rPr>
          <w:rFonts w:asciiTheme="minorHAnsi" w:eastAsiaTheme="minorHAnsi" w:hAnsiTheme="minorHAnsi" w:cstheme="minorBidi"/>
          <w:sz w:val="22"/>
        </w:rPr>
        <w:t>can a</w:t>
      </w:r>
      <w:r w:rsidR="009135A4" w:rsidRPr="00AA7FD5">
        <w:rPr>
          <w:rFonts w:asciiTheme="minorHAnsi" w:eastAsiaTheme="minorHAnsi" w:hAnsiTheme="minorHAnsi" w:cstheme="minorBidi"/>
          <w:sz w:val="22"/>
        </w:rPr>
        <w:t xml:space="preserve">lso </w:t>
      </w:r>
      <w:r w:rsidRPr="00AA7FD5">
        <w:rPr>
          <w:rFonts w:asciiTheme="minorHAnsi" w:eastAsiaTheme="minorHAnsi" w:hAnsiTheme="minorHAnsi" w:cstheme="minorBidi"/>
          <w:sz w:val="22"/>
        </w:rPr>
        <w:t xml:space="preserve">be applied </w:t>
      </w:r>
      <w:r w:rsidR="00AC3399" w:rsidRPr="00AA7FD5">
        <w:rPr>
          <w:rFonts w:asciiTheme="minorHAnsi" w:eastAsiaTheme="minorHAnsi" w:hAnsiTheme="minorHAnsi" w:cstheme="minorBidi"/>
          <w:sz w:val="22"/>
        </w:rPr>
        <w:t>to</w:t>
      </w:r>
      <w:r w:rsidR="00615FDA" w:rsidRPr="00AA7FD5">
        <w:rPr>
          <w:rFonts w:asciiTheme="minorHAnsi" w:eastAsiaTheme="minorHAnsi" w:hAnsiTheme="minorHAnsi" w:cstheme="minorBidi"/>
          <w:sz w:val="22"/>
        </w:rPr>
        <w:t xml:space="preserve"> </w:t>
      </w:r>
      <w:r w:rsidR="00487DF7" w:rsidRPr="00AA7FD5">
        <w:rPr>
          <w:rFonts w:asciiTheme="minorHAnsi" w:eastAsiaTheme="minorHAnsi" w:hAnsiTheme="minorHAnsi" w:cstheme="minorBidi"/>
          <w:sz w:val="22"/>
        </w:rPr>
        <w:t xml:space="preserve">other positive </w:t>
      </w:r>
      <w:r w:rsidR="00615FDA" w:rsidRPr="00AA7FD5">
        <w:rPr>
          <w:rFonts w:asciiTheme="minorHAnsi" w:eastAsiaTheme="minorHAnsi" w:hAnsiTheme="minorHAnsi" w:cstheme="minorBidi"/>
          <w:sz w:val="22"/>
        </w:rPr>
        <w:t xml:space="preserve">environmental </w:t>
      </w:r>
      <w:r w:rsidR="00487DF7" w:rsidRPr="00AA7FD5">
        <w:rPr>
          <w:rFonts w:asciiTheme="minorHAnsi" w:eastAsiaTheme="minorHAnsi" w:hAnsiTheme="minorHAnsi" w:cstheme="minorBidi"/>
          <w:sz w:val="22"/>
        </w:rPr>
        <w:t>issues</w:t>
      </w:r>
      <w:r w:rsidR="00615FDA" w:rsidRPr="00AA7FD5">
        <w:rPr>
          <w:rFonts w:asciiTheme="minorHAnsi" w:eastAsiaTheme="minorHAnsi" w:hAnsiTheme="minorHAnsi" w:cstheme="minorBidi"/>
          <w:sz w:val="22"/>
        </w:rPr>
        <w:t xml:space="preserve"> such as environmental expenditures</w:t>
      </w:r>
      <w:r w:rsidR="0020778C">
        <w:rPr>
          <w:rFonts w:asciiTheme="minorHAnsi" w:eastAsiaTheme="minorHAnsi" w:hAnsiTheme="minorHAnsi" w:cstheme="minorBidi"/>
          <w:sz w:val="22"/>
        </w:rPr>
        <w:t>, or positive externalities such as land conservation</w:t>
      </w:r>
      <w:r w:rsidR="00615FDA" w:rsidRPr="00AA7FD5">
        <w:rPr>
          <w:rFonts w:asciiTheme="minorHAnsi" w:eastAsiaTheme="minorHAnsi" w:hAnsiTheme="minorHAnsi" w:cstheme="minorBidi"/>
          <w:sz w:val="22"/>
        </w:rPr>
        <w:t>. I</w:t>
      </w:r>
      <w:r w:rsidRPr="00AA7FD5">
        <w:rPr>
          <w:rFonts w:asciiTheme="minorHAnsi" w:eastAsiaTheme="minorHAnsi" w:hAnsiTheme="minorHAnsi" w:cstheme="minorBidi"/>
          <w:sz w:val="22"/>
        </w:rPr>
        <w:t>n</w:t>
      </w:r>
      <w:r w:rsidR="00001713" w:rsidRPr="00AA7FD5">
        <w:rPr>
          <w:rFonts w:asciiTheme="minorHAnsi" w:eastAsiaTheme="minorHAnsi" w:hAnsiTheme="minorHAnsi" w:cstheme="minorBidi"/>
          <w:sz w:val="22"/>
        </w:rPr>
        <w:t xml:space="preserve"> </w:t>
      </w:r>
      <w:r w:rsidRPr="00AA7FD5">
        <w:rPr>
          <w:rFonts w:asciiTheme="minorHAnsi" w:eastAsiaTheme="minorHAnsi" w:hAnsiTheme="minorHAnsi" w:cstheme="minorBidi"/>
          <w:sz w:val="22"/>
        </w:rPr>
        <w:t xml:space="preserve">such cases, the </w:t>
      </w:r>
      <w:r w:rsidR="00F1656C" w:rsidRPr="00AA7FD5">
        <w:rPr>
          <w:rFonts w:asciiTheme="minorHAnsi" w:eastAsiaTheme="minorHAnsi" w:hAnsiTheme="minorHAnsi" w:cstheme="minorBidi"/>
          <w:sz w:val="22"/>
        </w:rPr>
        <w:t xml:space="preserve">conditions </w:t>
      </w:r>
      <w:r w:rsidRPr="00AA7FD5">
        <w:rPr>
          <w:rFonts w:asciiTheme="minorHAnsi" w:eastAsiaTheme="minorHAnsi" w:hAnsiTheme="minorHAnsi" w:cstheme="minorBidi"/>
          <w:sz w:val="22"/>
        </w:rPr>
        <w:t>for “absolute”</w:t>
      </w:r>
      <w:r w:rsidR="004F50EC" w:rsidRPr="00AA7FD5">
        <w:rPr>
          <w:rFonts w:asciiTheme="minorHAnsi" w:eastAsiaTheme="minorHAnsi" w:hAnsiTheme="minorHAnsi" w:cstheme="minorBidi"/>
          <w:sz w:val="22"/>
        </w:rPr>
        <w:t>, “relative”,</w:t>
      </w:r>
      <w:r w:rsidRPr="00AA7FD5">
        <w:rPr>
          <w:rFonts w:asciiTheme="minorHAnsi" w:eastAsiaTheme="minorHAnsi" w:hAnsiTheme="minorHAnsi" w:cstheme="minorBidi"/>
          <w:sz w:val="22"/>
        </w:rPr>
        <w:t xml:space="preserve"> and “negative decoupling are reversed, while th</w:t>
      </w:r>
      <w:r w:rsidR="00F1656C" w:rsidRPr="00AA7FD5">
        <w:rPr>
          <w:rFonts w:asciiTheme="minorHAnsi" w:eastAsiaTheme="minorHAnsi" w:hAnsiTheme="minorHAnsi" w:cstheme="minorBidi"/>
          <w:sz w:val="22"/>
        </w:rPr>
        <w:t>at</w:t>
      </w:r>
      <w:r w:rsidRPr="00AA7FD5">
        <w:rPr>
          <w:rFonts w:asciiTheme="minorHAnsi" w:eastAsiaTheme="minorHAnsi" w:hAnsiTheme="minorHAnsi" w:cstheme="minorBidi"/>
          <w:sz w:val="22"/>
        </w:rPr>
        <w:t xml:space="preserve"> for “no decoupling”</w:t>
      </w:r>
      <w:r w:rsidR="002617A8" w:rsidRPr="00AA7FD5">
        <w:rPr>
          <w:rFonts w:asciiTheme="minorHAnsi" w:eastAsiaTheme="minorHAnsi" w:hAnsiTheme="minorHAnsi" w:cstheme="minorBidi"/>
          <w:sz w:val="22"/>
        </w:rPr>
        <w:t xml:space="preserve"> </w:t>
      </w:r>
      <w:r w:rsidR="00F1656C" w:rsidRPr="00AA7FD5">
        <w:rPr>
          <w:rFonts w:asciiTheme="minorHAnsi" w:eastAsiaTheme="minorHAnsi" w:hAnsiTheme="minorHAnsi" w:cstheme="minorBidi"/>
          <w:sz w:val="22"/>
        </w:rPr>
        <w:t>is</w:t>
      </w:r>
      <w:r w:rsidRPr="00AA7FD5">
        <w:rPr>
          <w:rFonts w:asciiTheme="minorHAnsi" w:eastAsiaTheme="minorHAnsi" w:hAnsiTheme="minorHAnsi" w:cstheme="minorBidi"/>
          <w:sz w:val="22"/>
        </w:rPr>
        <w:t xml:space="preserve"> the same.</w:t>
      </w:r>
      <w:r w:rsidR="008A2C30" w:rsidRPr="00AA7FD5">
        <w:rPr>
          <w:rFonts w:asciiTheme="minorHAnsi" w:eastAsiaTheme="minorHAnsi" w:hAnsiTheme="minorHAnsi" w:cstheme="minorBidi"/>
          <w:sz w:val="22"/>
        </w:rPr>
        <w:t xml:space="preserve"> </w:t>
      </w:r>
      <w:r w:rsidR="008A21E5" w:rsidRPr="00AA7FD5">
        <w:rPr>
          <w:rFonts w:asciiTheme="minorHAnsi" w:eastAsiaTheme="minorHAnsi" w:hAnsiTheme="minorHAnsi" w:cstheme="minorBidi"/>
          <w:sz w:val="22"/>
        </w:rPr>
        <w:t>For example, consider the Environmental Protection Expenditure (EPE) in Romania</w:t>
      </w:r>
      <w:r w:rsidR="00965730">
        <w:rPr>
          <w:rStyle w:val="FootnoteReference"/>
          <w:rFonts w:asciiTheme="minorHAnsi" w:eastAsiaTheme="minorHAnsi" w:hAnsiTheme="minorHAnsi" w:cstheme="minorBidi"/>
          <w:sz w:val="22"/>
        </w:rPr>
        <w:footnoteReference w:id="14"/>
      </w:r>
      <w:r w:rsidR="008A21E5" w:rsidRPr="00AA7FD5">
        <w:rPr>
          <w:rFonts w:asciiTheme="minorHAnsi" w:eastAsiaTheme="minorHAnsi" w:hAnsiTheme="minorHAnsi" w:cstheme="minorBidi"/>
          <w:sz w:val="22"/>
        </w:rPr>
        <w:t xml:space="preserve">. </w:t>
      </w:r>
      <w:r w:rsidR="00862C40" w:rsidRPr="00AA7FD5">
        <w:rPr>
          <w:rFonts w:asciiTheme="minorHAnsi" w:eastAsiaTheme="minorHAnsi" w:hAnsiTheme="minorHAnsi" w:cstheme="minorBidi"/>
          <w:sz w:val="22"/>
        </w:rPr>
        <w:t xml:space="preserve">Based on the decoupling definitions, </w:t>
      </w:r>
      <w:r w:rsidR="00965730">
        <w:rPr>
          <w:rFonts w:asciiTheme="minorHAnsi" w:eastAsiaTheme="minorHAnsi" w:hAnsiTheme="minorHAnsi" w:cstheme="minorBidi"/>
          <w:sz w:val="22"/>
        </w:rPr>
        <w:t>the exercise would indicate</w:t>
      </w:r>
      <w:r w:rsidR="002E5E69" w:rsidRPr="00AA7FD5">
        <w:rPr>
          <w:rFonts w:asciiTheme="minorHAnsi" w:eastAsiaTheme="minorHAnsi" w:hAnsiTheme="minorHAnsi" w:cstheme="minorBidi"/>
          <w:sz w:val="22"/>
        </w:rPr>
        <w:t xml:space="preserve"> </w:t>
      </w:r>
      <w:r w:rsidR="00862C40" w:rsidRPr="00AA7FD5">
        <w:rPr>
          <w:rFonts w:asciiTheme="minorHAnsi" w:eastAsiaTheme="minorHAnsi" w:hAnsiTheme="minorHAnsi" w:cstheme="minorBidi"/>
          <w:sz w:val="22"/>
        </w:rPr>
        <w:t>negative decoupling</w:t>
      </w:r>
      <w:r w:rsidR="00965730">
        <w:rPr>
          <w:rFonts w:asciiTheme="minorHAnsi" w:eastAsiaTheme="minorHAnsi" w:hAnsiTheme="minorHAnsi" w:cstheme="minorBidi"/>
          <w:sz w:val="22"/>
        </w:rPr>
        <w:t>,</w:t>
      </w:r>
      <w:r w:rsidR="00487DF7" w:rsidRPr="00AA7FD5">
        <w:rPr>
          <w:rFonts w:asciiTheme="minorHAnsi" w:eastAsiaTheme="minorHAnsi" w:hAnsiTheme="minorHAnsi" w:cstheme="minorBidi"/>
          <w:sz w:val="22"/>
        </w:rPr>
        <w:t xml:space="preserve"> </w:t>
      </w:r>
      <w:r w:rsidR="00965730">
        <w:rPr>
          <w:rFonts w:asciiTheme="minorHAnsi" w:eastAsiaTheme="minorHAnsi" w:hAnsiTheme="minorHAnsi" w:cstheme="minorBidi"/>
          <w:sz w:val="22"/>
        </w:rPr>
        <w:t>as</w:t>
      </w:r>
      <w:r w:rsidR="00487DF7" w:rsidRPr="00AA7FD5">
        <w:rPr>
          <w:rFonts w:asciiTheme="minorHAnsi" w:eastAsiaTheme="minorHAnsi" w:hAnsiTheme="minorHAnsi" w:cstheme="minorBidi"/>
          <w:sz w:val="22"/>
        </w:rPr>
        <w:t xml:space="preserve"> the growth in environmental expenditures is greater than GDP growth</w:t>
      </w:r>
      <w:r w:rsidR="00862C40" w:rsidRPr="00AA7FD5">
        <w:rPr>
          <w:rFonts w:asciiTheme="minorHAnsi" w:eastAsiaTheme="minorHAnsi" w:hAnsiTheme="minorHAnsi" w:cstheme="minorBidi"/>
          <w:sz w:val="22"/>
        </w:rPr>
        <w:t xml:space="preserve">. </w:t>
      </w:r>
      <w:r w:rsidR="00486CCE" w:rsidRPr="00AA7FD5">
        <w:rPr>
          <w:rFonts w:asciiTheme="minorHAnsi" w:eastAsiaTheme="minorHAnsi" w:hAnsiTheme="minorHAnsi" w:cstheme="minorBidi"/>
          <w:sz w:val="22"/>
        </w:rPr>
        <w:t xml:space="preserve">However, assuming efficiency in the usage of </w:t>
      </w:r>
      <w:r w:rsidR="00487DF7" w:rsidRPr="00AA7FD5">
        <w:rPr>
          <w:rFonts w:asciiTheme="minorHAnsi" w:eastAsiaTheme="minorHAnsi" w:hAnsiTheme="minorHAnsi" w:cstheme="minorBidi"/>
          <w:sz w:val="22"/>
        </w:rPr>
        <w:t xml:space="preserve">the </w:t>
      </w:r>
      <w:r w:rsidR="00486CCE" w:rsidRPr="00AA7FD5">
        <w:rPr>
          <w:rFonts w:asciiTheme="minorHAnsi" w:eastAsiaTheme="minorHAnsi" w:hAnsiTheme="minorHAnsi" w:cstheme="minorBidi"/>
          <w:sz w:val="22"/>
        </w:rPr>
        <w:t>environmental budget, environmental protection expenditure can be consider</w:t>
      </w:r>
      <w:r w:rsidR="00C549EB">
        <w:rPr>
          <w:rFonts w:asciiTheme="minorHAnsi" w:eastAsiaTheme="minorHAnsi" w:hAnsiTheme="minorHAnsi" w:cstheme="minorBidi"/>
          <w:sz w:val="22"/>
        </w:rPr>
        <w:t xml:space="preserve">ed to have </w:t>
      </w:r>
      <w:r w:rsidR="00486CCE" w:rsidRPr="00AA7FD5">
        <w:rPr>
          <w:rFonts w:asciiTheme="minorHAnsi" w:eastAsiaTheme="minorHAnsi" w:hAnsiTheme="minorHAnsi" w:cstheme="minorBidi"/>
          <w:sz w:val="22"/>
        </w:rPr>
        <w:t>a positive effect on the environment. Thus, this decoupling can be interpreted as green decoupling (i.e., “absolute decoupling”).</w:t>
      </w:r>
    </w:p>
    <w:p w14:paraId="6A862275" w14:textId="591CAB0D" w:rsidR="0020778C" w:rsidRPr="0020778C" w:rsidRDefault="000C79E1" w:rsidP="0020778C">
      <w:pPr>
        <w:jc w:val="both"/>
      </w:pPr>
      <w:r>
        <w:t>T</w:t>
      </w:r>
      <w:r w:rsidR="00F339F4" w:rsidRPr="00AA7FD5">
        <w:t>he cas</w:t>
      </w:r>
      <w:r>
        <w:t xml:space="preserve">e of Romania allows decoupling analysis </w:t>
      </w:r>
      <w:r w:rsidR="00F339F4" w:rsidRPr="00AA7FD5">
        <w:t>where time series data for Econo</w:t>
      </w:r>
      <w:r w:rsidR="00B23470" w:rsidRPr="00AA7FD5">
        <w:t>mic Valued Added</w:t>
      </w:r>
      <w:r w:rsidR="00621DE5" w:rsidRPr="00AA7FD5">
        <w:t xml:space="preserve"> (EVA)</w:t>
      </w:r>
      <w:r w:rsidR="00B23470" w:rsidRPr="00AA7FD5">
        <w:t xml:space="preserve"> and Greenhouse Gas e</w:t>
      </w:r>
      <w:r w:rsidR="00F339F4" w:rsidRPr="00AA7FD5">
        <w:t>missions</w:t>
      </w:r>
      <w:r w:rsidR="00621DE5" w:rsidRPr="00AA7FD5">
        <w:t xml:space="preserve"> (GHG)</w:t>
      </w:r>
      <w:r w:rsidR="00F339F4" w:rsidRPr="00AA7FD5">
        <w:t xml:space="preserve"> is available for the period 2000-</w:t>
      </w:r>
      <w:r w:rsidR="00F339F4" w:rsidRPr="0020778C">
        <w:t xml:space="preserve">2013. </w:t>
      </w:r>
      <w:r w:rsidR="0020778C">
        <w:t>T</w:t>
      </w:r>
      <w:r w:rsidR="0020778C" w:rsidRPr="00AA7FD5">
        <w:t xml:space="preserve">he decoupling trend </w:t>
      </w:r>
      <w:r w:rsidR="0020778C">
        <w:t xml:space="preserve">of </w:t>
      </w:r>
      <w:r w:rsidR="00AC7A1E" w:rsidRPr="0020778C">
        <w:t xml:space="preserve">EVA and GHG </w:t>
      </w:r>
      <w:r w:rsidR="007A72C1" w:rsidRPr="0020778C">
        <w:t>emissions generated by all sectors of the economy</w:t>
      </w:r>
      <w:r w:rsidR="00D82F7A" w:rsidRPr="0020778C">
        <w:t xml:space="preserve"> for the entire period of study</w:t>
      </w:r>
      <w:r w:rsidR="0020778C" w:rsidRPr="0020778C">
        <w:t xml:space="preserve"> are </w:t>
      </w:r>
      <w:r w:rsidR="0020778C">
        <w:t>presented in</w:t>
      </w:r>
      <w:r w:rsidR="00C1122B">
        <w:t xml:space="preserve"> </w:t>
      </w:r>
      <w:r w:rsidR="00C1122B">
        <w:fldChar w:fldCharType="begin"/>
      </w:r>
      <w:r w:rsidR="00C1122B">
        <w:instrText xml:space="preserve"> REF _Ref507933090 \h  \* MERGEFORMAT </w:instrText>
      </w:r>
      <w:r w:rsidR="00C1122B">
        <w:fldChar w:fldCharType="separate"/>
      </w:r>
      <w:r w:rsidR="006A2C19" w:rsidRPr="00AA7FD5">
        <w:t xml:space="preserve">Figure </w:t>
      </w:r>
      <w:r w:rsidR="006A2C19" w:rsidRPr="006A2C19">
        <w:t>12</w:t>
      </w:r>
      <w:r w:rsidR="00C1122B">
        <w:fldChar w:fldCharType="end"/>
      </w:r>
      <w:r w:rsidR="002E0E68">
        <w:rPr>
          <w:rStyle w:val="FootnoteReference"/>
        </w:rPr>
        <w:footnoteReference w:id="15"/>
      </w:r>
      <w:r w:rsidR="009610BD" w:rsidRPr="00AA7FD5">
        <w:t>.</w:t>
      </w:r>
      <w:r w:rsidR="00FC0174" w:rsidRPr="00FC0174">
        <w:t xml:space="preserve"> </w:t>
      </w:r>
      <w:r w:rsidR="00FC0174">
        <w:t xml:space="preserve">Following the types of decoupling shown in </w:t>
      </w:r>
      <w:r w:rsidR="00FC0174" w:rsidRPr="00FC0174">
        <w:fldChar w:fldCharType="begin"/>
      </w:r>
      <w:r w:rsidR="00FC0174" w:rsidRPr="00FC0174">
        <w:instrText xml:space="preserve"> REF _Ref482870160 \h  \* MERGEFORMAT </w:instrText>
      </w:r>
      <w:r w:rsidR="00FC0174" w:rsidRPr="00FC0174">
        <w:fldChar w:fldCharType="separate"/>
      </w:r>
      <w:r w:rsidR="006A2C19" w:rsidRPr="00AA7FD5">
        <w:t xml:space="preserve">Figure </w:t>
      </w:r>
      <w:r w:rsidR="006A2C19" w:rsidRPr="006A2C19">
        <w:rPr>
          <w:noProof/>
        </w:rPr>
        <w:t>11</w:t>
      </w:r>
      <w:r w:rsidR="00FC0174" w:rsidRPr="00FC0174">
        <w:fldChar w:fldCharType="end"/>
      </w:r>
      <w:r w:rsidR="00FC0174" w:rsidRPr="00FC0174">
        <w:t>,</w:t>
      </w:r>
      <w:r w:rsidR="00FC0174">
        <w:t xml:space="preserve"> </w:t>
      </w:r>
      <w:r w:rsidR="00FC0174" w:rsidRPr="00AA7FD5">
        <w:t xml:space="preserve">three periods of decoupling between </w:t>
      </w:r>
      <w:r w:rsidR="00FC0174" w:rsidRPr="00AA7FD5">
        <w:lastRenderedPageBreak/>
        <w:t>EVA and the GHG emissions</w:t>
      </w:r>
      <w:r w:rsidR="00FC0174">
        <w:t xml:space="preserve"> emerge</w:t>
      </w:r>
      <w:r w:rsidR="00FC0174" w:rsidRPr="00AA7FD5">
        <w:t xml:space="preserve">: </w:t>
      </w:r>
      <w:r w:rsidR="002D430F" w:rsidRPr="00AA7FD5">
        <w:t>no decoupling in the first two years of the analysis</w:t>
      </w:r>
      <w:r w:rsidR="002D430F">
        <w:t xml:space="preserve"> (orange), </w:t>
      </w:r>
      <w:r w:rsidR="002D430F" w:rsidRPr="00AA7FD5">
        <w:t>relative decoupling between 2002 and 2008</w:t>
      </w:r>
      <w:r w:rsidR="002D430F">
        <w:t xml:space="preserve"> (yellow)</w:t>
      </w:r>
      <w:r w:rsidR="002D430F" w:rsidRPr="00AA7FD5">
        <w:t xml:space="preserve">, </w:t>
      </w:r>
      <w:r w:rsidR="002D430F">
        <w:t xml:space="preserve">and </w:t>
      </w:r>
      <w:r w:rsidR="00FC0174" w:rsidRPr="00AA7FD5">
        <w:t>absolute decoupling beginning with 2009</w:t>
      </w:r>
      <w:r w:rsidR="00FC0174">
        <w:t xml:space="preserve"> (green)</w:t>
      </w:r>
      <w:r w:rsidR="002D430F">
        <w:t>.</w:t>
      </w:r>
    </w:p>
    <w:p w14:paraId="79AF8191" w14:textId="640A4227" w:rsidR="0020778C" w:rsidRPr="00AA7FD5" w:rsidRDefault="0020778C" w:rsidP="0020778C">
      <w:pPr>
        <w:pStyle w:val="Caption"/>
        <w:jc w:val="center"/>
        <w:rPr>
          <w:i w:val="0"/>
          <w:color w:val="auto"/>
          <w:sz w:val="22"/>
          <w:szCs w:val="22"/>
        </w:rPr>
      </w:pPr>
      <w:bookmarkStart w:id="51" w:name="_Ref507933090"/>
      <w:bookmarkStart w:id="52" w:name="_Toc508013118"/>
      <w:r w:rsidRPr="00AA7FD5">
        <w:rPr>
          <w:i w:val="0"/>
          <w:color w:val="auto"/>
          <w:sz w:val="22"/>
          <w:szCs w:val="22"/>
        </w:rPr>
        <w:t xml:space="preserve">Figure </w:t>
      </w:r>
      <w:r w:rsidR="00E158DF">
        <w:rPr>
          <w:i w:val="0"/>
          <w:color w:val="auto"/>
          <w:sz w:val="22"/>
          <w:szCs w:val="22"/>
        </w:rPr>
        <w:fldChar w:fldCharType="begin"/>
      </w:r>
      <w:r w:rsidR="00E158DF">
        <w:rPr>
          <w:i w:val="0"/>
          <w:color w:val="auto"/>
          <w:sz w:val="22"/>
          <w:szCs w:val="22"/>
        </w:rPr>
        <w:instrText xml:space="preserve"> SEQ Figure \* ARABIC </w:instrText>
      </w:r>
      <w:r w:rsidR="00E158DF">
        <w:rPr>
          <w:i w:val="0"/>
          <w:color w:val="auto"/>
          <w:sz w:val="22"/>
          <w:szCs w:val="22"/>
        </w:rPr>
        <w:fldChar w:fldCharType="separate"/>
      </w:r>
      <w:r w:rsidR="006A2C19">
        <w:rPr>
          <w:i w:val="0"/>
          <w:noProof/>
          <w:color w:val="auto"/>
          <w:sz w:val="22"/>
          <w:szCs w:val="22"/>
        </w:rPr>
        <w:t>12</w:t>
      </w:r>
      <w:r w:rsidR="00E158DF">
        <w:rPr>
          <w:i w:val="0"/>
          <w:color w:val="auto"/>
          <w:sz w:val="22"/>
          <w:szCs w:val="22"/>
        </w:rPr>
        <w:fldChar w:fldCharType="end"/>
      </w:r>
      <w:bookmarkEnd w:id="51"/>
      <w:r w:rsidRPr="00AA7FD5">
        <w:rPr>
          <w:i w:val="0"/>
          <w:color w:val="auto"/>
          <w:sz w:val="22"/>
          <w:szCs w:val="22"/>
        </w:rPr>
        <w:t>. Romania: Economic Valued Added versus Greenhouse Gas Emissions (2000-2013)</w:t>
      </w:r>
      <w:bookmarkEnd w:id="52"/>
    </w:p>
    <w:p w14:paraId="5D0AA2F7" w14:textId="77777777" w:rsidR="0020778C" w:rsidRDefault="0020778C" w:rsidP="0020778C">
      <w:pPr>
        <w:jc w:val="center"/>
        <w:rPr>
          <w:sz w:val="24"/>
          <w:szCs w:val="24"/>
        </w:rPr>
      </w:pPr>
      <w:r w:rsidRPr="0059260A">
        <w:rPr>
          <w:noProof/>
        </w:rPr>
        <w:drawing>
          <wp:inline distT="0" distB="0" distL="0" distR="0" wp14:anchorId="2BDE0139" wp14:editId="7EE1C30B">
            <wp:extent cx="5943600" cy="28156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15614"/>
                    </a:xfrm>
                    <a:prstGeom prst="rect">
                      <a:avLst/>
                    </a:prstGeom>
                    <a:noFill/>
                    <a:ln>
                      <a:noFill/>
                    </a:ln>
                  </pic:spPr>
                </pic:pic>
              </a:graphicData>
            </a:graphic>
          </wp:inline>
        </w:drawing>
      </w:r>
    </w:p>
    <w:p w14:paraId="7C1AD157" w14:textId="77777777" w:rsidR="0020778C" w:rsidRPr="009610BD" w:rsidRDefault="0020778C" w:rsidP="0020778C">
      <w:pPr>
        <w:rPr>
          <w:sz w:val="20"/>
          <w:szCs w:val="24"/>
        </w:rPr>
      </w:pPr>
      <w:r w:rsidRPr="009610BD">
        <w:rPr>
          <w:i/>
          <w:sz w:val="20"/>
          <w:szCs w:val="24"/>
        </w:rPr>
        <w:t>Source</w:t>
      </w:r>
      <w:r w:rsidRPr="009610BD">
        <w:rPr>
          <w:sz w:val="20"/>
          <w:szCs w:val="24"/>
        </w:rPr>
        <w:t xml:space="preserve">: Green Growth Decoupling Tool (World Bank, 2016). </w:t>
      </w:r>
    </w:p>
    <w:p w14:paraId="11F30519" w14:textId="77777777" w:rsidR="006A2C19" w:rsidRDefault="00733BE5" w:rsidP="00946572">
      <w:pPr>
        <w:jc w:val="both"/>
      </w:pPr>
      <w:r w:rsidRPr="00AA7FD5">
        <w:t xml:space="preserve">A closer looks revels that the EVA growth was curbed in 2008, which is also the first year the GHG emissions </w:t>
      </w:r>
      <w:r w:rsidR="005061ED" w:rsidRPr="00AA7FD5">
        <w:t>descend</w:t>
      </w:r>
      <w:r w:rsidRPr="00AA7FD5">
        <w:t xml:space="preserve"> below the base year</w:t>
      </w:r>
      <w:r w:rsidR="005061ED" w:rsidRPr="00AA7FD5">
        <w:t xml:space="preserve"> level</w:t>
      </w:r>
      <w:r w:rsidR="00941AB5" w:rsidRPr="00AA7FD5">
        <w:t xml:space="preserve"> of emissions</w:t>
      </w:r>
      <w:r w:rsidRPr="00AA7FD5">
        <w:t>. Prior to 2008, EVA followed an ascending trend, while the GHG emissions kept steady at a level above the base year. Romania</w:t>
      </w:r>
      <w:r w:rsidR="00040EA1">
        <w:t>’s accession to</w:t>
      </w:r>
      <w:r w:rsidRPr="00AA7FD5">
        <w:t xml:space="preserve"> t</w:t>
      </w:r>
      <w:r w:rsidR="00040EA1">
        <w:t>he European Union in 2007</w:t>
      </w:r>
      <w:r w:rsidRPr="00AA7FD5">
        <w:t xml:space="preserve"> </w:t>
      </w:r>
      <w:r w:rsidR="00941AB5" w:rsidRPr="00AA7FD5">
        <w:t xml:space="preserve">may </w:t>
      </w:r>
      <w:r w:rsidRPr="00AA7FD5">
        <w:t xml:space="preserve">explain the ascending trend in the economic indicator, while the global financial crisis hit in 2008. </w:t>
      </w:r>
      <w:r w:rsidR="005061ED" w:rsidRPr="00AA7FD5">
        <w:t xml:space="preserve">Considering these facts, is the absolute decoupling between 2009-2013 real or it is just an artifact of the base year? To answer this question, </w:t>
      </w:r>
      <w:r w:rsidR="00946572">
        <w:t>separate analyses can be performed for data prior and post 2008, as illustrated in</w:t>
      </w:r>
      <w:r w:rsidR="005061ED" w:rsidRPr="00AA7FD5">
        <w:t xml:space="preserve"> </w:t>
      </w:r>
      <w:r w:rsidR="009610BD" w:rsidRPr="00040EA1">
        <w:fldChar w:fldCharType="begin"/>
      </w:r>
      <w:r w:rsidR="009610BD" w:rsidRPr="00040EA1">
        <w:instrText xml:space="preserve"> REF _Ref482876803 \h  \* MERGEFORMAT </w:instrText>
      </w:r>
      <w:r w:rsidR="009610BD" w:rsidRPr="00040EA1">
        <w:fldChar w:fldCharType="separate"/>
      </w:r>
    </w:p>
    <w:p w14:paraId="1DA6F7B0" w14:textId="213697B7" w:rsidR="00AA7FD5" w:rsidRDefault="006A2C19" w:rsidP="00946572">
      <w:pPr>
        <w:jc w:val="both"/>
      </w:pPr>
      <w:r w:rsidRPr="006A2C19">
        <w:t>Figure</w:t>
      </w:r>
      <w:r w:rsidRPr="00AA7FD5">
        <w:rPr>
          <w:szCs w:val="24"/>
        </w:rPr>
        <w:t xml:space="preserve"> </w:t>
      </w:r>
      <w:r>
        <w:rPr>
          <w:i/>
          <w:noProof/>
          <w:szCs w:val="24"/>
        </w:rPr>
        <w:t>13</w:t>
      </w:r>
      <w:r w:rsidR="009610BD" w:rsidRPr="00040EA1">
        <w:fldChar w:fldCharType="end"/>
      </w:r>
      <w:r w:rsidR="00A75074" w:rsidRPr="00040EA1">
        <w:t>.</w:t>
      </w:r>
      <w:bookmarkStart w:id="53" w:name="_Ref482876803"/>
    </w:p>
    <w:p w14:paraId="5A17BB14" w14:textId="15067754" w:rsidR="007010C5" w:rsidRPr="00AA7FD5" w:rsidRDefault="009610BD" w:rsidP="00491B6E">
      <w:pPr>
        <w:pStyle w:val="Caption"/>
        <w:jc w:val="center"/>
        <w:rPr>
          <w:i w:val="0"/>
          <w:color w:val="auto"/>
          <w:sz w:val="22"/>
          <w:szCs w:val="24"/>
        </w:rPr>
      </w:pPr>
      <w:bookmarkStart w:id="54" w:name="_Toc508013119"/>
      <w:r w:rsidRPr="00AA7FD5">
        <w:rPr>
          <w:i w:val="0"/>
          <w:color w:val="auto"/>
          <w:sz w:val="22"/>
          <w:szCs w:val="24"/>
        </w:rPr>
        <w:t xml:space="preserve">Figure </w:t>
      </w:r>
      <w:r w:rsidR="00E158DF">
        <w:rPr>
          <w:i w:val="0"/>
          <w:color w:val="auto"/>
          <w:sz w:val="22"/>
          <w:szCs w:val="24"/>
        </w:rPr>
        <w:fldChar w:fldCharType="begin"/>
      </w:r>
      <w:r w:rsidR="00E158DF">
        <w:rPr>
          <w:i w:val="0"/>
          <w:color w:val="auto"/>
          <w:sz w:val="22"/>
          <w:szCs w:val="24"/>
        </w:rPr>
        <w:instrText xml:space="preserve"> SEQ Figure \* ARABIC </w:instrText>
      </w:r>
      <w:r w:rsidR="00E158DF">
        <w:rPr>
          <w:i w:val="0"/>
          <w:color w:val="auto"/>
          <w:sz w:val="22"/>
          <w:szCs w:val="24"/>
        </w:rPr>
        <w:fldChar w:fldCharType="separate"/>
      </w:r>
      <w:r w:rsidR="006A2C19">
        <w:rPr>
          <w:i w:val="0"/>
          <w:noProof/>
          <w:color w:val="auto"/>
          <w:sz w:val="22"/>
          <w:szCs w:val="24"/>
        </w:rPr>
        <w:t>13</w:t>
      </w:r>
      <w:r w:rsidR="00E158DF">
        <w:rPr>
          <w:i w:val="0"/>
          <w:color w:val="auto"/>
          <w:sz w:val="22"/>
          <w:szCs w:val="24"/>
        </w:rPr>
        <w:fldChar w:fldCharType="end"/>
      </w:r>
      <w:bookmarkEnd w:id="53"/>
      <w:r w:rsidR="007010C5" w:rsidRPr="00AA7FD5">
        <w:rPr>
          <w:i w:val="0"/>
          <w:color w:val="auto"/>
          <w:sz w:val="22"/>
          <w:szCs w:val="24"/>
        </w:rPr>
        <w:t>. Romania: Economic Valued Added versus GHG Emission (2000 -2008 and 2008 -2013)</w:t>
      </w:r>
      <w:bookmarkEnd w:id="54"/>
    </w:p>
    <w:p w14:paraId="3CED5ECD" w14:textId="353C08E7" w:rsidR="0015351A" w:rsidRPr="00E438F5" w:rsidRDefault="0059260A" w:rsidP="00394B31">
      <w:pPr>
        <w:jc w:val="center"/>
        <w:rPr>
          <w:sz w:val="24"/>
          <w:szCs w:val="24"/>
        </w:rPr>
      </w:pPr>
      <w:r w:rsidRPr="0059260A">
        <w:rPr>
          <w:noProof/>
        </w:rPr>
        <w:lastRenderedPageBreak/>
        <w:drawing>
          <wp:inline distT="0" distB="0" distL="0" distR="0" wp14:anchorId="1172AA54" wp14:editId="0AD89BC4">
            <wp:extent cx="2958273" cy="23302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64" cy="2355887"/>
                    </a:xfrm>
                    <a:prstGeom prst="rect">
                      <a:avLst/>
                    </a:prstGeom>
                    <a:noFill/>
                    <a:ln>
                      <a:noFill/>
                    </a:ln>
                  </pic:spPr>
                </pic:pic>
              </a:graphicData>
            </a:graphic>
          </wp:inline>
        </w:drawing>
      </w:r>
      <w:r w:rsidRPr="0059260A">
        <w:rPr>
          <w:noProof/>
        </w:rPr>
        <w:drawing>
          <wp:inline distT="0" distB="0" distL="0" distR="0" wp14:anchorId="73B5C18F" wp14:editId="17E5DE7D">
            <wp:extent cx="2955649" cy="23281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8903" cy="2346468"/>
                    </a:xfrm>
                    <a:prstGeom prst="rect">
                      <a:avLst/>
                    </a:prstGeom>
                    <a:noFill/>
                    <a:ln>
                      <a:noFill/>
                    </a:ln>
                  </pic:spPr>
                </pic:pic>
              </a:graphicData>
            </a:graphic>
          </wp:inline>
        </w:drawing>
      </w:r>
    </w:p>
    <w:p w14:paraId="3528B102" w14:textId="77777777" w:rsidR="00946572" w:rsidRPr="00AA7FD5" w:rsidRDefault="00946572" w:rsidP="00946572">
      <w:pPr>
        <w:jc w:val="both"/>
        <w:rPr>
          <w:szCs w:val="24"/>
        </w:rPr>
      </w:pPr>
      <w:r w:rsidRPr="00AA7FD5">
        <w:rPr>
          <w:szCs w:val="24"/>
        </w:rPr>
        <w:t xml:space="preserve">Changing the base year and looking at decoupling before and after 2008 shows that GHG emissions decrease after 2008, but so does EVA. Thus, instead of absolute decoupling, the period following the 2008 financial crisis is characterized by relative decoupling between EVA and GHG emissions. Further analysis could explain how much of the gap between the EVA and GHG emissions is due to gains in technical efficiency as compared to loss in economic growth. </w:t>
      </w:r>
    </w:p>
    <w:p w14:paraId="31212B59" w14:textId="039FD83D" w:rsidR="00DA4B98" w:rsidRDefault="00946572" w:rsidP="009610BD">
      <w:pPr>
        <w:jc w:val="both"/>
        <w:rPr>
          <w:szCs w:val="24"/>
        </w:rPr>
      </w:pPr>
      <w:r w:rsidRPr="00AA7FD5">
        <w:rPr>
          <w:szCs w:val="24"/>
        </w:rPr>
        <w:t xml:space="preserve">Additional insights regarding the drivers behind the aggregate decoupling trends can be obtained from the analysis of various economic sectors. </w:t>
      </w:r>
      <w:r w:rsidRPr="00AA7FD5">
        <w:rPr>
          <w:szCs w:val="24"/>
        </w:rPr>
        <w:fldChar w:fldCharType="begin"/>
      </w:r>
      <w:r w:rsidRPr="00AA7FD5">
        <w:rPr>
          <w:szCs w:val="24"/>
        </w:rPr>
        <w:instrText xml:space="preserve"> REF _Ref482876944 \h  \* MERGEFORMAT </w:instrText>
      </w:r>
      <w:r w:rsidRPr="00AA7FD5">
        <w:rPr>
          <w:szCs w:val="24"/>
        </w:rPr>
      </w:r>
      <w:r w:rsidRPr="00AA7FD5">
        <w:rPr>
          <w:szCs w:val="24"/>
        </w:rPr>
        <w:fldChar w:fldCharType="separate"/>
      </w:r>
      <w:r w:rsidR="006A2C19" w:rsidRPr="00AA7FD5">
        <w:rPr>
          <w:szCs w:val="24"/>
        </w:rPr>
        <w:t xml:space="preserve">Figure </w:t>
      </w:r>
      <w:r w:rsidR="006A2C19" w:rsidRPr="006A2C19">
        <w:rPr>
          <w:noProof/>
          <w:szCs w:val="24"/>
        </w:rPr>
        <w:t>14</w:t>
      </w:r>
      <w:r w:rsidRPr="00AA7FD5">
        <w:rPr>
          <w:szCs w:val="24"/>
        </w:rPr>
        <w:fldChar w:fldCharType="end"/>
      </w:r>
      <w:r w:rsidR="007876F4">
        <w:rPr>
          <w:szCs w:val="24"/>
        </w:rPr>
        <w:t xml:space="preserve"> shows </w:t>
      </w:r>
      <w:r w:rsidRPr="00AA7FD5">
        <w:rPr>
          <w:szCs w:val="24"/>
        </w:rPr>
        <w:t>the decoupling trends between EVA and GHG emissions in Agriculture and Electricity sectors.</w:t>
      </w:r>
      <w:r w:rsidR="002D430F">
        <w:rPr>
          <w:szCs w:val="24"/>
        </w:rPr>
        <w:t xml:space="preserve"> </w:t>
      </w:r>
      <w:r w:rsidR="00FA1824" w:rsidRPr="00AA7FD5">
        <w:rPr>
          <w:szCs w:val="24"/>
        </w:rPr>
        <w:t xml:space="preserve">In terms of decoupling sequencing, both agriculture and </w:t>
      </w:r>
      <w:r w:rsidR="005E4BD2" w:rsidRPr="00AA7FD5">
        <w:rPr>
          <w:szCs w:val="24"/>
        </w:rPr>
        <w:t xml:space="preserve">energy sectors </w:t>
      </w:r>
      <w:r w:rsidR="00FA1824" w:rsidRPr="00AA7FD5">
        <w:rPr>
          <w:szCs w:val="24"/>
        </w:rPr>
        <w:t>follow similar tren</w:t>
      </w:r>
      <w:r w:rsidR="009610BD" w:rsidRPr="00AA7FD5">
        <w:rPr>
          <w:szCs w:val="24"/>
        </w:rPr>
        <w:t xml:space="preserve">ds to </w:t>
      </w:r>
      <w:r w:rsidR="00AD3573">
        <w:rPr>
          <w:szCs w:val="24"/>
        </w:rPr>
        <w:t>that in</w:t>
      </w:r>
      <w:r w:rsidR="00C1122B">
        <w:rPr>
          <w:szCs w:val="24"/>
        </w:rPr>
        <w:t xml:space="preserve"> </w:t>
      </w:r>
      <w:r w:rsidR="00C1122B">
        <w:rPr>
          <w:szCs w:val="24"/>
        </w:rPr>
        <w:fldChar w:fldCharType="begin"/>
      </w:r>
      <w:r w:rsidR="00C1122B">
        <w:rPr>
          <w:szCs w:val="24"/>
        </w:rPr>
        <w:instrText xml:space="preserve"> REF _Ref482876944 \h  \* MERGEFORMAT </w:instrText>
      </w:r>
      <w:r w:rsidR="00C1122B">
        <w:rPr>
          <w:szCs w:val="24"/>
        </w:rPr>
      </w:r>
      <w:r w:rsidR="00C1122B">
        <w:rPr>
          <w:szCs w:val="24"/>
        </w:rPr>
        <w:fldChar w:fldCharType="separate"/>
      </w:r>
      <w:r w:rsidR="006A2C19" w:rsidRPr="00AA7FD5">
        <w:rPr>
          <w:szCs w:val="24"/>
        </w:rPr>
        <w:t xml:space="preserve">Figure </w:t>
      </w:r>
      <w:r w:rsidR="006A2C19" w:rsidRPr="006A2C19">
        <w:rPr>
          <w:szCs w:val="24"/>
        </w:rPr>
        <w:t>14</w:t>
      </w:r>
      <w:r w:rsidR="00C1122B">
        <w:rPr>
          <w:szCs w:val="24"/>
        </w:rPr>
        <w:fldChar w:fldCharType="end"/>
      </w:r>
      <w:r w:rsidR="009610BD" w:rsidRPr="00AA7FD5">
        <w:rPr>
          <w:szCs w:val="24"/>
        </w:rPr>
        <w:t xml:space="preserve"> - a</w:t>
      </w:r>
      <w:r w:rsidR="00FA1824" w:rsidRPr="00AA7FD5">
        <w:rPr>
          <w:szCs w:val="24"/>
        </w:rPr>
        <w:t xml:space="preserve">n initial period of relative decoupling followed by one of absolute decoupling. </w:t>
      </w:r>
      <w:r w:rsidR="005203A9" w:rsidRPr="00AA7FD5">
        <w:rPr>
          <w:szCs w:val="24"/>
        </w:rPr>
        <w:t>However, differences between the two sectors and the</w:t>
      </w:r>
      <w:r w:rsidR="00BE14B9" w:rsidRPr="00AA7FD5">
        <w:rPr>
          <w:szCs w:val="24"/>
        </w:rPr>
        <w:t xml:space="preserve"> </w:t>
      </w:r>
      <w:r w:rsidR="009811D6">
        <w:rPr>
          <w:szCs w:val="24"/>
        </w:rPr>
        <w:t xml:space="preserve">overall </w:t>
      </w:r>
      <w:r w:rsidR="00BE14B9" w:rsidRPr="00AA7FD5">
        <w:rPr>
          <w:szCs w:val="24"/>
        </w:rPr>
        <w:t>economy are present</w:t>
      </w:r>
      <w:r w:rsidR="005203A9" w:rsidRPr="00AA7FD5">
        <w:rPr>
          <w:szCs w:val="24"/>
        </w:rPr>
        <w:t xml:space="preserve">. </w:t>
      </w:r>
      <w:r w:rsidR="005E4BD2" w:rsidRPr="00AA7FD5">
        <w:rPr>
          <w:szCs w:val="24"/>
        </w:rPr>
        <w:t xml:space="preserve">The EVA in agriculture follows a cyclical trend with a low point in 2007. Among other factors, this could be explained by the weather risk faced by </w:t>
      </w:r>
      <w:r w:rsidR="009F4C74" w:rsidRPr="00AA7FD5">
        <w:rPr>
          <w:szCs w:val="24"/>
        </w:rPr>
        <w:t xml:space="preserve">the </w:t>
      </w:r>
      <w:r w:rsidR="005E4BD2" w:rsidRPr="00AA7FD5">
        <w:rPr>
          <w:szCs w:val="24"/>
        </w:rPr>
        <w:t xml:space="preserve">Romanian farmers and possibly underutilized insurance markets. </w:t>
      </w:r>
      <w:r w:rsidR="00E154AE" w:rsidRPr="00AA7FD5">
        <w:rPr>
          <w:szCs w:val="24"/>
        </w:rPr>
        <w:t xml:space="preserve">The EVA in the electricity sectors follows an ascending trend even after 2008, while GHG emissions start decreasing around the same </w:t>
      </w:r>
      <w:r w:rsidR="009D474D" w:rsidRPr="00AA7FD5">
        <w:rPr>
          <w:szCs w:val="24"/>
        </w:rPr>
        <w:t>time</w:t>
      </w:r>
      <w:r w:rsidR="00E154AE" w:rsidRPr="00AA7FD5">
        <w:rPr>
          <w:szCs w:val="24"/>
        </w:rPr>
        <w:t xml:space="preserve">. This could provide evidence of </w:t>
      </w:r>
      <w:r w:rsidR="009811D6">
        <w:rPr>
          <w:szCs w:val="24"/>
        </w:rPr>
        <w:t xml:space="preserve">true </w:t>
      </w:r>
      <w:r w:rsidR="00E154AE" w:rsidRPr="00AA7FD5">
        <w:rPr>
          <w:szCs w:val="24"/>
        </w:rPr>
        <w:t>absolute decoupling between the EVA and GHG emission</w:t>
      </w:r>
      <w:r w:rsidR="007A0634" w:rsidRPr="00AA7FD5">
        <w:rPr>
          <w:szCs w:val="24"/>
        </w:rPr>
        <w:t>s</w:t>
      </w:r>
      <w:r w:rsidR="00E154AE" w:rsidRPr="00AA7FD5">
        <w:rPr>
          <w:szCs w:val="24"/>
        </w:rPr>
        <w:t xml:space="preserve"> and could be </w:t>
      </w:r>
      <w:r w:rsidR="00D13AE9" w:rsidRPr="00AA7FD5">
        <w:rPr>
          <w:szCs w:val="24"/>
        </w:rPr>
        <w:t>explained by long term investment</w:t>
      </w:r>
      <w:r w:rsidR="00CD4957" w:rsidRPr="00AA7FD5">
        <w:rPr>
          <w:szCs w:val="24"/>
        </w:rPr>
        <w:t>s</w:t>
      </w:r>
      <w:r w:rsidR="00D13AE9" w:rsidRPr="00AA7FD5">
        <w:rPr>
          <w:szCs w:val="24"/>
        </w:rPr>
        <w:t xml:space="preserve"> in the sector</w:t>
      </w:r>
      <w:r w:rsidR="006A2C19">
        <w:rPr>
          <w:szCs w:val="24"/>
        </w:rPr>
        <w:t xml:space="preserve"> prior to the financial crisis.</w:t>
      </w:r>
    </w:p>
    <w:p w14:paraId="7764339C" w14:textId="09C12D20" w:rsidR="006A2C19" w:rsidRDefault="006A2C19" w:rsidP="009610BD">
      <w:pPr>
        <w:jc w:val="both"/>
        <w:rPr>
          <w:szCs w:val="24"/>
        </w:rPr>
      </w:pPr>
    </w:p>
    <w:p w14:paraId="52ECD926" w14:textId="17AEFC43" w:rsidR="006A2C19" w:rsidRDefault="006A2C19" w:rsidP="009610BD">
      <w:pPr>
        <w:jc w:val="both"/>
        <w:rPr>
          <w:szCs w:val="24"/>
        </w:rPr>
      </w:pPr>
    </w:p>
    <w:p w14:paraId="2F105FEC" w14:textId="77777777" w:rsidR="006A2C19" w:rsidRDefault="006A2C19" w:rsidP="009610BD">
      <w:pPr>
        <w:jc w:val="both"/>
        <w:rPr>
          <w:szCs w:val="24"/>
        </w:rPr>
      </w:pPr>
    </w:p>
    <w:p w14:paraId="084880E1" w14:textId="3711E7AC" w:rsidR="006A2C19" w:rsidRDefault="006A2C19" w:rsidP="009610BD">
      <w:pPr>
        <w:jc w:val="both"/>
        <w:rPr>
          <w:szCs w:val="24"/>
        </w:rPr>
      </w:pPr>
    </w:p>
    <w:p w14:paraId="44F175E5" w14:textId="1FB6670C" w:rsidR="006A2C19" w:rsidRDefault="006A2C19" w:rsidP="009610BD">
      <w:pPr>
        <w:jc w:val="both"/>
        <w:rPr>
          <w:szCs w:val="24"/>
        </w:rPr>
      </w:pPr>
    </w:p>
    <w:p w14:paraId="339BF540" w14:textId="76B2305B" w:rsidR="006A2C19" w:rsidRDefault="006A2C19" w:rsidP="009610BD">
      <w:pPr>
        <w:jc w:val="both"/>
        <w:rPr>
          <w:szCs w:val="24"/>
        </w:rPr>
      </w:pPr>
    </w:p>
    <w:p w14:paraId="2CF6052D" w14:textId="77777777" w:rsidR="006A2C19" w:rsidRPr="00AA7FD5" w:rsidRDefault="006A2C19" w:rsidP="009610BD">
      <w:pPr>
        <w:jc w:val="both"/>
        <w:rPr>
          <w:szCs w:val="24"/>
        </w:rPr>
      </w:pPr>
    </w:p>
    <w:p w14:paraId="09C3A95C" w14:textId="19424D3C" w:rsidR="00394B31" w:rsidRPr="00AA7FD5" w:rsidRDefault="009610BD" w:rsidP="00491B6E">
      <w:pPr>
        <w:pStyle w:val="Caption"/>
        <w:jc w:val="center"/>
        <w:rPr>
          <w:i w:val="0"/>
          <w:color w:val="auto"/>
          <w:sz w:val="22"/>
          <w:szCs w:val="24"/>
        </w:rPr>
      </w:pPr>
      <w:bookmarkStart w:id="55" w:name="_Ref482876944"/>
      <w:bookmarkStart w:id="56" w:name="_Toc508013120"/>
      <w:r w:rsidRPr="00AA7FD5">
        <w:rPr>
          <w:i w:val="0"/>
          <w:color w:val="auto"/>
          <w:sz w:val="22"/>
          <w:szCs w:val="24"/>
        </w:rPr>
        <w:lastRenderedPageBreak/>
        <w:t xml:space="preserve">Figure </w:t>
      </w:r>
      <w:r w:rsidR="00E158DF">
        <w:rPr>
          <w:i w:val="0"/>
          <w:color w:val="auto"/>
          <w:sz w:val="22"/>
          <w:szCs w:val="24"/>
        </w:rPr>
        <w:fldChar w:fldCharType="begin"/>
      </w:r>
      <w:r w:rsidR="00E158DF">
        <w:rPr>
          <w:i w:val="0"/>
          <w:color w:val="auto"/>
          <w:sz w:val="22"/>
          <w:szCs w:val="24"/>
        </w:rPr>
        <w:instrText xml:space="preserve"> SEQ Figure \* ARABIC </w:instrText>
      </w:r>
      <w:r w:rsidR="00E158DF">
        <w:rPr>
          <w:i w:val="0"/>
          <w:color w:val="auto"/>
          <w:sz w:val="22"/>
          <w:szCs w:val="24"/>
        </w:rPr>
        <w:fldChar w:fldCharType="separate"/>
      </w:r>
      <w:r w:rsidR="006A2C19">
        <w:rPr>
          <w:i w:val="0"/>
          <w:noProof/>
          <w:color w:val="auto"/>
          <w:sz w:val="22"/>
          <w:szCs w:val="24"/>
        </w:rPr>
        <w:t>14</w:t>
      </w:r>
      <w:r w:rsidR="00E158DF">
        <w:rPr>
          <w:i w:val="0"/>
          <w:color w:val="auto"/>
          <w:sz w:val="22"/>
          <w:szCs w:val="24"/>
        </w:rPr>
        <w:fldChar w:fldCharType="end"/>
      </w:r>
      <w:bookmarkEnd w:id="55"/>
      <w:r w:rsidR="007010C5" w:rsidRPr="00AA7FD5">
        <w:rPr>
          <w:i w:val="0"/>
          <w:color w:val="auto"/>
          <w:sz w:val="22"/>
          <w:szCs w:val="24"/>
        </w:rPr>
        <w:t>. Romania: Economic Value Added vs. GHG Emissions –Sector Analysis (2000-2013)</w:t>
      </w:r>
      <w:r w:rsidR="009811D6">
        <w:rPr>
          <w:rStyle w:val="FootnoteReference"/>
          <w:i w:val="0"/>
          <w:color w:val="auto"/>
          <w:sz w:val="22"/>
          <w:szCs w:val="24"/>
        </w:rPr>
        <w:footnoteReference w:id="16"/>
      </w:r>
      <w:bookmarkEnd w:id="56"/>
    </w:p>
    <w:p w14:paraId="643A95B7" w14:textId="29FB6C1E" w:rsidR="007010C5" w:rsidRDefault="007010C5" w:rsidP="0056333B">
      <w:pPr>
        <w:jc w:val="center"/>
      </w:pPr>
      <w:r w:rsidRPr="007010C5">
        <w:rPr>
          <w:noProof/>
        </w:rPr>
        <w:drawing>
          <wp:inline distT="0" distB="0" distL="0" distR="0" wp14:anchorId="4157FDA1" wp14:editId="753DCEDF">
            <wp:extent cx="2849158" cy="288294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2900" cy="2896848"/>
                    </a:xfrm>
                    <a:prstGeom prst="rect">
                      <a:avLst/>
                    </a:prstGeom>
                    <a:noFill/>
                    <a:ln>
                      <a:noFill/>
                    </a:ln>
                  </pic:spPr>
                </pic:pic>
              </a:graphicData>
            </a:graphic>
          </wp:inline>
        </w:drawing>
      </w:r>
      <w:r w:rsidR="0056333B" w:rsidRPr="007010C5">
        <w:rPr>
          <w:noProof/>
        </w:rPr>
        <w:drawing>
          <wp:inline distT="0" distB="0" distL="0" distR="0" wp14:anchorId="2D6F8681" wp14:editId="2A87C0E8">
            <wp:extent cx="2857500" cy="289138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5784" cy="2899766"/>
                    </a:xfrm>
                    <a:prstGeom prst="rect">
                      <a:avLst/>
                    </a:prstGeom>
                    <a:noFill/>
                    <a:ln>
                      <a:noFill/>
                    </a:ln>
                  </pic:spPr>
                </pic:pic>
              </a:graphicData>
            </a:graphic>
          </wp:inline>
        </w:drawing>
      </w:r>
    </w:p>
    <w:p w14:paraId="64EE89C2" w14:textId="6FC400B1" w:rsidR="00990645" w:rsidRDefault="00AF79B2" w:rsidP="00D80063">
      <w:pPr>
        <w:jc w:val="both"/>
        <w:rPr>
          <w:szCs w:val="24"/>
        </w:rPr>
      </w:pPr>
      <w:r>
        <w:rPr>
          <w:szCs w:val="24"/>
        </w:rPr>
        <w:t>Sector-level</w:t>
      </w:r>
      <w:r w:rsidR="00C7558C" w:rsidRPr="00AA7FD5">
        <w:rPr>
          <w:szCs w:val="24"/>
        </w:rPr>
        <w:t xml:space="preserve"> decoupling </w:t>
      </w:r>
      <w:r>
        <w:rPr>
          <w:szCs w:val="24"/>
        </w:rPr>
        <w:t>can also be considered before and after the 2008 financial crisis, as was presented for macroeconomic indicators</w:t>
      </w:r>
      <w:r w:rsidR="00C7558C" w:rsidRPr="00AA7FD5">
        <w:rPr>
          <w:szCs w:val="24"/>
        </w:rPr>
        <w:t>.</w:t>
      </w:r>
      <w:r>
        <w:rPr>
          <w:szCs w:val="24"/>
        </w:rPr>
        <w:t xml:space="preserve"> </w:t>
      </w:r>
      <w:r w:rsidR="00927438">
        <w:rPr>
          <w:szCs w:val="24"/>
        </w:rPr>
        <w:fldChar w:fldCharType="begin"/>
      </w:r>
      <w:r w:rsidR="00927438">
        <w:rPr>
          <w:szCs w:val="24"/>
        </w:rPr>
        <w:instrText xml:space="preserve"> REF _Ref507881936 \h </w:instrText>
      </w:r>
      <w:r w:rsidR="002A57F2">
        <w:rPr>
          <w:szCs w:val="24"/>
        </w:rPr>
        <w:instrText xml:space="preserve"> \* MERGEFORMAT </w:instrText>
      </w:r>
      <w:r w:rsidR="00927438">
        <w:rPr>
          <w:szCs w:val="24"/>
        </w:rPr>
      </w:r>
      <w:r w:rsidR="00927438">
        <w:rPr>
          <w:szCs w:val="24"/>
        </w:rPr>
        <w:fldChar w:fldCharType="separate"/>
      </w:r>
      <w:r w:rsidR="006A2C19" w:rsidRPr="00AA7FD5">
        <w:rPr>
          <w:szCs w:val="24"/>
        </w:rPr>
        <w:t xml:space="preserve">Figure </w:t>
      </w:r>
      <w:r w:rsidR="006A2C19" w:rsidRPr="006A2C19">
        <w:rPr>
          <w:noProof/>
          <w:szCs w:val="24"/>
        </w:rPr>
        <w:t>15</w:t>
      </w:r>
      <w:r w:rsidR="00927438">
        <w:rPr>
          <w:szCs w:val="24"/>
        </w:rPr>
        <w:fldChar w:fldCharType="end"/>
      </w:r>
      <w:r w:rsidR="00927438">
        <w:rPr>
          <w:szCs w:val="24"/>
        </w:rPr>
        <w:t xml:space="preserve"> ill</w:t>
      </w:r>
      <w:r w:rsidR="000964C7" w:rsidRPr="006B7056">
        <w:rPr>
          <w:szCs w:val="24"/>
        </w:rPr>
        <w:t>ustrates the decoupling trend</w:t>
      </w:r>
      <w:r w:rsidR="002130FF" w:rsidRPr="006B7056">
        <w:rPr>
          <w:szCs w:val="24"/>
        </w:rPr>
        <w:t>s</w:t>
      </w:r>
      <w:r w:rsidR="000964C7" w:rsidRPr="006B7056">
        <w:rPr>
          <w:szCs w:val="24"/>
        </w:rPr>
        <w:t xml:space="preserve"> in agriculture before and after 2008. Sector level analysis </w:t>
      </w:r>
      <w:r w:rsidR="002130FF" w:rsidRPr="006B7056">
        <w:rPr>
          <w:szCs w:val="24"/>
        </w:rPr>
        <w:t>is</w:t>
      </w:r>
      <w:r w:rsidR="002130FF" w:rsidRPr="00AA7FD5">
        <w:rPr>
          <w:szCs w:val="24"/>
        </w:rPr>
        <w:t xml:space="preserve"> useful in identifying particular contribution</w:t>
      </w:r>
      <w:r w:rsidR="0015187C" w:rsidRPr="00AA7FD5">
        <w:rPr>
          <w:szCs w:val="24"/>
        </w:rPr>
        <w:t>s</w:t>
      </w:r>
      <w:r w:rsidR="002130FF" w:rsidRPr="00AA7FD5">
        <w:rPr>
          <w:szCs w:val="24"/>
        </w:rPr>
        <w:t xml:space="preserve"> to </w:t>
      </w:r>
      <w:bookmarkStart w:id="57" w:name="_Ref482877142"/>
      <w:r w:rsidR="00BD75BE">
        <w:rPr>
          <w:szCs w:val="24"/>
        </w:rPr>
        <w:t xml:space="preserve">the aggregate decoupling trend. In the case of the agricultural sector, inconsistent trends in decoupling, especially after 2008, indicate that the sector is not achieving </w:t>
      </w:r>
      <w:r w:rsidR="00D80063">
        <w:rPr>
          <w:szCs w:val="24"/>
        </w:rPr>
        <w:t>decoupling</w:t>
      </w:r>
      <w:r w:rsidR="00BD75BE">
        <w:rPr>
          <w:szCs w:val="24"/>
        </w:rPr>
        <w:t>.</w:t>
      </w:r>
    </w:p>
    <w:p w14:paraId="65608826" w14:textId="679C8C16" w:rsidR="006A2C19" w:rsidRDefault="006A2C19" w:rsidP="00D80063">
      <w:pPr>
        <w:jc w:val="both"/>
        <w:rPr>
          <w:szCs w:val="24"/>
        </w:rPr>
      </w:pPr>
    </w:p>
    <w:p w14:paraId="7BB70BDE" w14:textId="7AAA20B1" w:rsidR="006A2C19" w:rsidRDefault="006A2C19" w:rsidP="00D80063">
      <w:pPr>
        <w:jc w:val="both"/>
        <w:rPr>
          <w:szCs w:val="24"/>
        </w:rPr>
      </w:pPr>
    </w:p>
    <w:p w14:paraId="6BB50E26" w14:textId="3B1646B7" w:rsidR="006A2C19" w:rsidRDefault="006A2C19" w:rsidP="00D80063">
      <w:pPr>
        <w:jc w:val="both"/>
        <w:rPr>
          <w:szCs w:val="24"/>
        </w:rPr>
      </w:pPr>
    </w:p>
    <w:p w14:paraId="60A39D04" w14:textId="0AF0BF73" w:rsidR="006A2C19" w:rsidRDefault="006A2C19" w:rsidP="00D80063">
      <w:pPr>
        <w:jc w:val="both"/>
        <w:rPr>
          <w:szCs w:val="24"/>
        </w:rPr>
      </w:pPr>
    </w:p>
    <w:p w14:paraId="50ED54BA" w14:textId="5E4B9F44" w:rsidR="006A2C19" w:rsidRDefault="006A2C19" w:rsidP="00D80063">
      <w:pPr>
        <w:jc w:val="both"/>
        <w:rPr>
          <w:szCs w:val="24"/>
        </w:rPr>
      </w:pPr>
    </w:p>
    <w:p w14:paraId="1629DC88" w14:textId="34810599" w:rsidR="006A2C19" w:rsidRDefault="006A2C19" w:rsidP="00D80063">
      <w:pPr>
        <w:jc w:val="both"/>
        <w:rPr>
          <w:szCs w:val="24"/>
        </w:rPr>
      </w:pPr>
    </w:p>
    <w:p w14:paraId="54C07CB2" w14:textId="303807FA" w:rsidR="006A2C19" w:rsidRDefault="006A2C19" w:rsidP="00D80063">
      <w:pPr>
        <w:jc w:val="both"/>
        <w:rPr>
          <w:szCs w:val="24"/>
        </w:rPr>
      </w:pPr>
    </w:p>
    <w:p w14:paraId="7096E1E0" w14:textId="14BE3287" w:rsidR="006A2C19" w:rsidRDefault="006A2C19" w:rsidP="00D80063">
      <w:pPr>
        <w:jc w:val="both"/>
        <w:rPr>
          <w:szCs w:val="24"/>
        </w:rPr>
      </w:pPr>
    </w:p>
    <w:p w14:paraId="5FA5190B" w14:textId="508A6DB4" w:rsidR="006A2C19" w:rsidRDefault="006A2C19" w:rsidP="00D80063">
      <w:pPr>
        <w:jc w:val="both"/>
        <w:rPr>
          <w:szCs w:val="24"/>
        </w:rPr>
      </w:pPr>
    </w:p>
    <w:p w14:paraId="699F83E8" w14:textId="222BC38C" w:rsidR="006A2C19" w:rsidRDefault="006A2C19" w:rsidP="00D80063">
      <w:pPr>
        <w:jc w:val="both"/>
        <w:rPr>
          <w:szCs w:val="24"/>
        </w:rPr>
      </w:pPr>
    </w:p>
    <w:p w14:paraId="03F99DC4" w14:textId="77777777" w:rsidR="006A2C19" w:rsidRPr="002E0E68" w:rsidRDefault="006A2C19" w:rsidP="00D80063">
      <w:pPr>
        <w:jc w:val="both"/>
        <w:rPr>
          <w:szCs w:val="24"/>
        </w:rPr>
      </w:pPr>
    </w:p>
    <w:p w14:paraId="2A395C0A" w14:textId="72C183B9" w:rsidR="009B2470" w:rsidRPr="00AA7FD5" w:rsidRDefault="009610BD" w:rsidP="00491B6E">
      <w:pPr>
        <w:pStyle w:val="Caption"/>
        <w:jc w:val="center"/>
        <w:rPr>
          <w:i w:val="0"/>
          <w:color w:val="auto"/>
          <w:sz w:val="22"/>
          <w:szCs w:val="24"/>
        </w:rPr>
      </w:pPr>
      <w:bookmarkStart w:id="58" w:name="_Ref507881936"/>
      <w:bookmarkStart w:id="59" w:name="_Toc508013121"/>
      <w:r w:rsidRPr="00AA7FD5">
        <w:rPr>
          <w:i w:val="0"/>
          <w:color w:val="auto"/>
          <w:sz w:val="22"/>
          <w:szCs w:val="24"/>
        </w:rPr>
        <w:lastRenderedPageBreak/>
        <w:t xml:space="preserve">Figure </w:t>
      </w:r>
      <w:r w:rsidR="00E158DF">
        <w:rPr>
          <w:i w:val="0"/>
          <w:color w:val="auto"/>
          <w:sz w:val="22"/>
          <w:szCs w:val="24"/>
        </w:rPr>
        <w:fldChar w:fldCharType="begin"/>
      </w:r>
      <w:r w:rsidR="00E158DF">
        <w:rPr>
          <w:i w:val="0"/>
          <w:color w:val="auto"/>
          <w:sz w:val="22"/>
          <w:szCs w:val="24"/>
        </w:rPr>
        <w:instrText xml:space="preserve"> SEQ Figure \* ARABIC </w:instrText>
      </w:r>
      <w:r w:rsidR="00E158DF">
        <w:rPr>
          <w:i w:val="0"/>
          <w:color w:val="auto"/>
          <w:sz w:val="22"/>
          <w:szCs w:val="24"/>
        </w:rPr>
        <w:fldChar w:fldCharType="separate"/>
      </w:r>
      <w:r w:rsidR="006A2C19">
        <w:rPr>
          <w:i w:val="0"/>
          <w:noProof/>
          <w:color w:val="auto"/>
          <w:sz w:val="22"/>
          <w:szCs w:val="24"/>
        </w:rPr>
        <w:t>15</w:t>
      </w:r>
      <w:r w:rsidR="00E158DF">
        <w:rPr>
          <w:i w:val="0"/>
          <w:color w:val="auto"/>
          <w:sz w:val="22"/>
          <w:szCs w:val="24"/>
        </w:rPr>
        <w:fldChar w:fldCharType="end"/>
      </w:r>
      <w:bookmarkEnd w:id="57"/>
      <w:bookmarkEnd w:id="58"/>
      <w:r w:rsidR="009B2470" w:rsidRPr="00AA7FD5">
        <w:rPr>
          <w:i w:val="0"/>
          <w:color w:val="auto"/>
          <w:sz w:val="22"/>
          <w:szCs w:val="24"/>
        </w:rPr>
        <w:t>. Romania: Economic Value Added vs. GHG Emissions –Agricultural Sector (2000-2013)</w:t>
      </w:r>
      <w:bookmarkEnd w:id="59"/>
    </w:p>
    <w:p w14:paraId="3244EC64" w14:textId="5B2E660D" w:rsidR="00394B31" w:rsidRDefault="00394B31" w:rsidP="00394B31">
      <w:pPr>
        <w:jc w:val="center"/>
        <w:rPr>
          <w:sz w:val="24"/>
          <w:szCs w:val="24"/>
        </w:rPr>
      </w:pPr>
      <w:r w:rsidRPr="00394B31">
        <w:rPr>
          <w:noProof/>
        </w:rPr>
        <w:drawing>
          <wp:inline distT="0" distB="0" distL="0" distR="0" wp14:anchorId="1AD08B30" wp14:editId="3E3AE1AE">
            <wp:extent cx="2933700" cy="296848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8396" cy="2973239"/>
                    </a:xfrm>
                    <a:prstGeom prst="rect">
                      <a:avLst/>
                    </a:prstGeom>
                    <a:noFill/>
                    <a:ln>
                      <a:noFill/>
                    </a:ln>
                  </pic:spPr>
                </pic:pic>
              </a:graphicData>
            </a:graphic>
          </wp:inline>
        </w:drawing>
      </w:r>
      <w:r w:rsidRPr="00394B31">
        <w:rPr>
          <w:noProof/>
        </w:rPr>
        <w:drawing>
          <wp:inline distT="0" distB="0" distL="0" distR="0" wp14:anchorId="7837DDD5" wp14:editId="4C0B338F">
            <wp:extent cx="2922540" cy="29571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5443" cy="2980370"/>
                    </a:xfrm>
                    <a:prstGeom prst="rect">
                      <a:avLst/>
                    </a:prstGeom>
                    <a:noFill/>
                    <a:ln>
                      <a:noFill/>
                    </a:ln>
                  </pic:spPr>
                </pic:pic>
              </a:graphicData>
            </a:graphic>
          </wp:inline>
        </w:drawing>
      </w:r>
    </w:p>
    <w:p w14:paraId="105BA1FF" w14:textId="2581C1DC" w:rsidR="000C6EC0" w:rsidRPr="00AA7FD5" w:rsidRDefault="002A57F2" w:rsidP="001E25CC">
      <w:pPr>
        <w:pStyle w:val="Heading3"/>
      </w:pPr>
      <w:bookmarkStart w:id="60" w:name="_Toc508020585"/>
      <w:r>
        <w:t>Scorec</w:t>
      </w:r>
      <w:r w:rsidR="000C6EC0" w:rsidRPr="00AA7FD5">
        <w:t xml:space="preserve">ard </w:t>
      </w:r>
      <w:r w:rsidR="004C5ADA" w:rsidRPr="00AA7FD5">
        <w:t xml:space="preserve">Presenting the </w:t>
      </w:r>
      <w:r w:rsidR="000C6EC0" w:rsidRPr="00AA7FD5">
        <w:t>Externali</w:t>
      </w:r>
      <w:r w:rsidR="00AD5FA1" w:rsidRPr="00AA7FD5">
        <w:t>ty Share and Decoupling Performance</w:t>
      </w:r>
      <w:bookmarkEnd w:id="60"/>
    </w:p>
    <w:p w14:paraId="63663C88" w14:textId="3EFE4EF5" w:rsidR="002A57F2" w:rsidRDefault="002A57F2" w:rsidP="00654268">
      <w:pPr>
        <w:jc w:val="both"/>
      </w:pPr>
      <w:r w:rsidRPr="005F224E">
        <w:t xml:space="preserve">A </w:t>
      </w:r>
      <w:r>
        <w:t>“score</w:t>
      </w:r>
      <w:r w:rsidRPr="005F224E">
        <w:t>card</w:t>
      </w:r>
      <w:r>
        <w:t>”</w:t>
      </w:r>
      <w:r w:rsidRPr="005F224E">
        <w:t xml:space="preserve"> </w:t>
      </w:r>
      <w:r>
        <w:t xml:space="preserve">of decoupling across sectors </w:t>
      </w:r>
      <w:r w:rsidRPr="005F224E">
        <w:t xml:space="preserve">offers a way to present a snapshot of the findings of the diagnostic. This scorecard uses </w:t>
      </w:r>
      <w:r>
        <w:t>circles of various colors and sizes</w:t>
      </w:r>
      <w:r w:rsidRPr="005F224E">
        <w:t xml:space="preserve"> </w:t>
      </w:r>
      <w:r>
        <w:t xml:space="preserve">as a visual aid </w:t>
      </w:r>
      <w:r w:rsidRPr="005F224E">
        <w:t>to jointly present the externalities and information on decoupling performance. Circles of different sizes present each sector’s share of the total externality. The colors of the circles indicate the e</w:t>
      </w:r>
      <w:r w:rsidR="00DC6E6C">
        <w:t>conomy or</w:t>
      </w:r>
      <w:r w:rsidRPr="005F224E">
        <w:t xml:space="preserve"> individual sector’s decoupling performance: green signifies “absolute decoupling,” yellow indicates “relative decoupling,” orange indicates “no decoupling” and red signifies “negative decoupling.” </w:t>
      </w:r>
      <w:r>
        <w:t xml:space="preserve">This presentation can reveal </w:t>
      </w:r>
      <w:r w:rsidRPr="005F224E">
        <w:t xml:space="preserve">which sector causes the largest harm with regard to an externality and how each sector has performed over time relative to its growth trend. With this </w:t>
      </w:r>
      <w:r>
        <w:t>information in hand, the policy</w:t>
      </w:r>
      <w:r w:rsidRPr="005F224E">
        <w:t>maker can decide on which sector to focus policy measures and limited investment funds to achieve the largest reduction in an externality. It could also help signify where to do more research or do a sector study.</w:t>
      </w:r>
    </w:p>
    <w:p w14:paraId="05D6C3A9" w14:textId="7C025EDA" w:rsidR="005F224E" w:rsidRDefault="007E5C24" w:rsidP="00654268">
      <w:pPr>
        <w:jc w:val="both"/>
        <w:rPr>
          <w:szCs w:val="24"/>
        </w:rPr>
      </w:pPr>
      <w:r>
        <w:t xml:space="preserve">A scorecard for Romania </w:t>
      </w:r>
      <w:r w:rsidR="005F224E">
        <w:t>(</w:t>
      </w:r>
      <w:r w:rsidR="005F224E" w:rsidRPr="00491B6E">
        <w:rPr>
          <w:szCs w:val="24"/>
        </w:rPr>
        <w:fldChar w:fldCharType="begin"/>
      </w:r>
      <w:r w:rsidR="005F224E" w:rsidRPr="00491B6E">
        <w:rPr>
          <w:szCs w:val="24"/>
        </w:rPr>
        <w:instrText xml:space="preserve"> REF _Ref483994425 \h  \* MERGEFORMAT </w:instrText>
      </w:r>
      <w:r w:rsidR="005F224E" w:rsidRPr="00491B6E">
        <w:rPr>
          <w:szCs w:val="24"/>
        </w:rPr>
      </w:r>
      <w:r w:rsidR="005F224E" w:rsidRPr="00491B6E">
        <w:rPr>
          <w:szCs w:val="24"/>
        </w:rPr>
        <w:fldChar w:fldCharType="separate"/>
      </w:r>
      <w:r w:rsidR="006A2C19" w:rsidRPr="00AA7FD5">
        <w:t xml:space="preserve">Figure </w:t>
      </w:r>
      <w:r w:rsidR="006A2C19" w:rsidRPr="006A2C19">
        <w:rPr>
          <w:noProof/>
        </w:rPr>
        <w:t>16</w:t>
      </w:r>
      <w:r w:rsidR="005F224E" w:rsidRPr="00491B6E">
        <w:rPr>
          <w:szCs w:val="24"/>
        </w:rPr>
        <w:fldChar w:fldCharType="end"/>
      </w:r>
      <w:r w:rsidR="005F224E">
        <w:rPr>
          <w:szCs w:val="24"/>
        </w:rPr>
        <w:t>)</w:t>
      </w:r>
      <w:r w:rsidR="00924749">
        <w:rPr>
          <w:szCs w:val="24"/>
        </w:rPr>
        <w:t>, for example,</w:t>
      </w:r>
      <w:r w:rsidR="005F224E" w:rsidRPr="00491B6E">
        <w:rPr>
          <w:szCs w:val="24"/>
        </w:rPr>
        <w:t xml:space="preserve"> </w:t>
      </w:r>
      <w:r w:rsidR="005F224E">
        <w:rPr>
          <w:szCs w:val="24"/>
        </w:rPr>
        <w:t xml:space="preserve">reveals that </w:t>
      </w:r>
      <w:r w:rsidR="005F224E" w:rsidRPr="00491B6E">
        <w:rPr>
          <w:szCs w:val="24"/>
        </w:rPr>
        <w:t xml:space="preserve">in 2012, the electricity sector held the largest share GHG </w:t>
      </w:r>
      <w:r w:rsidR="005F224E" w:rsidRPr="00AA7FD5">
        <w:rPr>
          <w:szCs w:val="24"/>
        </w:rPr>
        <w:t>emissions, but displayed an absolute decoupling performance compared to the beginning of the period. By comparison, the waste management sector had a smaller share, but displayed a r</w:t>
      </w:r>
      <w:r w:rsidR="005F224E">
        <w:rPr>
          <w:szCs w:val="24"/>
        </w:rPr>
        <w:t xml:space="preserve">elative decoupling performance. </w:t>
      </w:r>
      <w:r w:rsidR="005F224E" w:rsidRPr="00AA7FD5">
        <w:rPr>
          <w:szCs w:val="24"/>
        </w:rPr>
        <w:t>When using the score card, it is not uncommon to find that sectors have disproportionate contributions to the economy and the environmental externality. For example, in 2012 in Romania, the economic value added by the financial sector was several times higher than that generated by the Electricity, Gas, Waste and Sewage sector, while their contributions to SO</w:t>
      </w:r>
      <w:r w:rsidR="005F224E" w:rsidRPr="00AA7FD5">
        <w:rPr>
          <w:szCs w:val="24"/>
          <w:vertAlign w:val="subscript"/>
        </w:rPr>
        <w:t>x</w:t>
      </w:r>
      <w:r w:rsidR="005F224E" w:rsidRPr="00AA7FD5">
        <w:rPr>
          <w:szCs w:val="24"/>
        </w:rPr>
        <w:t xml:space="preserve"> emissions were reversed.</w:t>
      </w:r>
    </w:p>
    <w:p w14:paraId="3B4BF43E" w14:textId="41FDF698" w:rsidR="006A2C19" w:rsidRDefault="006A2C19" w:rsidP="00654268">
      <w:pPr>
        <w:jc w:val="both"/>
        <w:rPr>
          <w:szCs w:val="24"/>
        </w:rPr>
      </w:pPr>
    </w:p>
    <w:p w14:paraId="46E9EF2C" w14:textId="7E3C39D0" w:rsidR="006A2C19" w:rsidRDefault="006A2C19" w:rsidP="00654268">
      <w:pPr>
        <w:jc w:val="both"/>
        <w:rPr>
          <w:szCs w:val="24"/>
        </w:rPr>
      </w:pPr>
    </w:p>
    <w:p w14:paraId="6782E02A" w14:textId="7D986ED8" w:rsidR="006A2C19" w:rsidRDefault="006A2C19" w:rsidP="00654268">
      <w:pPr>
        <w:jc w:val="both"/>
        <w:rPr>
          <w:szCs w:val="24"/>
        </w:rPr>
      </w:pPr>
    </w:p>
    <w:p w14:paraId="5BE143F6" w14:textId="77777777" w:rsidR="006A2C19" w:rsidRDefault="006A2C19" w:rsidP="00654268">
      <w:pPr>
        <w:jc w:val="both"/>
      </w:pPr>
    </w:p>
    <w:p w14:paraId="42856369" w14:textId="4A5CBCEB" w:rsidR="008C10CF" w:rsidRPr="00AA7FD5" w:rsidRDefault="00AA7FD5" w:rsidP="00491B6E">
      <w:pPr>
        <w:pStyle w:val="Caption"/>
        <w:jc w:val="center"/>
        <w:rPr>
          <w:i w:val="0"/>
          <w:color w:val="auto"/>
          <w:sz w:val="22"/>
          <w:szCs w:val="22"/>
        </w:rPr>
      </w:pPr>
      <w:bookmarkStart w:id="61" w:name="_Ref483994425"/>
      <w:bookmarkStart w:id="62" w:name="_Toc508013122"/>
      <w:r w:rsidRPr="00AA7FD5">
        <w:rPr>
          <w:i w:val="0"/>
          <w:color w:val="auto"/>
          <w:sz w:val="22"/>
          <w:szCs w:val="22"/>
        </w:rPr>
        <w:lastRenderedPageBreak/>
        <w:t xml:space="preserve">Figure </w:t>
      </w:r>
      <w:r w:rsidR="00E158DF">
        <w:rPr>
          <w:i w:val="0"/>
          <w:color w:val="auto"/>
          <w:sz w:val="22"/>
          <w:szCs w:val="22"/>
        </w:rPr>
        <w:fldChar w:fldCharType="begin"/>
      </w:r>
      <w:r w:rsidR="00E158DF">
        <w:rPr>
          <w:i w:val="0"/>
          <w:color w:val="auto"/>
          <w:sz w:val="22"/>
          <w:szCs w:val="22"/>
        </w:rPr>
        <w:instrText xml:space="preserve"> SEQ Figure \* ARABIC </w:instrText>
      </w:r>
      <w:r w:rsidR="00E158DF">
        <w:rPr>
          <w:i w:val="0"/>
          <w:color w:val="auto"/>
          <w:sz w:val="22"/>
          <w:szCs w:val="22"/>
        </w:rPr>
        <w:fldChar w:fldCharType="separate"/>
      </w:r>
      <w:r w:rsidR="006A2C19">
        <w:rPr>
          <w:i w:val="0"/>
          <w:noProof/>
          <w:color w:val="auto"/>
          <w:sz w:val="22"/>
          <w:szCs w:val="22"/>
        </w:rPr>
        <w:t>16</w:t>
      </w:r>
      <w:r w:rsidR="00E158DF">
        <w:rPr>
          <w:i w:val="0"/>
          <w:color w:val="auto"/>
          <w:sz w:val="22"/>
          <w:szCs w:val="22"/>
        </w:rPr>
        <w:fldChar w:fldCharType="end"/>
      </w:r>
      <w:bookmarkEnd w:id="61"/>
      <w:r w:rsidR="008C10CF" w:rsidRPr="00AA7FD5">
        <w:rPr>
          <w:i w:val="0"/>
          <w:color w:val="auto"/>
          <w:sz w:val="22"/>
          <w:szCs w:val="22"/>
        </w:rPr>
        <w:t>. Romania: Nitrogen Oxide Shares (2012) and Decoupling Outcomes (2000-2012)</w:t>
      </w:r>
      <w:bookmarkEnd w:id="62"/>
    </w:p>
    <w:p w14:paraId="5C2B546E" w14:textId="5DD16C82" w:rsidR="008C10CF" w:rsidRDefault="008C10CF" w:rsidP="004C5ADA">
      <w:pPr>
        <w:jc w:val="both"/>
        <w:rPr>
          <w:sz w:val="24"/>
          <w:szCs w:val="24"/>
        </w:rPr>
      </w:pPr>
      <w:r>
        <w:rPr>
          <w:noProof/>
          <w:sz w:val="24"/>
          <w:szCs w:val="24"/>
        </w:rPr>
        <w:drawing>
          <wp:inline distT="0" distB="0" distL="0" distR="0" wp14:anchorId="4EDF5899" wp14:editId="660B6EFB">
            <wp:extent cx="5852160" cy="27518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8783" cy="2754988"/>
                    </a:xfrm>
                    <a:prstGeom prst="rect">
                      <a:avLst/>
                    </a:prstGeom>
                    <a:noFill/>
                  </pic:spPr>
                </pic:pic>
              </a:graphicData>
            </a:graphic>
          </wp:inline>
        </w:drawing>
      </w:r>
    </w:p>
    <w:p w14:paraId="370E9304" w14:textId="1855598A" w:rsidR="00C27938" w:rsidRDefault="00C27938" w:rsidP="00C27938">
      <w:pPr>
        <w:pStyle w:val="Heading2"/>
      </w:pPr>
      <w:bookmarkStart w:id="63" w:name="_Toc508020586"/>
      <w:r>
        <w:t xml:space="preserve">Hypothesizing the </w:t>
      </w:r>
      <w:r w:rsidR="00CF58F9">
        <w:t>D</w:t>
      </w:r>
      <w:r>
        <w:t xml:space="preserve">rivers of </w:t>
      </w:r>
      <w:r w:rsidR="00CF58F9">
        <w:t>D</w:t>
      </w:r>
      <w:r>
        <w:t xml:space="preserve">ecoupling </w:t>
      </w:r>
      <w:r w:rsidR="00CF58F9">
        <w:t>T</w:t>
      </w:r>
      <w:r>
        <w:t>rends</w:t>
      </w:r>
      <w:bookmarkEnd w:id="63"/>
    </w:p>
    <w:p w14:paraId="146038EC" w14:textId="04E5F10F" w:rsidR="00B9355A" w:rsidRPr="00B9355A" w:rsidRDefault="001508BC" w:rsidP="00654268">
      <w:pPr>
        <w:jc w:val="both"/>
      </w:pPr>
      <w:r>
        <w:t xml:space="preserve">Examining whether environmental and economic trends decouple </w:t>
      </w:r>
      <w:r w:rsidR="001B506C">
        <w:t>provides</w:t>
      </w:r>
      <w:r>
        <w:t xml:space="preserve"> an</w:t>
      </w:r>
      <w:r w:rsidRPr="001508BC">
        <w:t xml:space="preserve"> approach</w:t>
      </w:r>
      <w:r>
        <w:t xml:space="preserve"> to measuring Green Growth </w:t>
      </w:r>
      <w:r w:rsidR="00C83B15">
        <w:t>with the</w:t>
      </w:r>
      <w:r w:rsidR="00B9355A">
        <w:t xml:space="preserve"> potential to inform and guide policy design and development. For example, the analysis may </w:t>
      </w:r>
      <w:r w:rsidR="004076F8">
        <w:t>show</w:t>
      </w:r>
      <w:r w:rsidR="00B9355A">
        <w:t xml:space="preserve"> that the main drivers behind decoupling are independent of any improvements in the absolute or relative efficiency of environmental input usage in traditional sectors, such as agriculture or manufacturing. </w:t>
      </w:r>
      <w:r w:rsidR="004076F8">
        <w:t>Alternatively</w:t>
      </w:r>
      <w:r w:rsidR="00B9355A">
        <w:t xml:space="preserve">, the decoupling could be due to the emergence of cleaner sectors (i.e., less energy and natural input intensive sectors) that gradually displace environmentally damaging sectors. </w:t>
      </w:r>
      <w:r>
        <w:t xml:space="preserve">Observing </w:t>
      </w:r>
      <w:r w:rsidR="00751669">
        <w:t xml:space="preserve">the </w:t>
      </w:r>
      <w:r>
        <w:t xml:space="preserve">decoupling </w:t>
      </w:r>
      <w:r w:rsidR="002D7012">
        <w:t xml:space="preserve">of economic and environmental trends </w:t>
      </w:r>
      <w:r>
        <w:t>(or a lack</w:t>
      </w:r>
      <w:r w:rsidR="002D7012">
        <w:t xml:space="preserve"> thereof) in a country opens many subsequent questions about why such a pattern exists.</w:t>
      </w:r>
    </w:p>
    <w:p w14:paraId="6C263A93" w14:textId="7D74127D" w:rsidR="008F20A6" w:rsidRDefault="00C27938" w:rsidP="00654268">
      <w:pPr>
        <w:jc w:val="both"/>
      </w:pPr>
      <w:r>
        <w:t xml:space="preserve">In the case of Romania, the decoupling exercise </w:t>
      </w:r>
      <w:r w:rsidR="002D7012">
        <w:t xml:space="preserve">reveals </w:t>
      </w:r>
      <w:r>
        <w:t xml:space="preserve">a country </w:t>
      </w:r>
      <w:r w:rsidR="002D7012">
        <w:t xml:space="preserve">profile </w:t>
      </w:r>
      <w:r>
        <w:t xml:space="preserve">where primary sector activities tend to have GHG emissions that follow economic trends, but secondary sectors that </w:t>
      </w:r>
      <w:r w:rsidR="008F20A6">
        <w:t xml:space="preserve">have downward trends in emissions despite continued economic growth. Understanding the baseline context of this country’s environment and natural resources further illustrates why this occurs. </w:t>
      </w:r>
      <w:r w:rsidR="003C5281">
        <w:t xml:space="preserve">Systematic Country Diagnostics and other background resources can </w:t>
      </w:r>
      <w:r w:rsidR="003C5281" w:rsidRPr="003C5281">
        <w:t>poi</w:t>
      </w:r>
      <w:r w:rsidR="003C5281">
        <w:t>nt to specific constraints that direct areas that require further</w:t>
      </w:r>
      <w:r w:rsidR="003C5281" w:rsidRPr="003C5281">
        <w:t xml:space="preserve"> </w:t>
      </w:r>
      <w:r w:rsidR="003C5281">
        <w:t xml:space="preserve">testing or information collection. </w:t>
      </w:r>
      <w:r w:rsidR="008F20A6">
        <w:t>In Romania,</w:t>
      </w:r>
      <w:r w:rsidR="003C5281">
        <w:t xml:space="preserve"> </w:t>
      </w:r>
      <w:r w:rsidR="008F20A6">
        <w:t xml:space="preserve">one can posit </w:t>
      </w:r>
      <w:r w:rsidR="003C5281">
        <w:t>various</w:t>
      </w:r>
      <w:r w:rsidR="008F20A6">
        <w:t xml:space="preserve"> scenarios to explain the division between primary and secondary sector</w:t>
      </w:r>
      <w:r w:rsidR="00CF58F9">
        <w:t>s</w:t>
      </w:r>
      <w:r w:rsidR="003C5281">
        <w:t>, such as</w:t>
      </w:r>
      <w:r w:rsidR="008F20A6">
        <w:t>:</w:t>
      </w:r>
    </w:p>
    <w:p w14:paraId="7FECED3F" w14:textId="6330BD53" w:rsidR="008F20A6" w:rsidRDefault="008F20A6" w:rsidP="00654268">
      <w:pPr>
        <w:pStyle w:val="ListParagraph"/>
        <w:numPr>
          <w:ilvl w:val="0"/>
          <w:numId w:val="27"/>
        </w:numPr>
        <w:jc w:val="both"/>
      </w:pPr>
      <w:r>
        <w:t>Investment in secondary sectors has led to more advanced technology</w:t>
      </w:r>
      <w:r w:rsidR="0065644D">
        <w:t xml:space="preserve"> </w:t>
      </w:r>
      <w:r w:rsidR="00CF58F9">
        <w:t xml:space="preserve">adoption and </w:t>
      </w:r>
      <w:r w:rsidR="0065644D">
        <w:t>use, which allows for less environmentally intensive development</w:t>
      </w:r>
    </w:p>
    <w:p w14:paraId="58B69F39" w14:textId="6D050BB1" w:rsidR="008F20A6" w:rsidRDefault="008F20A6" w:rsidP="00654268">
      <w:pPr>
        <w:pStyle w:val="ListParagraph"/>
        <w:numPr>
          <w:ilvl w:val="0"/>
          <w:numId w:val="27"/>
        </w:numPr>
        <w:jc w:val="both"/>
      </w:pPr>
      <w:r>
        <w:t>The primary sector is small or in decline, and therefore has attracted little investment, but also produces relatively low emissions</w:t>
      </w:r>
    </w:p>
    <w:p w14:paraId="11CCB7EF" w14:textId="77777777" w:rsidR="0077025E" w:rsidRDefault="0077025E" w:rsidP="00654268">
      <w:pPr>
        <w:pStyle w:val="ListParagraph"/>
        <w:numPr>
          <w:ilvl w:val="0"/>
          <w:numId w:val="27"/>
        </w:numPr>
        <w:jc w:val="both"/>
      </w:pPr>
      <w:r>
        <w:t>“Dirty” production is being exported, with other countries taking on Romania’s burden</w:t>
      </w:r>
    </w:p>
    <w:p w14:paraId="759E66DB" w14:textId="10AF1B3B" w:rsidR="008F20A6" w:rsidRDefault="008F20A6" w:rsidP="00654268">
      <w:pPr>
        <w:pStyle w:val="ListParagraph"/>
        <w:numPr>
          <w:ilvl w:val="0"/>
          <w:numId w:val="27"/>
        </w:numPr>
        <w:jc w:val="both"/>
      </w:pPr>
      <w:r>
        <w:t>Accession to the EU directed po</w:t>
      </w:r>
      <w:r w:rsidR="00364D2B">
        <w:t>licy change that shifted practices and standards in the primary and/or secondary sector</w:t>
      </w:r>
    </w:p>
    <w:p w14:paraId="5F16C1F9" w14:textId="64EB8C6B" w:rsidR="00364D2B" w:rsidRDefault="00364D2B" w:rsidP="00654268">
      <w:pPr>
        <w:pStyle w:val="ListParagraph"/>
        <w:numPr>
          <w:ilvl w:val="0"/>
          <w:numId w:val="27"/>
        </w:numPr>
        <w:jc w:val="both"/>
      </w:pPr>
      <w:r>
        <w:t xml:space="preserve">Rural areas that are more heavily reliant on agricultural activities are gaining the least economically, therefore their economic trend is lower than the secondary sector and results in little extra capital to invest in cleaner technologies </w:t>
      </w:r>
    </w:p>
    <w:p w14:paraId="339C4250" w14:textId="7DC28C05" w:rsidR="008F20A6" w:rsidRDefault="008F20A6" w:rsidP="00654268">
      <w:pPr>
        <w:jc w:val="both"/>
      </w:pPr>
      <w:r>
        <w:lastRenderedPageBreak/>
        <w:t xml:space="preserve">In examining Romania’s baseline, we </w:t>
      </w:r>
      <w:r w:rsidR="001B506C">
        <w:t xml:space="preserve">can provide supporting </w:t>
      </w:r>
      <w:r w:rsidR="0065644D">
        <w:t xml:space="preserve">(or negating) </w:t>
      </w:r>
      <w:r w:rsidR="001B506C">
        <w:t xml:space="preserve">evidence for </w:t>
      </w:r>
      <w:r w:rsidR="0065644D">
        <w:t xml:space="preserve">these </w:t>
      </w:r>
      <w:r w:rsidR="001B506C">
        <w:t xml:space="preserve">various </w:t>
      </w:r>
      <w:r w:rsidR="0065644D">
        <w:t>hypotheses</w:t>
      </w:r>
      <w:r w:rsidR="0077025E">
        <w:t>. In support of H</w:t>
      </w:r>
      <w:r w:rsidR="0065644D">
        <w:t>ypothesis</w:t>
      </w:r>
      <w:r w:rsidR="0065644D" w:rsidRPr="0065644D">
        <w:rPr>
          <w:i/>
        </w:rPr>
        <w:t xml:space="preserve"> a</w:t>
      </w:r>
      <w:r w:rsidR="0065644D">
        <w:t>, declining pollution damages shown over time in Romania’s ANS, coupled with increasing Gross National Saving, suggests that economic development has become less pollution-intensive over time.</w:t>
      </w:r>
      <w:r w:rsidR="0077025E">
        <w:t xml:space="preserve"> Hypothesis </w:t>
      </w:r>
      <w:r w:rsidR="0077025E" w:rsidRPr="0077025E">
        <w:rPr>
          <w:i/>
        </w:rPr>
        <w:t>b</w:t>
      </w:r>
      <w:r w:rsidR="0077025E">
        <w:t xml:space="preserve"> is supported by the evidence of a declining agricultural sector—since 1990, Romania’s agricultural land cover has declined by 4% </w:t>
      </w:r>
      <w:r w:rsidR="000216F0">
        <w:t xml:space="preserve">and agriculture value as a percent of GDP </w:t>
      </w:r>
      <w:r w:rsidR="0077025E">
        <w:t xml:space="preserve">is about one-fifth what it was. </w:t>
      </w:r>
      <w:r w:rsidR="00440DC2">
        <w:t xml:space="preserve">The decline of the agricultural sector is likely to have broader economic impacts—it is unlikely that the population reduced food consumption, suggesting that agricultural production may have shifted out of the country, supporting Hypothesis </w:t>
      </w:r>
      <w:r w:rsidR="00440DC2" w:rsidRPr="00440DC2">
        <w:rPr>
          <w:i/>
        </w:rPr>
        <w:t>c</w:t>
      </w:r>
      <w:r w:rsidR="00440DC2">
        <w:t xml:space="preserve">. </w:t>
      </w:r>
      <w:r w:rsidR="0077025E">
        <w:t xml:space="preserve">The major dip in agricultural land was seen in the first decade of the 2000s, when Romania was in the process of EU accession. This could potentially relate to a reclassification of land as protected areas during this time, as a part of the country’s Natura declaration. This shift lends credence to Hypothesis </w:t>
      </w:r>
      <w:r w:rsidR="0077025E">
        <w:rPr>
          <w:i/>
        </w:rPr>
        <w:t>d</w:t>
      </w:r>
      <w:r w:rsidR="0077025E">
        <w:t xml:space="preserve">, as EU policy would have direct outcomes on natural capital stock. </w:t>
      </w:r>
      <w:r w:rsidR="00440DC2">
        <w:t>Finally, a decline in the agricultural sector means that more rural areas are impacted economically by this shift, although we cannot say from the evidence presented whether other industries have replaced agriculture in these areas.</w:t>
      </w:r>
    </w:p>
    <w:p w14:paraId="37D97F11" w14:textId="7EA102DF" w:rsidR="00440DC2" w:rsidRDefault="00440DC2" w:rsidP="00654268">
      <w:pPr>
        <w:jc w:val="both"/>
      </w:pPr>
      <w:r>
        <w:t xml:space="preserve">Of concern to a declining primary sector is the livelihoods of those impacted. </w:t>
      </w:r>
      <w:r w:rsidR="009839FC">
        <w:t xml:space="preserve">Poverty is mainly a rural issue in Romania, with </w:t>
      </w:r>
      <w:r w:rsidR="003D7487">
        <w:t>an average poverty rate of about 24% in rural areas and 3% in urban areas</w:t>
      </w:r>
      <w:r w:rsidR="003D7487">
        <w:rPr>
          <w:rStyle w:val="FootnoteReference"/>
        </w:rPr>
        <w:footnoteReference w:id="17"/>
      </w:r>
      <w:r w:rsidR="003D7487">
        <w:t>.</w:t>
      </w:r>
      <w:r w:rsidR="00223986">
        <w:t xml:space="preserve"> Diving further into issues of the distribution of wealth, and correlating it with the distribution of environmental impacts, it is clear that issues such as soil erosion and flooding mainly impact poorer areas (see </w:t>
      </w:r>
      <w:r w:rsidR="00223986">
        <w:fldChar w:fldCharType="begin"/>
      </w:r>
      <w:r w:rsidR="00223986">
        <w:instrText xml:space="preserve"> REF _Ref507870677 \h </w:instrText>
      </w:r>
      <w:r w:rsidR="00223986">
        <w:fldChar w:fldCharType="separate"/>
      </w:r>
      <w:r w:rsidR="006A2C19">
        <w:t xml:space="preserve">Figure </w:t>
      </w:r>
      <w:r w:rsidR="006A2C19">
        <w:rPr>
          <w:noProof/>
        </w:rPr>
        <w:t>17</w:t>
      </w:r>
      <w:r w:rsidR="00223986">
        <w:fldChar w:fldCharType="end"/>
      </w:r>
      <w:r w:rsidR="00223986">
        <w:t xml:space="preserve"> and </w:t>
      </w:r>
      <w:r w:rsidR="00223986">
        <w:fldChar w:fldCharType="begin"/>
      </w:r>
      <w:r w:rsidR="00223986">
        <w:instrText xml:space="preserve"> REF _Ref507870678 \h </w:instrText>
      </w:r>
      <w:r w:rsidR="00223986">
        <w:fldChar w:fldCharType="separate"/>
      </w:r>
      <w:r w:rsidR="006A2C19">
        <w:t xml:space="preserve">Figure </w:t>
      </w:r>
      <w:r w:rsidR="006A2C19">
        <w:rPr>
          <w:noProof/>
        </w:rPr>
        <w:t>18</w:t>
      </w:r>
      <w:r w:rsidR="00223986">
        <w:fldChar w:fldCharType="end"/>
      </w:r>
      <w:r w:rsidR="00223986">
        <w:t>).</w:t>
      </w:r>
      <w:r w:rsidR="00BF25D7">
        <w:t xml:space="preserve"> Relatively poor provinces including </w:t>
      </w:r>
      <w:r w:rsidR="00BF25D7" w:rsidRPr="00BF25D7">
        <w:t xml:space="preserve">Ialomita, Satu Mare and Teleorman </w:t>
      </w:r>
      <w:r w:rsidR="00BF25D7">
        <w:t xml:space="preserve">are </w:t>
      </w:r>
      <w:r w:rsidR="00BF25D7" w:rsidRPr="00BF25D7">
        <w:t>most economically impacted by floods</w:t>
      </w:r>
      <w:r w:rsidR="00E0185C">
        <w:rPr>
          <w:rStyle w:val="FootnoteReference"/>
        </w:rPr>
        <w:footnoteReference w:id="18"/>
      </w:r>
      <w:r w:rsidR="00E0185C">
        <w:t xml:space="preserve"> </w:t>
      </w:r>
      <w:r w:rsidR="00E0185C">
        <w:fldChar w:fldCharType="begin"/>
      </w:r>
      <w:r w:rsidR="00E0185C">
        <w:instrText xml:space="preserve"> ADDIN ZOTERO_ITEM CSL_CITATION {"citationID":"7Hh2ZLGl","properties":{"formattedCitation":"(World Bank Forthcoming)","plainCitation":"(World Bank Forthcoming)"},"citationItems":[{"id":6763,"uris":["http://zotero.org/users/3805591/items/QNSV9QRD"],"uri":["http://zotero.org/users/3805591/items/QNSV9QRD"],"itemData":{"id":6763,"type":"report","title":"Romania Systematic Country Diagnostic","publisher-place":"Washington, D.C.","event-place":"Washington, D.C.","author":[{"literal":"World Bank"}],"issued":{"literal":"Forthcoming"}}}],"schema":"https://github.com/citation-style-language/schema/raw/master/csl-citation.json"} </w:instrText>
      </w:r>
      <w:r w:rsidR="00E0185C">
        <w:fldChar w:fldCharType="separate"/>
      </w:r>
      <w:r w:rsidR="00E0185C">
        <w:rPr>
          <w:rFonts w:ascii="Calibri" w:hAnsi="Calibri" w:cs="Calibri"/>
        </w:rPr>
        <w:t>(World Bank, f</w:t>
      </w:r>
      <w:r w:rsidR="00E0185C" w:rsidRPr="00E0185C">
        <w:rPr>
          <w:rFonts w:ascii="Calibri" w:hAnsi="Calibri" w:cs="Calibri"/>
        </w:rPr>
        <w:t>orthcoming)</w:t>
      </w:r>
      <w:r w:rsidR="00E0185C">
        <w:fldChar w:fldCharType="end"/>
      </w:r>
      <w:r w:rsidR="00BF25D7">
        <w:t>. Relatively poor areas such as Braila and Vrnacea are also</w:t>
      </w:r>
      <w:r w:rsidR="00BF25D7" w:rsidRPr="00B607C3">
        <w:t xml:space="preserve"> </w:t>
      </w:r>
      <w:r w:rsidR="00775472">
        <w:t>disproportionately affected</w:t>
      </w:r>
      <w:r w:rsidR="00BF25D7">
        <w:rPr>
          <w:rStyle w:val="FootnoteReference"/>
        </w:rPr>
        <w:footnoteReference w:id="19"/>
      </w:r>
      <w:r w:rsidR="00BF25D7" w:rsidRPr="00B607C3">
        <w:t xml:space="preserve"> </w:t>
      </w:r>
      <w:r w:rsidR="00775472">
        <w:t>by economic damages from earthquakes, e</w:t>
      </w:r>
      <w:r w:rsidR="00BF25D7">
        <w:t>ven</w:t>
      </w:r>
      <w:r w:rsidR="00BF25D7" w:rsidRPr="00B607C3">
        <w:t xml:space="preserve"> though </w:t>
      </w:r>
      <w:r w:rsidR="00BF25D7">
        <w:t xml:space="preserve">wealthier </w:t>
      </w:r>
      <w:r w:rsidR="00BF25D7" w:rsidRPr="00B607C3">
        <w:t>provinces such as Bucuresti, Prahova</w:t>
      </w:r>
      <w:r w:rsidR="00BF25D7">
        <w:t>,</w:t>
      </w:r>
      <w:r w:rsidR="00BF25D7" w:rsidRPr="00B607C3">
        <w:t xml:space="preserve"> and Buzau are at greatest risk of earthquakes </w:t>
      </w:r>
      <w:r w:rsidR="00775472">
        <w:t>in terms of absolute GDP losses.</w:t>
      </w:r>
    </w:p>
    <w:p w14:paraId="55CD74C3" w14:textId="7CE8EF43" w:rsidR="006A2C19" w:rsidRDefault="006A2C19" w:rsidP="00654268">
      <w:pPr>
        <w:jc w:val="both"/>
      </w:pPr>
    </w:p>
    <w:p w14:paraId="0F2FC7E4" w14:textId="0C48CFB5" w:rsidR="006A2C19" w:rsidRDefault="006A2C19" w:rsidP="00654268">
      <w:pPr>
        <w:jc w:val="both"/>
      </w:pPr>
    </w:p>
    <w:p w14:paraId="6054FAEA" w14:textId="46A5FD56" w:rsidR="006A2C19" w:rsidRDefault="006A2C19" w:rsidP="00654268">
      <w:pPr>
        <w:jc w:val="both"/>
      </w:pPr>
    </w:p>
    <w:p w14:paraId="68F4A82D" w14:textId="77777777" w:rsidR="006A2C19" w:rsidRDefault="006A2C19" w:rsidP="00654268">
      <w:pPr>
        <w:jc w:val="both"/>
      </w:pPr>
    </w:p>
    <w:p w14:paraId="6EAB8EFF" w14:textId="3C27CE81" w:rsidR="009E650C" w:rsidRDefault="009E650C" w:rsidP="009E650C">
      <w:pPr>
        <w:jc w:val="center"/>
      </w:pPr>
      <w:bookmarkStart w:id="64" w:name="_Ref507870677"/>
      <w:bookmarkStart w:id="65" w:name="_Toc508013123"/>
      <w:r>
        <w:t xml:space="preserve">Figure </w:t>
      </w:r>
      <w:fldSimple w:instr=" SEQ Figure \* ARABIC ">
        <w:r w:rsidR="006A2C19">
          <w:rPr>
            <w:noProof/>
          </w:rPr>
          <w:t>17</w:t>
        </w:r>
      </w:fldSimple>
      <w:bookmarkEnd w:id="64"/>
      <w:r>
        <w:t>: Coincidence of Median Soil Erosion Levels and Poverty in Romania</w:t>
      </w:r>
      <w:bookmarkEnd w:id="65"/>
    </w:p>
    <w:p w14:paraId="6CDFFE6B" w14:textId="5B5B4D9D" w:rsidR="00364D2B" w:rsidRPr="00C27938" w:rsidRDefault="009E650C" w:rsidP="008F20A6">
      <w:r>
        <w:rPr>
          <w:noProof/>
        </w:rPr>
        <w:lastRenderedPageBreak/>
        <w:drawing>
          <wp:inline distT="0" distB="0" distL="0" distR="0" wp14:anchorId="799483F6" wp14:editId="09D04230">
            <wp:extent cx="4210050" cy="26879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3642" cy="2690248"/>
                    </a:xfrm>
                    <a:prstGeom prst="rect">
                      <a:avLst/>
                    </a:prstGeom>
                  </pic:spPr>
                </pic:pic>
              </a:graphicData>
            </a:graphic>
          </wp:inline>
        </w:drawing>
      </w:r>
      <w:r w:rsidRPr="009E650C">
        <w:rPr>
          <w:noProof/>
        </w:rPr>
        <w:t xml:space="preserve"> </w:t>
      </w:r>
      <w:r>
        <w:rPr>
          <w:noProof/>
        </w:rPr>
        <w:drawing>
          <wp:inline distT="0" distB="0" distL="0" distR="0" wp14:anchorId="2BC4773B" wp14:editId="5F1E255B">
            <wp:extent cx="1650495" cy="1728787"/>
            <wp:effectExtent l="0" t="0" r="698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4679" cy="1733170"/>
                    </a:xfrm>
                    <a:prstGeom prst="rect">
                      <a:avLst/>
                    </a:prstGeom>
                  </pic:spPr>
                </pic:pic>
              </a:graphicData>
            </a:graphic>
          </wp:inline>
        </w:drawing>
      </w:r>
    </w:p>
    <w:p w14:paraId="5BCEA5B8" w14:textId="65F3E65A" w:rsidR="009E650C" w:rsidRPr="00223986" w:rsidRDefault="00223986" w:rsidP="00223986">
      <w:pPr>
        <w:rPr>
          <w:sz w:val="20"/>
        </w:rPr>
      </w:pPr>
      <w:r w:rsidRPr="00223986">
        <w:rPr>
          <w:i/>
          <w:sz w:val="20"/>
        </w:rPr>
        <w:t>Source:</w:t>
      </w:r>
      <w:r w:rsidRPr="00223986">
        <w:rPr>
          <w:sz w:val="20"/>
        </w:rPr>
        <w:t xml:space="preserve"> Hidden Dimensions of Poverty dataset, 2018</w:t>
      </w:r>
    </w:p>
    <w:p w14:paraId="1B0B1C3A" w14:textId="77777777" w:rsidR="009E650C" w:rsidRDefault="009E650C" w:rsidP="009E650C">
      <w:pPr>
        <w:jc w:val="center"/>
      </w:pPr>
    </w:p>
    <w:p w14:paraId="34F07ED4" w14:textId="33ADC378" w:rsidR="009E650C" w:rsidRDefault="009E650C" w:rsidP="009E650C">
      <w:pPr>
        <w:jc w:val="center"/>
      </w:pPr>
      <w:bookmarkStart w:id="66" w:name="_Ref507870678"/>
      <w:bookmarkStart w:id="67" w:name="_Toc508013124"/>
      <w:r>
        <w:t xml:space="preserve">Figure </w:t>
      </w:r>
      <w:fldSimple w:instr=" SEQ Figure \* ARABIC ">
        <w:r w:rsidR="006A2C19">
          <w:rPr>
            <w:noProof/>
          </w:rPr>
          <w:t>18</w:t>
        </w:r>
      </w:fldSimple>
      <w:bookmarkEnd w:id="66"/>
      <w:r>
        <w:t>:</w:t>
      </w:r>
      <w:r w:rsidRPr="009E650C">
        <w:t xml:space="preserve"> </w:t>
      </w:r>
      <w:r>
        <w:t>Coincidence of Number of Flood Events and Poverty in Romania</w:t>
      </w:r>
      <w:bookmarkEnd w:id="67"/>
    </w:p>
    <w:p w14:paraId="49136CB1" w14:textId="596478E6" w:rsidR="009E650C" w:rsidRDefault="009E650C" w:rsidP="009E650C">
      <w:r>
        <w:rPr>
          <w:noProof/>
        </w:rPr>
        <w:drawing>
          <wp:inline distT="0" distB="0" distL="0" distR="0" wp14:anchorId="111440A7" wp14:editId="50445FE1">
            <wp:extent cx="4263236" cy="271462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0540" cy="2719276"/>
                    </a:xfrm>
                    <a:prstGeom prst="rect">
                      <a:avLst/>
                    </a:prstGeom>
                  </pic:spPr>
                </pic:pic>
              </a:graphicData>
            </a:graphic>
          </wp:inline>
        </w:drawing>
      </w:r>
      <w:r w:rsidRPr="009E650C">
        <w:rPr>
          <w:noProof/>
        </w:rPr>
        <w:t xml:space="preserve"> </w:t>
      </w:r>
      <w:r>
        <w:rPr>
          <w:noProof/>
        </w:rPr>
        <w:drawing>
          <wp:inline distT="0" distB="0" distL="0" distR="0" wp14:anchorId="51C511E4" wp14:editId="076BEDD4">
            <wp:extent cx="1495542" cy="14525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00309" cy="1457192"/>
                    </a:xfrm>
                    <a:prstGeom prst="rect">
                      <a:avLst/>
                    </a:prstGeom>
                  </pic:spPr>
                </pic:pic>
              </a:graphicData>
            </a:graphic>
          </wp:inline>
        </w:drawing>
      </w:r>
    </w:p>
    <w:p w14:paraId="5C4C7A90" w14:textId="61D0FD25" w:rsidR="00D6580F" w:rsidRPr="004D3330" w:rsidRDefault="00223986" w:rsidP="009E650C">
      <w:pPr>
        <w:rPr>
          <w:sz w:val="20"/>
        </w:rPr>
      </w:pPr>
      <w:r w:rsidRPr="00223986">
        <w:rPr>
          <w:i/>
          <w:sz w:val="20"/>
        </w:rPr>
        <w:t xml:space="preserve"> Source:</w:t>
      </w:r>
      <w:r w:rsidRPr="00223986">
        <w:rPr>
          <w:sz w:val="20"/>
        </w:rPr>
        <w:t xml:space="preserve"> Hidden Dimensions of Poverty dataset, 2018</w:t>
      </w:r>
    </w:p>
    <w:p w14:paraId="4D21998B" w14:textId="52B120D6" w:rsidR="009E650C" w:rsidRDefault="00223986" w:rsidP="00654268">
      <w:pPr>
        <w:jc w:val="both"/>
      </w:pPr>
      <w:r>
        <w:t xml:space="preserve">Clearly, understanding whether economic and ecological impacts diverge from one another over time is only one step in disentangling the relationships between these two realms. While the decoupling tool presented does not provide causal evidence of influence between environmental and economic trends, it is an important step in that it allows sector-level analysis, which can </w:t>
      </w:r>
      <w:r w:rsidR="0048501F">
        <w:t>spur</w:t>
      </w:r>
      <w:r>
        <w:t xml:space="preserve"> thoughtful development of hypotheses related to underlying causation.</w:t>
      </w:r>
      <w:r w:rsidR="002E57BA">
        <w:t xml:space="preserve"> One can then design more detailed empirical exercises to test these hypotheses and understand the potential determinants of these linkages.</w:t>
      </w:r>
    </w:p>
    <w:p w14:paraId="2DBAE46B" w14:textId="63D00C90" w:rsidR="00341578" w:rsidRPr="00C77A61" w:rsidRDefault="00492C1C" w:rsidP="00C77A61">
      <w:pPr>
        <w:pStyle w:val="Heading1"/>
      </w:pPr>
      <w:bookmarkStart w:id="68" w:name="_Toc508020587"/>
      <w:r w:rsidRPr="00C77A61">
        <w:lastRenderedPageBreak/>
        <w:t xml:space="preserve">Policy </w:t>
      </w:r>
      <w:r w:rsidR="00B9355A">
        <w:t>Implications</w:t>
      </w:r>
      <w:bookmarkEnd w:id="68"/>
    </w:p>
    <w:p w14:paraId="5697A9A4" w14:textId="67476315" w:rsidR="00B9355A" w:rsidRDefault="00B9355A" w:rsidP="00D100BE">
      <w:pPr>
        <w:jc w:val="both"/>
      </w:pPr>
      <w:r>
        <w:t xml:space="preserve">Policy </w:t>
      </w:r>
      <w:r w:rsidR="00C51BFD">
        <w:t>interventions</w:t>
      </w:r>
      <w:r>
        <w:t xml:space="preserve"> that stem from Green Growth measurement should reflect the drivers that influence whether growth is “dirty” or “clean” as much as possible.</w:t>
      </w:r>
      <w:r w:rsidR="00D100BE">
        <w:t xml:space="preserve"> </w:t>
      </w:r>
      <w:r w:rsidR="0005402B">
        <w:t xml:space="preserve">Rather </w:t>
      </w:r>
      <w:r w:rsidR="005F5A1A">
        <w:t xml:space="preserve">than only reacting to </w:t>
      </w:r>
      <w:r w:rsidR="00B9307B">
        <w:t>externalities after they</w:t>
      </w:r>
      <w:r w:rsidR="009636F8">
        <w:t xml:space="preserve"> appear</w:t>
      </w:r>
      <w:r w:rsidR="00B9307B">
        <w:t>, policies should also aim to prevent environmental degradation from occurring.</w:t>
      </w:r>
      <w:r w:rsidR="009636F8">
        <w:t xml:space="preserve"> To achieve this, analysis that informs policy must work to </w:t>
      </w:r>
      <w:r w:rsidR="00D410CF">
        <w:t>reach</w:t>
      </w:r>
      <w:r w:rsidR="009636F8">
        <w:t xml:space="preserve"> causal conclusions</w:t>
      </w:r>
      <w:r w:rsidR="00D410CF">
        <w:t xml:space="preserve"> when possible. In cases where this is not possible,</w:t>
      </w:r>
      <w:r w:rsidR="009636F8">
        <w:t xml:space="preserve"> interventions should </w:t>
      </w:r>
      <w:r w:rsidR="00D410CF">
        <w:t>take into account thoughtful hypotheses for underlying causes and consider potential impacts of intervention. Overall, policies should work to reduce environmental de</w:t>
      </w:r>
      <w:r w:rsidR="002E57BA">
        <w:t>gradation</w:t>
      </w:r>
      <w:r w:rsidR="00D410CF">
        <w:t xml:space="preserve"> </w:t>
      </w:r>
      <w:r w:rsidR="003F5B9A">
        <w:t>while promoting shared prosperity through poverty reduction measures.</w:t>
      </w:r>
    </w:p>
    <w:p w14:paraId="662AF9D7" w14:textId="408FDDDB" w:rsidR="000E7444" w:rsidRDefault="000E7444" w:rsidP="00B9355A">
      <w:pPr>
        <w:jc w:val="both"/>
      </w:pPr>
      <w:r>
        <w:t>The decoupling exercise for Romania</w:t>
      </w:r>
      <w:r w:rsidR="004076F8">
        <w:t>, for example,</w:t>
      </w:r>
      <w:r>
        <w:t xml:space="preserve"> revealed a divergence in the way that primary and secondary sector activities relate to economic growth. Through these findings, and informed by a variety of baseline measures, a set of hypotheses was developed that builds a cohesive story for Romania’s intertwined environmental and economic paths, which is ready for further analysis.</w:t>
      </w:r>
    </w:p>
    <w:p w14:paraId="12A76803" w14:textId="0EE51225" w:rsidR="000E7444" w:rsidRDefault="000E7444" w:rsidP="000E7444">
      <w:pPr>
        <w:jc w:val="both"/>
      </w:pPr>
      <w:r>
        <w:t xml:space="preserve">Given the observed trends in this analysis, there is promise for continued investment in secondary sectors to promote the use of clean technology, </w:t>
      </w:r>
      <w:r w:rsidR="002E57BA">
        <w:t xml:space="preserve">and that </w:t>
      </w:r>
      <w:r>
        <w:t>allows for less degradation-intensive development. Promoting such investment may be sought through policy levers that incentivize the adoption of modern technology, and/or th</w:t>
      </w:r>
      <w:r w:rsidR="00BA5EC7">
        <w:t xml:space="preserve">rough penalties for the generation of pollutants and other environmental </w:t>
      </w:r>
      <w:r w:rsidR="002E57BA">
        <w:t>degradation</w:t>
      </w:r>
      <w:r w:rsidR="00BA5EC7">
        <w:t>.</w:t>
      </w:r>
    </w:p>
    <w:p w14:paraId="35DE1C76" w14:textId="2A137545" w:rsidR="000E7444" w:rsidRDefault="00BA5EC7" w:rsidP="00B9355A">
      <w:pPr>
        <w:jc w:val="both"/>
      </w:pPr>
      <w:r>
        <w:t>Support for the secondary sector should not allow for neglect of the primary sector, however. Despite declining in economic power in recent decades, agriculturally dependent rural areas should be supported through pro-poor measures that encourage clean and efficient farming methods, such that decoupling may occur in this sector in the future. Furthermore, other environment-focused economic opportunities such as eco-tourism can be encouraged in rural areas with rich natural resources to encourage green income opportunities.</w:t>
      </w:r>
    </w:p>
    <w:p w14:paraId="2DADDA47" w14:textId="3EB4B701" w:rsidR="00BA5EC7" w:rsidRDefault="00B9355A" w:rsidP="00B9355A">
      <w:pPr>
        <w:jc w:val="both"/>
      </w:pPr>
      <w:r>
        <w:t xml:space="preserve">A potential policy implication of these findings could be that “dirty” production is being exported. If that is the case, one can question the value of these decoupling gains, because they are effectively equivalent to a transfer of “dirty” sectors to other countries and do not constitute evidence of real and sustainable green growth. </w:t>
      </w:r>
      <w:r w:rsidR="00BA5EC7">
        <w:t xml:space="preserve">As EU accession appears to have influenced Romania’s protected area policies, this body may be an effective regulator of exporting environmental degradation, not only for Romania, but for other member states as well. International-level decisionmakers should also take a lead in highlighting the problematic exportation of environmental externalities globally. </w:t>
      </w:r>
    </w:p>
    <w:p w14:paraId="3647818B" w14:textId="1A196FFA" w:rsidR="004D3330" w:rsidRDefault="004D3330" w:rsidP="004D3330">
      <w:pPr>
        <w:jc w:val="both"/>
      </w:pPr>
      <w:r>
        <w:t xml:space="preserve">The example of Romania may not </w:t>
      </w:r>
      <w:r w:rsidR="002E57BA">
        <w:t xml:space="preserve">necessarily </w:t>
      </w:r>
      <w:r>
        <w:t>apply to other countries. Croatia, for example, has a large tourist industry that benefits from protected areas. Subnational patterns in economic and environmental patterns can be observed through the coincidence of poverty and protected areas (</w:t>
      </w:r>
      <w:r>
        <w:fldChar w:fldCharType="begin"/>
      </w:r>
      <w:r>
        <w:instrText xml:space="preserve"> REF _Ref488838508 \h  \* MERGEFORMAT </w:instrText>
      </w:r>
      <w:r>
        <w:fldChar w:fldCharType="separate"/>
      </w:r>
      <w:r w:rsidR="006A2C19" w:rsidRPr="004D3330">
        <w:t xml:space="preserve">Figure </w:t>
      </w:r>
      <w:r w:rsidR="006A2C19">
        <w:t>19</w:t>
      </w:r>
      <w:r>
        <w:fldChar w:fldCharType="end"/>
      </w:r>
      <w:r w:rsidR="000D5D10">
        <w:t xml:space="preserve">; </w:t>
      </w:r>
      <w:r w:rsidR="000D5D10">
        <w:fldChar w:fldCharType="begin"/>
      </w:r>
      <w:r w:rsidR="000D5D10">
        <w:instrText xml:space="preserve"> ADDIN ZOTERO_ITEM CSL_CITATION {"citationID":"Pmaw5CzO","properties":{"formattedCitation":"(World Bank 2017b)","plainCitation":"(World Bank 2017b)"},"citationItems":[{"id":6765,"uris":["http://zotero.org/users/3805591/items/4JIA5AS9"],"uri":["http://zotero.org/users/3805591/items/4JIA5AS9"],"itemData":{"id":6765,"type":"report","title":"The Republic of Croatia   Systematic Country Diagnostic","publisher-place":"Washington, D.C.","event-place":"Washington, D.C.","author":[{"literal":"World Bank"}],"issued":{"date-parts":[["2017"]]}}}],"schema":"https://github.com/citation-style-language/schema/raw/master/csl-citation.json"} </w:instrText>
      </w:r>
      <w:r w:rsidR="000D5D10">
        <w:fldChar w:fldCharType="separate"/>
      </w:r>
      <w:r w:rsidR="000D5D10" w:rsidRPr="000D5D10">
        <w:rPr>
          <w:rFonts w:ascii="Calibri" w:hAnsi="Calibri" w:cs="Calibri"/>
        </w:rPr>
        <w:t>World Bank 2017b)</w:t>
      </w:r>
      <w:r w:rsidR="000D5D10">
        <w:fldChar w:fldCharType="end"/>
      </w:r>
      <w:r>
        <w:t>. Analysis of the tourism sector therefore offers a key opportunity for intervention to encourage the decoupling of economic growth and environmental degradation, as the benefits of tourism</w:t>
      </w:r>
      <w:r w:rsidRPr="004D3330">
        <w:t xml:space="preserve"> need to be balanced with the </w:t>
      </w:r>
      <w:r>
        <w:t>ecosystem’s carrying capacity.</w:t>
      </w:r>
    </w:p>
    <w:p w14:paraId="11BABC37" w14:textId="64D6F24D" w:rsidR="006A2C19" w:rsidRDefault="006A2C19" w:rsidP="004D3330">
      <w:pPr>
        <w:jc w:val="both"/>
      </w:pPr>
    </w:p>
    <w:p w14:paraId="251A5BFA" w14:textId="171D04DB" w:rsidR="006A2C19" w:rsidRDefault="006A2C19" w:rsidP="004D3330">
      <w:pPr>
        <w:jc w:val="both"/>
      </w:pPr>
    </w:p>
    <w:p w14:paraId="4F501056" w14:textId="77777777" w:rsidR="006A2C19" w:rsidRDefault="006A2C19" w:rsidP="004D3330">
      <w:pPr>
        <w:jc w:val="both"/>
      </w:pPr>
    </w:p>
    <w:p w14:paraId="704188DC" w14:textId="4C8B98BA" w:rsidR="004D3330" w:rsidRPr="004D3330" w:rsidRDefault="004D3330" w:rsidP="004D3330">
      <w:pPr>
        <w:jc w:val="center"/>
      </w:pPr>
      <w:bookmarkStart w:id="69" w:name="_Ref488838508"/>
      <w:bookmarkStart w:id="70" w:name="_Toc508013125"/>
      <w:r w:rsidRPr="004D3330">
        <w:lastRenderedPageBreak/>
        <w:t xml:space="preserve">Figure </w:t>
      </w:r>
      <w:fldSimple w:instr=" SEQ Figure \* ARABIC ">
        <w:r w:rsidR="006A2C19">
          <w:rPr>
            <w:noProof/>
          </w:rPr>
          <w:t>19</w:t>
        </w:r>
      </w:fldSimple>
      <w:bookmarkEnd w:id="69"/>
      <w:r w:rsidRPr="004D3330">
        <w:t>. Income-based poverty rate and protected areas in Croatia</w:t>
      </w:r>
      <w:bookmarkEnd w:id="70"/>
    </w:p>
    <w:p w14:paraId="1D2C582F" w14:textId="77777777" w:rsidR="004D3330" w:rsidRDefault="004D3330" w:rsidP="004D3330">
      <w:pPr>
        <w:pStyle w:val="ListParagraph"/>
        <w:ind w:left="0"/>
        <w:jc w:val="center"/>
      </w:pPr>
      <w:r w:rsidRPr="00884624">
        <w:rPr>
          <w:noProof/>
        </w:rPr>
        <w:drawing>
          <wp:inline distT="0" distB="0" distL="0" distR="0" wp14:anchorId="06D51657" wp14:editId="37C6BEE7">
            <wp:extent cx="3200400" cy="30919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3091995"/>
                    </a:xfrm>
                    <a:prstGeom prst="rect">
                      <a:avLst/>
                    </a:prstGeom>
                    <a:noFill/>
                    <a:ln>
                      <a:noFill/>
                    </a:ln>
                  </pic:spPr>
                </pic:pic>
              </a:graphicData>
            </a:graphic>
          </wp:inline>
        </w:drawing>
      </w:r>
    </w:p>
    <w:p w14:paraId="6F647C21" w14:textId="7D0D7B47" w:rsidR="00973E5E" w:rsidRPr="00973E5E" w:rsidRDefault="00973E5E" w:rsidP="004D3330">
      <w:pPr>
        <w:pStyle w:val="ListParagraph"/>
        <w:ind w:left="0"/>
        <w:jc w:val="both"/>
        <w:rPr>
          <w:sz w:val="20"/>
        </w:rPr>
      </w:pPr>
      <w:r>
        <w:rPr>
          <w:i/>
          <w:sz w:val="20"/>
        </w:rPr>
        <w:t>Source:</w:t>
      </w:r>
      <w:r>
        <w:rPr>
          <w:sz w:val="20"/>
        </w:rPr>
        <w:t xml:space="preserve"> Hidden Dimensions of Poverty Dataset, 2018</w:t>
      </w:r>
    </w:p>
    <w:p w14:paraId="493FCB14" w14:textId="30A2C4CB" w:rsidR="004D3330" w:rsidRPr="00A31B28" w:rsidRDefault="004D3330" w:rsidP="004D3330">
      <w:pPr>
        <w:pStyle w:val="ListParagraph"/>
        <w:ind w:left="0"/>
        <w:jc w:val="both"/>
        <w:rPr>
          <w:sz w:val="20"/>
        </w:rPr>
      </w:pPr>
      <w:r w:rsidRPr="00A31B28">
        <w:rPr>
          <w:i/>
          <w:sz w:val="20"/>
        </w:rPr>
        <w:t>Note</w:t>
      </w:r>
      <w:r w:rsidRPr="00A31B28">
        <w:rPr>
          <w:sz w:val="20"/>
        </w:rPr>
        <w:t>: Protected area (%) is the percent of a district t</w:t>
      </w:r>
      <w:r w:rsidR="00973E5E">
        <w:rPr>
          <w:sz w:val="20"/>
        </w:rPr>
        <w:t>hat is part of a protected area</w:t>
      </w:r>
    </w:p>
    <w:p w14:paraId="0A9D9D46" w14:textId="59BA3E7A" w:rsidR="00C92537" w:rsidRPr="00C77A61" w:rsidRDefault="00C92537" w:rsidP="00C92537">
      <w:pPr>
        <w:pStyle w:val="Heading1"/>
      </w:pPr>
      <w:bookmarkStart w:id="71" w:name="_Toc508020588"/>
      <w:r>
        <w:t>A Way Forward: Data, Methods and Tools</w:t>
      </w:r>
      <w:bookmarkEnd w:id="71"/>
    </w:p>
    <w:p w14:paraId="267B5993" w14:textId="0E368D96" w:rsidR="00D100BE" w:rsidRDefault="00D100BE" w:rsidP="00D100BE">
      <w:pPr>
        <w:jc w:val="both"/>
      </w:pPr>
      <w:r>
        <w:t>Information on imports, in addition to domestic production, could be used to test if the decoupling gains are robust to additional sources of distortion. The investigation could be augmented by considering other cross countries characteristics such as the income level, energy mix and/or industrial organization. This provides evidence that the insights offered by the decoupl</w:t>
      </w:r>
      <w:r w:rsidR="005426D8">
        <w:t>ing</w:t>
      </w:r>
      <w:r>
        <w:t xml:space="preserve"> analysis could generate tangible policy implications. </w:t>
      </w:r>
    </w:p>
    <w:p w14:paraId="652815B8" w14:textId="7ECA5F9E" w:rsidR="00D100BE" w:rsidRDefault="00D100BE" w:rsidP="00D100BE">
      <w:pPr>
        <w:jc w:val="both"/>
      </w:pPr>
      <w:r>
        <w:t>Further data on jobs and household consumption can also help inform these policy recommendations through more disaggregated analysis. Countries and international bodies can support this work through the publication of business registers and nationally and sub-nationally representative household surveys.</w:t>
      </w:r>
    </w:p>
    <w:p w14:paraId="34C33DF0" w14:textId="26D3B444" w:rsidR="005D69AA" w:rsidRDefault="005D69AA" w:rsidP="00D100BE">
      <w:pPr>
        <w:jc w:val="both"/>
      </w:pPr>
      <w:r>
        <w:t>One example of a deeper dive into the relationship between economic growth and rural livelihoods is through the systematic surveying of households using the Living Standard and Measurement Surveys (LSMS).</w:t>
      </w:r>
      <w:r>
        <w:rPr>
          <w:rStyle w:val="FootnoteReference"/>
        </w:rPr>
        <w:footnoteReference w:id="20"/>
      </w:r>
      <w:r>
        <w:t xml:space="preserve"> These surveys eli</w:t>
      </w:r>
      <w:r w:rsidR="00AB16B2">
        <w:t>cit information on a household demographics,</w:t>
      </w:r>
      <w:r>
        <w:t xml:space="preserve"> income, expenditure</w:t>
      </w:r>
      <w:r w:rsidR="00AB16B2">
        <w:t>,</w:t>
      </w:r>
      <w:r>
        <w:t xml:space="preserve"> and assets in order to </w:t>
      </w:r>
      <w:r w:rsidR="00AB16B2">
        <w:t xml:space="preserve">support </w:t>
      </w:r>
      <w:r w:rsidR="00AB16B2" w:rsidRPr="00AB16B2">
        <w:t>evidence-based policymaking.</w:t>
      </w:r>
    </w:p>
    <w:p w14:paraId="0EF6C3A9" w14:textId="44040274" w:rsidR="00571E41" w:rsidRDefault="005D69AA" w:rsidP="00650AF6">
      <w:pPr>
        <w:jc w:val="both"/>
      </w:pPr>
      <w:r>
        <w:t>Recently, the LSMS has been modified to entail environmental</w:t>
      </w:r>
      <w:r w:rsidR="00650AF6">
        <w:t xml:space="preserve"> indicators, including through a </w:t>
      </w:r>
      <w:r>
        <w:t>Forestry Module</w:t>
      </w:r>
      <w:r w:rsidR="00650AF6">
        <w:t xml:space="preserve">, </w:t>
      </w:r>
      <w:r>
        <w:t>developed to look at the role of forests in rural livelihoods.</w:t>
      </w:r>
      <w:r>
        <w:rPr>
          <w:rStyle w:val="FootnoteReference"/>
        </w:rPr>
        <w:footnoteReference w:id="21"/>
      </w:r>
      <w:r>
        <w:t xml:space="preserve"> </w:t>
      </w:r>
      <w:r w:rsidR="005426D8">
        <w:t>Several</w:t>
      </w:r>
      <w:r>
        <w:t xml:space="preserve"> interesting policy questions can </w:t>
      </w:r>
      <w:r w:rsidR="00571E41">
        <w:t xml:space="preserve">be informed </w:t>
      </w:r>
      <w:r>
        <w:t xml:space="preserve">from the application of these surveys: </w:t>
      </w:r>
      <w:r w:rsidR="00571E41">
        <w:t>1</w:t>
      </w:r>
      <w:r>
        <w:t>) do poor households have a greater reliance on forest resources</w:t>
      </w:r>
      <w:r w:rsidR="00650AF6">
        <w:t>?</w:t>
      </w:r>
      <w:r>
        <w:t xml:space="preserve"> 2) do forests represent an economic opportunity </w:t>
      </w:r>
      <w:r w:rsidR="00650AF6">
        <w:t>for households?</w:t>
      </w:r>
      <w:r w:rsidR="00571E41">
        <w:t xml:space="preserve"> 3) </w:t>
      </w:r>
      <w:r w:rsidR="00650AF6">
        <w:t xml:space="preserve">can forest resource use for economic benefits sustain a reduction in poverty without forest degradation? </w:t>
      </w:r>
      <w:r w:rsidR="003206C2">
        <w:fldChar w:fldCharType="begin"/>
      </w:r>
      <w:r w:rsidR="003206C2">
        <w:instrText xml:space="preserve"> ADDIN ZOTERO_ITEM CSL_CITATION {"citationID":"eJBUyMMt","properties":{"formattedCitation":"(PROFOR 2017)","plainCitation":"(PROFOR 2017)"},"citationItems":[{"id":6552,"uris":["http://zotero.org/users/3805591/items/IE8QF6JS"],"uri":["http://zotero.org/users/3805591/items/IE8QF6JS"],"itemData":{"id":6552,"type":"report","title":"Poverty, Forest Dependence and Migration in the Forest Communities of Turkey: Evidence and policy impact analysis","publisher":"World Bank","publisher-place":"Washington, D.C.","event-place":"Washington, D.C.","author":[{"literal":"PROFOR"}],"issued":{"date-parts":[["2017"]]}}}],"schema":"https://github.com/citation-style-language/schema/raw/master/csl-citation.json"} </w:instrText>
      </w:r>
      <w:r w:rsidR="003206C2">
        <w:fldChar w:fldCharType="separate"/>
      </w:r>
      <w:r w:rsidR="003206C2" w:rsidRPr="003206C2">
        <w:rPr>
          <w:rFonts w:ascii="Calibri" w:hAnsi="Calibri"/>
        </w:rPr>
        <w:t>(PROFOR 2017)</w:t>
      </w:r>
      <w:r w:rsidR="003206C2">
        <w:fldChar w:fldCharType="end"/>
      </w:r>
      <w:r w:rsidR="003206C2">
        <w:t>.</w:t>
      </w:r>
    </w:p>
    <w:p w14:paraId="5D7C4A2E" w14:textId="54493E18" w:rsidR="005D69AA" w:rsidRDefault="00571E41" w:rsidP="00D100BE">
      <w:pPr>
        <w:jc w:val="both"/>
      </w:pPr>
      <w:r>
        <w:lastRenderedPageBreak/>
        <w:t xml:space="preserve">One </w:t>
      </w:r>
      <w:r w:rsidR="005426D8">
        <w:t xml:space="preserve">recent </w:t>
      </w:r>
      <w:r>
        <w:t>application of the Forest LSMS investigated the role of forests in the livelihoods of Turkish Forest Villagers</w:t>
      </w:r>
      <w:r w:rsidR="00F41C06">
        <w:t xml:space="preserve">, </w:t>
      </w:r>
      <w:r>
        <w:t xml:space="preserve">where </w:t>
      </w:r>
      <w:r w:rsidR="00F41C06">
        <w:t xml:space="preserve">findings indicated </w:t>
      </w:r>
      <w:r>
        <w:t xml:space="preserve">that forests represented the greatest share of income among the lowest income quintile and that the greater the share of forests in income, the greater was the propensity to migrate to other areas in seeking </w:t>
      </w:r>
      <w:r w:rsidR="00722260">
        <w:t>better opportunities</w:t>
      </w:r>
      <w:r w:rsidR="006E198D">
        <w:t xml:space="preserve"> </w:t>
      </w:r>
      <w:r w:rsidR="006E198D">
        <w:fldChar w:fldCharType="begin"/>
      </w:r>
      <w:r w:rsidR="006E198D">
        <w:instrText xml:space="preserve"> ADDIN ZOTERO_ITEM CSL_CITATION {"citationID":"zXy1yv3C","properties":{"formattedCitation":"(PROFOR 2017)","plainCitation":"(PROFOR 2017)"},"citationItems":[{"id":6552,"uris":["http://zotero.org/users/3805591/items/IE8QF6JS"],"uri":["http://zotero.org/users/3805591/items/IE8QF6JS"],"itemData":{"id":6552,"type":"report","title":"Poverty, Forest Dependence and Migration in the Forest Communities of Turkey: Evidence and policy impact analysis","publisher":"World Bank","publisher-place":"Washington, D.C.","event-place":"Washington, D.C.","author":[{"literal":"PROFOR"}],"issued":{"date-parts":[["2017"]]}}}],"schema":"https://github.com/citation-style-language/schema/raw/master/csl-citation.json"} </w:instrText>
      </w:r>
      <w:r w:rsidR="006E198D">
        <w:fldChar w:fldCharType="separate"/>
      </w:r>
      <w:r w:rsidR="006E198D" w:rsidRPr="006E198D">
        <w:rPr>
          <w:rFonts w:ascii="Calibri" w:hAnsi="Calibri" w:cs="Calibri"/>
        </w:rPr>
        <w:t>(PROFOR 2017)</w:t>
      </w:r>
      <w:r w:rsidR="006E198D">
        <w:fldChar w:fldCharType="end"/>
      </w:r>
      <w:r w:rsidR="006E198D">
        <w:t xml:space="preserve">. </w:t>
      </w:r>
      <w:r>
        <w:t>The</w:t>
      </w:r>
      <w:r w:rsidR="00F41C06">
        <w:t>se</w:t>
      </w:r>
      <w:r>
        <w:t xml:space="preserve"> findings suggest that social protection and local economic development programs should focus on the poorest areas, where forest dependence is greatest. In addition, the survey provided evidence that the timber supply value chain should be strengthened and be more inclusive in poorer villages.</w:t>
      </w:r>
    </w:p>
    <w:p w14:paraId="6F457A19" w14:textId="78B42008" w:rsidR="00D100BE" w:rsidRDefault="00EE7938" w:rsidP="005A3919">
      <w:pPr>
        <w:jc w:val="both"/>
      </w:pPr>
      <w:r>
        <w:t>Through fine-</w:t>
      </w:r>
      <w:r w:rsidRPr="00A01DFF">
        <w:t xml:space="preserve">scale, detailed data such as LSMS, Green Growth analyses can move </w:t>
      </w:r>
      <w:r w:rsidR="00F41C06">
        <w:t xml:space="preserve">toward </w:t>
      </w:r>
      <w:r w:rsidRPr="00A01DFF">
        <w:t>understanding causal relationships between economic growth and environmental impacts</w:t>
      </w:r>
      <w:r w:rsidR="00D100BE" w:rsidRPr="00A01DFF">
        <w:t>, which</w:t>
      </w:r>
      <w:r w:rsidRPr="00A01DFF">
        <w:t xml:space="preserve"> </w:t>
      </w:r>
      <w:r w:rsidR="00F41C06">
        <w:t>a</w:t>
      </w:r>
      <w:r w:rsidRPr="00A01DFF">
        <w:t xml:space="preserve"> decoupling</w:t>
      </w:r>
      <w:r w:rsidR="00F41C06">
        <w:t xml:space="preserve"> analysis</w:t>
      </w:r>
      <w:r w:rsidRPr="00A01DFF">
        <w:t xml:space="preserve"> does not provide on its own. Thus</w:t>
      </w:r>
      <w:r>
        <w:t>, the Green Growth Decoupling Tool provides an important stage in a multi-step process, with understanding underlying causes of environmental d</w:t>
      </w:r>
      <w:r w:rsidR="005426D8">
        <w:t>egradation</w:t>
      </w:r>
      <w:r>
        <w:t xml:space="preserve"> related to development as a main goal.</w:t>
      </w:r>
    </w:p>
    <w:p w14:paraId="5EFA1DC5" w14:textId="32BAD7CE" w:rsidR="00750013" w:rsidRPr="00627EE0" w:rsidRDefault="00A518C4" w:rsidP="00627EE0">
      <w:pPr>
        <w:pStyle w:val="Heading1"/>
      </w:pPr>
      <w:bookmarkStart w:id="72" w:name="_Toc508020589"/>
      <w:r w:rsidRPr="00C77A61">
        <w:t>Conclusions</w:t>
      </w:r>
      <w:bookmarkEnd w:id="72"/>
    </w:p>
    <w:p w14:paraId="28517EA8" w14:textId="18E4DC17" w:rsidR="00BB1FBB" w:rsidRPr="004F30ED" w:rsidRDefault="00C656B4" w:rsidP="00BB1FBB">
      <w:pPr>
        <w:jc w:val="both"/>
        <w:rPr>
          <w:szCs w:val="24"/>
        </w:rPr>
      </w:pPr>
      <w:r w:rsidRPr="00C656B4">
        <w:rPr>
          <w:szCs w:val="24"/>
        </w:rPr>
        <w:t xml:space="preserve">Currently, there is a </w:t>
      </w:r>
      <w:r w:rsidR="00EF21AF" w:rsidRPr="00C656B4">
        <w:rPr>
          <w:szCs w:val="24"/>
        </w:rPr>
        <w:t>push toward understanding, promoting</w:t>
      </w:r>
      <w:r w:rsidRPr="00C656B4">
        <w:rPr>
          <w:szCs w:val="24"/>
        </w:rPr>
        <w:t>,</w:t>
      </w:r>
      <w:r w:rsidR="00EF21AF" w:rsidRPr="00C656B4">
        <w:rPr>
          <w:szCs w:val="24"/>
        </w:rPr>
        <w:t xml:space="preserve"> and achieving Green Growth as a greater goal.</w:t>
      </w:r>
      <w:r w:rsidR="00BB1FBB" w:rsidRPr="00C656B4">
        <w:rPr>
          <w:szCs w:val="24"/>
        </w:rPr>
        <w:t xml:space="preserve"> New methodological tools can provide insight into both progress and shortcomings of Green Growth. </w:t>
      </w:r>
      <w:r w:rsidR="00DA1233" w:rsidRPr="00C656B4">
        <w:rPr>
          <w:szCs w:val="24"/>
        </w:rPr>
        <w:t xml:space="preserve">By providing </w:t>
      </w:r>
      <w:r w:rsidRPr="00C656B4">
        <w:rPr>
          <w:szCs w:val="24"/>
        </w:rPr>
        <w:t xml:space="preserve">empirical evidence </w:t>
      </w:r>
      <w:r>
        <w:rPr>
          <w:szCs w:val="24"/>
        </w:rPr>
        <w:t>to identify levels of decoupling, we aim to raise the level of disc</w:t>
      </w:r>
      <w:r w:rsidR="008815A6">
        <w:rPr>
          <w:szCs w:val="24"/>
        </w:rPr>
        <w:t>ourse surrounding cleaner development</w:t>
      </w:r>
      <w:r>
        <w:rPr>
          <w:szCs w:val="24"/>
        </w:rPr>
        <w:t>. The decoupling tool presented here offers a way to assess the relationship between economic growth and ecological impacts in a way that allows country and sector-specific tailoring. The flexibility of this too</w:t>
      </w:r>
      <w:r w:rsidR="004B68C1">
        <w:rPr>
          <w:szCs w:val="24"/>
        </w:rPr>
        <w:t xml:space="preserve">l is one of its major strengths, avoiding the trap of over-simplification </w:t>
      </w:r>
      <w:r w:rsidR="004B68C1" w:rsidRPr="004F30ED">
        <w:rPr>
          <w:szCs w:val="24"/>
        </w:rPr>
        <w:t>that can result from a one-size-fits-all approach.</w:t>
      </w:r>
    </w:p>
    <w:p w14:paraId="01DCA3E1" w14:textId="66D6C03C" w:rsidR="00BB1FBB" w:rsidRPr="004F30ED" w:rsidRDefault="00BB1FBB" w:rsidP="00BB1FBB">
      <w:pPr>
        <w:jc w:val="both"/>
        <w:rPr>
          <w:szCs w:val="24"/>
        </w:rPr>
      </w:pPr>
      <w:r w:rsidRPr="004F30ED">
        <w:rPr>
          <w:szCs w:val="24"/>
        </w:rPr>
        <w:t xml:space="preserve">To deploy Green Growth tools for policy action, certain data needs must be met, </w:t>
      </w:r>
      <w:r w:rsidR="00722260" w:rsidRPr="004F30ED">
        <w:rPr>
          <w:szCs w:val="24"/>
        </w:rPr>
        <w:t>and a process through which to analyze G</w:t>
      </w:r>
      <w:r w:rsidR="00586AA0" w:rsidRPr="004F30ED">
        <w:rPr>
          <w:szCs w:val="24"/>
        </w:rPr>
        <w:t>reen Growth must be adopted</w:t>
      </w:r>
      <w:r w:rsidR="00722260" w:rsidRPr="004F30ED">
        <w:rPr>
          <w:szCs w:val="24"/>
        </w:rPr>
        <w:t>.</w:t>
      </w:r>
      <w:r w:rsidR="00586AA0" w:rsidRPr="004F30ED">
        <w:rPr>
          <w:szCs w:val="24"/>
        </w:rPr>
        <w:t xml:space="preserve"> The decoupling exercise presented here offers an actionable tool with which researchers and policymakers may </w:t>
      </w:r>
      <w:r w:rsidR="004F30ED" w:rsidRPr="004F30ED">
        <w:rPr>
          <w:szCs w:val="24"/>
        </w:rPr>
        <w:t>better understand the consequences of “dirty” development and the benefits of growing more cleanly. The adoption of such a tool will also require</w:t>
      </w:r>
      <w:r w:rsidRPr="004F30ED">
        <w:rPr>
          <w:szCs w:val="24"/>
        </w:rPr>
        <w:t xml:space="preserve"> a wi</w:t>
      </w:r>
      <w:r w:rsidR="004F30ED" w:rsidRPr="004F30ED">
        <w:rPr>
          <w:szCs w:val="24"/>
        </w:rPr>
        <w:t xml:space="preserve">llingness from </w:t>
      </w:r>
      <w:r w:rsidRPr="004F30ED">
        <w:rPr>
          <w:szCs w:val="24"/>
        </w:rPr>
        <w:t>lawmakers</w:t>
      </w:r>
      <w:r w:rsidR="004F30ED" w:rsidRPr="004F30ED">
        <w:rPr>
          <w:szCs w:val="24"/>
        </w:rPr>
        <w:t xml:space="preserve"> to take action that captures necessary data and supports the use of it in a thoughtful way</w:t>
      </w:r>
      <w:r w:rsidRPr="004F30ED">
        <w:rPr>
          <w:szCs w:val="24"/>
        </w:rPr>
        <w:t>.</w:t>
      </w:r>
      <w:r w:rsidR="004F30ED">
        <w:rPr>
          <w:szCs w:val="24"/>
        </w:rPr>
        <w:t xml:space="preserve"> First actions toward the adoption of this tool should identify data needs related to surveying and economic and environmental monitoring to ensure that inputs are valid, precise, and representative.</w:t>
      </w:r>
    </w:p>
    <w:p w14:paraId="79506AEF" w14:textId="1CADF6F1" w:rsidR="00BB1FBB" w:rsidRPr="004F30ED" w:rsidRDefault="004F30ED" w:rsidP="00BB1FBB">
      <w:pPr>
        <w:jc w:val="both"/>
        <w:rPr>
          <w:szCs w:val="24"/>
        </w:rPr>
      </w:pPr>
      <w:r w:rsidRPr="004F30ED">
        <w:rPr>
          <w:szCs w:val="24"/>
        </w:rPr>
        <w:t xml:space="preserve">By adopting a common global framework for Green Growth measurement, policymakers will be better able to benchmark achievements and shortcomings related to national policies and </w:t>
      </w:r>
      <w:r w:rsidR="00BB1FBB" w:rsidRPr="004F30ED">
        <w:rPr>
          <w:szCs w:val="24"/>
        </w:rPr>
        <w:t xml:space="preserve">international agendas </w:t>
      </w:r>
      <w:r w:rsidRPr="004F30ED">
        <w:rPr>
          <w:szCs w:val="24"/>
        </w:rPr>
        <w:t>such as the</w:t>
      </w:r>
      <w:r w:rsidR="00BB1FBB" w:rsidRPr="004F30ED">
        <w:rPr>
          <w:szCs w:val="24"/>
        </w:rPr>
        <w:t xml:space="preserve"> S</w:t>
      </w:r>
      <w:r w:rsidRPr="004F30ED">
        <w:rPr>
          <w:szCs w:val="24"/>
        </w:rPr>
        <w:t xml:space="preserve">ustainable </w:t>
      </w:r>
      <w:r w:rsidR="00BB1FBB" w:rsidRPr="004F30ED">
        <w:rPr>
          <w:szCs w:val="24"/>
        </w:rPr>
        <w:t>D</w:t>
      </w:r>
      <w:r w:rsidRPr="004F30ED">
        <w:rPr>
          <w:szCs w:val="24"/>
        </w:rPr>
        <w:t xml:space="preserve">evelopment </w:t>
      </w:r>
      <w:r w:rsidR="00BB1FBB" w:rsidRPr="004F30ED">
        <w:rPr>
          <w:szCs w:val="24"/>
        </w:rPr>
        <w:t>G</w:t>
      </w:r>
      <w:r w:rsidRPr="004F30ED">
        <w:rPr>
          <w:szCs w:val="24"/>
        </w:rPr>
        <w:t>oal</w:t>
      </w:r>
      <w:r w:rsidR="00BB1FBB" w:rsidRPr="004F30ED">
        <w:rPr>
          <w:szCs w:val="24"/>
        </w:rPr>
        <w:t xml:space="preserve">s and </w:t>
      </w:r>
      <w:r w:rsidRPr="004F30ED">
        <w:rPr>
          <w:szCs w:val="24"/>
        </w:rPr>
        <w:t xml:space="preserve">the </w:t>
      </w:r>
      <w:r w:rsidR="00BB1FBB" w:rsidRPr="004F30ED">
        <w:rPr>
          <w:szCs w:val="24"/>
        </w:rPr>
        <w:t>Paris Climate Agreement</w:t>
      </w:r>
      <w:r w:rsidRPr="004F30ED">
        <w:rPr>
          <w:szCs w:val="24"/>
        </w:rPr>
        <w:t>. Internally within international organizations, Green Growth initiatives can draw upon the work of items like Systematic Country Diagnostic exercises and prove useful in bolstering these to promote cleaner development paths.</w:t>
      </w:r>
      <w:r>
        <w:rPr>
          <w:szCs w:val="24"/>
        </w:rPr>
        <w:t xml:space="preserve"> Sharing these analyses with partner countries and organizations can additionally help in </w:t>
      </w:r>
      <w:r w:rsidR="007D2935">
        <w:rPr>
          <w:szCs w:val="24"/>
        </w:rPr>
        <w:t>assessing their own growth.</w:t>
      </w:r>
    </w:p>
    <w:p w14:paraId="7A9CD6AB" w14:textId="1A2173AE" w:rsidR="00EF21AF" w:rsidRPr="00BB1FBB" w:rsidRDefault="00952CD4" w:rsidP="004C5ADA">
      <w:pPr>
        <w:jc w:val="both"/>
        <w:rPr>
          <w:b/>
          <w:szCs w:val="24"/>
        </w:rPr>
      </w:pPr>
      <w:r>
        <w:rPr>
          <w:szCs w:val="24"/>
        </w:rPr>
        <w:t>In order to achieve the ambitious goal of Green Growth, this concept must be measurable. Too often, Green Growth is preached, yet policy falls short on taking action, not for lack of political willpower, but for lack of understanding of where a country stands and what should be considered as metrics of success. The Green Growth Decoupling Tool presented here offers an opportunity to measure success and work toward improving environmental impacts of development.</w:t>
      </w:r>
    </w:p>
    <w:p w14:paraId="7B9E151C" w14:textId="0AF59D9A" w:rsidR="00EF21AF" w:rsidRDefault="00EF21AF" w:rsidP="00EF21AF">
      <w:pPr>
        <w:pStyle w:val="NormalWeb"/>
        <w:spacing w:before="240" w:beforeAutospacing="0" w:after="240" w:afterAutospacing="0" w:line="276" w:lineRule="auto"/>
        <w:jc w:val="both"/>
        <w:rPr>
          <w:rFonts w:asciiTheme="minorHAnsi" w:hAnsiTheme="minorHAnsi"/>
          <w:sz w:val="22"/>
          <w:szCs w:val="22"/>
        </w:rPr>
      </w:pPr>
    </w:p>
    <w:p w14:paraId="20313F29" w14:textId="58B762D8" w:rsidR="00414F8D" w:rsidRPr="00627EE0" w:rsidRDefault="00F97C52" w:rsidP="00627EE0">
      <w:pPr>
        <w:pStyle w:val="Heading1"/>
      </w:pPr>
      <w:bookmarkStart w:id="73" w:name="_Toc508020590"/>
      <w:r w:rsidRPr="00627EE0">
        <w:lastRenderedPageBreak/>
        <w:t>References</w:t>
      </w:r>
      <w:bookmarkEnd w:id="73"/>
    </w:p>
    <w:p w14:paraId="0B3255A0" w14:textId="77777777" w:rsidR="000D5D10" w:rsidRPr="000D5D10" w:rsidRDefault="00E718FC" w:rsidP="000D5D10">
      <w:pPr>
        <w:pStyle w:val="Bibliography"/>
        <w:rPr>
          <w:rFonts w:ascii="Calibri" w:hAnsi="Calibri" w:cs="Calibri"/>
        </w:rPr>
      </w:pPr>
      <w:r>
        <w:rPr>
          <w:rFonts w:cs="DIN-Light"/>
        </w:rPr>
        <w:fldChar w:fldCharType="begin"/>
      </w:r>
      <w:r w:rsidR="00DB3BD9">
        <w:rPr>
          <w:rFonts w:cs="DIN-Light"/>
        </w:rPr>
        <w:instrText xml:space="preserve"> ADDIN ZOTERO_BIBL {"custom":[]} CSL_BIBLIOGRAPHY </w:instrText>
      </w:r>
      <w:r>
        <w:rPr>
          <w:rFonts w:cs="DIN-Light"/>
        </w:rPr>
        <w:fldChar w:fldCharType="separate"/>
      </w:r>
      <w:r w:rsidR="000D5D10" w:rsidRPr="000D5D10">
        <w:rPr>
          <w:rFonts w:ascii="Calibri" w:hAnsi="Calibri" w:cs="Calibri"/>
        </w:rPr>
        <w:t>Baldé, K., and K. Baas. 2013. “Green Growth in the Netherlands 2012.” The Hague: Statistics Netherlands. http://library.wur.nl/WebQuery/hydrotheek/2043020.</w:t>
      </w:r>
    </w:p>
    <w:p w14:paraId="250B9293" w14:textId="77777777" w:rsidR="000D5D10" w:rsidRPr="000D5D10" w:rsidRDefault="000D5D10" w:rsidP="000D5D10">
      <w:pPr>
        <w:pStyle w:val="Bibliography"/>
        <w:rPr>
          <w:rFonts w:ascii="Calibri" w:hAnsi="Calibri" w:cs="Calibri"/>
        </w:rPr>
      </w:pPr>
      <w:r w:rsidRPr="000D5D10">
        <w:rPr>
          <w:rFonts w:ascii="Calibri" w:hAnsi="Calibri" w:cs="Calibri"/>
        </w:rPr>
        <w:t>Belli, Pedro, Jock R. Anderson, Howard N. Barnum, John A. Dixon, and Jee-Peng Tan. 2001. “Economic Analysis of Investment Operations Analytical Tools and Practical Applications.” 29821. Washington, D.C.: World Bank. http://documents.worldbank.org/curated/en/792771468323717830/Economic-analysis-of-investment-operations-analytical-tools-and-practical-applications.</w:t>
      </w:r>
    </w:p>
    <w:p w14:paraId="4802D4C3" w14:textId="77777777" w:rsidR="000D5D10" w:rsidRPr="000D5D10" w:rsidRDefault="000D5D10" w:rsidP="000D5D10">
      <w:pPr>
        <w:pStyle w:val="Bibliography"/>
        <w:rPr>
          <w:rFonts w:ascii="Calibri" w:hAnsi="Calibri" w:cs="Calibri"/>
        </w:rPr>
      </w:pPr>
      <w:r w:rsidRPr="000D5D10">
        <w:rPr>
          <w:rFonts w:ascii="Calibri" w:hAnsi="Calibri" w:cs="Calibri"/>
        </w:rPr>
        <w:t>Green Growth Knowledge Platform. 2013. “Moving towards a Common Approach on Green Growth Indicators.” Global Green Growth Institute, OECD, UNEP and The World Bank.</w:t>
      </w:r>
    </w:p>
    <w:p w14:paraId="2FA921FF" w14:textId="77777777" w:rsidR="000D5D10" w:rsidRPr="000D5D10" w:rsidRDefault="000D5D10" w:rsidP="000D5D10">
      <w:pPr>
        <w:pStyle w:val="Bibliography"/>
        <w:rPr>
          <w:rFonts w:ascii="Calibri" w:hAnsi="Calibri" w:cs="Calibri"/>
        </w:rPr>
      </w:pPr>
      <w:r w:rsidRPr="000D5D10">
        <w:rPr>
          <w:rFonts w:ascii="Calibri" w:hAnsi="Calibri" w:cs="Calibri"/>
        </w:rPr>
        <w:t xml:space="preserve">Lange, Glenn-Marie, Quentin Wodon, and Kevin Carey, eds. 2018. </w:t>
      </w:r>
      <w:r w:rsidRPr="000D5D10">
        <w:rPr>
          <w:rFonts w:ascii="Calibri" w:hAnsi="Calibri" w:cs="Calibri"/>
          <w:i/>
          <w:iCs/>
        </w:rPr>
        <w:t>The Changing Wealth of Nations 2018: Building a Sustainable Future</w:t>
      </w:r>
      <w:r w:rsidRPr="000D5D10">
        <w:rPr>
          <w:rFonts w:ascii="Calibri" w:hAnsi="Calibri" w:cs="Calibri"/>
        </w:rPr>
        <w:t>. Washington, D.C.: World Bank.</w:t>
      </w:r>
    </w:p>
    <w:p w14:paraId="0689EF5C" w14:textId="77777777" w:rsidR="000D5D10" w:rsidRPr="000D5D10" w:rsidRDefault="000D5D10" w:rsidP="000D5D10">
      <w:pPr>
        <w:pStyle w:val="Bibliography"/>
        <w:rPr>
          <w:rFonts w:ascii="Calibri" w:hAnsi="Calibri" w:cs="Calibri"/>
        </w:rPr>
      </w:pPr>
      <w:r w:rsidRPr="000D5D10">
        <w:rPr>
          <w:rFonts w:ascii="Calibri" w:hAnsi="Calibri" w:cs="Calibri"/>
        </w:rPr>
        <w:t>OECD. 2011. “Towards Green Growth: Monitoring Progress: OECD Indicators.” OECD Green Growth Studies. OECD Publishing.</w:t>
      </w:r>
    </w:p>
    <w:p w14:paraId="74B046FA" w14:textId="77777777" w:rsidR="000D5D10" w:rsidRPr="000D5D10" w:rsidRDefault="000D5D10" w:rsidP="000D5D10">
      <w:pPr>
        <w:pStyle w:val="Bibliography"/>
        <w:rPr>
          <w:rFonts w:ascii="Calibri" w:hAnsi="Calibri" w:cs="Calibri"/>
        </w:rPr>
      </w:pPr>
      <w:r w:rsidRPr="000D5D10">
        <w:rPr>
          <w:rFonts w:ascii="Calibri" w:hAnsi="Calibri" w:cs="Calibri"/>
        </w:rPr>
        <w:t>PROFOR. 2017. “Poverty, Forest Dependence and Migration in the Forest Communities of Turkey: Evidence and Policy Impact Analysis.” Washington, D.C.: World Bank.</w:t>
      </w:r>
    </w:p>
    <w:p w14:paraId="299FEB9E" w14:textId="77777777" w:rsidR="000D5D10" w:rsidRPr="000D5D10" w:rsidRDefault="000D5D10" w:rsidP="000D5D10">
      <w:pPr>
        <w:pStyle w:val="Bibliography"/>
        <w:rPr>
          <w:rFonts w:ascii="Calibri" w:hAnsi="Calibri" w:cs="Calibri"/>
        </w:rPr>
      </w:pPr>
      <w:r w:rsidRPr="000D5D10">
        <w:rPr>
          <w:rFonts w:ascii="Calibri" w:hAnsi="Calibri" w:cs="Calibri"/>
        </w:rPr>
        <w:t>UNEP. 2011a. “Decoupling Natural Resource Use and Environmental Impacts from Economic Growth.” A Report of the Working Group on Decoupling to the International Resource Panel. Fischer-Kowalski, M., Swilling, M.von Weizsäcker, E.U., Ren, Y., Moriguchi, Y., Crane, W., Krausmann, F., Eisenmenger, N., Giljum, S., Hennicke, P., Romero Lankao, P., Siriban Manalang, A.</w:t>
      </w:r>
    </w:p>
    <w:p w14:paraId="771EDD8B" w14:textId="77777777" w:rsidR="000D5D10" w:rsidRPr="000D5D10" w:rsidRDefault="000D5D10" w:rsidP="000D5D10">
      <w:pPr>
        <w:pStyle w:val="Bibliography"/>
        <w:rPr>
          <w:rFonts w:ascii="Calibri" w:hAnsi="Calibri" w:cs="Calibri"/>
        </w:rPr>
      </w:pPr>
      <w:r w:rsidRPr="000D5D10">
        <w:rPr>
          <w:rFonts w:ascii="Calibri" w:hAnsi="Calibri" w:cs="Calibri"/>
        </w:rPr>
        <w:t>———. 2011b. “Towards a Green Economy: Pathways to Sustainable Development and Poverty Eradication - A Synthesis for Policy Makers.” www.unep.org/greeneconomy.</w:t>
      </w:r>
    </w:p>
    <w:p w14:paraId="762612D5" w14:textId="77777777" w:rsidR="000D5D10" w:rsidRPr="000D5D10" w:rsidRDefault="000D5D10" w:rsidP="000D5D10">
      <w:pPr>
        <w:pStyle w:val="Bibliography"/>
        <w:rPr>
          <w:rFonts w:ascii="Calibri" w:hAnsi="Calibri" w:cs="Calibri"/>
        </w:rPr>
      </w:pPr>
      <w:r w:rsidRPr="000D5D10">
        <w:rPr>
          <w:rFonts w:ascii="Calibri" w:hAnsi="Calibri" w:cs="Calibri"/>
        </w:rPr>
        <w:t>World Bank. Forthcoming. “Romania Systematic Country Diagnostic.” Washington, D.C.</w:t>
      </w:r>
    </w:p>
    <w:p w14:paraId="2DAD609A" w14:textId="77777777" w:rsidR="000D5D10" w:rsidRPr="000D5D10" w:rsidRDefault="000D5D10" w:rsidP="000D5D10">
      <w:pPr>
        <w:pStyle w:val="Bibliography"/>
        <w:rPr>
          <w:rFonts w:ascii="Calibri" w:hAnsi="Calibri" w:cs="Calibri"/>
        </w:rPr>
      </w:pPr>
      <w:r w:rsidRPr="000D5D10">
        <w:rPr>
          <w:rFonts w:ascii="Calibri" w:hAnsi="Calibri" w:cs="Calibri"/>
        </w:rPr>
        <w:t xml:space="preserve">———. 2012. </w:t>
      </w:r>
      <w:r w:rsidRPr="000D5D10">
        <w:rPr>
          <w:rFonts w:ascii="Calibri" w:hAnsi="Calibri" w:cs="Calibri"/>
          <w:i/>
          <w:iCs/>
        </w:rPr>
        <w:t>Inclusive Green Growth : The Pathway to Sustainable Development</w:t>
      </w:r>
      <w:r w:rsidRPr="000D5D10">
        <w:rPr>
          <w:rFonts w:ascii="Calibri" w:hAnsi="Calibri" w:cs="Calibri"/>
        </w:rPr>
        <w:t>. Washington, DC. https://openknowledge.worldbank.org/handle/10986/6058.</w:t>
      </w:r>
    </w:p>
    <w:p w14:paraId="6F5FCB16" w14:textId="77777777" w:rsidR="000D5D10" w:rsidRPr="000D5D10" w:rsidRDefault="000D5D10" w:rsidP="000D5D10">
      <w:pPr>
        <w:pStyle w:val="Bibliography"/>
        <w:rPr>
          <w:rFonts w:ascii="Calibri" w:hAnsi="Calibri" w:cs="Calibri"/>
        </w:rPr>
      </w:pPr>
      <w:r w:rsidRPr="000D5D10">
        <w:rPr>
          <w:rFonts w:ascii="Calibri" w:hAnsi="Calibri" w:cs="Calibri"/>
        </w:rPr>
        <w:t>———. 2016a. “Green Growth in Latin America: Colombia. Phase 1 Diagnostic Results and Observations.”</w:t>
      </w:r>
    </w:p>
    <w:p w14:paraId="48FEEE59" w14:textId="77777777" w:rsidR="000D5D10" w:rsidRPr="000D5D10" w:rsidRDefault="000D5D10" w:rsidP="000D5D10">
      <w:pPr>
        <w:pStyle w:val="Bibliography"/>
        <w:rPr>
          <w:rFonts w:ascii="Calibri" w:hAnsi="Calibri" w:cs="Calibri"/>
        </w:rPr>
      </w:pPr>
      <w:r w:rsidRPr="000D5D10">
        <w:rPr>
          <w:rFonts w:ascii="Calibri" w:hAnsi="Calibri" w:cs="Calibri"/>
        </w:rPr>
        <w:t>———. 2016b. “Green Growth in the European Union: Bulgaria. Phase 1 Diagnostic Results and Observations.” Powerpoint.</w:t>
      </w:r>
    </w:p>
    <w:p w14:paraId="770AA0C6" w14:textId="77777777" w:rsidR="000D5D10" w:rsidRPr="000D5D10" w:rsidRDefault="000D5D10" w:rsidP="000D5D10">
      <w:pPr>
        <w:pStyle w:val="Bibliography"/>
        <w:rPr>
          <w:rFonts w:ascii="Calibri" w:hAnsi="Calibri" w:cs="Calibri"/>
        </w:rPr>
      </w:pPr>
      <w:r w:rsidRPr="000D5D10">
        <w:rPr>
          <w:rFonts w:ascii="Calibri" w:hAnsi="Calibri" w:cs="Calibri"/>
        </w:rPr>
        <w:t>———. 2016c. “Green Growth in the European Union: Croatia. Phase 1 Diagnostic Results and Observations.”</w:t>
      </w:r>
    </w:p>
    <w:p w14:paraId="6DC6C0F7" w14:textId="77777777" w:rsidR="000D5D10" w:rsidRPr="000D5D10" w:rsidRDefault="000D5D10" w:rsidP="000D5D10">
      <w:pPr>
        <w:pStyle w:val="Bibliography"/>
        <w:rPr>
          <w:rFonts w:ascii="Calibri" w:hAnsi="Calibri" w:cs="Calibri"/>
        </w:rPr>
      </w:pPr>
      <w:r w:rsidRPr="000D5D10">
        <w:rPr>
          <w:rFonts w:ascii="Calibri" w:hAnsi="Calibri" w:cs="Calibri"/>
        </w:rPr>
        <w:t>———. 2016d. “Green Growth in the European Union: Romania. Phase 1 Diagnostic Results and Observations.”</w:t>
      </w:r>
    </w:p>
    <w:p w14:paraId="7CE5B970" w14:textId="77777777" w:rsidR="000D5D10" w:rsidRPr="000D5D10" w:rsidRDefault="000D5D10" w:rsidP="000D5D10">
      <w:pPr>
        <w:pStyle w:val="Bibliography"/>
        <w:rPr>
          <w:rFonts w:ascii="Calibri" w:hAnsi="Calibri" w:cs="Calibri"/>
        </w:rPr>
      </w:pPr>
      <w:r w:rsidRPr="000D5D10">
        <w:rPr>
          <w:rFonts w:ascii="Calibri" w:hAnsi="Calibri" w:cs="Calibri"/>
        </w:rPr>
        <w:t>———. 2016e. “Green Growth in the Russian Federation. Phase 1 Diagnostic Results and Observations.”</w:t>
      </w:r>
    </w:p>
    <w:p w14:paraId="14080BAE" w14:textId="77777777" w:rsidR="000D5D10" w:rsidRPr="000D5D10" w:rsidRDefault="000D5D10" w:rsidP="000D5D10">
      <w:pPr>
        <w:pStyle w:val="Bibliography"/>
        <w:rPr>
          <w:rFonts w:ascii="Calibri" w:hAnsi="Calibri" w:cs="Calibri"/>
        </w:rPr>
      </w:pPr>
      <w:r w:rsidRPr="000D5D10">
        <w:rPr>
          <w:rFonts w:ascii="Calibri" w:hAnsi="Calibri" w:cs="Calibri"/>
        </w:rPr>
        <w:t>———. 2017a. “Poland: Toward a Strategic, Effective, and Accountable State Systematic Country Diagnostic.” Washington, D.C.</w:t>
      </w:r>
    </w:p>
    <w:p w14:paraId="13B4CDC8" w14:textId="77777777" w:rsidR="000D5D10" w:rsidRPr="000D5D10" w:rsidRDefault="000D5D10" w:rsidP="000D5D10">
      <w:pPr>
        <w:pStyle w:val="Bibliography"/>
        <w:rPr>
          <w:rFonts w:ascii="Calibri" w:hAnsi="Calibri" w:cs="Calibri"/>
        </w:rPr>
      </w:pPr>
      <w:r w:rsidRPr="000D5D10">
        <w:rPr>
          <w:rFonts w:ascii="Calibri" w:hAnsi="Calibri" w:cs="Calibri"/>
        </w:rPr>
        <w:t>———. 2017b. “The Republic of Croatia   Systematic Country Diagnostic.” Washington, D.C.</w:t>
      </w:r>
    </w:p>
    <w:p w14:paraId="1A4734A5" w14:textId="77777777" w:rsidR="000D5D10" w:rsidRPr="000D5D10" w:rsidRDefault="000D5D10" w:rsidP="000D5D10">
      <w:pPr>
        <w:pStyle w:val="Bibliography"/>
        <w:rPr>
          <w:rFonts w:ascii="Calibri" w:hAnsi="Calibri" w:cs="Calibri"/>
        </w:rPr>
      </w:pPr>
      <w:r w:rsidRPr="000D5D10">
        <w:rPr>
          <w:rFonts w:ascii="Calibri" w:hAnsi="Calibri" w:cs="Calibri"/>
        </w:rPr>
        <w:t>———. 2018. “World Development Indicators [Data].” 2018. http://data.worldbank.org/indicator/EN.ATM.CO2E.KT.</w:t>
      </w:r>
    </w:p>
    <w:p w14:paraId="406D78C7" w14:textId="50A7639F" w:rsidR="00F041C7" w:rsidRPr="00491B6E" w:rsidRDefault="00E718FC" w:rsidP="00491B6E">
      <w:pPr>
        <w:autoSpaceDE w:val="0"/>
        <w:autoSpaceDN w:val="0"/>
        <w:adjustRightInd w:val="0"/>
        <w:spacing w:after="120" w:line="240" w:lineRule="auto"/>
        <w:jc w:val="both"/>
        <w:rPr>
          <w:rFonts w:cs="DIN-Light"/>
        </w:rPr>
      </w:pPr>
      <w:r>
        <w:rPr>
          <w:rFonts w:cs="DIN-Light"/>
        </w:rPr>
        <w:fldChar w:fldCharType="end"/>
      </w:r>
    </w:p>
    <w:p w14:paraId="5EFD2FE0" w14:textId="77777777" w:rsidR="00BA70BC" w:rsidRPr="00491B6E" w:rsidRDefault="00BA70BC" w:rsidP="00491B6E">
      <w:pPr>
        <w:autoSpaceDE w:val="0"/>
        <w:autoSpaceDN w:val="0"/>
        <w:adjustRightInd w:val="0"/>
        <w:spacing w:after="120" w:line="240" w:lineRule="auto"/>
        <w:ind w:left="720" w:hanging="720"/>
        <w:jc w:val="both"/>
        <w:rPr>
          <w:b/>
        </w:rPr>
      </w:pPr>
    </w:p>
    <w:p w14:paraId="322292BF" w14:textId="77777777" w:rsidR="00BA70BC" w:rsidRPr="00491B6E" w:rsidRDefault="00BA70BC" w:rsidP="00491B6E">
      <w:pPr>
        <w:autoSpaceDE w:val="0"/>
        <w:autoSpaceDN w:val="0"/>
        <w:adjustRightInd w:val="0"/>
        <w:spacing w:after="120" w:line="240" w:lineRule="auto"/>
        <w:ind w:left="720" w:hanging="720"/>
        <w:jc w:val="both"/>
        <w:rPr>
          <w:rFonts w:cstheme="minorHAnsi"/>
          <w:b/>
        </w:rPr>
      </w:pPr>
    </w:p>
    <w:p w14:paraId="35BB425F" w14:textId="77777777" w:rsidR="00E718FC" w:rsidRDefault="00E718FC">
      <w:pPr>
        <w:rPr>
          <w:rFonts w:cstheme="minorHAnsi"/>
          <w:b/>
        </w:rPr>
      </w:pPr>
      <w:r>
        <w:rPr>
          <w:rFonts w:cstheme="minorHAnsi"/>
          <w:b/>
        </w:rPr>
        <w:br w:type="page"/>
      </w:r>
    </w:p>
    <w:p w14:paraId="0A103078" w14:textId="09FA8B21" w:rsidR="009723B4" w:rsidRDefault="009723B4" w:rsidP="005F2093">
      <w:pPr>
        <w:pStyle w:val="Heading1"/>
      </w:pPr>
      <w:bookmarkStart w:id="74" w:name="_Toc508020591"/>
      <w:r>
        <w:lastRenderedPageBreak/>
        <w:t>Appendix 1. Definitions of Economic and Green Growth Indicators</w:t>
      </w:r>
      <w:bookmarkEnd w:id="74"/>
    </w:p>
    <w:p w14:paraId="736067C3" w14:textId="6163F188" w:rsidR="009723B4" w:rsidRDefault="00627EE0" w:rsidP="009723B4">
      <w:pPr>
        <w:pStyle w:val="Heading2"/>
      </w:pPr>
      <w:bookmarkStart w:id="75" w:name="_Toc508020592"/>
      <w:r>
        <w:t>Macroe</w:t>
      </w:r>
      <w:r w:rsidR="009723B4">
        <w:t>conomic indicators</w:t>
      </w:r>
      <w:bookmarkEnd w:id="75"/>
      <w:r w:rsidR="009723B4">
        <w:t xml:space="preserve"> </w:t>
      </w:r>
    </w:p>
    <w:p w14:paraId="57E750E3" w14:textId="382F9E10" w:rsidR="009723B4" w:rsidRPr="009723B4" w:rsidRDefault="009723B4" w:rsidP="00654268">
      <w:pPr>
        <w:jc w:val="both"/>
      </w:pPr>
      <w:r>
        <w:t xml:space="preserve">Economic indicator definitions are based on the World Development Indicators </w:t>
      </w:r>
      <w:r>
        <w:fldChar w:fldCharType="begin"/>
      </w:r>
      <w:r>
        <w:instrText xml:space="preserve"> ADDIN ZOTERO_ITEM CSL_CITATION {"citationID":"pM5VIbZE","properties":{"formattedCitation":"(World Bank 2018)","plainCitation":"(World Bank 2018)"},"citationItems":[{"id":6058,"uris":["http://zotero.org/users/3805591/items/SNFWBX77"],"uri":["http://zotero.org/users/3805591/items/SNFWBX77"],"itemData":{"id":6058,"type":"webpage","title":"World Development Indicators [Data]","URL":"http://data.worldbank.org/indicator/EN.ATM.CO2E.KT","author":[{"literal":"World Bank"}],"issued":{"date-parts":[["2018"]]},"accessed":{"date-parts":[["2017",7,20]]}}}],"schema":"https://github.com/citation-style-language/schema/raw/master/csl-citation.json"} </w:instrText>
      </w:r>
      <w:r>
        <w:fldChar w:fldCharType="separate"/>
      </w:r>
      <w:r w:rsidRPr="009723B4">
        <w:rPr>
          <w:rFonts w:ascii="Calibri" w:hAnsi="Calibri" w:cs="Calibri"/>
        </w:rPr>
        <w:t>(World Bank 2018)</w:t>
      </w:r>
      <w:r>
        <w:fldChar w:fldCharType="end"/>
      </w:r>
      <w:r>
        <w:t>.</w:t>
      </w:r>
    </w:p>
    <w:p w14:paraId="767714F6" w14:textId="665F5C2F" w:rsidR="009723B4" w:rsidRDefault="009723B4" w:rsidP="00654268">
      <w:pPr>
        <w:jc w:val="both"/>
      </w:pPr>
      <w:r>
        <w:t xml:space="preserve">GDP at purchaser's prices is the sum of gross value added by all resident producers in the economy plus any product taxes and minus any subsidies not included in the value of the products.  </w:t>
      </w:r>
    </w:p>
    <w:p w14:paraId="516C076B" w14:textId="7CA94CDE" w:rsidR="009723B4" w:rsidRDefault="009723B4" w:rsidP="00654268">
      <w:pPr>
        <w:jc w:val="both"/>
      </w:pPr>
      <w:r>
        <w:t xml:space="preserve"> Employment is defined as persons of working age who were engaged in any activity to produce goods or provide services for pay or profit, whether at work during the reference period or not at work due to temporary absence from a job, or to working-time arrangement.</w:t>
      </w:r>
    </w:p>
    <w:p w14:paraId="38657CFF" w14:textId="27CADCC7" w:rsidR="009723B4" w:rsidRDefault="009723B4" w:rsidP="00654268">
      <w:pPr>
        <w:jc w:val="both"/>
      </w:pPr>
      <w:r>
        <w:t xml:space="preserve"> Household final consumption expenditure (formerly private consumption) is the market value of all goods and services, including durable products (such as cars, washing machines, and home computers), purchased by households. It excludes purchases of dwellings but includes imputed rent for owner-occupied dwellings. It also includes payments and fees to governments to obtain permits and licenses. Here, household consumption expenditure includes the expenditures of nonprofit institutions serving households, even when reported separately by the country.</w:t>
      </w:r>
    </w:p>
    <w:p w14:paraId="28791669" w14:textId="142739EA" w:rsidR="009723B4" w:rsidRDefault="009723B4" w:rsidP="00654268">
      <w:pPr>
        <w:jc w:val="both"/>
      </w:pPr>
      <w:r>
        <w:t xml:space="preserve"> General government final consumption expenditure (formerly general government consumption) includes all government current expenditures for purchases of goods and services (including compensation of employees). It also includes most expenditures on national defense and security, but excludes government military expenditures that are part of government capital formation.</w:t>
      </w:r>
    </w:p>
    <w:p w14:paraId="485D7078" w14:textId="2FED6FB9" w:rsidR="009723B4" w:rsidRDefault="009723B4" w:rsidP="00654268">
      <w:pPr>
        <w:jc w:val="both"/>
      </w:pPr>
      <w:r>
        <w:t xml:space="preserve"> Exports of goods and services represent the value of all goods and other market services provided to the rest of the world. They include the value of merchandise, freight, insurance, transport, travel, royalties, license fees, and other services, such as communication, construction, financial, information, business, personal, and government services. They exclude compensation of employees and investment income (formerly called factor services) and transfer payments.</w:t>
      </w:r>
    </w:p>
    <w:p w14:paraId="6BB8383E" w14:textId="5D39192D" w:rsidR="009723B4" w:rsidRDefault="009723B4" w:rsidP="00654268">
      <w:pPr>
        <w:jc w:val="both"/>
      </w:pPr>
      <w:r>
        <w:t xml:space="preserve"> Imports of goods and services represent the value of all goods and other market services received from the rest of the world. They include the value of merchandise, freight, insurance, transport, travel, royalties, license fees, and other services, such as communication, construction, financial, information, business, personal, and government services. They exclude compensation of employees and investment income (formerly called factor services) and transfer payments.</w:t>
      </w:r>
    </w:p>
    <w:p w14:paraId="490BB102" w14:textId="04E86B7C" w:rsidR="00BE5209" w:rsidRDefault="00D961BB" w:rsidP="00654268">
      <w:pPr>
        <w:jc w:val="both"/>
      </w:pPr>
      <w:r w:rsidRPr="00D961BB">
        <w:t>Gross capital formation consists of outlays on additions to the fixed assets of the economy plus net changes in the level of inventories. Fixed assets include land improvements (fences, ditches, drains, and so on); plant, machinery, and equipment purchases; and the construction of roads, railways, and the like, including schools, offices, hospitals, private residential dwellings, and commercial and industrial buildings.</w:t>
      </w:r>
    </w:p>
    <w:p w14:paraId="63703921" w14:textId="60CC1309" w:rsidR="00BE5209" w:rsidRDefault="007F78B6" w:rsidP="00BE5209">
      <w:pPr>
        <w:pStyle w:val="Heading2"/>
      </w:pPr>
      <w:bookmarkStart w:id="76" w:name="_Toc508020593"/>
      <w:r w:rsidRPr="007F78B6">
        <w:t>Sector</w:t>
      </w:r>
      <w:r w:rsidR="00BE5209" w:rsidRPr="007F78B6">
        <w:t>al Indicators</w:t>
      </w:r>
      <w:bookmarkEnd w:id="76"/>
    </w:p>
    <w:p w14:paraId="10031B16" w14:textId="21564817" w:rsidR="007F78B6" w:rsidRPr="007F78B6" w:rsidRDefault="007F78B6" w:rsidP="00654268">
      <w:pPr>
        <w:jc w:val="both"/>
      </w:pPr>
      <w:r>
        <w:t xml:space="preserve">Sectoral indicators </w:t>
      </w:r>
      <w:r w:rsidR="00C1122B">
        <w:t>come from Eurostat, and are defined from this database.</w:t>
      </w:r>
    </w:p>
    <w:p w14:paraId="0A69EB21" w14:textId="62CD5A08" w:rsidR="00BE5209" w:rsidRDefault="00BE5209" w:rsidP="00654268">
      <w:pPr>
        <w:jc w:val="both"/>
      </w:pPr>
      <w:r>
        <w:t>Agriculture corresponds to ISIC divisions 1-5 and includes forestry, hunting, and fishing, as well as cultivation of crops and livestock production. Value added is the net output of a sector after adding up all outputs and subtracting intermediate inputs. It is calculated without making deductions for depreciation of fabricated assets or depletion and degradation of natural resources.</w:t>
      </w:r>
    </w:p>
    <w:p w14:paraId="1C6E1147" w14:textId="6DAC4F88" w:rsidR="00BE5209" w:rsidRDefault="00BE5209" w:rsidP="00654268">
      <w:pPr>
        <w:jc w:val="both"/>
      </w:pPr>
      <w:r>
        <w:lastRenderedPageBreak/>
        <w:t>Industry corresponds to ISIC divisions 10-45 and includes manufacturing (ISIC divisions 15-37). It comprises value added in mining, manufacturing (also reported as a separate subgroup), construction, electricity, water, and gas. Value added is the net output of a sector after adding up all outputs and subtracting intermediate inputs. It is calculated without making deductions for depreciation of fabricated assets or depletion and degradation of natural resources.</w:t>
      </w:r>
    </w:p>
    <w:p w14:paraId="34F0A920" w14:textId="01D36FDA" w:rsidR="00BE5209" w:rsidRDefault="00BE5209" w:rsidP="00654268">
      <w:pPr>
        <w:jc w:val="both"/>
      </w:pPr>
      <w:r>
        <w:t>Services correspond to ISIC divisions 50-99. They include value added in wholesale and retail trade (including hotels and restaurants), transport, and government, financial, professional, and personal services such as education, health care, and real estate services. Also included are imputed bank charges, import duties, and any statistical discrepancies noted by national compilers as well as discrepancies arising from rescaling. Value added is the net output of a sector after adding up all outputs and su</w:t>
      </w:r>
      <w:r w:rsidR="006A2C19">
        <w:t>btracting intermediate inputs.</w:t>
      </w:r>
    </w:p>
    <w:p w14:paraId="2776BFC2" w14:textId="099CE3AC" w:rsidR="006A2C19" w:rsidRDefault="006A2C19" w:rsidP="00654268">
      <w:pPr>
        <w:jc w:val="both"/>
      </w:pPr>
    </w:p>
    <w:p w14:paraId="62D6FDB2" w14:textId="270723DD" w:rsidR="006A2C19" w:rsidRDefault="006A2C19" w:rsidP="00654268">
      <w:pPr>
        <w:jc w:val="both"/>
      </w:pPr>
    </w:p>
    <w:p w14:paraId="57F78C0E" w14:textId="714BE607" w:rsidR="006A2C19" w:rsidRDefault="006A2C19" w:rsidP="00654268">
      <w:pPr>
        <w:jc w:val="both"/>
      </w:pPr>
    </w:p>
    <w:p w14:paraId="07C49E0C" w14:textId="42C75CCB" w:rsidR="006A2C19" w:rsidRDefault="006A2C19" w:rsidP="00654268">
      <w:pPr>
        <w:jc w:val="both"/>
      </w:pPr>
    </w:p>
    <w:p w14:paraId="753FA6CB" w14:textId="5F47BDE7" w:rsidR="006A2C19" w:rsidRDefault="006A2C19" w:rsidP="00654268">
      <w:pPr>
        <w:jc w:val="both"/>
      </w:pPr>
    </w:p>
    <w:p w14:paraId="5E4D3775" w14:textId="206BA6D8" w:rsidR="006A2C19" w:rsidRDefault="006A2C19" w:rsidP="00654268">
      <w:pPr>
        <w:jc w:val="both"/>
      </w:pPr>
    </w:p>
    <w:p w14:paraId="5CEC7EE3" w14:textId="418B73D7" w:rsidR="006A2C19" w:rsidRDefault="006A2C19" w:rsidP="00654268">
      <w:pPr>
        <w:jc w:val="both"/>
      </w:pPr>
    </w:p>
    <w:p w14:paraId="1DE7D593" w14:textId="40A708B2" w:rsidR="006A2C19" w:rsidRDefault="006A2C19" w:rsidP="00654268">
      <w:pPr>
        <w:jc w:val="both"/>
      </w:pPr>
    </w:p>
    <w:p w14:paraId="63055B52" w14:textId="1103604A" w:rsidR="006A2C19" w:rsidRDefault="006A2C19" w:rsidP="00654268">
      <w:pPr>
        <w:jc w:val="both"/>
      </w:pPr>
    </w:p>
    <w:p w14:paraId="49919E5F" w14:textId="50EDF362" w:rsidR="006A2C19" w:rsidRDefault="006A2C19" w:rsidP="00654268">
      <w:pPr>
        <w:jc w:val="both"/>
      </w:pPr>
    </w:p>
    <w:p w14:paraId="539EE44C" w14:textId="3F472BC1" w:rsidR="006A2C19" w:rsidRDefault="006A2C19" w:rsidP="00654268">
      <w:pPr>
        <w:jc w:val="both"/>
      </w:pPr>
    </w:p>
    <w:p w14:paraId="28665CC9" w14:textId="212AC5D0" w:rsidR="006A2C19" w:rsidRDefault="006A2C19" w:rsidP="00654268">
      <w:pPr>
        <w:jc w:val="both"/>
      </w:pPr>
    </w:p>
    <w:p w14:paraId="00F38F10" w14:textId="4A1EC0DC" w:rsidR="006A2C19" w:rsidRDefault="006A2C19" w:rsidP="00654268">
      <w:pPr>
        <w:jc w:val="both"/>
      </w:pPr>
    </w:p>
    <w:p w14:paraId="18D990F0" w14:textId="0AC2D429" w:rsidR="006A2C19" w:rsidRDefault="006A2C19" w:rsidP="00654268">
      <w:pPr>
        <w:jc w:val="both"/>
      </w:pPr>
    </w:p>
    <w:p w14:paraId="6F51DB8B" w14:textId="4A7912C7" w:rsidR="006A2C19" w:rsidRDefault="006A2C19" w:rsidP="00654268">
      <w:pPr>
        <w:jc w:val="both"/>
      </w:pPr>
    </w:p>
    <w:p w14:paraId="21D2468B" w14:textId="30198441" w:rsidR="006A2C19" w:rsidRDefault="006A2C19" w:rsidP="00654268">
      <w:pPr>
        <w:jc w:val="both"/>
      </w:pPr>
    </w:p>
    <w:p w14:paraId="5DF37918" w14:textId="11A289BB" w:rsidR="006A2C19" w:rsidRDefault="006A2C19" w:rsidP="00654268">
      <w:pPr>
        <w:jc w:val="both"/>
      </w:pPr>
    </w:p>
    <w:p w14:paraId="238A9604" w14:textId="59F646DE" w:rsidR="006A2C19" w:rsidRDefault="006A2C19" w:rsidP="00654268">
      <w:pPr>
        <w:jc w:val="both"/>
      </w:pPr>
    </w:p>
    <w:p w14:paraId="580997A7" w14:textId="419DFA33" w:rsidR="006A2C19" w:rsidRDefault="006A2C19" w:rsidP="00654268">
      <w:pPr>
        <w:jc w:val="both"/>
      </w:pPr>
    </w:p>
    <w:p w14:paraId="64944739" w14:textId="0C802618" w:rsidR="006A2C19" w:rsidRDefault="006A2C19" w:rsidP="00654268">
      <w:pPr>
        <w:jc w:val="both"/>
      </w:pPr>
    </w:p>
    <w:p w14:paraId="2B421BC5" w14:textId="77777777" w:rsidR="006A2C19" w:rsidRPr="00BE5209" w:rsidRDefault="006A2C19" w:rsidP="00654268">
      <w:pPr>
        <w:jc w:val="both"/>
      </w:pPr>
    </w:p>
    <w:p w14:paraId="06159561" w14:textId="6124D55E" w:rsidR="003C5281" w:rsidRDefault="009723B4" w:rsidP="005F2093">
      <w:pPr>
        <w:pStyle w:val="Heading1"/>
      </w:pPr>
      <w:bookmarkStart w:id="77" w:name="_Toc508020594"/>
      <w:r>
        <w:lastRenderedPageBreak/>
        <w:t xml:space="preserve">Appendix 2. </w:t>
      </w:r>
      <w:r w:rsidR="005F2093">
        <w:t>Expanded Explanation of Decoupling Types</w:t>
      </w:r>
      <w:bookmarkEnd w:id="77"/>
    </w:p>
    <w:p w14:paraId="65525658" w14:textId="77777777" w:rsidR="003C5281" w:rsidRPr="00AA7FD5" w:rsidRDefault="003C5281" w:rsidP="003C5281">
      <w:pPr>
        <w:jc w:val="both"/>
        <w:rPr>
          <w:szCs w:val="24"/>
        </w:rPr>
      </w:pPr>
      <w:r w:rsidRPr="00AA7FD5">
        <w:rPr>
          <w:szCs w:val="24"/>
        </w:rPr>
        <w:t xml:space="preserve">In practice, the analysis begins </w:t>
      </w:r>
      <w:r>
        <w:rPr>
          <w:szCs w:val="24"/>
        </w:rPr>
        <w:t xml:space="preserve">by </w:t>
      </w:r>
      <w:r w:rsidRPr="00AA7FD5">
        <w:rPr>
          <w:szCs w:val="24"/>
        </w:rPr>
        <w:t>choosing a threshold level to differentiate between the types of decoupling (i.e. absolute, relative, negative and no decoupling). Below, a 5% rule is used and illustrated, but there could be others and it is up to the analyst to decide the value of the threshold that is appropriate for the problem investigated. Specifically, the various decoupling measures are calculated as follows.</w:t>
      </w:r>
    </w:p>
    <w:p w14:paraId="22C75CF1" w14:textId="77777777" w:rsidR="003C5281" w:rsidRPr="00AA7FD5" w:rsidRDefault="003C5281" w:rsidP="003C5281">
      <w:pPr>
        <w:jc w:val="both"/>
        <w:rPr>
          <w:szCs w:val="24"/>
        </w:rPr>
      </w:pPr>
      <w:r w:rsidRPr="00AA7FD5">
        <w:rPr>
          <w:szCs w:val="24"/>
        </w:rPr>
        <w:t>Absolute decoupling occurs if the rebased</w:t>
      </w:r>
      <w:r w:rsidRPr="00AA7FD5">
        <w:rPr>
          <w:rStyle w:val="FootnoteReference"/>
          <w:szCs w:val="24"/>
        </w:rPr>
        <w:footnoteReference w:id="22"/>
      </w:r>
      <w:r w:rsidRPr="00AA7FD5">
        <w:rPr>
          <w:szCs w:val="24"/>
        </w:rPr>
        <w:t xml:space="preserve"> environmental externality is lower or equal to 95% of the rebased economic indicator. For example, in Romania, the rebased GHG emissions indicator in 2010 was 83.40 compared to the base year in 2000 (=100), while the rebased GDP indicator was 152.75 compared to the base year in 2000 (=100). Since GHG emissions decreased (i.e., 83.40 &lt; 100), and GDP increased (i.e., 152.75 &gt; 100), and GHG emissions in 2010 are below 95% of GDP in 2010 (i.e. 83.40 is around 55% of 152.75), GHG emissions are said to be absolutely decoupled from GDP.</w:t>
      </w:r>
    </w:p>
    <w:p w14:paraId="55453D66" w14:textId="77777777" w:rsidR="003C5281" w:rsidRPr="00AA7FD5" w:rsidRDefault="003C5281" w:rsidP="003C5281">
      <w:pPr>
        <w:jc w:val="both"/>
        <w:rPr>
          <w:szCs w:val="24"/>
        </w:rPr>
      </w:pPr>
      <w:r w:rsidRPr="00AA7FD5">
        <w:rPr>
          <w:szCs w:val="24"/>
        </w:rPr>
        <w:t>No decoupling occurs when the rebased environmental externality is greater than or equal to 95% of the rebased economic indicator, but lower than or equal to 105% of the rebased economic indicator. For example, in Romania in 2001, rebased GHG emissions was 103.21, while rebased GDP was 105.59. Thus, no decoupling occurs between GHG emissions and GDP because GHG emissions represent 98% of GDP, which is above 95%, but below 105%.</w:t>
      </w:r>
    </w:p>
    <w:p w14:paraId="5C516691" w14:textId="77777777" w:rsidR="003C5281" w:rsidRPr="00AA7FD5" w:rsidRDefault="003C5281" w:rsidP="003C5281">
      <w:pPr>
        <w:jc w:val="both"/>
        <w:rPr>
          <w:szCs w:val="24"/>
        </w:rPr>
      </w:pPr>
      <w:r w:rsidRPr="00AA7FD5">
        <w:rPr>
          <w:szCs w:val="24"/>
        </w:rPr>
        <w:t>Negative decoupling occurs when the rebased environmental externality is greater than 105% of the rebased economic indicator. For example, in Romania in 2007, rebased water abstraction in agriculture was 116.91, while rebased Economic Added Value (EVA) of the sector was 109.79. Since water abstraction is around 106% of the EVA for that year, the indicators are considered negatively decoupled.</w:t>
      </w:r>
    </w:p>
    <w:p w14:paraId="39D8B3D3" w14:textId="77777777" w:rsidR="003C5281" w:rsidRPr="00AA7FD5" w:rsidRDefault="003C5281" w:rsidP="003C5281">
      <w:pPr>
        <w:jc w:val="both"/>
        <w:rPr>
          <w:szCs w:val="24"/>
        </w:rPr>
      </w:pPr>
      <w:r w:rsidRPr="00AA7FD5">
        <w:rPr>
          <w:szCs w:val="24"/>
        </w:rPr>
        <w:t>Finally, relative decoupling encompasses all the remaining possibilities. For example, Romanian rebased GHG emissions in 2006 were 105.33, while the GDP was 142.95. Because GHG emissions are greater than the base year level (i.e. 105.33 &gt; 100), absolute decoupling is not possible. Furthermore, GHG emissions in 2007 are less than 95% of GDP (i.e. 105.33 is approximately 73% of 142.95), thus ``no decoupling’’ is not possible. Also, negative decoupling is excluded because the rebased GHG emissions indicator is lower than the rebased GDP indicator (i.e., 105.33 &lt; 142.95). Thus for 2007, GHG emissions were relatively decoupled from GDP.</w:t>
      </w:r>
    </w:p>
    <w:p w14:paraId="3D0299D5" w14:textId="35AA2A72" w:rsidR="003C5281" w:rsidRDefault="003C5281" w:rsidP="006A2C19">
      <w:pPr>
        <w:autoSpaceDE w:val="0"/>
        <w:autoSpaceDN w:val="0"/>
        <w:adjustRightInd w:val="0"/>
        <w:spacing w:after="120" w:line="240" w:lineRule="auto"/>
        <w:ind w:left="720" w:hanging="720"/>
        <w:rPr>
          <w:rFonts w:cstheme="minorHAnsi"/>
          <w:b/>
        </w:rPr>
      </w:pPr>
    </w:p>
    <w:p w14:paraId="5C2B1CCC" w14:textId="4AA997BF" w:rsidR="006A2C19" w:rsidRDefault="006A2C19" w:rsidP="006A2C19">
      <w:pPr>
        <w:autoSpaceDE w:val="0"/>
        <w:autoSpaceDN w:val="0"/>
        <w:adjustRightInd w:val="0"/>
        <w:spacing w:after="120" w:line="240" w:lineRule="auto"/>
        <w:ind w:left="720" w:hanging="720"/>
        <w:rPr>
          <w:rFonts w:cstheme="minorHAnsi"/>
          <w:b/>
        </w:rPr>
      </w:pPr>
    </w:p>
    <w:p w14:paraId="672F630F" w14:textId="7701128D" w:rsidR="006A2C19" w:rsidRDefault="006A2C19" w:rsidP="006A2C19">
      <w:pPr>
        <w:autoSpaceDE w:val="0"/>
        <w:autoSpaceDN w:val="0"/>
        <w:adjustRightInd w:val="0"/>
        <w:spacing w:after="120" w:line="240" w:lineRule="auto"/>
        <w:ind w:left="720" w:hanging="720"/>
        <w:rPr>
          <w:rFonts w:cstheme="minorHAnsi"/>
          <w:b/>
        </w:rPr>
      </w:pPr>
    </w:p>
    <w:p w14:paraId="7F319731" w14:textId="3C1EA4D3" w:rsidR="006A2C19" w:rsidRDefault="006A2C19" w:rsidP="006A2C19">
      <w:pPr>
        <w:autoSpaceDE w:val="0"/>
        <w:autoSpaceDN w:val="0"/>
        <w:adjustRightInd w:val="0"/>
        <w:spacing w:after="120" w:line="240" w:lineRule="auto"/>
        <w:ind w:left="720" w:hanging="720"/>
        <w:rPr>
          <w:rFonts w:cstheme="minorHAnsi"/>
          <w:b/>
        </w:rPr>
      </w:pPr>
    </w:p>
    <w:p w14:paraId="7EA5FEDA" w14:textId="77777777" w:rsidR="006A2C19" w:rsidRDefault="006A2C19" w:rsidP="006A2C19">
      <w:pPr>
        <w:autoSpaceDE w:val="0"/>
        <w:autoSpaceDN w:val="0"/>
        <w:adjustRightInd w:val="0"/>
        <w:spacing w:after="120" w:line="240" w:lineRule="auto"/>
        <w:ind w:left="720" w:hanging="720"/>
        <w:rPr>
          <w:rFonts w:cstheme="minorHAnsi"/>
          <w:b/>
        </w:rPr>
      </w:pPr>
    </w:p>
    <w:p w14:paraId="40A85D98" w14:textId="04EDCE01" w:rsidR="00F2169A" w:rsidRPr="00336123" w:rsidRDefault="009723B4" w:rsidP="00336123">
      <w:pPr>
        <w:pStyle w:val="Heading1"/>
      </w:pPr>
      <w:bookmarkStart w:id="78" w:name="_Toc508020595"/>
      <w:r>
        <w:lastRenderedPageBreak/>
        <w:t>Appendix 3</w:t>
      </w:r>
      <w:r w:rsidR="003C5281">
        <w:t xml:space="preserve">. </w:t>
      </w:r>
      <w:r w:rsidR="00290243" w:rsidRPr="00491B6E">
        <w:t>Comparison between Decoupling Measures and Intensity Approach</w:t>
      </w:r>
      <w:bookmarkEnd w:id="78"/>
    </w:p>
    <w:p w14:paraId="6799A64A" w14:textId="33270908" w:rsidR="00532801" w:rsidRPr="00491B6E" w:rsidRDefault="00532801" w:rsidP="008368D1">
      <w:pPr>
        <w:jc w:val="both"/>
        <w:rPr>
          <w:rFonts w:cstheme="minorHAnsi"/>
        </w:rPr>
      </w:pPr>
      <w:r w:rsidRPr="00491B6E">
        <w:rPr>
          <w:rFonts w:cstheme="minorHAnsi"/>
        </w:rPr>
        <w:t xml:space="preserve">The purpose of this Appendix is to provide a comparison between various decoupling measures (i.e., absolute, relative, negative and no decoupling) and the intensity approach introduced above. </w:t>
      </w:r>
      <w:r w:rsidR="00780B49" w:rsidRPr="00491B6E">
        <w:rPr>
          <w:rFonts w:cstheme="minorHAnsi"/>
        </w:rPr>
        <w:t xml:space="preserve"> Fundamentally, the decoupling measures and the intensity approach provide the same information, but in a slightly different form.</w:t>
      </w:r>
    </w:p>
    <w:p w14:paraId="1F322484" w14:textId="21DD5770" w:rsidR="00290243" w:rsidRPr="00885FE9" w:rsidRDefault="00F2169A" w:rsidP="008368D1">
      <w:pPr>
        <w:jc w:val="both"/>
        <w:rPr>
          <w:rFonts w:cstheme="minorHAnsi"/>
        </w:rPr>
      </w:pPr>
      <w:r w:rsidRPr="00885FE9">
        <w:rPr>
          <w:rFonts w:cstheme="minorHAnsi"/>
        </w:rPr>
        <w:t>Before proceeding</w:t>
      </w:r>
      <w:r w:rsidR="00885FE9" w:rsidRPr="00885FE9">
        <w:rPr>
          <w:rFonts w:cstheme="minorHAnsi"/>
        </w:rPr>
        <w:t>,</w:t>
      </w:r>
      <w:r w:rsidRPr="00885FE9">
        <w:rPr>
          <w:rFonts w:cstheme="minorHAnsi"/>
        </w:rPr>
        <w:t xml:space="preserve"> some preliminary notation is </w:t>
      </w:r>
      <w:r w:rsidR="00532801" w:rsidRPr="00885FE9">
        <w:rPr>
          <w:rFonts w:cstheme="minorHAnsi"/>
        </w:rPr>
        <w:t>required</w:t>
      </w:r>
      <w:r w:rsidRPr="00885FE9">
        <w:rPr>
          <w:rFonts w:cstheme="minorHAnsi"/>
        </w:rPr>
        <w:t>. The building blocks of both concepts are the economic indicators (i.e., GDP, Economic Value Added, Employment, etc.) and environmental indicators (i.e., greenhouse gas emission</w:t>
      </w:r>
      <w:r w:rsidR="00885FE9" w:rsidRPr="00885FE9">
        <w:rPr>
          <w:rFonts w:cstheme="minorHAnsi"/>
        </w:rPr>
        <w:t>s</w:t>
      </w:r>
      <w:r w:rsidRPr="00885FE9">
        <w:rPr>
          <w:rFonts w:cstheme="minorHAnsi"/>
        </w:rPr>
        <w:t>, SO</w:t>
      </w:r>
      <w:r w:rsidRPr="00885FE9">
        <w:rPr>
          <w:rFonts w:cstheme="minorHAnsi"/>
          <w:vertAlign w:val="subscript"/>
        </w:rPr>
        <w:t>x</w:t>
      </w:r>
      <w:r w:rsidRPr="00885FE9">
        <w:rPr>
          <w:rFonts w:cstheme="minorHAnsi"/>
        </w:rPr>
        <w:t xml:space="preserve"> , NO</w:t>
      </w:r>
      <w:r w:rsidRPr="00885FE9">
        <w:rPr>
          <w:rFonts w:cstheme="minorHAnsi"/>
          <w:vertAlign w:val="subscript"/>
        </w:rPr>
        <w:t>x</w:t>
      </w:r>
      <w:r w:rsidRPr="00885FE9">
        <w:rPr>
          <w:rFonts w:cstheme="minorHAnsi"/>
        </w:rPr>
        <w:t xml:space="preserve"> , PM</w:t>
      </w:r>
      <w:r w:rsidRPr="00885FE9">
        <w:rPr>
          <w:rFonts w:cstheme="minorHAnsi"/>
          <w:vertAlign w:val="subscript"/>
        </w:rPr>
        <w:t xml:space="preserve">x , </w:t>
      </w:r>
      <w:r w:rsidRPr="00885FE9">
        <w:rPr>
          <w:rFonts w:cstheme="minorHAnsi"/>
        </w:rPr>
        <w:t xml:space="preserve">etc.). Denote the economic indicator in the base year and the economic indicator in any year following the base year </w:t>
      </w:r>
      <w:r w:rsidR="00885FE9" w:rsidRPr="00885FE9">
        <w:rPr>
          <w:rFonts w:cstheme="minorHAnsi"/>
        </w:rPr>
        <w:t xml:space="preserve">as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b</m:t>
            </m:r>
          </m:sub>
        </m:sSub>
      </m:oMath>
      <w:r w:rsidR="00885FE9" w:rsidRPr="00885FE9">
        <w:rPr>
          <w:rFonts w:eastAsiaTheme="minorEastAsia" w:cstheme="minorHAnsi"/>
        </w:rPr>
        <w:t xml:space="preserve"> </w:t>
      </w:r>
      <w:r w:rsidR="008368D1" w:rsidRPr="00885FE9">
        <w:rPr>
          <w:rFonts w:cstheme="minorHAnsi"/>
        </w:rPr>
        <w:t>and</w:t>
      </w:r>
      <m:oMath>
        <m:sSub>
          <m:sSubPr>
            <m:ctrlPr>
              <w:rPr>
                <w:rFonts w:ascii="Cambria Math" w:hAnsi="Cambria Math" w:cstheme="minorHAnsi"/>
                <w:i/>
              </w:rPr>
            </m:ctrlPr>
          </m:sSubPr>
          <m:e>
            <m:r>
              <w:rPr>
                <w:rFonts w:ascii="Cambria Math" w:hAnsi="Cambria Math" w:cstheme="minorHAnsi"/>
              </w:rPr>
              <m:t xml:space="preserve"> E</m:t>
            </m:r>
          </m:e>
          <m:sub>
            <m:r>
              <w:rPr>
                <w:rFonts w:ascii="Cambria Math" w:hAnsi="Cambria Math" w:cstheme="minorHAnsi"/>
              </w:rPr>
              <m:t>t</m:t>
            </m:r>
          </m:sub>
        </m:sSub>
      </m:oMath>
      <w:r w:rsidR="008368D1" w:rsidRPr="00885FE9">
        <w:rPr>
          <w:rFonts w:cstheme="minorHAnsi"/>
        </w:rPr>
        <w:t>,</w:t>
      </w:r>
      <w:r w:rsidRPr="00885FE9">
        <w:rPr>
          <w:rFonts w:cstheme="minorHAnsi"/>
        </w:rPr>
        <w:t xml:space="preserve"> respectively. Clearly, </w:t>
      </w:r>
      <m:oMath>
        <m:r>
          <w:rPr>
            <w:rFonts w:ascii="Cambria Math" w:hAnsi="Cambria Math" w:cstheme="minorHAnsi"/>
          </w:rPr>
          <m:t>t≥b</m:t>
        </m:r>
      </m:oMath>
      <w:r w:rsidRPr="00885FE9">
        <w:rPr>
          <w:rFonts w:cstheme="minorHAnsi"/>
        </w:rPr>
        <w:t xml:space="preserve">. Similarly, denote the pollutant (i.e., environmental indicator) </w:t>
      </w:r>
      <w:r w:rsidR="008368D1" w:rsidRPr="00885FE9">
        <w:rPr>
          <w:rFonts w:cstheme="minorHAnsi"/>
        </w:rPr>
        <w:t xml:space="preserve">by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b</m:t>
            </m:r>
          </m:sub>
        </m:sSub>
        <m:r>
          <w:rPr>
            <w:rFonts w:ascii="Cambria Math" w:hAnsi="Cambria Math" w:cstheme="minorHAnsi"/>
          </w:rPr>
          <m:t xml:space="preserve"> </m:t>
        </m:r>
      </m:oMath>
      <w:r w:rsidR="008368D1" w:rsidRPr="00885FE9">
        <w:rPr>
          <w:rFonts w:cstheme="minorHAnsi"/>
        </w:rPr>
        <w:t>and</w:t>
      </w:r>
      <m:oMath>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t</m:t>
            </m:r>
          </m:sub>
        </m:sSub>
      </m:oMath>
      <w:r w:rsidRPr="00885FE9">
        <w:rPr>
          <w:rFonts w:cstheme="minorHAnsi"/>
        </w:rPr>
        <w:t>, respectively.</w:t>
      </w:r>
    </w:p>
    <w:p w14:paraId="3D55ADAD" w14:textId="000E6F46" w:rsidR="009134DB" w:rsidRPr="00885FE9" w:rsidRDefault="009134DB" w:rsidP="008368D1">
      <w:pPr>
        <w:jc w:val="both"/>
        <w:rPr>
          <w:rFonts w:cstheme="minorHAnsi"/>
        </w:rPr>
      </w:pPr>
      <w:r w:rsidRPr="00885FE9">
        <w:rPr>
          <w:rFonts w:cstheme="minorHAnsi"/>
        </w:rPr>
        <w:t>By definition, the intensity at time</w:t>
      </w:r>
      <m:oMath>
        <m:r>
          <w:rPr>
            <w:rFonts w:ascii="Cambria Math" w:hAnsi="Cambria Math" w:cstheme="minorHAnsi"/>
          </w:rPr>
          <m:t xml:space="preserve"> t</m:t>
        </m:r>
      </m:oMath>
      <w:r w:rsidRPr="00885FE9">
        <w:rPr>
          <w:rFonts w:eastAsiaTheme="minorEastAsia" w:cstheme="minorHAnsi"/>
        </w:rPr>
        <w:t>,</w:t>
      </w:r>
      <m:oMath>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I</m:t>
            </m:r>
          </m:e>
          <m:sub>
            <m:r>
              <w:rPr>
                <w:rFonts w:ascii="Cambria Math" w:eastAsiaTheme="minorEastAsia" w:hAnsi="Cambria Math" w:cstheme="minorHAnsi"/>
              </w:rPr>
              <m:t>t</m:t>
            </m:r>
          </m:sub>
        </m:sSub>
      </m:oMath>
      <w:r w:rsidR="00885FE9">
        <w:rPr>
          <w:rFonts w:eastAsiaTheme="minorEastAsia" w:cstheme="minorHAnsi"/>
        </w:rPr>
        <w:t>, is calculated as:</w:t>
      </w:r>
    </w:p>
    <w:p w14:paraId="16685AF7" w14:textId="58C9E1C3" w:rsidR="009134DB" w:rsidRPr="00885FE9" w:rsidRDefault="00654382" w:rsidP="009134DB">
      <w:pPr>
        <w:autoSpaceDE w:val="0"/>
        <w:autoSpaceDN w:val="0"/>
        <w:adjustRightInd w:val="0"/>
        <w:spacing w:after="120" w:line="240" w:lineRule="auto"/>
        <w:ind w:left="720" w:hanging="720"/>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I</m:t>
              </m:r>
            </m:e>
            <m:sub>
              <m:r>
                <w:rPr>
                  <w:rFonts w:ascii="Cambria Math" w:eastAsiaTheme="minorEastAsia" w:hAnsi="Cambria Math" w:cstheme="minorHAnsi"/>
                </w:rPr>
                <m:t>t</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t</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t</m:t>
                  </m:r>
                </m:sub>
              </m:sSub>
            </m:den>
          </m:f>
        </m:oMath>
      </m:oMathPara>
    </w:p>
    <w:p w14:paraId="3C76757F" w14:textId="1863F123" w:rsidR="009134DB" w:rsidRPr="00885FE9" w:rsidRDefault="009134DB" w:rsidP="009134DB">
      <w:pPr>
        <w:autoSpaceDE w:val="0"/>
        <w:autoSpaceDN w:val="0"/>
        <w:adjustRightInd w:val="0"/>
        <w:spacing w:after="120" w:line="240" w:lineRule="auto"/>
        <w:ind w:left="720" w:hanging="720"/>
        <w:rPr>
          <w:rFonts w:cstheme="minorHAnsi"/>
        </w:rPr>
      </w:pPr>
      <w:r w:rsidRPr="00885FE9">
        <w:rPr>
          <w:rFonts w:cstheme="minorHAnsi"/>
        </w:rPr>
        <w:t>and</w:t>
      </w:r>
      <w:r w:rsidR="00885FE9">
        <w:rPr>
          <w:rFonts w:cstheme="minorHAnsi"/>
        </w:rPr>
        <w:t xml:space="preserve"> the change in the intensity is:</w:t>
      </w:r>
    </w:p>
    <w:p w14:paraId="5CFE64C8" w14:textId="68FC9DE2" w:rsidR="009134DB" w:rsidRPr="00885FE9" w:rsidRDefault="00654382" w:rsidP="009134DB">
      <w:pPr>
        <w:autoSpaceDE w:val="0"/>
        <w:autoSpaceDN w:val="0"/>
        <w:adjustRightInd w:val="0"/>
        <w:spacing w:after="120" w:line="240" w:lineRule="auto"/>
        <w:ind w:left="720" w:hanging="720"/>
        <w:rPr>
          <w:rFonts w:cstheme="minorHAnsi"/>
        </w:rPr>
      </w:pPr>
      <m:oMathPara>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b</m:t>
                  </m:r>
                </m:sub>
              </m:sSub>
            </m:num>
            <m:den>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b</m:t>
                  </m:r>
                </m:sub>
              </m:sSub>
            </m:den>
          </m:f>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t</m:t>
                  </m:r>
                </m:sub>
              </m:sSub>
            </m:num>
            <m:den>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b</m:t>
                  </m:r>
                </m:sub>
              </m:sSub>
            </m:den>
          </m:f>
          <m:r>
            <w:rPr>
              <w:rFonts w:ascii="Cambria Math" w:hAnsi="Cambria Math" w:cstheme="minorHAnsi"/>
            </w:rPr>
            <m:t>-1=</m:t>
          </m:r>
          <m:f>
            <m:fPr>
              <m:ctrlPr>
                <w:rPr>
                  <w:rFonts w:ascii="Cambria Math" w:hAnsi="Cambria Math" w:cstheme="minorHAnsi"/>
                  <w:i/>
                </w:rPr>
              </m:ctrlPr>
            </m:fPr>
            <m:num>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t</m:t>
                      </m:r>
                    </m:sub>
                  </m:sSub>
                </m:num>
                <m:den>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t</m:t>
                      </m:r>
                    </m:sub>
                  </m:sSub>
                </m:den>
              </m:f>
            </m:num>
            <m:den>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b</m:t>
                      </m:r>
                    </m:sub>
                  </m:sSub>
                </m:num>
                <m:den>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b</m:t>
                      </m:r>
                    </m:sub>
                  </m:sSub>
                </m:den>
              </m:f>
            </m:den>
          </m:f>
          <m:r>
            <w:rPr>
              <w:rFonts w:ascii="Cambria Math" w:hAnsi="Cambria Math" w:cstheme="minorHAnsi"/>
            </w:rPr>
            <m:t>-1=</m:t>
          </m:r>
          <m:f>
            <m:fPr>
              <m:ctrlPr>
                <w:rPr>
                  <w:rFonts w:ascii="Cambria Math" w:hAnsi="Cambria Math" w:cstheme="minorHAnsi"/>
                  <w:i/>
                </w:rPr>
              </m:ctrlPr>
            </m:fPr>
            <m:num>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t</m:t>
                      </m:r>
                    </m:sub>
                  </m:sSub>
                </m:num>
                <m:den>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b</m:t>
                      </m:r>
                    </m:sub>
                  </m:sSub>
                </m:den>
              </m:f>
            </m:num>
            <m:den>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t</m:t>
                      </m:r>
                    </m:sub>
                  </m:sSub>
                </m:num>
                <m:den>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b</m:t>
                      </m:r>
                    </m:sub>
                  </m:sSub>
                </m:den>
              </m:f>
            </m:den>
          </m:f>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r>
            <w:rPr>
              <w:rFonts w:ascii="Cambria Math" w:hAnsi="Cambria Math" w:cstheme="minorHAnsi"/>
            </w:rPr>
            <m:t>-1</m:t>
          </m:r>
        </m:oMath>
      </m:oMathPara>
    </w:p>
    <w:p w14:paraId="48DA14BA" w14:textId="5BE969B8" w:rsidR="009134DB" w:rsidRDefault="009134DB" w:rsidP="009134DB">
      <w:pPr>
        <w:jc w:val="both"/>
        <w:rPr>
          <w:rFonts w:eastAsiaTheme="minorEastAsia" w:cstheme="minorHAnsi"/>
        </w:rPr>
      </w:pPr>
      <w:r w:rsidRPr="00885FE9">
        <w:rPr>
          <w:rFonts w:cstheme="minorHAnsi"/>
        </w:rPr>
        <w:t xml:space="preserve">Where </w:t>
      </w:r>
      <m:oMath>
        <m:r>
          <w:rPr>
            <w:rFonts w:ascii="Cambria Math" w:hAnsi="Cambria Math" w:cstheme="minorHAnsi"/>
          </w:rPr>
          <m:t xml:space="preserve"> B</m:t>
        </m:r>
      </m:oMath>
      <w:r w:rsidRPr="00885FE9">
        <w:rPr>
          <w:rFonts w:eastAsiaTheme="minorEastAsia" w:cstheme="minorHAnsi"/>
        </w:rPr>
        <w:t xml:space="preserve"> and </w:t>
      </w:r>
      <m:oMath>
        <m:r>
          <w:rPr>
            <w:rFonts w:ascii="Cambria Math" w:eastAsiaTheme="minorEastAsia" w:hAnsi="Cambria Math" w:cstheme="minorHAnsi"/>
          </w:rPr>
          <m:t xml:space="preserve"> A</m:t>
        </m:r>
      </m:oMath>
      <w:r w:rsidRPr="00885FE9">
        <w:rPr>
          <w:rFonts w:eastAsiaTheme="minorEastAsia" w:cstheme="minorHAnsi"/>
        </w:rPr>
        <w:t xml:space="preserve"> represent the rebased environmental indicator and the rebased economic indicator, respectively. The notation </w:t>
      </w:r>
      <m:oMath>
        <m:r>
          <w:rPr>
            <w:rFonts w:ascii="Cambria Math" w:hAnsi="Cambria Math" w:cstheme="minorHAnsi"/>
          </w:rPr>
          <m:t>B</m:t>
        </m:r>
      </m:oMath>
      <w:r w:rsidRPr="00885FE9">
        <w:rPr>
          <w:rFonts w:eastAsiaTheme="minorEastAsia" w:cstheme="minorHAnsi"/>
        </w:rPr>
        <w:t xml:space="preserve"> and </w:t>
      </w:r>
      <m:oMath>
        <m:r>
          <w:rPr>
            <w:rFonts w:ascii="Cambria Math" w:eastAsiaTheme="minorEastAsia" w:hAnsi="Cambria Math" w:cstheme="minorHAnsi"/>
          </w:rPr>
          <m:t xml:space="preserve"> A</m:t>
        </m:r>
      </m:oMath>
      <w:r w:rsidRPr="00885FE9">
        <w:rPr>
          <w:rFonts w:eastAsiaTheme="minorEastAsia" w:cstheme="minorHAnsi"/>
        </w:rPr>
        <w:t xml:space="preserve"> was chosen to be consistent with the notation used in the Excel Decoupling Tool. The various types of decoupling are defined in terms of the values B/A takes within certain intervals. For example, </w:t>
      </w:r>
      <w:r w:rsidR="00177C0C" w:rsidRPr="00885FE9">
        <w:rPr>
          <w:rFonts w:eastAsiaTheme="minorEastAsia" w:cstheme="minorHAnsi"/>
        </w:rPr>
        <w:t xml:space="preserve">absolute decoupling is defined by the following three conditions: 1) </w:t>
      </w:r>
      <w:r w:rsidRPr="00885FE9">
        <w:rPr>
          <w:rFonts w:eastAsiaTheme="minorEastAsia" w:cstheme="minorHAnsi"/>
        </w:rPr>
        <w:t xml:space="preserve">if </w:t>
      </w:r>
      <m:oMath>
        <m:f>
          <m:fPr>
            <m:ctrlPr>
              <w:rPr>
                <w:rFonts w:ascii="Cambria Math" w:eastAsiaTheme="minorEastAsia" w:hAnsi="Cambria Math" w:cstheme="minorHAnsi"/>
                <w:i/>
              </w:rPr>
            </m:ctrlPr>
          </m:fPr>
          <m:num>
            <m:r>
              <w:rPr>
                <w:rFonts w:ascii="Cambria Math" w:eastAsiaTheme="minorEastAsia" w:hAnsi="Cambria Math" w:cstheme="minorHAnsi"/>
              </w:rPr>
              <m:t>B</m:t>
            </m:r>
          </m:num>
          <m:den>
            <m:r>
              <w:rPr>
                <w:rFonts w:ascii="Cambria Math" w:eastAsiaTheme="minorEastAsia" w:hAnsi="Cambria Math" w:cstheme="minorHAnsi"/>
              </w:rPr>
              <m:t>A</m:t>
            </m:r>
          </m:den>
        </m:f>
        <m:r>
          <w:rPr>
            <w:rFonts w:ascii="Cambria Math" w:eastAsiaTheme="minorEastAsia" w:hAnsi="Cambria Math" w:cstheme="minorHAnsi"/>
          </w:rPr>
          <m:t>≤95%</m:t>
        </m:r>
      </m:oMath>
      <w:r w:rsidR="00177C0C" w:rsidRPr="00885FE9">
        <w:rPr>
          <w:rFonts w:eastAsiaTheme="minorEastAsia" w:cstheme="minorHAnsi"/>
        </w:rPr>
        <w:t xml:space="preserve"> (i.e. </w:t>
      </w:r>
      <m:oMath>
        <m:r>
          <w:rPr>
            <w:rFonts w:ascii="Cambria Math" w:eastAsiaTheme="minorEastAsia" w:hAnsi="Cambria Math" w:cstheme="minorHAnsi"/>
          </w:rPr>
          <m:t>B≤95%A</m:t>
        </m:r>
      </m:oMath>
      <w:r w:rsidR="00177C0C" w:rsidRPr="00885FE9">
        <w:rPr>
          <w:rFonts w:eastAsiaTheme="minorEastAsia" w:cstheme="minorHAnsi"/>
        </w:rPr>
        <w:t xml:space="preserve">), 2)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t</m:t>
            </m:r>
          </m:sub>
        </m:sSub>
        <m:r>
          <w:rPr>
            <w:rFonts w:ascii="Cambria Math" w:eastAsiaTheme="minorEastAsia" w:hAnsi="Cambria Math" w:cstheme="minorHAnsi"/>
          </w:rPr>
          <m:t>&lt;</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b</m:t>
            </m:r>
          </m:sub>
        </m:sSub>
      </m:oMath>
      <w:r w:rsidR="00177C0C" w:rsidRPr="00885FE9">
        <w:rPr>
          <w:rFonts w:eastAsiaTheme="minorEastAsia" w:cstheme="minorHAnsi"/>
        </w:rPr>
        <w:t xml:space="preserve">, and 3) </w:t>
      </w:r>
      <m:oMath>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t</m:t>
            </m:r>
          </m:sub>
        </m:sSub>
        <m:r>
          <w:rPr>
            <w:rFonts w:ascii="Cambria Math" w:eastAsiaTheme="minorEastAsia" w:hAnsi="Cambria Math" w:cstheme="minorHAnsi"/>
          </w:rPr>
          <m:t>&gt;</m:t>
        </m:r>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b</m:t>
            </m:r>
          </m:sub>
        </m:sSub>
      </m:oMath>
      <w:r w:rsidR="00177C0C" w:rsidRPr="00885FE9">
        <w:rPr>
          <w:rFonts w:eastAsiaTheme="minorEastAsia" w:cstheme="minorHAnsi"/>
        </w:rPr>
        <w:t>.</w:t>
      </w:r>
      <w:r w:rsidR="00BA70BC" w:rsidRPr="00885FE9">
        <w:rPr>
          <w:rFonts w:eastAsiaTheme="minorEastAsia" w:cstheme="minorHAnsi"/>
        </w:rPr>
        <w:t xml:space="preserve"> Thus, both approaches (i.e., decoupling and intensity) </w:t>
      </w:r>
      <w:r w:rsidR="00885FE9" w:rsidRPr="00885FE9">
        <w:rPr>
          <w:rFonts w:eastAsiaTheme="minorEastAsia" w:cstheme="minorHAnsi"/>
        </w:rPr>
        <w:t>present t</w:t>
      </w:r>
      <w:r w:rsidR="00BA70BC" w:rsidRPr="00885FE9">
        <w:rPr>
          <w:rFonts w:eastAsiaTheme="minorEastAsia" w:cstheme="minorHAnsi"/>
        </w:rPr>
        <w:t xml:space="preserve">he </w:t>
      </w:r>
      <w:r w:rsidR="00885FE9" w:rsidRPr="00885FE9">
        <w:rPr>
          <w:rFonts w:eastAsiaTheme="minorEastAsia" w:cstheme="minorHAnsi"/>
        </w:rPr>
        <w:t xml:space="preserve">same </w:t>
      </w:r>
      <w:r w:rsidR="00BA70BC" w:rsidRPr="00885FE9">
        <w:rPr>
          <w:rFonts w:eastAsiaTheme="minorEastAsia" w:cstheme="minorHAnsi"/>
        </w:rPr>
        <w:t xml:space="preserve">information regarding economic and environmental trends, albeit </w:t>
      </w:r>
      <w:r w:rsidR="00020625" w:rsidRPr="00885FE9">
        <w:rPr>
          <w:rFonts w:eastAsiaTheme="minorEastAsia" w:cstheme="minorHAnsi"/>
        </w:rPr>
        <w:t>in different</w:t>
      </w:r>
      <w:r w:rsidR="00BA70BC" w:rsidRPr="00885FE9">
        <w:rPr>
          <w:rFonts w:eastAsiaTheme="minorEastAsia" w:cstheme="minorHAnsi"/>
        </w:rPr>
        <w:t xml:space="preserve"> format</w:t>
      </w:r>
      <w:r w:rsidR="00885FE9" w:rsidRPr="00885FE9">
        <w:rPr>
          <w:rFonts w:eastAsiaTheme="minorEastAsia" w:cstheme="minorHAnsi"/>
        </w:rPr>
        <w:t>s</w:t>
      </w:r>
      <w:r w:rsidR="00BA70BC" w:rsidRPr="00885FE9">
        <w:rPr>
          <w:rFonts w:eastAsiaTheme="minorEastAsia" w:cstheme="minorHAnsi"/>
        </w:rPr>
        <w:t xml:space="preserve">. </w:t>
      </w:r>
    </w:p>
    <w:sectPr w:rsidR="009134DB" w:rsidSect="00EC5950">
      <w:footerReference w:type="default" r:id="rId41"/>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69D0E" w14:textId="77777777" w:rsidR="00654382" w:rsidRDefault="00654382" w:rsidP="00B96400">
      <w:pPr>
        <w:spacing w:after="0" w:line="240" w:lineRule="auto"/>
      </w:pPr>
      <w:r>
        <w:separator/>
      </w:r>
    </w:p>
  </w:endnote>
  <w:endnote w:type="continuationSeparator" w:id="0">
    <w:p w14:paraId="002DD6AD" w14:textId="77777777" w:rsidR="00654382" w:rsidRDefault="00654382" w:rsidP="00B96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DIN-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845972"/>
      <w:docPartObj>
        <w:docPartGallery w:val="Page Numbers (Bottom of Page)"/>
        <w:docPartUnique/>
      </w:docPartObj>
    </w:sdtPr>
    <w:sdtEndPr>
      <w:rPr>
        <w:noProof/>
      </w:rPr>
    </w:sdtEndPr>
    <w:sdtContent>
      <w:p w14:paraId="3941C4AC" w14:textId="3BE9449A" w:rsidR="0032392E" w:rsidRDefault="0032392E">
        <w:pPr>
          <w:pStyle w:val="Footer"/>
          <w:jc w:val="right"/>
        </w:pPr>
        <w:r>
          <w:fldChar w:fldCharType="begin"/>
        </w:r>
        <w:r>
          <w:instrText xml:space="preserve"> PAGE   \* MERGEFORMAT </w:instrText>
        </w:r>
        <w:r>
          <w:fldChar w:fldCharType="separate"/>
        </w:r>
        <w:r w:rsidR="00D112A1">
          <w:rPr>
            <w:noProof/>
          </w:rPr>
          <w:t>1</w:t>
        </w:r>
        <w:r>
          <w:rPr>
            <w:noProof/>
          </w:rPr>
          <w:fldChar w:fldCharType="end"/>
        </w:r>
      </w:p>
    </w:sdtContent>
  </w:sdt>
  <w:p w14:paraId="2B22CBC8" w14:textId="77777777" w:rsidR="0032392E" w:rsidRDefault="00323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2A766" w14:textId="77777777" w:rsidR="00654382" w:rsidRDefault="00654382" w:rsidP="00B96400">
      <w:pPr>
        <w:spacing w:after="0" w:line="240" w:lineRule="auto"/>
      </w:pPr>
      <w:r>
        <w:separator/>
      </w:r>
    </w:p>
  </w:footnote>
  <w:footnote w:type="continuationSeparator" w:id="0">
    <w:p w14:paraId="02D74AE3" w14:textId="77777777" w:rsidR="00654382" w:rsidRDefault="00654382" w:rsidP="00B96400">
      <w:pPr>
        <w:spacing w:after="0" w:line="240" w:lineRule="auto"/>
      </w:pPr>
      <w:r>
        <w:continuationSeparator/>
      </w:r>
    </w:p>
  </w:footnote>
  <w:footnote w:id="1">
    <w:p w14:paraId="142441D6" w14:textId="77777777" w:rsidR="00414719" w:rsidRDefault="00414719" w:rsidP="00414719">
      <w:pPr>
        <w:pStyle w:val="FootnoteText"/>
      </w:pPr>
      <w:r>
        <w:rPr>
          <w:rStyle w:val="FootnoteReference"/>
        </w:rPr>
        <w:t>[1]</w:t>
      </w:r>
      <w:r>
        <w:t xml:space="preserve"> Systematic Country Diagnostic reports examine national economic performance related to the World Bank’s Twin Goals of eliminating extreme poverty and boosting shared prosperity in a sustainable way. These reports are available online at </w:t>
      </w:r>
      <w:hyperlink r:id="rId1" w:history="1">
        <w:r>
          <w:rPr>
            <w:rStyle w:val="Hyperlink"/>
          </w:rPr>
          <w:t>https://openknowledge.worldbank.org/handle/10986/23099?locale-attribute=en</w:t>
        </w:r>
      </w:hyperlink>
      <w:r>
        <w:t>.</w:t>
      </w:r>
    </w:p>
  </w:footnote>
  <w:footnote w:id="2">
    <w:p w14:paraId="59093BB6" w14:textId="3E89BAF9" w:rsidR="0032392E" w:rsidRDefault="0032392E" w:rsidP="00074981">
      <w:pPr>
        <w:pStyle w:val="FootnoteText"/>
      </w:pPr>
      <w:r>
        <w:rPr>
          <w:rStyle w:val="FootnoteReference"/>
        </w:rPr>
        <w:footnoteRef/>
      </w:r>
      <w:r>
        <w:t xml:space="preserve">   Externalities are side effects of production or consumption, which can be</w:t>
      </w:r>
      <w:r w:rsidRPr="00074981">
        <w:t xml:space="preserve"> </w:t>
      </w:r>
      <w:r>
        <w:t xml:space="preserve">positive or negative. </w:t>
      </w:r>
      <w:r>
        <w:fldChar w:fldCharType="begin"/>
      </w:r>
      <w:r>
        <w:instrText xml:space="preserve"> ADDIN ZOTERO_ITEM CSL_CITATION {"citationID":"sPCrt5Sq","properties":{"formattedCitation":"(Belli et al. 2001)","plainCitation":"(Belli et al. 2001)"},"citationItems":[{"id":6760,"uris":["http://zotero.org/users/3805591/items/6GJ6CC9I"],"uri":["http://zotero.org/users/3805591/items/6GJ6CC9I"],"itemData":{"id":6760,"type":"report","title":"Economic analysis of investment operations analytical tools and practical applications","publisher":"World Bank","publisher-place":"Washington, D.C.","page":"1-292","source":"documents.worldbank.org","event-place":"Washington, D.C.","abstract":"This publication presents general principles and methodologies that are applicable across sectors, including quantitative risk analysis. It provides both theory and practice about how to evaluate transportation, health, and education projects; and explains how to assess the environmental impact of projects. It provides a fresh look at the tools of project analysis and explains how to apply quantitative analysis of costs and benefits from multiple perspectives-- including the private sector, the public sector, bankers, and the country as a whole. The examples used to illustrate the principles are drawn from actual projects of the World Bank and other institutions.","URL":"http://documents.worldbank.org/curated/en/792771468323717830/Economic-analysis-of-investment-operations-analytical-tools-and-practical-applications","number":"29821","language":"en","author":[{"family":"Belli","given":"Pedro"},{"family":"Anderson","given":"Jock R."},{"family":"Barnum","given":"Howard N."},{"family":"Dixon","given":"John A."},{"family":"Tan","given":"Jee-Peng"}],"issued":{"date-parts":[["2001"]]},"accessed":{"date-parts":[["2018",3,4]]}}}],"schema":"https://github.com/citation-style-language/schema/raw/master/csl-citation.json"} </w:instrText>
      </w:r>
      <w:r>
        <w:fldChar w:fldCharType="separate"/>
      </w:r>
      <w:r w:rsidRPr="00074981">
        <w:rPr>
          <w:rFonts w:ascii="Calibri" w:hAnsi="Calibri" w:cs="Calibri"/>
        </w:rPr>
        <w:t xml:space="preserve">Belli et al. </w:t>
      </w:r>
      <w:r>
        <w:rPr>
          <w:rFonts w:ascii="Calibri" w:hAnsi="Calibri" w:cs="Calibri"/>
        </w:rPr>
        <w:t>(</w:t>
      </w:r>
      <w:r w:rsidRPr="00074981">
        <w:rPr>
          <w:rFonts w:ascii="Calibri" w:hAnsi="Calibri" w:cs="Calibri"/>
        </w:rPr>
        <w:t>2001)</w:t>
      </w:r>
      <w:r>
        <w:fldChar w:fldCharType="end"/>
      </w:r>
      <w:r>
        <w:t xml:space="preserve"> describe an externality as occurring when “production or consumption of a good or service by an economic agent has a direct effect on the welfare of other producers or consumers.”</w:t>
      </w:r>
    </w:p>
  </w:footnote>
  <w:footnote w:id="3">
    <w:p w14:paraId="32DB39FD" w14:textId="0A094B86" w:rsidR="0032392E" w:rsidRDefault="0032392E">
      <w:pPr>
        <w:pStyle w:val="FootnoteText"/>
      </w:pPr>
      <w:r>
        <w:rPr>
          <w:rStyle w:val="FootnoteReference"/>
        </w:rPr>
        <w:footnoteRef/>
      </w:r>
      <w:r>
        <w:t xml:space="preserve"> Systematic Country Diagnostic reports examine national economic performance related to the World Bank’s Twin Goals of eliminating extreme poverty and boosting shared prosperity in a sustainable way. These reports are available online at </w:t>
      </w:r>
      <w:hyperlink r:id="rId2" w:history="1">
        <w:r w:rsidRPr="00691E52">
          <w:rPr>
            <w:rStyle w:val="Hyperlink"/>
          </w:rPr>
          <w:t>https://openknowledge.worldbank.org/handle/10986/23099?locale-attribute=en</w:t>
        </w:r>
      </w:hyperlink>
      <w:r>
        <w:t>.</w:t>
      </w:r>
    </w:p>
  </w:footnote>
  <w:footnote w:id="4">
    <w:p w14:paraId="58DDB1AF" w14:textId="44E4BD68" w:rsidR="0032392E" w:rsidRDefault="0032392E">
      <w:pPr>
        <w:pStyle w:val="FootnoteText"/>
      </w:pPr>
      <w:r>
        <w:rPr>
          <w:rStyle w:val="FootnoteReference"/>
        </w:rPr>
        <w:footnoteRef/>
      </w:r>
      <w:r>
        <w:t xml:space="preserve"> Adjusted net saving (ANS) penalizes national net saving and for the value of resource depletion and environmental degradation, while crediting</w:t>
      </w:r>
      <w:r w:rsidRPr="006538C3">
        <w:t xml:space="preserve"> </w:t>
      </w:r>
      <w:r>
        <w:t xml:space="preserve">education expenditures as </w:t>
      </w:r>
      <w:r w:rsidRPr="006538C3">
        <w:t xml:space="preserve">a proxy for human capital </w:t>
      </w:r>
      <w:r>
        <w:t>investment</w:t>
      </w:r>
      <w:r w:rsidRPr="006538C3">
        <w:t xml:space="preserve"> </w:t>
      </w:r>
    </w:p>
  </w:footnote>
  <w:footnote w:id="5">
    <w:p w14:paraId="3E08B23D" w14:textId="77777777" w:rsidR="0032392E" w:rsidRDefault="0032392E" w:rsidP="00E342BF">
      <w:pPr>
        <w:pStyle w:val="FootnoteText"/>
      </w:pPr>
      <w:r>
        <w:rPr>
          <w:rStyle w:val="FootnoteReference"/>
        </w:rPr>
        <w:footnoteRef/>
      </w:r>
      <w:r>
        <w:t xml:space="preserve"> Natura 2000 is the centerpiece of EU nature policy. It is an EU-wide network of </w:t>
      </w:r>
      <w:r w:rsidRPr="00955439">
        <w:rPr>
          <w:b/>
          <w:i/>
        </w:rPr>
        <w:t>Natura 2000</w:t>
      </w:r>
      <w:r>
        <w:t xml:space="preserve"> sites, established under the Birds and Habitats Directives. The aim of the network is to ensure the long-term survival of Europe's most valuable and threatened species and habitats. Over 25,000 sites have already been designated, covering more than one million km</w:t>
      </w:r>
      <w:r w:rsidRPr="000D5B3D">
        <w:rPr>
          <w:vertAlign w:val="superscript"/>
        </w:rPr>
        <w:t>2</w:t>
      </w:r>
      <w:r>
        <w:t>.</w:t>
      </w:r>
    </w:p>
  </w:footnote>
  <w:footnote w:id="6">
    <w:p w14:paraId="0749F179" w14:textId="77777777" w:rsidR="0032392E" w:rsidRDefault="0032392E" w:rsidP="00E342BF">
      <w:pPr>
        <w:pStyle w:val="A1"/>
      </w:pPr>
      <w:r>
        <w:rPr>
          <w:rStyle w:val="FootnoteReference"/>
        </w:rPr>
        <w:footnoteRef/>
      </w:r>
      <w:r>
        <w:t xml:space="preserve"> Natural capital is measured in this context as the monetary value of subsoil a</w:t>
      </w:r>
      <w:r w:rsidRPr="00C25C5D">
        <w:t>ssets</w:t>
      </w:r>
      <w:r>
        <w:t xml:space="preserve"> </w:t>
      </w:r>
      <w:r w:rsidRPr="00C25C5D">
        <w:t>(10 minerals, 4 energy resources)</w:t>
      </w:r>
      <w:r>
        <w:t>, agricultural l</w:t>
      </w:r>
      <w:r w:rsidRPr="00C25C5D">
        <w:t>and</w:t>
      </w:r>
      <w:r>
        <w:t xml:space="preserve"> </w:t>
      </w:r>
      <w:r w:rsidRPr="00C25C5D">
        <w:t>(crop and pasture)</w:t>
      </w:r>
      <w:r>
        <w:t>, forest l</w:t>
      </w:r>
      <w:r w:rsidRPr="00C25C5D">
        <w:t>and</w:t>
      </w:r>
      <w:r>
        <w:t xml:space="preserve"> </w:t>
      </w:r>
      <w:r w:rsidRPr="00C25C5D">
        <w:t>(timber, N</w:t>
      </w:r>
      <w:r>
        <w:t>on-Wood Forest Products (N</w:t>
      </w:r>
      <w:r w:rsidRPr="00C25C5D">
        <w:t>TFP</w:t>
      </w:r>
      <w:r>
        <w:t>s) and</w:t>
      </w:r>
      <w:r w:rsidRPr="00C25C5D">
        <w:t xml:space="preserve"> other services)</w:t>
      </w:r>
      <w:r>
        <w:t>, and protected a</w:t>
      </w:r>
      <w:r w:rsidRPr="00CD104A">
        <w:t>reas</w:t>
      </w:r>
      <w:r>
        <w:t xml:space="preserve">.  For a detailed discussion of the valuation methodology see: </w:t>
      </w:r>
      <w:r w:rsidRPr="00CD104A">
        <w:rPr>
          <w:i/>
        </w:rPr>
        <w:t>The Changing Wealth of Nations: Measuring Sustainable Development in the New Millennium</w:t>
      </w:r>
      <w:r>
        <w:t xml:space="preserve"> (World Bank, 2011). Available at: </w:t>
      </w:r>
      <w:r w:rsidRPr="00CD104A">
        <w:t>https://siteresources.worldbank.org/ENVIRONMENT/Resources/ChangingWealthNations.pdf</w:t>
      </w:r>
      <w:r>
        <w:t>.</w:t>
      </w:r>
    </w:p>
  </w:footnote>
  <w:footnote w:id="7">
    <w:p w14:paraId="665F51B8" w14:textId="77777777" w:rsidR="0032392E" w:rsidRDefault="0032392E" w:rsidP="001844CD">
      <w:pPr>
        <w:pStyle w:val="A1"/>
      </w:pPr>
      <w:r>
        <w:rPr>
          <w:rStyle w:val="FootnoteReference"/>
        </w:rPr>
        <w:footnoteRef/>
      </w:r>
      <w:r>
        <w:t xml:space="preserve"> World Travel and Tourism Council (2017). Travel &amp; Tourism Economic Impact 2017: Croatia.  Available at: </w:t>
      </w:r>
      <w:r w:rsidRPr="005F156D">
        <w:t>https://www.wttc.org/-/media/files/reports/economic-impact-research/countries-2017/croatia2017.pdf</w:t>
      </w:r>
      <w:r>
        <w:t>.</w:t>
      </w:r>
    </w:p>
  </w:footnote>
  <w:footnote w:id="8">
    <w:p w14:paraId="16FBABB7" w14:textId="6AB95AD0" w:rsidR="0032392E" w:rsidRDefault="0032392E">
      <w:pPr>
        <w:pStyle w:val="FootnoteText"/>
      </w:pPr>
      <w:r>
        <w:rPr>
          <w:rStyle w:val="FootnoteReference"/>
        </w:rPr>
        <w:footnoteRef/>
      </w:r>
      <w:r>
        <w:t xml:space="preserve"> Weak sustainability assumes </w:t>
      </w:r>
      <w:r w:rsidRPr="006F7B24">
        <w:t xml:space="preserve">unconditional substitution between the various kinds of capital </w:t>
      </w:r>
      <w:r>
        <w:t xml:space="preserve">– meaning that </w:t>
      </w:r>
      <w:r w:rsidRPr="006F7B24">
        <w:t>natural resources may decline as long as human capital is increased. Examples include the degradation of tropical forests and coral reefs if accompanied by benefits to human capital.</w:t>
      </w:r>
      <w:r>
        <w:t xml:space="preserve"> On the other hand, s</w:t>
      </w:r>
      <w:r w:rsidRPr="00247028">
        <w:t>trong sustainability assumes that the economic and environmental capital is complementary, but not interchangeable. Strong sustainability accepts there are certain functions that the environment performs that cannot be duplicated by humans or human made capital. The ozone layer is one example of an ecosystem service that is crucial for human existence, forms part of natural capital, but is difficult for humans to duplicate</w:t>
      </w:r>
      <w:r>
        <w:t>.</w:t>
      </w:r>
    </w:p>
  </w:footnote>
  <w:footnote w:id="9">
    <w:p w14:paraId="6BE1810F" w14:textId="3940B96C" w:rsidR="0032392E" w:rsidRDefault="0032392E">
      <w:pPr>
        <w:pStyle w:val="FootnoteText"/>
      </w:pPr>
      <w:r>
        <w:rPr>
          <w:rStyle w:val="FootnoteReference"/>
        </w:rPr>
        <w:footnoteRef/>
      </w:r>
      <w:r>
        <w:t xml:space="preserve"> Particulate matter 2.5 (PM</w:t>
      </w:r>
      <w:r w:rsidRPr="00453561">
        <w:rPr>
          <w:vertAlign w:val="subscript"/>
        </w:rPr>
        <w:t>2.5</w:t>
      </w:r>
      <w:r>
        <w:t>) refers to particles with a diameter of 2.5 micrometers or less, and PM</w:t>
      </w:r>
      <w:r w:rsidRPr="00453561">
        <w:rPr>
          <w:vertAlign w:val="subscript"/>
        </w:rPr>
        <w:t>10</w:t>
      </w:r>
      <w:r>
        <w:t xml:space="preserve"> refers to particles less than 10 microns in diameter. PM is either directly emitted as primary particles or comes from emissions of SO</w:t>
      </w:r>
      <w:r w:rsidRPr="00476181">
        <w:rPr>
          <w:vertAlign w:val="subscript"/>
        </w:rPr>
        <w:t>2</w:t>
      </w:r>
      <w:r>
        <w:t xml:space="preserve"> and NOx.</w:t>
      </w:r>
    </w:p>
  </w:footnote>
  <w:footnote w:id="10">
    <w:p w14:paraId="79069E33" w14:textId="77777777" w:rsidR="0032392E" w:rsidRPr="007B6188" w:rsidRDefault="0032392E" w:rsidP="002D0666">
      <w:pPr>
        <w:pStyle w:val="FootnoteText"/>
      </w:pPr>
      <w:r w:rsidRPr="007B6188">
        <w:rPr>
          <w:rStyle w:val="FootnoteReference"/>
        </w:rPr>
        <w:footnoteRef/>
      </w:r>
      <w:r w:rsidRPr="007B6188">
        <w:t xml:space="preserve"> This note uses indicator definitions adopted by the World Development Indicators (WDI) (wdi.worldbank.org) Different databases may use different indicators and definitions; where necessary, such differences will be highlighted in this text. </w:t>
      </w:r>
    </w:p>
  </w:footnote>
  <w:footnote w:id="11">
    <w:p w14:paraId="1DE8A182" w14:textId="0C39E570" w:rsidR="0032392E" w:rsidRPr="00702149" w:rsidRDefault="0032392E" w:rsidP="00D725FC">
      <w:pPr>
        <w:pStyle w:val="FootnoteText"/>
        <w:jc w:val="both"/>
      </w:pPr>
      <w:r w:rsidRPr="00702149">
        <w:rPr>
          <w:rStyle w:val="FootnoteReference"/>
        </w:rPr>
        <w:footnoteRef/>
      </w:r>
      <w:r w:rsidRPr="00702149">
        <w:t xml:space="preserve"> More specifically, Eurostat uses the chain-linking approach. http://ec.europa.eu/eurostat/statistics-explained/index.php/HICP_methodology</w:t>
      </w:r>
      <w:r>
        <w:t>.</w:t>
      </w:r>
    </w:p>
  </w:footnote>
  <w:footnote w:id="12">
    <w:p w14:paraId="421EBB14" w14:textId="77777777" w:rsidR="0032392E" w:rsidRPr="00702149" w:rsidRDefault="0032392E" w:rsidP="00C95595">
      <w:pPr>
        <w:pStyle w:val="FootnoteText"/>
        <w:jc w:val="both"/>
      </w:pPr>
      <w:r w:rsidRPr="00702149">
        <w:rPr>
          <w:rStyle w:val="FootnoteReference"/>
        </w:rPr>
        <w:footnoteRef/>
      </w:r>
      <w:r w:rsidRPr="00702149">
        <w:t xml:space="preserve"> Also referred to as “efficiency” in some publications/statistical data books, such as Stat</w:t>
      </w:r>
      <w:r>
        <w:t xml:space="preserve">istics Netherlands as in </w:t>
      </w:r>
      <w:r>
        <w:fldChar w:fldCharType="begin"/>
      </w:r>
      <w:r>
        <w:instrText xml:space="preserve"> ADDIN ZOTERO_ITEM CSL_CITATION {"citationID":"zFaWPMmL","properties":{"formattedCitation":"{\\rtf (Bald\\uc0\\u233{} and Baas 2013)}","plainCitation":"(Baldé and Baas 2013)"},"citationItems":[{"id":6748,"uris":["http://zotero.org/users/3805591/items/FJRUVVH2"],"uri":["http://zotero.org/users/3805591/items/FJRUVVH2"],"itemData":{"id":6748,"type":"report","title":"Green Growth in the Netherlands 2012","publisher":"Statistics Netherlands","publisher-place":"The Hague","event-place":"The Hague","URL":"http://library.wur.nl/WebQuery/hydrotheek/2043020","author":[{"family":"Baldé","given":"K."},{"family":"Baas","given":"K."}],"issued":{"date-parts":[["2013"]]}}}],"schema":"https://github.com/citation-style-language/schema/raw/master/csl-citation.json"} </w:instrText>
      </w:r>
      <w:r>
        <w:fldChar w:fldCharType="separate"/>
      </w:r>
      <w:r w:rsidRPr="00E718FC">
        <w:rPr>
          <w:rFonts w:ascii="Calibri" w:hAnsi="Calibri" w:cs="Calibri"/>
          <w:szCs w:val="24"/>
        </w:rPr>
        <w:t xml:space="preserve">Baldé and Baas </w:t>
      </w:r>
      <w:r>
        <w:rPr>
          <w:rFonts w:ascii="Calibri" w:hAnsi="Calibri" w:cs="Calibri"/>
          <w:szCs w:val="24"/>
        </w:rPr>
        <w:t>(</w:t>
      </w:r>
      <w:r w:rsidRPr="00E718FC">
        <w:rPr>
          <w:rFonts w:ascii="Calibri" w:hAnsi="Calibri" w:cs="Calibri"/>
          <w:szCs w:val="24"/>
        </w:rPr>
        <w:t>2013)</w:t>
      </w:r>
      <w:r>
        <w:fldChar w:fldCharType="end"/>
      </w:r>
    </w:p>
  </w:footnote>
  <w:footnote w:id="13">
    <w:p w14:paraId="0269056B" w14:textId="0249304C" w:rsidR="0032392E" w:rsidRDefault="0032392E">
      <w:pPr>
        <w:pStyle w:val="FootnoteText"/>
      </w:pPr>
      <w:r>
        <w:rPr>
          <w:rStyle w:val="FootnoteReference"/>
        </w:rPr>
        <w:footnoteRef/>
      </w:r>
      <w:r>
        <w:t xml:space="preserve"> For further elaboration of the types of decoupling covered here, see Appendix 1.</w:t>
      </w:r>
    </w:p>
  </w:footnote>
  <w:footnote w:id="14">
    <w:p w14:paraId="50438384" w14:textId="301598E7" w:rsidR="0032392E" w:rsidRDefault="0032392E">
      <w:pPr>
        <w:pStyle w:val="FootnoteText"/>
      </w:pPr>
      <w:r>
        <w:rPr>
          <w:rStyle w:val="FootnoteReference"/>
        </w:rPr>
        <w:footnoteRef/>
      </w:r>
      <w:r>
        <w:t xml:space="preserve"> </w:t>
      </w:r>
      <w:r w:rsidRPr="00965730">
        <w:t>In 2007, the rebased EPE is 415.79, while the rebased GDP is 176.67.</w:t>
      </w:r>
    </w:p>
  </w:footnote>
  <w:footnote w:id="15">
    <w:p w14:paraId="244B1146" w14:textId="460F20CA" w:rsidR="0032392E" w:rsidRPr="002E0E68" w:rsidRDefault="0032392E">
      <w:pPr>
        <w:pStyle w:val="FootnoteText"/>
      </w:pPr>
      <w:r>
        <w:rPr>
          <w:rStyle w:val="FootnoteReference"/>
        </w:rPr>
        <w:footnoteRef/>
      </w:r>
      <w:r>
        <w:t xml:space="preserve"> </w:t>
      </w:r>
      <w:r w:rsidRPr="002E0E68">
        <w:t>The intensity value is defined as the ratio of the amount of externality (numerator) over the value of the economic indicator (denominator). In other words, the intensity value signifies the environmental impact per economic unit, such as per dollar of GDP, of value added in agriculture, energy generation or manufacturing, or per dollar spent on consumer goods. Intensity values can be calculated for the entire economy, or for individual sectors and subsectors, depending on the availability of disaggregated data. The intensity value pertaining to the first and the final years in a time series, as well as, the percentage change in the intensity value over the period of analysis is presented at the bottom of each decoupling trend figure.</w:t>
      </w:r>
      <w:r>
        <w:t xml:space="preserve"> </w:t>
      </w:r>
      <w:r w:rsidRPr="002E0E68">
        <w:t>Fundamentally, the decoupling measures and the intensity approach provide the same information, but in a slightly different form. A detailed discussion of this point is provided in Appendix 1.</w:t>
      </w:r>
    </w:p>
  </w:footnote>
  <w:footnote w:id="16">
    <w:p w14:paraId="3EA967D1" w14:textId="08718471" w:rsidR="0032392E" w:rsidRDefault="0032392E">
      <w:pPr>
        <w:pStyle w:val="FootnoteText"/>
      </w:pPr>
      <w:r>
        <w:rPr>
          <w:rStyle w:val="FootnoteReference"/>
        </w:rPr>
        <w:footnoteRef/>
      </w:r>
      <w:r>
        <w:t xml:space="preserve"> In </w:t>
      </w:r>
      <w:r w:rsidRPr="00FF6F2D">
        <w:fldChar w:fldCharType="begin"/>
      </w:r>
      <w:r w:rsidRPr="00FF6F2D">
        <w:instrText xml:space="preserve"> REF _Ref482876944 \h  \* MERGEFORMAT </w:instrText>
      </w:r>
      <w:r w:rsidRPr="00FF6F2D">
        <w:fldChar w:fldCharType="separate"/>
      </w:r>
      <w:r w:rsidR="006A2C19" w:rsidRPr="006A2C19">
        <w:t xml:space="preserve">Figure </w:t>
      </w:r>
      <w:r w:rsidR="006A2C19" w:rsidRPr="006A2C19">
        <w:rPr>
          <w:noProof/>
        </w:rPr>
        <w:t>14</w:t>
      </w:r>
      <w:r w:rsidRPr="00FF6F2D">
        <w:fldChar w:fldCharType="end"/>
      </w:r>
      <w:r w:rsidRPr="005F20A3">
        <w:t>,</w:t>
      </w:r>
      <w:r>
        <w:t xml:space="preserve"> </w:t>
      </w:r>
      <w:r w:rsidRPr="00AA7FD5">
        <w:rPr>
          <w:szCs w:val="24"/>
        </w:rPr>
        <w:t>no data is available for 2013</w:t>
      </w:r>
      <w:r w:rsidRPr="009811D6">
        <w:rPr>
          <w:szCs w:val="24"/>
        </w:rPr>
        <w:t xml:space="preserve"> </w:t>
      </w:r>
      <w:r>
        <w:rPr>
          <w:szCs w:val="24"/>
        </w:rPr>
        <w:t xml:space="preserve">for the </w:t>
      </w:r>
      <w:r w:rsidRPr="00AA7FD5">
        <w:rPr>
          <w:szCs w:val="24"/>
        </w:rPr>
        <w:t xml:space="preserve">electricity sector, </w:t>
      </w:r>
      <w:r>
        <w:rPr>
          <w:szCs w:val="24"/>
        </w:rPr>
        <w:t xml:space="preserve">therefore </w:t>
      </w:r>
      <w:r w:rsidRPr="00AA7FD5">
        <w:rPr>
          <w:szCs w:val="24"/>
        </w:rPr>
        <w:t>the picture shows “N/A” instead of a decoupling outcome</w:t>
      </w:r>
      <w:r>
        <w:rPr>
          <w:szCs w:val="24"/>
        </w:rPr>
        <w:t xml:space="preserve"> for the</w:t>
      </w:r>
      <w:r w:rsidRPr="009811D6">
        <w:rPr>
          <w:szCs w:val="24"/>
        </w:rPr>
        <w:t xml:space="preserve"> </w:t>
      </w:r>
      <w:r w:rsidRPr="00AA7FD5">
        <w:rPr>
          <w:szCs w:val="24"/>
        </w:rPr>
        <w:t>figure. This is not a problem</w:t>
      </w:r>
      <w:r w:rsidR="006A2C19">
        <w:rPr>
          <w:szCs w:val="24"/>
        </w:rPr>
        <w:t>,</w:t>
      </w:r>
      <w:r>
        <w:rPr>
          <w:szCs w:val="24"/>
        </w:rPr>
        <w:t xml:space="preserve"> as possible outcomes for 2013 results can be inferred from 2012</w:t>
      </w:r>
      <w:r w:rsidRPr="00AA7FD5">
        <w:rPr>
          <w:szCs w:val="24"/>
        </w:rPr>
        <w:t xml:space="preserve">, or 2012 </w:t>
      </w:r>
      <w:r>
        <w:rPr>
          <w:szCs w:val="24"/>
        </w:rPr>
        <w:t xml:space="preserve">can be considered </w:t>
      </w:r>
      <w:r w:rsidRPr="00AA7FD5">
        <w:rPr>
          <w:szCs w:val="24"/>
        </w:rPr>
        <w:t>as the last year of the analysis.</w:t>
      </w:r>
    </w:p>
  </w:footnote>
  <w:footnote w:id="17">
    <w:p w14:paraId="0AF5837E" w14:textId="59D6A27B" w:rsidR="0032392E" w:rsidRDefault="0032392E">
      <w:pPr>
        <w:pStyle w:val="FootnoteText"/>
      </w:pPr>
      <w:r>
        <w:rPr>
          <w:rStyle w:val="FootnoteReference"/>
        </w:rPr>
        <w:footnoteRef/>
      </w:r>
      <w:r>
        <w:t xml:space="preserve"> Based on the Hidden Dimensions of Poverty dataset, figures for 2011 in administrative level 1 (admin-1) units</w:t>
      </w:r>
    </w:p>
  </w:footnote>
  <w:footnote w:id="18">
    <w:p w14:paraId="3C2A8CE1" w14:textId="7630E40D" w:rsidR="0032392E" w:rsidRDefault="0032392E">
      <w:pPr>
        <w:pStyle w:val="FootnoteText"/>
      </w:pPr>
      <w:r>
        <w:rPr>
          <w:rStyle w:val="FootnoteReference"/>
        </w:rPr>
        <w:footnoteRef/>
      </w:r>
      <w:r>
        <w:t xml:space="preserve"> </w:t>
      </w:r>
      <w:r w:rsidRPr="00BF25D7">
        <w:t>in terms of normalized annual average of affected GDP</w:t>
      </w:r>
    </w:p>
  </w:footnote>
  <w:footnote w:id="19">
    <w:p w14:paraId="42F03009" w14:textId="668C9C9B" w:rsidR="0032392E" w:rsidRPr="00367A94" w:rsidRDefault="0032392E" w:rsidP="00BF25D7">
      <w:pPr>
        <w:pStyle w:val="FootnoteText"/>
      </w:pPr>
      <w:r>
        <w:rPr>
          <w:rStyle w:val="FootnoteReference"/>
        </w:rPr>
        <w:footnoteRef/>
      </w:r>
      <w:r>
        <w:t xml:space="preserve"> Based on </w:t>
      </w:r>
      <w:r w:rsidRPr="00BF25D7">
        <w:t>GDP that is normalized (weighted) by inflation and population.</w:t>
      </w:r>
    </w:p>
  </w:footnote>
  <w:footnote w:id="20">
    <w:p w14:paraId="16352ED9" w14:textId="72EED437" w:rsidR="0032392E" w:rsidRDefault="0032392E">
      <w:pPr>
        <w:pStyle w:val="FootnoteText"/>
      </w:pPr>
      <w:r>
        <w:rPr>
          <w:rStyle w:val="FootnoteReference"/>
        </w:rPr>
        <w:footnoteRef/>
      </w:r>
      <w:r>
        <w:t xml:space="preserve"> Additional LSMS modules cover specific topics including agriculture and forestry. Further information on the LSMS surveys can be found at </w:t>
      </w:r>
      <w:hyperlink r:id="rId3" w:history="1">
        <w:r w:rsidRPr="0085122E">
          <w:rPr>
            <w:rStyle w:val="Hyperlink"/>
          </w:rPr>
          <w:t>http://go.worldbank.org/IFS9WG7EO0</w:t>
        </w:r>
      </w:hyperlink>
      <w:r>
        <w:t>.</w:t>
      </w:r>
    </w:p>
  </w:footnote>
  <w:footnote w:id="21">
    <w:p w14:paraId="45D0FF92" w14:textId="4E21B410" w:rsidR="0032392E" w:rsidRDefault="0032392E">
      <w:pPr>
        <w:pStyle w:val="FootnoteText"/>
      </w:pPr>
      <w:r>
        <w:rPr>
          <w:rStyle w:val="FootnoteReference"/>
        </w:rPr>
        <w:footnoteRef/>
      </w:r>
      <w:r>
        <w:t xml:space="preserve"> Forestry module information can be found at </w:t>
      </w:r>
      <w:hyperlink r:id="rId4" w:history="1">
        <w:r w:rsidRPr="00691E52">
          <w:rPr>
            <w:rStyle w:val="Hyperlink"/>
          </w:rPr>
          <w:t>http://www.fao.org/forestry/forestry-modules/en/</w:t>
        </w:r>
      </w:hyperlink>
      <w:r>
        <w:t>.</w:t>
      </w:r>
    </w:p>
  </w:footnote>
  <w:footnote w:id="22">
    <w:p w14:paraId="06ED2743" w14:textId="77777777" w:rsidR="0032392E" w:rsidRDefault="0032392E" w:rsidP="003C5281">
      <w:pPr>
        <w:pStyle w:val="CommentText"/>
        <w:jc w:val="both"/>
      </w:pPr>
      <w:r w:rsidRPr="001356CE">
        <w:rPr>
          <w:rStyle w:val="FootnoteReference"/>
        </w:rPr>
        <w:footnoteRef/>
      </w:r>
      <w:r w:rsidRPr="001356CE">
        <w:t xml:space="preserve"> A “rebased” indicator, whether environmental or economic, is an index number expressed as 100 times the ratio between the current year indicator and the base year indicator. For example, the GHG emissions in Romania were 141,142 thousand tons in 2000, and 117,706 thousand tons in 2010. If the base year is taken to be the year 2000, then the rebased indicator in 2000 is 100, and the rebased GHG indicator in 2010 is 83.40.</w:t>
      </w:r>
    </w:p>
    <w:p w14:paraId="5307E704" w14:textId="77777777" w:rsidR="0032392E" w:rsidRDefault="0032392E" w:rsidP="003C528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413E"/>
    <w:multiLevelType w:val="hybridMultilevel"/>
    <w:tmpl w:val="6B78441C"/>
    <w:lvl w:ilvl="0" w:tplc="62F01A90">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4389F"/>
    <w:multiLevelType w:val="hybridMultilevel"/>
    <w:tmpl w:val="5C42B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54195"/>
    <w:multiLevelType w:val="hybridMultilevel"/>
    <w:tmpl w:val="5554F7B2"/>
    <w:lvl w:ilvl="0" w:tplc="8D986370">
      <w:start w:val="1"/>
      <w:numFmt w:val="low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5284C"/>
    <w:multiLevelType w:val="hybridMultilevel"/>
    <w:tmpl w:val="21784348"/>
    <w:lvl w:ilvl="0" w:tplc="45949164">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F07902"/>
    <w:multiLevelType w:val="hybridMultilevel"/>
    <w:tmpl w:val="04D223D6"/>
    <w:lvl w:ilvl="0" w:tplc="267815BC">
      <w:start w:val="1"/>
      <w:numFmt w:val="low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20615"/>
    <w:multiLevelType w:val="multilevel"/>
    <w:tmpl w:val="23200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2E3AB8"/>
    <w:multiLevelType w:val="hybridMultilevel"/>
    <w:tmpl w:val="F58233B2"/>
    <w:lvl w:ilvl="0" w:tplc="E82C71C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BF017D"/>
    <w:multiLevelType w:val="hybridMultilevel"/>
    <w:tmpl w:val="B0089A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99B501A"/>
    <w:multiLevelType w:val="hybridMultilevel"/>
    <w:tmpl w:val="FD2044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127C69"/>
    <w:multiLevelType w:val="hybridMultilevel"/>
    <w:tmpl w:val="0330CC24"/>
    <w:lvl w:ilvl="0" w:tplc="20465E0A">
      <w:start w:val="1"/>
      <w:numFmt w:val="upperRoman"/>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EB4BEC"/>
    <w:multiLevelType w:val="hybridMultilevel"/>
    <w:tmpl w:val="ABEA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975CC"/>
    <w:multiLevelType w:val="hybridMultilevel"/>
    <w:tmpl w:val="0D5E0D4E"/>
    <w:lvl w:ilvl="0" w:tplc="D49A944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81896"/>
    <w:multiLevelType w:val="hybridMultilevel"/>
    <w:tmpl w:val="08646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16372B"/>
    <w:multiLevelType w:val="hybridMultilevel"/>
    <w:tmpl w:val="04D223D6"/>
    <w:lvl w:ilvl="0" w:tplc="267815BC">
      <w:start w:val="1"/>
      <w:numFmt w:val="low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9A7F27"/>
    <w:multiLevelType w:val="hybridMultilevel"/>
    <w:tmpl w:val="B000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94FD8"/>
    <w:multiLevelType w:val="hybridMultilevel"/>
    <w:tmpl w:val="B46E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2B213C"/>
    <w:multiLevelType w:val="hybridMultilevel"/>
    <w:tmpl w:val="DDD61234"/>
    <w:lvl w:ilvl="0" w:tplc="2D9037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543B7"/>
    <w:multiLevelType w:val="hybridMultilevel"/>
    <w:tmpl w:val="DDD61234"/>
    <w:lvl w:ilvl="0" w:tplc="2D9037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127BD"/>
    <w:multiLevelType w:val="hybridMultilevel"/>
    <w:tmpl w:val="21E0F434"/>
    <w:lvl w:ilvl="0" w:tplc="14D806E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7F3360"/>
    <w:multiLevelType w:val="hybridMultilevel"/>
    <w:tmpl w:val="99D86366"/>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47204898"/>
    <w:multiLevelType w:val="hybridMultilevel"/>
    <w:tmpl w:val="878685D4"/>
    <w:lvl w:ilvl="0" w:tplc="A0F2DB7A">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EF612E"/>
    <w:multiLevelType w:val="hybridMultilevel"/>
    <w:tmpl w:val="3A204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B55F1"/>
    <w:multiLevelType w:val="hybridMultilevel"/>
    <w:tmpl w:val="67C45FA4"/>
    <w:lvl w:ilvl="0" w:tplc="6BE216E2">
      <w:start w:val="1"/>
      <w:numFmt w:val="decimal"/>
      <w:pStyle w:val="Numbering"/>
      <w:lvlText w:val="%1."/>
      <w:lvlJc w:val="left"/>
      <w:pPr>
        <w:ind w:left="1440" w:hanging="360"/>
      </w:pPr>
      <w:rPr>
        <w:b w:val="0"/>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59D3656"/>
    <w:multiLevelType w:val="hybridMultilevel"/>
    <w:tmpl w:val="29CA795A"/>
    <w:lvl w:ilvl="0" w:tplc="690085AA">
      <w:start w:val="1"/>
      <w:numFmt w:val="decimal"/>
      <w:lvlText w:val="%1."/>
      <w:lvlJc w:val="left"/>
      <w:pPr>
        <w:ind w:left="360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DE7B4C"/>
    <w:multiLevelType w:val="hybridMultilevel"/>
    <w:tmpl w:val="0DF48B98"/>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7E6457"/>
    <w:multiLevelType w:val="hybridMultilevel"/>
    <w:tmpl w:val="A1943E48"/>
    <w:lvl w:ilvl="0" w:tplc="5246CAC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F75AE2"/>
    <w:multiLevelType w:val="hybridMultilevel"/>
    <w:tmpl w:val="BF747C60"/>
    <w:lvl w:ilvl="0" w:tplc="BEE60608">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15:restartNumberingAfterBreak="0">
    <w:nsid w:val="704A1F3C"/>
    <w:multiLevelType w:val="hybridMultilevel"/>
    <w:tmpl w:val="E588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4B6764"/>
    <w:multiLevelType w:val="hybridMultilevel"/>
    <w:tmpl w:val="5B86A3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22"/>
  </w:num>
  <w:num w:numId="2">
    <w:abstractNumId w:val="11"/>
  </w:num>
  <w:num w:numId="3">
    <w:abstractNumId w:val="26"/>
  </w:num>
  <w:num w:numId="4">
    <w:abstractNumId w:val="27"/>
  </w:num>
  <w:num w:numId="5">
    <w:abstractNumId w:val="7"/>
  </w:num>
  <w:num w:numId="6">
    <w:abstractNumId w:val="10"/>
  </w:num>
  <w:num w:numId="7">
    <w:abstractNumId w:val="15"/>
  </w:num>
  <w:num w:numId="8">
    <w:abstractNumId w:val="28"/>
  </w:num>
  <w:num w:numId="9">
    <w:abstractNumId w:val="24"/>
  </w:num>
  <w:num w:numId="10">
    <w:abstractNumId w:val="19"/>
  </w:num>
  <w:num w:numId="11">
    <w:abstractNumId w:val="6"/>
  </w:num>
  <w:num w:numId="12">
    <w:abstractNumId w:val="14"/>
  </w:num>
  <w:num w:numId="13">
    <w:abstractNumId w:val="8"/>
  </w:num>
  <w:num w:numId="14">
    <w:abstractNumId w:val="1"/>
  </w:num>
  <w:num w:numId="15">
    <w:abstractNumId w:val="20"/>
  </w:num>
  <w:num w:numId="16">
    <w:abstractNumId w:val="18"/>
  </w:num>
  <w:num w:numId="17">
    <w:abstractNumId w:val="2"/>
  </w:num>
  <w:num w:numId="18">
    <w:abstractNumId w:val="9"/>
  </w:num>
  <w:num w:numId="19">
    <w:abstractNumId w:val="21"/>
  </w:num>
  <w:num w:numId="20">
    <w:abstractNumId w:val="3"/>
  </w:num>
  <w:num w:numId="21">
    <w:abstractNumId w:val="0"/>
  </w:num>
  <w:num w:numId="22">
    <w:abstractNumId w:val="16"/>
  </w:num>
  <w:num w:numId="23">
    <w:abstractNumId w:val="5"/>
  </w:num>
  <w:num w:numId="24">
    <w:abstractNumId w:val="23"/>
  </w:num>
  <w:num w:numId="25">
    <w:abstractNumId w:val="12"/>
  </w:num>
  <w:num w:numId="26">
    <w:abstractNumId w:val="17"/>
  </w:num>
  <w:num w:numId="27">
    <w:abstractNumId w:val="4"/>
  </w:num>
  <w:num w:numId="28">
    <w:abstractNumId w:val="2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F8D"/>
    <w:rsid w:val="0000146B"/>
    <w:rsid w:val="00001713"/>
    <w:rsid w:val="00001910"/>
    <w:rsid w:val="0000238E"/>
    <w:rsid w:val="00004B49"/>
    <w:rsid w:val="000100EA"/>
    <w:rsid w:val="00011F4B"/>
    <w:rsid w:val="00013183"/>
    <w:rsid w:val="00014C08"/>
    <w:rsid w:val="00015602"/>
    <w:rsid w:val="00015CCD"/>
    <w:rsid w:val="000178D0"/>
    <w:rsid w:val="000201EC"/>
    <w:rsid w:val="00020625"/>
    <w:rsid w:val="000216F0"/>
    <w:rsid w:val="00026280"/>
    <w:rsid w:val="00027847"/>
    <w:rsid w:val="00027BFD"/>
    <w:rsid w:val="00027CF4"/>
    <w:rsid w:val="0003033C"/>
    <w:rsid w:val="00030A81"/>
    <w:rsid w:val="00030FF2"/>
    <w:rsid w:val="000338DA"/>
    <w:rsid w:val="00037FC7"/>
    <w:rsid w:val="00040EA1"/>
    <w:rsid w:val="000412AD"/>
    <w:rsid w:val="00044766"/>
    <w:rsid w:val="0005402B"/>
    <w:rsid w:val="000554C2"/>
    <w:rsid w:val="00056C21"/>
    <w:rsid w:val="00057404"/>
    <w:rsid w:val="00057C2D"/>
    <w:rsid w:val="000602A5"/>
    <w:rsid w:val="00060838"/>
    <w:rsid w:val="00061303"/>
    <w:rsid w:val="00063179"/>
    <w:rsid w:val="00063D4C"/>
    <w:rsid w:val="00066191"/>
    <w:rsid w:val="00066458"/>
    <w:rsid w:val="0006787F"/>
    <w:rsid w:val="00070594"/>
    <w:rsid w:val="00070B95"/>
    <w:rsid w:val="00073491"/>
    <w:rsid w:val="00074981"/>
    <w:rsid w:val="00074A81"/>
    <w:rsid w:val="00074B78"/>
    <w:rsid w:val="00075A4B"/>
    <w:rsid w:val="000764C8"/>
    <w:rsid w:val="000767D5"/>
    <w:rsid w:val="0007680E"/>
    <w:rsid w:val="00077929"/>
    <w:rsid w:val="0008336E"/>
    <w:rsid w:val="000863AA"/>
    <w:rsid w:val="00087BB3"/>
    <w:rsid w:val="00087BEE"/>
    <w:rsid w:val="00092C27"/>
    <w:rsid w:val="00094AF4"/>
    <w:rsid w:val="000964C7"/>
    <w:rsid w:val="000A128E"/>
    <w:rsid w:val="000A40F2"/>
    <w:rsid w:val="000A6B53"/>
    <w:rsid w:val="000A72E4"/>
    <w:rsid w:val="000B28C6"/>
    <w:rsid w:val="000B3B80"/>
    <w:rsid w:val="000B5C43"/>
    <w:rsid w:val="000C04FE"/>
    <w:rsid w:val="000C2A74"/>
    <w:rsid w:val="000C344D"/>
    <w:rsid w:val="000C4A8B"/>
    <w:rsid w:val="000C6785"/>
    <w:rsid w:val="000C6EC0"/>
    <w:rsid w:val="000C79E1"/>
    <w:rsid w:val="000D06D5"/>
    <w:rsid w:val="000D14C8"/>
    <w:rsid w:val="000D4D48"/>
    <w:rsid w:val="000D5D10"/>
    <w:rsid w:val="000E03B4"/>
    <w:rsid w:val="000E1166"/>
    <w:rsid w:val="000E370D"/>
    <w:rsid w:val="000E6AB0"/>
    <w:rsid w:val="000E7444"/>
    <w:rsid w:val="000E7CA7"/>
    <w:rsid w:val="000F2865"/>
    <w:rsid w:val="000F3E74"/>
    <w:rsid w:val="000F50B7"/>
    <w:rsid w:val="001001C3"/>
    <w:rsid w:val="001003EF"/>
    <w:rsid w:val="00100886"/>
    <w:rsid w:val="0010113A"/>
    <w:rsid w:val="00103D8A"/>
    <w:rsid w:val="001066A6"/>
    <w:rsid w:val="00110F52"/>
    <w:rsid w:val="00111276"/>
    <w:rsid w:val="00111582"/>
    <w:rsid w:val="00113533"/>
    <w:rsid w:val="00115F57"/>
    <w:rsid w:val="001201C1"/>
    <w:rsid w:val="0012339B"/>
    <w:rsid w:val="001257E2"/>
    <w:rsid w:val="0012615F"/>
    <w:rsid w:val="0012638F"/>
    <w:rsid w:val="00126919"/>
    <w:rsid w:val="0012793C"/>
    <w:rsid w:val="00132DC3"/>
    <w:rsid w:val="00135553"/>
    <w:rsid w:val="001356CE"/>
    <w:rsid w:val="0013676F"/>
    <w:rsid w:val="0013770C"/>
    <w:rsid w:val="00137814"/>
    <w:rsid w:val="00141806"/>
    <w:rsid w:val="001421DC"/>
    <w:rsid w:val="00143984"/>
    <w:rsid w:val="00143A16"/>
    <w:rsid w:val="00144C81"/>
    <w:rsid w:val="00146694"/>
    <w:rsid w:val="001500DF"/>
    <w:rsid w:val="00150673"/>
    <w:rsid w:val="001508BC"/>
    <w:rsid w:val="0015187C"/>
    <w:rsid w:val="0015351A"/>
    <w:rsid w:val="00156B7C"/>
    <w:rsid w:val="0016035D"/>
    <w:rsid w:val="00162913"/>
    <w:rsid w:val="00163B5D"/>
    <w:rsid w:val="00166EFC"/>
    <w:rsid w:val="001712A0"/>
    <w:rsid w:val="0017477D"/>
    <w:rsid w:val="00174B8D"/>
    <w:rsid w:val="00177C0C"/>
    <w:rsid w:val="00177F73"/>
    <w:rsid w:val="00182EBF"/>
    <w:rsid w:val="001844CD"/>
    <w:rsid w:val="001846A0"/>
    <w:rsid w:val="001848BC"/>
    <w:rsid w:val="00190F58"/>
    <w:rsid w:val="001A0068"/>
    <w:rsid w:val="001A59A3"/>
    <w:rsid w:val="001A5DA8"/>
    <w:rsid w:val="001A64C4"/>
    <w:rsid w:val="001A713E"/>
    <w:rsid w:val="001B2117"/>
    <w:rsid w:val="001B3F10"/>
    <w:rsid w:val="001B48C3"/>
    <w:rsid w:val="001B4AC6"/>
    <w:rsid w:val="001B506C"/>
    <w:rsid w:val="001B69C2"/>
    <w:rsid w:val="001C39C7"/>
    <w:rsid w:val="001C46DB"/>
    <w:rsid w:val="001C5714"/>
    <w:rsid w:val="001C639B"/>
    <w:rsid w:val="001C6487"/>
    <w:rsid w:val="001D000D"/>
    <w:rsid w:val="001D07C7"/>
    <w:rsid w:val="001D4DEC"/>
    <w:rsid w:val="001D6D26"/>
    <w:rsid w:val="001D7357"/>
    <w:rsid w:val="001E25CC"/>
    <w:rsid w:val="001E49ED"/>
    <w:rsid w:val="001E6CE9"/>
    <w:rsid w:val="001E7A0C"/>
    <w:rsid w:val="001E7FDA"/>
    <w:rsid w:val="001F0516"/>
    <w:rsid w:val="001F10C4"/>
    <w:rsid w:val="001F1428"/>
    <w:rsid w:val="001F3666"/>
    <w:rsid w:val="001F3C1C"/>
    <w:rsid w:val="001F5A58"/>
    <w:rsid w:val="001F6120"/>
    <w:rsid w:val="00200A41"/>
    <w:rsid w:val="0020575C"/>
    <w:rsid w:val="0020778C"/>
    <w:rsid w:val="002107D3"/>
    <w:rsid w:val="00210A50"/>
    <w:rsid w:val="0021127C"/>
    <w:rsid w:val="00211C94"/>
    <w:rsid w:val="00211EAD"/>
    <w:rsid w:val="002130FF"/>
    <w:rsid w:val="002178C5"/>
    <w:rsid w:val="002204CA"/>
    <w:rsid w:val="00220636"/>
    <w:rsid w:val="00221791"/>
    <w:rsid w:val="00223986"/>
    <w:rsid w:val="00225F6D"/>
    <w:rsid w:val="002305D8"/>
    <w:rsid w:val="00231A53"/>
    <w:rsid w:val="00232E64"/>
    <w:rsid w:val="0023511A"/>
    <w:rsid w:val="00235465"/>
    <w:rsid w:val="00237154"/>
    <w:rsid w:val="002426B2"/>
    <w:rsid w:val="002431EB"/>
    <w:rsid w:val="002459A4"/>
    <w:rsid w:val="00247028"/>
    <w:rsid w:val="002500D8"/>
    <w:rsid w:val="00250C4D"/>
    <w:rsid w:val="002529DC"/>
    <w:rsid w:val="00252FF9"/>
    <w:rsid w:val="00257D1B"/>
    <w:rsid w:val="002617A8"/>
    <w:rsid w:val="00262905"/>
    <w:rsid w:val="002656D0"/>
    <w:rsid w:val="002659F3"/>
    <w:rsid w:val="00275573"/>
    <w:rsid w:val="00276763"/>
    <w:rsid w:val="00277E08"/>
    <w:rsid w:val="00280586"/>
    <w:rsid w:val="00281D2E"/>
    <w:rsid w:val="002828C4"/>
    <w:rsid w:val="00282A63"/>
    <w:rsid w:val="002838F3"/>
    <w:rsid w:val="00290243"/>
    <w:rsid w:val="0029049C"/>
    <w:rsid w:val="00290F57"/>
    <w:rsid w:val="00291181"/>
    <w:rsid w:val="00291A67"/>
    <w:rsid w:val="002942C0"/>
    <w:rsid w:val="00294861"/>
    <w:rsid w:val="002959CC"/>
    <w:rsid w:val="002973A1"/>
    <w:rsid w:val="002A0811"/>
    <w:rsid w:val="002A17BB"/>
    <w:rsid w:val="002A3B1C"/>
    <w:rsid w:val="002A43BC"/>
    <w:rsid w:val="002A57F2"/>
    <w:rsid w:val="002B0E50"/>
    <w:rsid w:val="002B1995"/>
    <w:rsid w:val="002B1AB4"/>
    <w:rsid w:val="002C014D"/>
    <w:rsid w:val="002C2480"/>
    <w:rsid w:val="002C2EAE"/>
    <w:rsid w:val="002C4B68"/>
    <w:rsid w:val="002C7547"/>
    <w:rsid w:val="002D0666"/>
    <w:rsid w:val="002D0ACC"/>
    <w:rsid w:val="002D0EFF"/>
    <w:rsid w:val="002D430F"/>
    <w:rsid w:val="002D4780"/>
    <w:rsid w:val="002D69B5"/>
    <w:rsid w:val="002D7012"/>
    <w:rsid w:val="002E0E68"/>
    <w:rsid w:val="002E2429"/>
    <w:rsid w:val="002E33D8"/>
    <w:rsid w:val="002E57BA"/>
    <w:rsid w:val="002E5E69"/>
    <w:rsid w:val="002F2D99"/>
    <w:rsid w:val="002F362B"/>
    <w:rsid w:val="002F5412"/>
    <w:rsid w:val="002F72EB"/>
    <w:rsid w:val="00300346"/>
    <w:rsid w:val="00301941"/>
    <w:rsid w:val="00301F9E"/>
    <w:rsid w:val="00305030"/>
    <w:rsid w:val="00305604"/>
    <w:rsid w:val="003057F4"/>
    <w:rsid w:val="003124A1"/>
    <w:rsid w:val="00312906"/>
    <w:rsid w:val="00312D52"/>
    <w:rsid w:val="003149C7"/>
    <w:rsid w:val="00314B03"/>
    <w:rsid w:val="00315B4D"/>
    <w:rsid w:val="0031772C"/>
    <w:rsid w:val="003178AA"/>
    <w:rsid w:val="00320139"/>
    <w:rsid w:val="003206C2"/>
    <w:rsid w:val="0032392E"/>
    <w:rsid w:val="0032422E"/>
    <w:rsid w:val="0032633F"/>
    <w:rsid w:val="00330CFA"/>
    <w:rsid w:val="0033245F"/>
    <w:rsid w:val="00332473"/>
    <w:rsid w:val="00333681"/>
    <w:rsid w:val="00335A6D"/>
    <w:rsid w:val="00336123"/>
    <w:rsid w:val="003363F3"/>
    <w:rsid w:val="0033774E"/>
    <w:rsid w:val="00341578"/>
    <w:rsid w:val="00342084"/>
    <w:rsid w:val="0034236C"/>
    <w:rsid w:val="0034637A"/>
    <w:rsid w:val="00353797"/>
    <w:rsid w:val="00353836"/>
    <w:rsid w:val="0035462F"/>
    <w:rsid w:val="00355D2B"/>
    <w:rsid w:val="00356CD4"/>
    <w:rsid w:val="00361571"/>
    <w:rsid w:val="003643A2"/>
    <w:rsid w:val="00364D2B"/>
    <w:rsid w:val="00370826"/>
    <w:rsid w:val="003765E9"/>
    <w:rsid w:val="00376672"/>
    <w:rsid w:val="0038091B"/>
    <w:rsid w:val="00380A31"/>
    <w:rsid w:val="00380B51"/>
    <w:rsid w:val="00380BE0"/>
    <w:rsid w:val="00386679"/>
    <w:rsid w:val="00387536"/>
    <w:rsid w:val="003916E6"/>
    <w:rsid w:val="00394B31"/>
    <w:rsid w:val="00397231"/>
    <w:rsid w:val="003977D6"/>
    <w:rsid w:val="003A11FF"/>
    <w:rsid w:val="003A1F8E"/>
    <w:rsid w:val="003B22C1"/>
    <w:rsid w:val="003B2D76"/>
    <w:rsid w:val="003B3C80"/>
    <w:rsid w:val="003B4334"/>
    <w:rsid w:val="003B583D"/>
    <w:rsid w:val="003B77EB"/>
    <w:rsid w:val="003B7E0C"/>
    <w:rsid w:val="003C5281"/>
    <w:rsid w:val="003C5D76"/>
    <w:rsid w:val="003C7C20"/>
    <w:rsid w:val="003D0794"/>
    <w:rsid w:val="003D6087"/>
    <w:rsid w:val="003D7487"/>
    <w:rsid w:val="003E027C"/>
    <w:rsid w:val="003E5C9F"/>
    <w:rsid w:val="003E7819"/>
    <w:rsid w:val="003F0FA1"/>
    <w:rsid w:val="003F1237"/>
    <w:rsid w:val="003F2AFA"/>
    <w:rsid w:val="003F445F"/>
    <w:rsid w:val="003F4A15"/>
    <w:rsid w:val="003F53B6"/>
    <w:rsid w:val="003F5727"/>
    <w:rsid w:val="003F5B9A"/>
    <w:rsid w:val="003F5E97"/>
    <w:rsid w:val="003F5EEC"/>
    <w:rsid w:val="0040004E"/>
    <w:rsid w:val="004003A9"/>
    <w:rsid w:val="00400500"/>
    <w:rsid w:val="00403DEA"/>
    <w:rsid w:val="00403EF0"/>
    <w:rsid w:val="00406EE1"/>
    <w:rsid w:val="004076F8"/>
    <w:rsid w:val="00407D02"/>
    <w:rsid w:val="004128D3"/>
    <w:rsid w:val="004136BF"/>
    <w:rsid w:val="0041459B"/>
    <w:rsid w:val="00414719"/>
    <w:rsid w:val="004148B0"/>
    <w:rsid w:val="00414F8D"/>
    <w:rsid w:val="0041688B"/>
    <w:rsid w:val="00416F7A"/>
    <w:rsid w:val="004173DE"/>
    <w:rsid w:val="004227AC"/>
    <w:rsid w:val="00424C9F"/>
    <w:rsid w:val="00432523"/>
    <w:rsid w:val="00433256"/>
    <w:rsid w:val="00437239"/>
    <w:rsid w:val="00440DC2"/>
    <w:rsid w:val="00442EE7"/>
    <w:rsid w:val="0044487A"/>
    <w:rsid w:val="00447958"/>
    <w:rsid w:val="00451334"/>
    <w:rsid w:val="00455BEB"/>
    <w:rsid w:val="00457B66"/>
    <w:rsid w:val="00457EAC"/>
    <w:rsid w:val="00463737"/>
    <w:rsid w:val="00464B57"/>
    <w:rsid w:val="00464FFE"/>
    <w:rsid w:val="00465689"/>
    <w:rsid w:val="004707B6"/>
    <w:rsid w:val="00470B12"/>
    <w:rsid w:val="00470B23"/>
    <w:rsid w:val="00473C7F"/>
    <w:rsid w:val="004752E3"/>
    <w:rsid w:val="00475545"/>
    <w:rsid w:val="00476ADB"/>
    <w:rsid w:val="00476F8B"/>
    <w:rsid w:val="00477F13"/>
    <w:rsid w:val="00483C57"/>
    <w:rsid w:val="0048501F"/>
    <w:rsid w:val="004868AD"/>
    <w:rsid w:val="00486CCE"/>
    <w:rsid w:val="00487C9F"/>
    <w:rsid w:val="00487CE8"/>
    <w:rsid w:val="00487DF7"/>
    <w:rsid w:val="00490699"/>
    <w:rsid w:val="0049117C"/>
    <w:rsid w:val="004914A0"/>
    <w:rsid w:val="00491B6E"/>
    <w:rsid w:val="00492C1C"/>
    <w:rsid w:val="0049320F"/>
    <w:rsid w:val="00494519"/>
    <w:rsid w:val="0049460D"/>
    <w:rsid w:val="00494A82"/>
    <w:rsid w:val="00494D31"/>
    <w:rsid w:val="004A4533"/>
    <w:rsid w:val="004A4B0C"/>
    <w:rsid w:val="004A6C44"/>
    <w:rsid w:val="004B02AC"/>
    <w:rsid w:val="004B2D62"/>
    <w:rsid w:val="004B54A5"/>
    <w:rsid w:val="004B684B"/>
    <w:rsid w:val="004B68C1"/>
    <w:rsid w:val="004B6D3B"/>
    <w:rsid w:val="004C000F"/>
    <w:rsid w:val="004C048A"/>
    <w:rsid w:val="004C0BAB"/>
    <w:rsid w:val="004C1BAB"/>
    <w:rsid w:val="004C5041"/>
    <w:rsid w:val="004C5A81"/>
    <w:rsid w:val="004C5ADA"/>
    <w:rsid w:val="004C74FC"/>
    <w:rsid w:val="004C7E30"/>
    <w:rsid w:val="004D18BB"/>
    <w:rsid w:val="004D3045"/>
    <w:rsid w:val="004D3330"/>
    <w:rsid w:val="004D40EF"/>
    <w:rsid w:val="004D648E"/>
    <w:rsid w:val="004D6852"/>
    <w:rsid w:val="004D699C"/>
    <w:rsid w:val="004D6EE4"/>
    <w:rsid w:val="004D77CB"/>
    <w:rsid w:val="004E1EAE"/>
    <w:rsid w:val="004E3864"/>
    <w:rsid w:val="004E3BD7"/>
    <w:rsid w:val="004E462B"/>
    <w:rsid w:val="004E5571"/>
    <w:rsid w:val="004E6C97"/>
    <w:rsid w:val="004F0B6F"/>
    <w:rsid w:val="004F17B7"/>
    <w:rsid w:val="004F30ED"/>
    <w:rsid w:val="004F358C"/>
    <w:rsid w:val="004F36C1"/>
    <w:rsid w:val="004F4551"/>
    <w:rsid w:val="004F50EC"/>
    <w:rsid w:val="004F5DA2"/>
    <w:rsid w:val="004F732F"/>
    <w:rsid w:val="0050030D"/>
    <w:rsid w:val="00504E04"/>
    <w:rsid w:val="0050508C"/>
    <w:rsid w:val="00505DAD"/>
    <w:rsid w:val="005061ED"/>
    <w:rsid w:val="005119B7"/>
    <w:rsid w:val="00517768"/>
    <w:rsid w:val="005203A9"/>
    <w:rsid w:val="00521DDF"/>
    <w:rsid w:val="00524405"/>
    <w:rsid w:val="00531D49"/>
    <w:rsid w:val="00531FD2"/>
    <w:rsid w:val="00532801"/>
    <w:rsid w:val="00532C5A"/>
    <w:rsid w:val="0053367F"/>
    <w:rsid w:val="005338D5"/>
    <w:rsid w:val="00534DE6"/>
    <w:rsid w:val="00535524"/>
    <w:rsid w:val="00535B1B"/>
    <w:rsid w:val="00535FCA"/>
    <w:rsid w:val="00536D8D"/>
    <w:rsid w:val="00542364"/>
    <w:rsid w:val="005426D8"/>
    <w:rsid w:val="005445F2"/>
    <w:rsid w:val="00545A2D"/>
    <w:rsid w:val="00545E7D"/>
    <w:rsid w:val="00546FC7"/>
    <w:rsid w:val="005503DB"/>
    <w:rsid w:val="005505FF"/>
    <w:rsid w:val="005518D5"/>
    <w:rsid w:val="00551D6E"/>
    <w:rsid w:val="00554009"/>
    <w:rsid w:val="005542A0"/>
    <w:rsid w:val="00560578"/>
    <w:rsid w:val="0056134E"/>
    <w:rsid w:val="005622DB"/>
    <w:rsid w:val="0056333B"/>
    <w:rsid w:val="00563A35"/>
    <w:rsid w:val="00564724"/>
    <w:rsid w:val="00566FBB"/>
    <w:rsid w:val="00567330"/>
    <w:rsid w:val="00567669"/>
    <w:rsid w:val="00567727"/>
    <w:rsid w:val="00571E41"/>
    <w:rsid w:val="00572EB7"/>
    <w:rsid w:val="0057494F"/>
    <w:rsid w:val="00576AB0"/>
    <w:rsid w:val="00582618"/>
    <w:rsid w:val="00583956"/>
    <w:rsid w:val="00583D13"/>
    <w:rsid w:val="005853A1"/>
    <w:rsid w:val="00586AA0"/>
    <w:rsid w:val="00587D75"/>
    <w:rsid w:val="005910D5"/>
    <w:rsid w:val="0059260A"/>
    <w:rsid w:val="005A3919"/>
    <w:rsid w:val="005A652A"/>
    <w:rsid w:val="005B66B3"/>
    <w:rsid w:val="005C507C"/>
    <w:rsid w:val="005C5FD2"/>
    <w:rsid w:val="005C71B2"/>
    <w:rsid w:val="005D0BBC"/>
    <w:rsid w:val="005D2001"/>
    <w:rsid w:val="005D4A56"/>
    <w:rsid w:val="005D4B3F"/>
    <w:rsid w:val="005D510D"/>
    <w:rsid w:val="005D69AA"/>
    <w:rsid w:val="005D6E9D"/>
    <w:rsid w:val="005E2455"/>
    <w:rsid w:val="005E4586"/>
    <w:rsid w:val="005E4BD2"/>
    <w:rsid w:val="005E5BB3"/>
    <w:rsid w:val="005E6666"/>
    <w:rsid w:val="005F07D1"/>
    <w:rsid w:val="005F2093"/>
    <w:rsid w:val="005F20A3"/>
    <w:rsid w:val="005F224E"/>
    <w:rsid w:val="005F3EA9"/>
    <w:rsid w:val="005F5A1A"/>
    <w:rsid w:val="005F735F"/>
    <w:rsid w:val="005F78C9"/>
    <w:rsid w:val="005F7C00"/>
    <w:rsid w:val="00600F17"/>
    <w:rsid w:val="006013CF"/>
    <w:rsid w:val="00603336"/>
    <w:rsid w:val="00603797"/>
    <w:rsid w:val="00604690"/>
    <w:rsid w:val="006051D8"/>
    <w:rsid w:val="00610FA2"/>
    <w:rsid w:val="006111D0"/>
    <w:rsid w:val="00611F27"/>
    <w:rsid w:val="00613638"/>
    <w:rsid w:val="00615FDA"/>
    <w:rsid w:val="006167EE"/>
    <w:rsid w:val="00621791"/>
    <w:rsid w:val="00621DE5"/>
    <w:rsid w:val="00622FE6"/>
    <w:rsid w:val="00625F01"/>
    <w:rsid w:val="00627894"/>
    <w:rsid w:val="00627EE0"/>
    <w:rsid w:val="006308D6"/>
    <w:rsid w:val="00632425"/>
    <w:rsid w:val="00632DB8"/>
    <w:rsid w:val="00635C85"/>
    <w:rsid w:val="0063654F"/>
    <w:rsid w:val="00636608"/>
    <w:rsid w:val="00637D78"/>
    <w:rsid w:val="00641199"/>
    <w:rsid w:val="00643560"/>
    <w:rsid w:val="006437E0"/>
    <w:rsid w:val="00645506"/>
    <w:rsid w:val="00645D55"/>
    <w:rsid w:val="00646204"/>
    <w:rsid w:val="00646758"/>
    <w:rsid w:val="00646F46"/>
    <w:rsid w:val="006475A5"/>
    <w:rsid w:val="00647DF7"/>
    <w:rsid w:val="00650AF6"/>
    <w:rsid w:val="00653189"/>
    <w:rsid w:val="006538C3"/>
    <w:rsid w:val="00653FE2"/>
    <w:rsid w:val="00654268"/>
    <w:rsid w:val="0065429F"/>
    <w:rsid w:val="00654382"/>
    <w:rsid w:val="0065525C"/>
    <w:rsid w:val="0065644D"/>
    <w:rsid w:val="00656642"/>
    <w:rsid w:val="00661836"/>
    <w:rsid w:val="00664883"/>
    <w:rsid w:val="00664E0B"/>
    <w:rsid w:val="00666B4C"/>
    <w:rsid w:val="00671655"/>
    <w:rsid w:val="00671BCF"/>
    <w:rsid w:val="0067372E"/>
    <w:rsid w:val="006747D5"/>
    <w:rsid w:val="00676CE1"/>
    <w:rsid w:val="00680E72"/>
    <w:rsid w:val="00681C39"/>
    <w:rsid w:val="00682643"/>
    <w:rsid w:val="00683D2A"/>
    <w:rsid w:val="00686515"/>
    <w:rsid w:val="00697F70"/>
    <w:rsid w:val="006A177B"/>
    <w:rsid w:val="006A2C19"/>
    <w:rsid w:val="006A3B35"/>
    <w:rsid w:val="006A4A0D"/>
    <w:rsid w:val="006B051B"/>
    <w:rsid w:val="006B2A5A"/>
    <w:rsid w:val="006B7056"/>
    <w:rsid w:val="006C4460"/>
    <w:rsid w:val="006C5E95"/>
    <w:rsid w:val="006D2364"/>
    <w:rsid w:val="006D633C"/>
    <w:rsid w:val="006E041F"/>
    <w:rsid w:val="006E11AD"/>
    <w:rsid w:val="006E15E8"/>
    <w:rsid w:val="006E198D"/>
    <w:rsid w:val="006E1A95"/>
    <w:rsid w:val="006E363D"/>
    <w:rsid w:val="006E524A"/>
    <w:rsid w:val="006E550D"/>
    <w:rsid w:val="006F2B4A"/>
    <w:rsid w:val="006F2F25"/>
    <w:rsid w:val="006F669D"/>
    <w:rsid w:val="006F793B"/>
    <w:rsid w:val="006F7B24"/>
    <w:rsid w:val="00700A2B"/>
    <w:rsid w:val="007010C5"/>
    <w:rsid w:val="00701FA6"/>
    <w:rsid w:val="00702149"/>
    <w:rsid w:val="00703318"/>
    <w:rsid w:val="00707418"/>
    <w:rsid w:val="00710B80"/>
    <w:rsid w:val="00711802"/>
    <w:rsid w:val="00712452"/>
    <w:rsid w:val="00712FE0"/>
    <w:rsid w:val="00714908"/>
    <w:rsid w:val="007170A5"/>
    <w:rsid w:val="00720BBF"/>
    <w:rsid w:val="00722260"/>
    <w:rsid w:val="00725AF7"/>
    <w:rsid w:val="00727760"/>
    <w:rsid w:val="00730145"/>
    <w:rsid w:val="00732A7A"/>
    <w:rsid w:val="00733BE5"/>
    <w:rsid w:val="00734D42"/>
    <w:rsid w:val="007374B8"/>
    <w:rsid w:val="00737794"/>
    <w:rsid w:val="00737DBC"/>
    <w:rsid w:val="00743BF3"/>
    <w:rsid w:val="007465C0"/>
    <w:rsid w:val="007468B6"/>
    <w:rsid w:val="00750013"/>
    <w:rsid w:val="00751669"/>
    <w:rsid w:val="00755984"/>
    <w:rsid w:val="007567EC"/>
    <w:rsid w:val="00760543"/>
    <w:rsid w:val="00760C33"/>
    <w:rsid w:val="00763EF7"/>
    <w:rsid w:val="00764B50"/>
    <w:rsid w:val="00766589"/>
    <w:rsid w:val="007668E1"/>
    <w:rsid w:val="0077025E"/>
    <w:rsid w:val="00771630"/>
    <w:rsid w:val="00771FEE"/>
    <w:rsid w:val="007732D4"/>
    <w:rsid w:val="007743B0"/>
    <w:rsid w:val="00775472"/>
    <w:rsid w:val="00775EB1"/>
    <w:rsid w:val="00777557"/>
    <w:rsid w:val="00777A26"/>
    <w:rsid w:val="00777D81"/>
    <w:rsid w:val="00780204"/>
    <w:rsid w:val="00780B49"/>
    <w:rsid w:val="00783277"/>
    <w:rsid w:val="007876F4"/>
    <w:rsid w:val="00793E92"/>
    <w:rsid w:val="00795AC5"/>
    <w:rsid w:val="007A0634"/>
    <w:rsid w:val="007A3BCE"/>
    <w:rsid w:val="007A3D87"/>
    <w:rsid w:val="007A5FEB"/>
    <w:rsid w:val="007A72C1"/>
    <w:rsid w:val="007A72F1"/>
    <w:rsid w:val="007B0444"/>
    <w:rsid w:val="007B0989"/>
    <w:rsid w:val="007B28BE"/>
    <w:rsid w:val="007B6015"/>
    <w:rsid w:val="007B6188"/>
    <w:rsid w:val="007B67A4"/>
    <w:rsid w:val="007C3926"/>
    <w:rsid w:val="007C437B"/>
    <w:rsid w:val="007C7F03"/>
    <w:rsid w:val="007D2935"/>
    <w:rsid w:val="007E0097"/>
    <w:rsid w:val="007E03A8"/>
    <w:rsid w:val="007E1EA4"/>
    <w:rsid w:val="007E3D17"/>
    <w:rsid w:val="007E5C24"/>
    <w:rsid w:val="007F1FF4"/>
    <w:rsid w:val="007F3B2F"/>
    <w:rsid w:val="007F78B6"/>
    <w:rsid w:val="008024FB"/>
    <w:rsid w:val="00802F51"/>
    <w:rsid w:val="00804830"/>
    <w:rsid w:val="008123B2"/>
    <w:rsid w:val="00812CB7"/>
    <w:rsid w:val="00813E87"/>
    <w:rsid w:val="0081498F"/>
    <w:rsid w:val="00821C29"/>
    <w:rsid w:val="00824991"/>
    <w:rsid w:val="0082721C"/>
    <w:rsid w:val="00831F8B"/>
    <w:rsid w:val="00835E7D"/>
    <w:rsid w:val="008368D1"/>
    <w:rsid w:val="008377F3"/>
    <w:rsid w:val="00841EA0"/>
    <w:rsid w:val="008426A2"/>
    <w:rsid w:val="00844900"/>
    <w:rsid w:val="00845EB7"/>
    <w:rsid w:val="008477B0"/>
    <w:rsid w:val="00854319"/>
    <w:rsid w:val="008572EA"/>
    <w:rsid w:val="008616C2"/>
    <w:rsid w:val="00862C40"/>
    <w:rsid w:val="0086483D"/>
    <w:rsid w:val="00867520"/>
    <w:rsid w:val="008747B2"/>
    <w:rsid w:val="00874C6E"/>
    <w:rsid w:val="008807A8"/>
    <w:rsid w:val="00880EEC"/>
    <w:rsid w:val="008815A6"/>
    <w:rsid w:val="0088179D"/>
    <w:rsid w:val="00882583"/>
    <w:rsid w:val="0088262F"/>
    <w:rsid w:val="00883C5A"/>
    <w:rsid w:val="00885190"/>
    <w:rsid w:val="00885FE9"/>
    <w:rsid w:val="008904BF"/>
    <w:rsid w:val="00891BD1"/>
    <w:rsid w:val="00893494"/>
    <w:rsid w:val="0089434F"/>
    <w:rsid w:val="00895170"/>
    <w:rsid w:val="008A022B"/>
    <w:rsid w:val="008A21E5"/>
    <w:rsid w:val="008A2C30"/>
    <w:rsid w:val="008A4332"/>
    <w:rsid w:val="008A4DFE"/>
    <w:rsid w:val="008B317B"/>
    <w:rsid w:val="008B3D53"/>
    <w:rsid w:val="008B46D6"/>
    <w:rsid w:val="008B6DA8"/>
    <w:rsid w:val="008B76B8"/>
    <w:rsid w:val="008C10CF"/>
    <w:rsid w:val="008C224F"/>
    <w:rsid w:val="008C33C0"/>
    <w:rsid w:val="008C3704"/>
    <w:rsid w:val="008C4763"/>
    <w:rsid w:val="008C4DF8"/>
    <w:rsid w:val="008C5EA6"/>
    <w:rsid w:val="008C7281"/>
    <w:rsid w:val="008D416C"/>
    <w:rsid w:val="008D658C"/>
    <w:rsid w:val="008E13E8"/>
    <w:rsid w:val="008E1966"/>
    <w:rsid w:val="008E27D7"/>
    <w:rsid w:val="008E3AD6"/>
    <w:rsid w:val="008E5ABE"/>
    <w:rsid w:val="008E6E5E"/>
    <w:rsid w:val="008F20A6"/>
    <w:rsid w:val="008F5389"/>
    <w:rsid w:val="008F7DBB"/>
    <w:rsid w:val="00902362"/>
    <w:rsid w:val="009026D1"/>
    <w:rsid w:val="00904FC9"/>
    <w:rsid w:val="00905E85"/>
    <w:rsid w:val="00906868"/>
    <w:rsid w:val="0090719F"/>
    <w:rsid w:val="00907C5A"/>
    <w:rsid w:val="00910D5D"/>
    <w:rsid w:val="00911BA2"/>
    <w:rsid w:val="00912734"/>
    <w:rsid w:val="009134DB"/>
    <w:rsid w:val="009135A4"/>
    <w:rsid w:val="0091388E"/>
    <w:rsid w:val="0091436A"/>
    <w:rsid w:val="00914519"/>
    <w:rsid w:val="00914ACA"/>
    <w:rsid w:val="00917214"/>
    <w:rsid w:val="009209B7"/>
    <w:rsid w:val="00923F20"/>
    <w:rsid w:val="00924749"/>
    <w:rsid w:val="009258F6"/>
    <w:rsid w:val="00926A0B"/>
    <w:rsid w:val="00927438"/>
    <w:rsid w:val="00927E22"/>
    <w:rsid w:val="00930134"/>
    <w:rsid w:val="0093239A"/>
    <w:rsid w:val="009328B8"/>
    <w:rsid w:val="00932CA2"/>
    <w:rsid w:val="00933801"/>
    <w:rsid w:val="0093776D"/>
    <w:rsid w:val="009409F5"/>
    <w:rsid w:val="00941021"/>
    <w:rsid w:val="00941AB5"/>
    <w:rsid w:val="009430C7"/>
    <w:rsid w:val="00943329"/>
    <w:rsid w:val="00946488"/>
    <w:rsid w:val="00946572"/>
    <w:rsid w:val="00951BD1"/>
    <w:rsid w:val="00952CD4"/>
    <w:rsid w:val="0095351E"/>
    <w:rsid w:val="00953757"/>
    <w:rsid w:val="009610BD"/>
    <w:rsid w:val="009619F8"/>
    <w:rsid w:val="009636F8"/>
    <w:rsid w:val="00965730"/>
    <w:rsid w:val="0096796B"/>
    <w:rsid w:val="009710DB"/>
    <w:rsid w:val="009713D3"/>
    <w:rsid w:val="009718AF"/>
    <w:rsid w:val="009723B4"/>
    <w:rsid w:val="00973E5E"/>
    <w:rsid w:val="009768ED"/>
    <w:rsid w:val="0098078E"/>
    <w:rsid w:val="009811D6"/>
    <w:rsid w:val="009839FC"/>
    <w:rsid w:val="009843C7"/>
    <w:rsid w:val="009848B0"/>
    <w:rsid w:val="00984AF7"/>
    <w:rsid w:val="009859CF"/>
    <w:rsid w:val="00990645"/>
    <w:rsid w:val="009913EE"/>
    <w:rsid w:val="00991BC1"/>
    <w:rsid w:val="009A3808"/>
    <w:rsid w:val="009A3EE0"/>
    <w:rsid w:val="009A4F71"/>
    <w:rsid w:val="009A5E6A"/>
    <w:rsid w:val="009A69FA"/>
    <w:rsid w:val="009A7BFA"/>
    <w:rsid w:val="009B2470"/>
    <w:rsid w:val="009B285B"/>
    <w:rsid w:val="009B7035"/>
    <w:rsid w:val="009C0187"/>
    <w:rsid w:val="009C031A"/>
    <w:rsid w:val="009C0750"/>
    <w:rsid w:val="009C21D5"/>
    <w:rsid w:val="009C4062"/>
    <w:rsid w:val="009D0B45"/>
    <w:rsid w:val="009D0D98"/>
    <w:rsid w:val="009D1314"/>
    <w:rsid w:val="009D474D"/>
    <w:rsid w:val="009E1191"/>
    <w:rsid w:val="009E2EB0"/>
    <w:rsid w:val="009E46B2"/>
    <w:rsid w:val="009E650C"/>
    <w:rsid w:val="009F0F62"/>
    <w:rsid w:val="009F4C74"/>
    <w:rsid w:val="009F6591"/>
    <w:rsid w:val="009F6BB1"/>
    <w:rsid w:val="00A01DFF"/>
    <w:rsid w:val="00A02019"/>
    <w:rsid w:val="00A058BC"/>
    <w:rsid w:val="00A06389"/>
    <w:rsid w:val="00A06452"/>
    <w:rsid w:val="00A07144"/>
    <w:rsid w:val="00A11B51"/>
    <w:rsid w:val="00A12E31"/>
    <w:rsid w:val="00A132E4"/>
    <w:rsid w:val="00A201AC"/>
    <w:rsid w:val="00A20BC5"/>
    <w:rsid w:val="00A25754"/>
    <w:rsid w:val="00A2640A"/>
    <w:rsid w:val="00A26832"/>
    <w:rsid w:val="00A278CE"/>
    <w:rsid w:val="00A33E8A"/>
    <w:rsid w:val="00A35477"/>
    <w:rsid w:val="00A3602B"/>
    <w:rsid w:val="00A362BE"/>
    <w:rsid w:val="00A373DB"/>
    <w:rsid w:val="00A426F7"/>
    <w:rsid w:val="00A42EC2"/>
    <w:rsid w:val="00A45CFF"/>
    <w:rsid w:val="00A46732"/>
    <w:rsid w:val="00A477FB"/>
    <w:rsid w:val="00A47B35"/>
    <w:rsid w:val="00A518C4"/>
    <w:rsid w:val="00A522A1"/>
    <w:rsid w:val="00A540B2"/>
    <w:rsid w:val="00A55EAC"/>
    <w:rsid w:val="00A570B7"/>
    <w:rsid w:val="00A63409"/>
    <w:rsid w:val="00A63E96"/>
    <w:rsid w:val="00A63EEE"/>
    <w:rsid w:val="00A6526E"/>
    <w:rsid w:val="00A71A6C"/>
    <w:rsid w:val="00A74E8B"/>
    <w:rsid w:val="00A75074"/>
    <w:rsid w:val="00A77949"/>
    <w:rsid w:val="00A77D0D"/>
    <w:rsid w:val="00A806AE"/>
    <w:rsid w:val="00A905DE"/>
    <w:rsid w:val="00A94931"/>
    <w:rsid w:val="00AA0C16"/>
    <w:rsid w:val="00AA2904"/>
    <w:rsid w:val="00AA3659"/>
    <w:rsid w:val="00AA7FD5"/>
    <w:rsid w:val="00AB16B2"/>
    <w:rsid w:val="00AB1BD2"/>
    <w:rsid w:val="00AB570A"/>
    <w:rsid w:val="00AB5F87"/>
    <w:rsid w:val="00AC0474"/>
    <w:rsid w:val="00AC2681"/>
    <w:rsid w:val="00AC3399"/>
    <w:rsid w:val="00AC7A1E"/>
    <w:rsid w:val="00AD3573"/>
    <w:rsid w:val="00AD3681"/>
    <w:rsid w:val="00AD3E0D"/>
    <w:rsid w:val="00AD4D32"/>
    <w:rsid w:val="00AD5FA1"/>
    <w:rsid w:val="00AD5FD3"/>
    <w:rsid w:val="00AD6012"/>
    <w:rsid w:val="00AD71AB"/>
    <w:rsid w:val="00AE44C8"/>
    <w:rsid w:val="00AE6585"/>
    <w:rsid w:val="00AE7987"/>
    <w:rsid w:val="00AF2E1B"/>
    <w:rsid w:val="00AF576A"/>
    <w:rsid w:val="00AF79B2"/>
    <w:rsid w:val="00B01DEE"/>
    <w:rsid w:val="00B02BEC"/>
    <w:rsid w:val="00B03A82"/>
    <w:rsid w:val="00B0607B"/>
    <w:rsid w:val="00B06247"/>
    <w:rsid w:val="00B0640E"/>
    <w:rsid w:val="00B129C8"/>
    <w:rsid w:val="00B13596"/>
    <w:rsid w:val="00B2256F"/>
    <w:rsid w:val="00B23470"/>
    <w:rsid w:val="00B33771"/>
    <w:rsid w:val="00B3609D"/>
    <w:rsid w:val="00B377CB"/>
    <w:rsid w:val="00B47902"/>
    <w:rsid w:val="00B479BD"/>
    <w:rsid w:val="00B50E3D"/>
    <w:rsid w:val="00B52FAA"/>
    <w:rsid w:val="00B549A5"/>
    <w:rsid w:val="00B567AB"/>
    <w:rsid w:val="00B6344A"/>
    <w:rsid w:val="00B63569"/>
    <w:rsid w:val="00B65737"/>
    <w:rsid w:val="00B65932"/>
    <w:rsid w:val="00B72FDE"/>
    <w:rsid w:val="00B8049F"/>
    <w:rsid w:val="00B84A36"/>
    <w:rsid w:val="00B861EA"/>
    <w:rsid w:val="00B873EC"/>
    <w:rsid w:val="00B9307B"/>
    <w:rsid w:val="00B9355A"/>
    <w:rsid w:val="00B94EF3"/>
    <w:rsid w:val="00B96400"/>
    <w:rsid w:val="00B965CA"/>
    <w:rsid w:val="00B967FF"/>
    <w:rsid w:val="00BA2032"/>
    <w:rsid w:val="00BA3FA8"/>
    <w:rsid w:val="00BA55CA"/>
    <w:rsid w:val="00BA5EC7"/>
    <w:rsid w:val="00BA70BC"/>
    <w:rsid w:val="00BB0841"/>
    <w:rsid w:val="00BB1FBB"/>
    <w:rsid w:val="00BB7439"/>
    <w:rsid w:val="00BC00C0"/>
    <w:rsid w:val="00BC0712"/>
    <w:rsid w:val="00BC0910"/>
    <w:rsid w:val="00BC1377"/>
    <w:rsid w:val="00BC2EFB"/>
    <w:rsid w:val="00BC56BA"/>
    <w:rsid w:val="00BC74AF"/>
    <w:rsid w:val="00BD01E7"/>
    <w:rsid w:val="00BD4002"/>
    <w:rsid w:val="00BD6641"/>
    <w:rsid w:val="00BD75BE"/>
    <w:rsid w:val="00BE0EA1"/>
    <w:rsid w:val="00BE14B9"/>
    <w:rsid w:val="00BE2CD7"/>
    <w:rsid w:val="00BE3E7F"/>
    <w:rsid w:val="00BE5209"/>
    <w:rsid w:val="00BF05AD"/>
    <w:rsid w:val="00BF1E34"/>
    <w:rsid w:val="00BF25D7"/>
    <w:rsid w:val="00BF4E31"/>
    <w:rsid w:val="00BF6F9B"/>
    <w:rsid w:val="00C034FD"/>
    <w:rsid w:val="00C04C33"/>
    <w:rsid w:val="00C06EAB"/>
    <w:rsid w:val="00C07265"/>
    <w:rsid w:val="00C07520"/>
    <w:rsid w:val="00C1122B"/>
    <w:rsid w:val="00C12C86"/>
    <w:rsid w:val="00C136D7"/>
    <w:rsid w:val="00C140EB"/>
    <w:rsid w:val="00C25024"/>
    <w:rsid w:val="00C27938"/>
    <w:rsid w:val="00C35C40"/>
    <w:rsid w:val="00C369EF"/>
    <w:rsid w:val="00C436B3"/>
    <w:rsid w:val="00C44040"/>
    <w:rsid w:val="00C44342"/>
    <w:rsid w:val="00C44F3F"/>
    <w:rsid w:val="00C472A5"/>
    <w:rsid w:val="00C502C5"/>
    <w:rsid w:val="00C5063C"/>
    <w:rsid w:val="00C50B23"/>
    <w:rsid w:val="00C51BFD"/>
    <w:rsid w:val="00C547CF"/>
    <w:rsid w:val="00C549EB"/>
    <w:rsid w:val="00C54DD9"/>
    <w:rsid w:val="00C56F4B"/>
    <w:rsid w:val="00C62C0E"/>
    <w:rsid w:val="00C656B4"/>
    <w:rsid w:val="00C66C11"/>
    <w:rsid w:val="00C7558C"/>
    <w:rsid w:val="00C778A5"/>
    <w:rsid w:val="00C77A61"/>
    <w:rsid w:val="00C77ECC"/>
    <w:rsid w:val="00C80BAC"/>
    <w:rsid w:val="00C8136E"/>
    <w:rsid w:val="00C8285B"/>
    <w:rsid w:val="00C82AAE"/>
    <w:rsid w:val="00C838A7"/>
    <w:rsid w:val="00C83B15"/>
    <w:rsid w:val="00C853CC"/>
    <w:rsid w:val="00C85AB9"/>
    <w:rsid w:val="00C862C2"/>
    <w:rsid w:val="00C873EE"/>
    <w:rsid w:val="00C9059D"/>
    <w:rsid w:val="00C91A11"/>
    <w:rsid w:val="00C92133"/>
    <w:rsid w:val="00C92537"/>
    <w:rsid w:val="00C9269C"/>
    <w:rsid w:val="00C926AB"/>
    <w:rsid w:val="00C95595"/>
    <w:rsid w:val="00CA4B0D"/>
    <w:rsid w:val="00CB1A61"/>
    <w:rsid w:val="00CB2C3B"/>
    <w:rsid w:val="00CB42AB"/>
    <w:rsid w:val="00CB64D5"/>
    <w:rsid w:val="00CB7B5D"/>
    <w:rsid w:val="00CC17D0"/>
    <w:rsid w:val="00CC49BD"/>
    <w:rsid w:val="00CC61E1"/>
    <w:rsid w:val="00CD4957"/>
    <w:rsid w:val="00CD6132"/>
    <w:rsid w:val="00CD795C"/>
    <w:rsid w:val="00CE1149"/>
    <w:rsid w:val="00CE4F8E"/>
    <w:rsid w:val="00CE6092"/>
    <w:rsid w:val="00CE768A"/>
    <w:rsid w:val="00CE7E29"/>
    <w:rsid w:val="00CE7EC6"/>
    <w:rsid w:val="00CF06E2"/>
    <w:rsid w:val="00CF1B25"/>
    <w:rsid w:val="00CF21E1"/>
    <w:rsid w:val="00CF58F9"/>
    <w:rsid w:val="00CF6D03"/>
    <w:rsid w:val="00CF7226"/>
    <w:rsid w:val="00D048EE"/>
    <w:rsid w:val="00D05BB6"/>
    <w:rsid w:val="00D07E50"/>
    <w:rsid w:val="00D100BE"/>
    <w:rsid w:val="00D112A1"/>
    <w:rsid w:val="00D11F36"/>
    <w:rsid w:val="00D13AE9"/>
    <w:rsid w:val="00D14477"/>
    <w:rsid w:val="00D171C4"/>
    <w:rsid w:val="00D179E5"/>
    <w:rsid w:val="00D17E20"/>
    <w:rsid w:val="00D20354"/>
    <w:rsid w:val="00D20B1A"/>
    <w:rsid w:val="00D219F9"/>
    <w:rsid w:val="00D2261D"/>
    <w:rsid w:val="00D23310"/>
    <w:rsid w:val="00D27DB8"/>
    <w:rsid w:val="00D30465"/>
    <w:rsid w:val="00D338A5"/>
    <w:rsid w:val="00D34685"/>
    <w:rsid w:val="00D356F6"/>
    <w:rsid w:val="00D35C91"/>
    <w:rsid w:val="00D36103"/>
    <w:rsid w:val="00D36308"/>
    <w:rsid w:val="00D37DCD"/>
    <w:rsid w:val="00D410CF"/>
    <w:rsid w:val="00D41DC0"/>
    <w:rsid w:val="00D42711"/>
    <w:rsid w:val="00D44222"/>
    <w:rsid w:val="00D53210"/>
    <w:rsid w:val="00D5512F"/>
    <w:rsid w:val="00D55FAD"/>
    <w:rsid w:val="00D57899"/>
    <w:rsid w:val="00D57C80"/>
    <w:rsid w:val="00D601A3"/>
    <w:rsid w:val="00D60E3A"/>
    <w:rsid w:val="00D6218A"/>
    <w:rsid w:val="00D64234"/>
    <w:rsid w:val="00D64C05"/>
    <w:rsid w:val="00D6578F"/>
    <w:rsid w:val="00D6580F"/>
    <w:rsid w:val="00D702D7"/>
    <w:rsid w:val="00D725FC"/>
    <w:rsid w:val="00D737CE"/>
    <w:rsid w:val="00D80063"/>
    <w:rsid w:val="00D813A1"/>
    <w:rsid w:val="00D82F7A"/>
    <w:rsid w:val="00D843DE"/>
    <w:rsid w:val="00D84C19"/>
    <w:rsid w:val="00D90938"/>
    <w:rsid w:val="00D961BB"/>
    <w:rsid w:val="00D97AB2"/>
    <w:rsid w:val="00DA1233"/>
    <w:rsid w:val="00DA262A"/>
    <w:rsid w:val="00DA46E9"/>
    <w:rsid w:val="00DA4B98"/>
    <w:rsid w:val="00DA5FBC"/>
    <w:rsid w:val="00DA684D"/>
    <w:rsid w:val="00DB3BD9"/>
    <w:rsid w:val="00DB50F1"/>
    <w:rsid w:val="00DB6561"/>
    <w:rsid w:val="00DC1872"/>
    <w:rsid w:val="00DC1F32"/>
    <w:rsid w:val="00DC4C3E"/>
    <w:rsid w:val="00DC5FFD"/>
    <w:rsid w:val="00DC6673"/>
    <w:rsid w:val="00DC6E6C"/>
    <w:rsid w:val="00DC6EAA"/>
    <w:rsid w:val="00DC7CBA"/>
    <w:rsid w:val="00DD0182"/>
    <w:rsid w:val="00DD39E9"/>
    <w:rsid w:val="00DD3CB9"/>
    <w:rsid w:val="00DD3E23"/>
    <w:rsid w:val="00DD3EC2"/>
    <w:rsid w:val="00DD54C1"/>
    <w:rsid w:val="00DD5841"/>
    <w:rsid w:val="00DD7609"/>
    <w:rsid w:val="00DD7653"/>
    <w:rsid w:val="00DE336C"/>
    <w:rsid w:val="00DE37A7"/>
    <w:rsid w:val="00DE3C5C"/>
    <w:rsid w:val="00DE3C8F"/>
    <w:rsid w:val="00DE630E"/>
    <w:rsid w:val="00DF0720"/>
    <w:rsid w:val="00DF2295"/>
    <w:rsid w:val="00DF48F3"/>
    <w:rsid w:val="00DF4AC1"/>
    <w:rsid w:val="00DF7B80"/>
    <w:rsid w:val="00E0113A"/>
    <w:rsid w:val="00E0185C"/>
    <w:rsid w:val="00E0193C"/>
    <w:rsid w:val="00E05797"/>
    <w:rsid w:val="00E154AE"/>
    <w:rsid w:val="00E158DF"/>
    <w:rsid w:val="00E166EA"/>
    <w:rsid w:val="00E20CA1"/>
    <w:rsid w:val="00E26FE3"/>
    <w:rsid w:val="00E27080"/>
    <w:rsid w:val="00E27DB8"/>
    <w:rsid w:val="00E30F48"/>
    <w:rsid w:val="00E33623"/>
    <w:rsid w:val="00E33E68"/>
    <w:rsid w:val="00E342BF"/>
    <w:rsid w:val="00E34D7B"/>
    <w:rsid w:val="00E438F5"/>
    <w:rsid w:val="00E43FD5"/>
    <w:rsid w:val="00E4785B"/>
    <w:rsid w:val="00E52F7A"/>
    <w:rsid w:val="00E56CB2"/>
    <w:rsid w:val="00E6232C"/>
    <w:rsid w:val="00E67C00"/>
    <w:rsid w:val="00E70F69"/>
    <w:rsid w:val="00E718FC"/>
    <w:rsid w:val="00E73550"/>
    <w:rsid w:val="00E74966"/>
    <w:rsid w:val="00E75B5C"/>
    <w:rsid w:val="00E76992"/>
    <w:rsid w:val="00E80ECA"/>
    <w:rsid w:val="00E8119F"/>
    <w:rsid w:val="00E84373"/>
    <w:rsid w:val="00E85B92"/>
    <w:rsid w:val="00E872D7"/>
    <w:rsid w:val="00E91DD6"/>
    <w:rsid w:val="00E9210C"/>
    <w:rsid w:val="00E94D06"/>
    <w:rsid w:val="00E95246"/>
    <w:rsid w:val="00E9750E"/>
    <w:rsid w:val="00EA068C"/>
    <w:rsid w:val="00EA0816"/>
    <w:rsid w:val="00EA299E"/>
    <w:rsid w:val="00EA3775"/>
    <w:rsid w:val="00EA41A1"/>
    <w:rsid w:val="00EA4605"/>
    <w:rsid w:val="00EA4989"/>
    <w:rsid w:val="00EA6AFF"/>
    <w:rsid w:val="00EA7E7D"/>
    <w:rsid w:val="00EB26E7"/>
    <w:rsid w:val="00EB4E00"/>
    <w:rsid w:val="00EB7A01"/>
    <w:rsid w:val="00EB7A4F"/>
    <w:rsid w:val="00EC3F7E"/>
    <w:rsid w:val="00EC5345"/>
    <w:rsid w:val="00EC5950"/>
    <w:rsid w:val="00EC5C80"/>
    <w:rsid w:val="00ED18E8"/>
    <w:rsid w:val="00ED42F9"/>
    <w:rsid w:val="00EE0A40"/>
    <w:rsid w:val="00EE1EA4"/>
    <w:rsid w:val="00EE38C1"/>
    <w:rsid w:val="00EE3A79"/>
    <w:rsid w:val="00EE68E1"/>
    <w:rsid w:val="00EE7938"/>
    <w:rsid w:val="00EF10EB"/>
    <w:rsid w:val="00EF21AF"/>
    <w:rsid w:val="00EF25CC"/>
    <w:rsid w:val="00EF5C21"/>
    <w:rsid w:val="00EF64F4"/>
    <w:rsid w:val="00F00B57"/>
    <w:rsid w:val="00F041C7"/>
    <w:rsid w:val="00F045AF"/>
    <w:rsid w:val="00F06531"/>
    <w:rsid w:val="00F1656C"/>
    <w:rsid w:val="00F1756F"/>
    <w:rsid w:val="00F20757"/>
    <w:rsid w:val="00F20A91"/>
    <w:rsid w:val="00F2169A"/>
    <w:rsid w:val="00F244B8"/>
    <w:rsid w:val="00F32EF0"/>
    <w:rsid w:val="00F339F4"/>
    <w:rsid w:val="00F33E99"/>
    <w:rsid w:val="00F34D5F"/>
    <w:rsid w:val="00F359B3"/>
    <w:rsid w:val="00F410F5"/>
    <w:rsid w:val="00F41C06"/>
    <w:rsid w:val="00F42519"/>
    <w:rsid w:val="00F443C6"/>
    <w:rsid w:val="00F54C2E"/>
    <w:rsid w:val="00F56268"/>
    <w:rsid w:val="00F60711"/>
    <w:rsid w:val="00F60EF0"/>
    <w:rsid w:val="00F6221C"/>
    <w:rsid w:val="00F646F7"/>
    <w:rsid w:val="00F658D1"/>
    <w:rsid w:val="00F65E0F"/>
    <w:rsid w:val="00F6715C"/>
    <w:rsid w:val="00F74B32"/>
    <w:rsid w:val="00F76E1C"/>
    <w:rsid w:val="00F8314A"/>
    <w:rsid w:val="00F83FA1"/>
    <w:rsid w:val="00F85721"/>
    <w:rsid w:val="00F87C2F"/>
    <w:rsid w:val="00F91BCA"/>
    <w:rsid w:val="00F921D4"/>
    <w:rsid w:val="00F92434"/>
    <w:rsid w:val="00F935FC"/>
    <w:rsid w:val="00F95047"/>
    <w:rsid w:val="00F955C0"/>
    <w:rsid w:val="00F97C52"/>
    <w:rsid w:val="00FA1824"/>
    <w:rsid w:val="00FA235C"/>
    <w:rsid w:val="00FA31C4"/>
    <w:rsid w:val="00FA3411"/>
    <w:rsid w:val="00FA42BC"/>
    <w:rsid w:val="00FA6251"/>
    <w:rsid w:val="00FA7BDF"/>
    <w:rsid w:val="00FB6577"/>
    <w:rsid w:val="00FB6A98"/>
    <w:rsid w:val="00FC0174"/>
    <w:rsid w:val="00FC0701"/>
    <w:rsid w:val="00FC7E9E"/>
    <w:rsid w:val="00FD0DCF"/>
    <w:rsid w:val="00FD326E"/>
    <w:rsid w:val="00FD353A"/>
    <w:rsid w:val="00FD3E72"/>
    <w:rsid w:val="00FD3EB2"/>
    <w:rsid w:val="00FE0FBA"/>
    <w:rsid w:val="00FE1C83"/>
    <w:rsid w:val="00FE1F29"/>
    <w:rsid w:val="00FE676F"/>
    <w:rsid w:val="00FE7900"/>
    <w:rsid w:val="00FF6903"/>
    <w:rsid w:val="00FF6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2558A"/>
  <w15:docId w15:val="{D65BCBA6-9FD4-440E-B5B5-AFEE1739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24A"/>
  </w:style>
  <w:style w:type="paragraph" w:styleId="Heading1">
    <w:name w:val="heading 1"/>
    <w:basedOn w:val="Normal"/>
    <w:next w:val="Normal"/>
    <w:link w:val="Heading1Char"/>
    <w:uiPriority w:val="9"/>
    <w:qFormat/>
    <w:rsid w:val="00C80B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0B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77A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77A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B1FB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3E9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B96400"/>
    <w:pPr>
      <w:spacing w:after="0" w:line="240" w:lineRule="auto"/>
    </w:pPr>
    <w:rPr>
      <w:sz w:val="20"/>
      <w:szCs w:val="20"/>
    </w:rPr>
  </w:style>
  <w:style w:type="character" w:customStyle="1" w:styleId="FootnoteTextChar">
    <w:name w:val="Footnote Text Char"/>
    <w:basedOn w:val="DefaultParagraphFont"/>
    <w:link w:val="FootnoteText"/>
    <w:uiPriority w:val="99"/>
    <w:rsid w:val="00B96400"/>
    <w:rPr>
      <w:sz w:val="20"/>
      <w:szCs w:val="20"/>
    </w:rPr>
  </w:style>
  <w:style w:type="character" w:styleId="FootnoteReference">
    <w:name w:val="footnote reference"/>
    <w:aliases w:val="Times 10 Point,Exposant 3 Point,Footnote symbol,Footnote reference number,EN Footnote Reference,note TESI,16 Point,Superscript 6 Point,ftref,BVI fnr,Error-Fußnotenzeichen5,Error-Fußnotenzeichen6,Footnote Reference Number,Знак сноски-"/>
    <w:basedOn w:val="DefaultParagraphFont"/>
    <w:link w:val="CarattereCarattereCharCharCharCharCharCharZchn"/>
    <w:uiPriority w:val="99"/>
    <w:unhideWhenUsed/>
    <w:qFormat/>
    <w:rsid w:val="00B96400"/>
    <w:rPr>
      <w:vertAlign w:val="superscript"/>
    </w:rPr>
  </w:style>
  <w:style w:type="paragraph" w:styleId="Header">
    <w:name w:val="header"/>
    <w:basedOn w:val="Normal"/>
    <w:link w:val="HeaderChar"/>
    <w:uiPriority w:val="99"/>
    <w:unhideWhenUsed/>
    <w:rsid w:val="000E0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3B4"/>
  </w:style>
  <w:style w:type="paragraph" w:styleId="Footer">
    <w:name w:val="footer"/>
    <w:basedOn w:val="Normal"/>
    <w:link w:val="FooterChar"/>
    <w:uiPriority w:val="99"/>
    <w:unhideWhenUsed/>
    <w:rsid w:val="000E0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3B4"/>
  </w:style>
  <w:style w:type="paragraph" w:customStyle="1" w:styleId="Numbering">
    <w:name w:val="Numbering"/>
    <w:basedOn w:val="ListParagraph"/>
    <w:link w:val="NumberingChar"/>
    <w:qFormat/>
    <w:rsid w:val="00627894"/>
    <w:pPr>
      <w:numPr>
        <w:numId w:val="1"/>
      </w:numPr>
      <w:spacing w:after="200" w:line="276" w:lineRule="auto"/>
    </w:pPr>
    <w:rPr>
      <w:rFonts w:ascii="Times New Roman" w:hAnsi="Times New Roman" w:cs="Times New Roman"/>
      <w:color w:val="000000"/>
      <w:sz w:val="24"/>
      <w:szCs w:val="24"/>
    </w:rPr>
  </w:style>
  <w:style w:type="character" w:customStyle="1" w:styleId="NumberingChar">
    <w:name w:val="Numbering Char"/>
    <w:basedOn w:val="DefaultParagraphFont"/>
    <w:link w:val="Numbering"/>
    <w:rsid w:val="00627894"/>
    <w:rPr>
      <w:rFonts w:ascii="Times New Roman" w:hAnsi="Times New Roman" w:cs="Times New Roman"/>
      <w:color w:val="000000"/>
      <w:sz w:val="24"/>
      <w:szCs w:val="24"/>
    </w:rPr>
  </w:style>
  <w:style w:type="paragraph" w:styleId="ListParagraph">
    <w:name w:val="List Paragraph"/>
    <w:basedOn w:val="Normal"/>
    <w:uiPriority w:val="34"/>
    <w:qFormat/>
    <w:rsid w:val="00627894"/>
    <w:pPr>
      <w:ind w:left="720"/>
      <w:contextualSpacing/>
    </w:pPr>
  </w:style>
  <w:style w:type="character" w:styleId="CommentReference">
    <w:name w:val="annotation reference"/>
    <w:basedOn w:val="DefaultParagraphFont"/>
    <w:uiPriority w:val="99"/>
    <w:semiHidden/>
    <w:unhideWhenUsed/>
    <w:rsid w:val="00874C6E"/>
    <w:rPr>
      <w:sz w:val="16"/>
      <w:szCs w:val="16"/>
    </w:rPr>
  </w:style>
  <w:style w:type="paragraph" w:styleId="CommentText">
    <w:name w:val="annotation text"/>
    <w:basedOn w:val="Normal"/>
    <w:link w:val="CommentTextChar"/>
    <w:uiPriority w:val="99"/>
    <w:semiHidden/>
    <w:unhideWhenUsed/>
    <w:rsid w:val="00874C6E"/>
    <w:pPr>
      <w:spacing w:line="240" w:lineRule="auto"/>
    </w:pPr>
    <w:rPr>
      <w:sz w:val="20"/>
      <w:szCs w:val="20"/>
    </w:rPr>
  </w:style>
  <w:style w:type="character" w:customStyle="1" w:styleId="CommentTextChar">
    <w:name w:val="Comment Text Char"/>
    <w:basedOn w:val="DefaultParagraphFont"/>
    <w:link w:val="CommentText"/>
    <w:uiPriority w:val="99"/>
    <w:semiHidden/>
    <w:rsid w:val="00874C6E"/>
    <w:rPr>
      <w:sz w:val="20"/>
      <w:szCs w:val="20"/>
    </w:rPr>
  </w:style>
  <w:style w:type="paragraph" w:styleId="CommentSubject">
    <w:name w:val="annotation subject"/>
    <w:basedOn w:val="CommentText"/>
    <w:next w:val="CommentText"/>
    <w:link w:val="CommentSubjectChar"/>
    <w:uiPriority w:val="99"/>
    <w:semiHidden/>
    <w:unhideWhenUsed/>
    <w:rsid w:val="00874C6E"/>
    <w:rPr>
      <w:b/>
      <w:bCs/>
    </w:rPr>
  </w:style>
  <w:style w:type="character" w:customStyle="1" w:styleId="CommentSubjectChar">
    <w:name w:val="Comment Subject Char"/>
    <w:basedOn w:val="CommentTextChar"/>
    <w:link w:val="CommentSubject"/>
    <w:uiPriority w:val="99"/>
    <w:semiHidden/>
    <w:rsid w:val="00874C6E"/>
    <w:rPr>
      <w:b/>
      <w:bCs/>
      <w:sz w:val="20"/>
      <w:szCs w:val="20"/>
    </w:rPr>
  </w:style>
  <w:style w:type="paragraph" w:styleId="BalloonText">
    <w:name w:val="Balloon Text"/>
    <w:basedOn w:val="Normal"/>
    <w:link w:val="BalloonTextChar"/>
    <w:uiPriority w:val="99"/>
    <w:semiHidden/>
    <w:unhideWhenUsed/>
    <w:rsid w:val="00874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C6E"/>
    <w:rPr>
      <w:rFonts w:ascii="Segoe UI" w:hAnsi="Segoe UI" w:cs="Segoe UI"/>
      <w:sz w:val="18"/>
      <w:szCs w:val="18"/>
    </w:rPr>
  </w:style>
  <w:style w:type="paragraph" w:styleId="EndnoteText">
    <w:name w:val="endnote text"/>
    <w:basedOn w:val="Normal"/>
    <w:link w:val="EndnoteTextChar"/>
    <w:uiPriority w:val="99"/>
    <w:semiHidden/>
    <w:unhideWhenUsed/>
    <w:rsid w:val="00700A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0A2B"/>
    <w:rPr>
      <w:sz w:val="20"/>
      <w:szCs w:val="20"/>
    </w:rPr>
  </w:style>
  <w:style w:type="character" w:styleId="EndnoteReference">
    <w:name w:val="endnote reference"/>
    <w:basedOn w:val="DefaultParagraphFont"/>
    <w:uiPriority w:val="99"/>
    <w:semiHidden/>
    <w:unhideWhenUsed/>
    <w:rsid w:val="00700A2B"/>
    <w:rPr>
      <w:vertAlign w:val="superscript"/>
    </w:rPr>
  </w:style>
  <w:style w:type="table" w:styleId="TableGrid">
    <w:name w:val="Table Grid"/>
    <w:basedOn w:val="TableNormal"/>
    <w:uiPriority w:val="39"/>
    <w:rsid w:val="000A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6C44"/>
    <w:rPr>
      <w:color w:val="0563C1"/>
      <w:u w:val="single"/>
    </w:rPr>
  </w:style>
  <w:style w:type="character" w:customStyle="1" w:styleId="Heading1Char">
    <w:name w:val="Heading 1 Char"/>
    <w:basedOn w:val="DefaultParagraphFont"/>
    <w:link w:val="Heading1"/>
    <w:uiPriority w:val="9"/>
    <w:rsid w:val="00C80BA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80BAC"/>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A77D0D"/>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368D1"/>
    <w:rPr>
      <w:color w:val="808080"/>
    </w:rPr>
  </w:style>
  <w:style w:type="paragraph" w:styleId="Revision">
    <w:name w:val="Revision"/>
    <w:hidden/>
    <w:uiPriority w:val="99"/>
    <w:semiHidden/>
    <w:rsid w:val="00455BEB"/>
    <w:pPr>
      <w:spacing w:after="0" w:line="240" w:lineRule="auto"/>
    </w:pPr>
  </w:style>
  <w:style w:type="paragraph" w:customStyle="1" w:styleId="A1">
    <w:name w:val="A1"/>
    <w:basedOn w:val="Normal"/>
    <w:next w:val="FootnoteText"/>
    <w:uiPriority w:val="99"/>
    <w:unhideWhenUsed/>
    <w:qFormat/>
    <w:rsid w:val="001844CD"/>
    <w:pPr>
      <w:spacing w:after="0" w:line="240" w:lineRule="auto"/>
    </w:pPr>
    <w:rPr>
      <w:sz w:val="20"/>
      <w:szCs w:val="20"/>
    </w:rPr>
  </w:style>
  <w:style w:type="table" w:customStyle="1" w:styleId="TableGrid1">
    <w:name w:val="Table Grid1"/>
    <w:basedOn w:val="TableNormal"/>
    <w:next w:val="TableGrid"/>
    <w:uiPriority w:val="59"/>
    <w:rsid w:val="00184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1844CD"/>
    <w:pPr>
      <w:spacing w:line="240" w:lineRule="exact"/>
      <w:jc w:val="both"/>
    </w:pPr>
    <w:rPr>
      <w:vertAlign w:val="superscript"/>
    </w:rPr>
  </w:style>
  <w:style w:type="table" w:styleId="GridTable4-Accent3">
    <w:name w:val="Grid Table 4 Accent 3"/>
    <w:basedOn w:val="TableNormal"/>
    <w:uiPriority w:val="49"/>
    <w:rsid w:val="00315B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3Char">
    <w:name w:val="Heading 3 Char"/>
    <w:basedOn w:val="DefaultParagraphFont"/>
    <w:link w:val="Heading3"/>
    <w:uiPriority w:val="9"/>
    <w:rsid w:val="00C77A6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77A61"/>
    <w:rPr>
      <w:rFonts w:asciiTheme="majorHAnsi" w:eastAsiaTheme="majorEastAsia" w:hAnsiTheme="majorHAnsi" w:cstheme="majorBidi"/>
      <w:i/>
      <w:iCs/>
      <w:color w:val="2E74B5" w:themeColor="accent1" w:themeShade="BF"/>
    </w:rPr>
  </w:style>
  <w:style w:type="paragraph" w:styleId="Bibliography">
    <w:name w:val="Bibliography"/>
    <w:basedOn w:val="Normal"/>
    <w:next w:val="Normal"/>
    <w:uiPriority w:val="37"/>
    <w:unhideWhenUsed/>
    <w:rsid w:val="00E718FC"/>
    <w:pPr>
      <w:spacing w:after="0" w:line="240" w:lineRule="auto"/>
      <w:ind w:left="720" w:hanging="720"/>
    </w:pPr>
  </w:style>
  <w:style w:type="character" w:customStyle="1" w:styleId="Heading5Char">
    <w:name w:val="Heading 5 Char"/>
    <w:basedOn w:val="DefaultParagraphFont"/>
    <w:link w:val="Heading5"/>
    <w:uiPriority w:val="9"/>
    <w:rsid w:val="00BB1FBB"/>
    <w:rPr>
      <w:rFonts w:asciiTheme="majorHAnsi" w:eastAsiaTheme="majorEastAsia" w:hAnsiTheme="majorHAnsi" w:cstheme="majorBidi"/>
      <w:color w:val="2E74B5" w:themeColor="accent1" w:themeShade="BF"/>
    </w:rPr>
  </w:style>
  <w:style w:type="character" w:styleId="UnresolvedMention">
    <w:name w:val="Unresolved Mention"/>
    <w:basedOn w:val="DefaultParagraphFont"/>
    <w:uiPriority w:val="99"/>
    <w:semiHidden/>
    <w:unhideWhenUsed/>
    <w:rsid w:val="00BF1E34"/>
    <w:rPr>
      <w:color w:val="808080"/>
      <w:shd w:val="clear" w:color="auto" w:fill="E6E6E6"/>
    </w:rPr>
  </w:style>
  <w:style w:type="character" w:styleId="FollowedHyperlink">
    <w:name w:val="FollowedHyperlink"/>
    <w:basedOn w:val="DefaultParagraphFont"/>
    <w:uiPriority w:val="99"/>
    <w:semiHidden/>
    <w:unhideWhenUsed/>
    <w:rsid w:val="00074981"/>
    <w:rPr>
      <w:color w:val="954F72" w:themeColor="followedHyperlink"/>
      <w:u w:val="single"/>
    </w:rPr>
  </w:style>
  <w:style w:type="paragraph" w:styleId="TOCHeading">
    <w:name w:val="TOC Heading"/>
    <w:basedOn w:val="Heading1"/>
    <w:next w:val="Normal"/>
    <w:uiPriority w:val="39"/>
    <w:unhideWhenUsed/>
    <w:qFormat/>
    <w:rsid w:val="00654268"/>
    <w:pPr>
      <w:outlineLvl w:val="9"/>
    </w:pPr>
  </w:style>
  <w:style w:type="paragraph" w:styleId="TOC1">
    <w:name w:val="toc 1"/>
    <w:basedOn w:val="Normal"/>
    <w:next w:val="Normal"/>
    <w:autoRedefine/>
    <w:uiPriority w:val="39"/>
    <w:unhideWhenUsed/>
    <w:rsid w:val="00654268"/>
    <w:pPr>
      <w:spacing w:after="100"/>
    </w:pPr>
  </w:style>
  <w:style w:type="paragraph" w:styleId="TOC2">
    <w:name w:val="toc 2"/>
    <w:basedOn w:val="Normal"/>
    <w:next w:val="Normal"/>
    <w:autoRedefine/>
    <w:uiPriority w:val="39"/>
    <w:unhideWhenUsed/>
    <w:rsid w:val="00654268"/>
    <w:pPr>
      <w:spacing w:after="100"/>
      <w:ind w:left="220"/>
    </w:pPr>
  </w:style>
  <w:style w:type="paragraph" w:styleId="TOC3">
    <w:name w:val="toc 3"/>
    <w:basedOn w:val="Normal"/>
    <w:next w:val="Normal"/>
    <w:autoRedefine/>
    <w:uiPriority w:val="39"/>
    <w:unhideWhenUsed/>
    <w:rsid w:val="00654268"/>
    <w:pPr>
      <w:spacing w:after="100"/>
      <w:ind w:left="440"/>
    </w:pPr>
  </w:style>
  <w:style w:type="paragraph" w:styleId="TableofFigures">
    <w:name w:val="table of figures"/>
    <w:basedOn w:val="Normal"/>
    <w:next w:val="Normal"/>
    <w:uiPriority w:val="99"/>
    <w:unhideWhenUsed/>
    <w:rsid w:val="00632DB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7841">
      <w:bodyDiv w:val="1"/>
      <w:marLeft w:val="0"/>
      <w:marRight w:val="0"/>
      <w:marTop w:val="0"/>
      <w:marBottom w:val="0"/>
      <w:divBdr>
        <w:top w:val="none" w:sz="0" w:space="0" w:color="auto"/>
        <w:left w:val="none" w:sz="0" w:space="0" w:color="auto"/>
        <w:bottom w:val="none" w:sz="0" w:space="0" w:color="auto"/>
        <w:right w:val="none" w:sz="0" w:space="0" w:color="auto"/>
      </w:divBdr>
    </w:div>
    <w:div w:id="68038004">
      <w:bodyDiv w:val="1"/>
      <w:marLeft w:val="0"/>
      <w:marRight w:val="0"/>
      <w:marTop w:val="0"/>
      <w:marBottom w:val="0"/>
      <w:divBdr>
        <w:top w:val="none" w:sz="0" w:space="0" w:color="auto"/>
        <w:left w:val="none" w:sz="0" w:space="0" w:color="auto"/>
        <w:bottom w:val="none" w:sz="0" w:space="0" w:color="auto"/>
        <w:right w:val="none" w:sz="0" w:space="0" w:color="auto"/>
      </w:divBdr>
    </w:div>
    <w:div w:id="213778819">
      <w:bodyDiv w:val="1"/>
      <w:marLeft w:val="0"/>
      <w:marRight w:val="0"/>
      <w:marTop w:val="0"/>
      <w:marBottom w:val="0"/>
      <w:divBdr>
        <w:top w:val="none" w:sz="0" w:space="0" w:color="auto"/>
        <w:left w:val="none" w:sz="0" w:space="0" w:color="auto"/>
        <w:bottom w:val="none" w:sz="0" w:space="0" w:color="auto"/>
        <w:right w:val="none" w:sz="0" w:space="0" w:color="auto"/>
      </w:divBdr>
    </w:div>
    <w:div w:id="286931365">
      <w:bodyDiv w:val="1"/>
      <w:marLeft w:val="0"/>
      <w:marRight w:val="0"/>
      <w:marTop w:val="0"/>
      <w:marBottom w:val="0"/>
      <w:divBdr>
        <w:top w:val="none" w:sz="0" w:space="0" w:color="auto"/>
        <w:left w:val="none" w:sz="0" w:space="0" w:color="auto"/>
        <w:bottom w:val="none" w:sz="0" w:space="0" w:color="auto"/>
        <w:right w:val="none" w:sz="0" w:space="0" w:color="auto"/>
      </w:divBdr>
    </w:div>
    <w:div w:id="336150211">
      <w:bodyDiv w:val="1"/>
      <w:marLeft w:val="0"/>
      <w:marRight w:val="0"/>
      <w:marTop w:val="0"/>
      <w:marBottom w:val="0"/>
      <w:divBdr>
        <w:top w:val="none" w:sz="0" w:space="0" w:color="auto"/>
        <w:left w:val="none" w:sz="0" w:space="0" w:color="auto"/>
        <w:bottom w:val="none" w:sz="0" w:space="0" w:color="auto"/>
        <w:right w:val="none" w:sz="0" w:space="0" w:color="auto"/>
      </w:divBdr>
    </w:div>
    <w:div w:id="440875622">
      <w:bodyDiv w:val="1"/>
      <w:marLeft w:val="0"/>
      <w:marRight w:val="0"/>
      <w:marTop w:val="0"/>
      <w:marBottom w:val="0"/>
      <w:divBdr>
        <w:top w:val="none" w:sz="0" w:space="0" w:color="auto"/>
        <w:left w:val="none" w:sz="0" w:space="0" w:color="auto"/>
        <w:bottom w:val="none" w:sz="0" w:space="0" w:color="auto"/>
        <w:right w:val="none" w:sz="0" w:space="0" w:color="auto"/>
      </w:divBdr>
    </w:div>
    <w:div w:id="447555180">
      <w:bodyDiv w:val="1"/>
      <w:marLeft w:val="0"/>
      <w:marRight w:val="0"/>
      <w:marTop w:val="0"/>
      <w:marBottom w:val="0"/>
      <w:divBdr>
        <w:top w:val="none" w:sz="0" w:space="0" w:color="auto"/>
        <w:left w:val="none" w:sz="0" w:space="0" w:color="auto"/>
        <w:bottom w:val="none" w:sz="0" w:space="0" w:color="auto"/>
        <w:right w:val="none" w:sz="0" w:space="0" w:color="auto"/>
      </w:divBdr>
    </w:div>
    <w:div w:id="533036809">
      <w:bodyDiv w:val="1"/>
      <w:marLeft w:val="0"/>
      <w:marRight w:val="0"/>
      <w:marTop w:val="0"/>
      <w:marBottom w:val="0"/>
      <w:divBdr>
        <w:top w:val="none" w:sz="0" w:space="0" w:color="auto"/>
        <w:left w:val="none" w:sz="0" w:space="0" w:color="auto"/>
        <w:bottom w:val="none" w:sz="0" w:space="0" w:color="auto"/>
        <w:right w:val="none" w:sz="0" w:space="0" w:color="auto"/>
      </w:divBdr>
    </w:div>
    <w:div w:id="578832776">
      <w:bodyDiv w:val="1"/>
      <w:marLeft w:val="0"/>
      <w:marRight w:val="0"/>
      <w:marTop w:val="0"/>
      <w:marBottom w:val="0"/>
      <w:divBdr>
        <w:top w:val="none" w:sz="0" w:space="0" w:color="auto"/>
        <w:left w:val="none" w:sz="0" w:space="0" w:color="auto"/>
        <w:bottom w:val="none" w:sz="0" w:space="0" w:color="auto"/>
        <w:right w:val="none" w:sz="0" w:space="0" w:color="auto"/>
      </w:divBdr>
    </w:div>
    <w:div w:id="671756432">
      <w:bodyDiv w:val="1"/>
      <w:marLeft w:val="0"/>
      <w:marRight w:val="0"/>
      <w:marTop w:val="0"/>
      <w:marBottom w:val="0"/>
      <w:divBdr>
        <w:top w:val="none" w:sz="0" w:space="0" w:color="auto"/>
        <w:left w:val="none" w:sz="0" w:space="0" w:color="auto"/>
        <w:bottom w:val="none" w:sz="0" w:space="0" w:color="auto"/>
        <w:right w:val="none" w:sz="0" w:space="0" w:color="auto"/>
      </w:divBdr>
    </w:div>
    <w:div w:id="1170829961">
      <w:bodyDiv w:val="1"/>
      <w:marLeft w:val="0"/>
      <w:marRight w:val="0"/>
      <w:marTop w:val="0"/>
      <w:marBottom w:val="0"/>
      <w:divBdr>
        <w:top w:val="none" w:sz="0" w:space="0" w:color="auto"/>
        <w:left w:val="none" w:sz="0" w:space="0" w:color="auto"/>
        <w:bottom w:val="none" w:sz="0" w:space="0" w:color="auto"/>
        <w:right w:val="none" w:sz="0" w:space="0" w:color="auto"/>
      </w:divBdr>
    </w:div>
    <w:div w:id="1396320095">
      <w:bodyDiv w:val="1"/>
      <w:marLeft w:val="0"/>
      <w:marRight w:val="0"/>
      <w:marTop w:val="0"/>
      <w:marBottom w:val="0"/>
      <w:divBdr>
        <w:top w:val="none" w:sz="0" w:space="0" w:color="auto"/>
        <w:left w:val="none" w:sz="0" w:space="0" w:color="auto"/>
        <w:bottom w:val="none" w:sz="0" w:space="0" w:color="auto"/>
        <w:right w:val="none" w:sz="0" w:space="0" w:color="auto"/>
      </w:divBdr>
    </w:div>
    <w:div w:id="1401755793">
      <w:bodyDiv w:val="1"/>
      <w:marLeft w:val="0"/>
      <w:marRight w:val="0"/>
      <w:marTop w:val="0"/>
      <w:marBottom w:val="0"/>
      <w:divBdr>
        <w:top w:val="none" w:sz="0" w:space="0" w:color="auto"/>
        <w:left w:val="none" w:sz="0" w:space="0" w:color="auto"/>
        <w:bottom w:val="none" w:sz="0" w:space="0" w:color="auto"/>
        <w:right w:val="none" w:sz="0" w:space="0" w:color="auto"/>
      </w:divBdr>
    </w:div>
    <w:div w:id="1493568984">
      <w:bodyDiv w:val="1"/>
      <w:marLeft w:val="0"/>
      <w:marRight w:val="0"/>
      <w:marTop w:val="0"/>
      <w:marBottom w:val="0"/>
      <w:divBdr>
        <w:top w:val="none" w:sz="0" w:space="0" w:color="auto"/>
        <w:left w:val="none" w:sz="0" w:space="0" w:color="auto"/>
        <w:bottom w:val="none" w:sz="0" w:space="0" w:color="auto"/>
        <w:right w:val="none" w:sz="0" w:space="0" w:color="auto"/>
      </w:divBdr>
    </w:div>
    <w:div w:id="1520462005">
      <w:bodyDiv w:val="1"/>
      <w:marLeft w:val="0"/>
      <w:marRight w:val="0"/>
      <w:marTop w:val="0"/>
      <w:marBottom w:val="0"/>
      <w:divBdr>
        <w:top w:val="none" w:sz="0" w:space="0" w:color="auto"/>
        <w:left w:val="none" w:sz="0" w:space="0" w:color="auto"/>
        <w:bottom w:val="none" w:sz="0" w:space="0" w:color="auto"/>
        <w:right w:val="none" w:sz="0" w:space="0" w:color="auto"/>
      </w:divBdr>
    </w:div>
    <w:div w:id="1553228749">
      <w:bodyDiv w:val="1"/>
      <w:marLeft w:val="0"/>
      <w:marRight w:val="0"/>
      <w:marTop w:val="0"/>
      <w:marBottom w:val="0"/>
      <w:divBdr>
        <w:top w:val="none" w:sz="0" w:space="0" w:color="auto"/>
        <w:left w:val="none" w:sz="0" w:space="0" w:color="auto"/>
        <w:bottom w:val="none" w:sz="0" w:space="0" w:color="auto"/>
        <w:right w:val="none" w:sz="0" w:space="0" w:color="auto"/>
      </w:divBdr>
    </w:div>
    <w:div w:id="1716732106">
      <w:bodyDiv w:val="1"/>
      <w:marLeft w:val="0"/>
      <w:marRight w:val="0"/>
      <w:marTop w:val="0"/>
      <w:marBottom w:val="0"/>
      <w:divBdr>
        <w:top w:val="none" w:sz="0" w:space="0" w:color="auto"/>
        <w:left w:val="none" w:sz="0" w:space="0" w:color="auto"/>
        <w:bottom w:val="none" w:sz="0" w:space="0" w:color="auto"/>
        <w:right w:val="none" w:sz="0" w:space="0" w:color="auto"/>
      </w:divBdr>
    </w:div>
    <w:div w:id="1968463125">
      <w:bodyDiv w:val="1"/>
      <w:marLeft w:val="0"/>
      <w:marRight w:val="0"/>
      <w:marTop w:val="0"/>
      <w:marBottom w:val="0"/>
      <w:divBdr>
        <w:top w:val="none" w:sz="0" w:space="0" w:color="auto"/>
        <w:left w:val="none" w:sz="0" w:space="0" w:color="auto"/>
        <w:bottom w:val="none" w:sz="0" w:space="0" w:color="auto"/>
        <w:right w:val="none" w:sz="0" w:space="0" w:color="auto"/>
      </w:divBdr>
    </w:div>
    <w:div w:id="1989897064">
      <w:bodyDiv w:val="1"/>
      <w:marLeft w:val="0"/>
      <w:marRight w:val="0"/>
      <w:marTop w:val="0"/>
      <w:marBottom w:val="0"/>
      <w:divBdr>
        <w:top w:val="none" w:sz="0" w:space="0" w:color="auto"/>
        <w:left w:val="none" w:sz="0" w:space="0" w:color="auto"/>
        <w:bottom w:val="none" w:sz="0" w:space="0" w:color="auto"/>
        <w:right w:val="none" w:sz="0" w:space="0" w:color="auto"/>
      </w:divBdr>
    </w:div>
    <w:div w:id="203865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4.xm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emf"/><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5.xml"/><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7.png"/><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hyperlink" Target="https://worldbankgroup-my.sharepoint.com/personal/pspencer1_worldbank_org/Documents/GG%20in%20the%20EU/Working_Paper_5MAR18.DOCX"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customXml" Target="../customXml/item4.xml"/><Relationship Id="rId20" Type="http://schemas.openxmlformats.org/officeDocument/2006/relationships/image" Target="media/image3.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go.worldbank.org/IFS9WG7EO0" TargetMode="External"/><Relationship Id="rId2" Type="http://schemas.openxmlformats.org/officeDocument/2006/relationships/hyperlink" Target="https://openknowledge.worldbank.org/handle/10986/23099?locale-attribute=en" TargetMode="External"/><Relationship Id="rId1" Type="http://schemas.openxmlformats.org/officeDocument/2006/relationships/hyperlink" Target="https://openknowledge.worldbank.org/handle/10986/23099?locale-attribute=en" TargetMode="External"/><Relationship Id="rId4" Type="http://schemas.openxmlformats.org/officeDocument/2006/relationships/hyperlink" Target="http://www.fao.org/forestry/forestry-modules/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raig\World%20Bank\Active%20Projects\ECA\SCD-CPF\Romania\SD\ENR\Romania%20-%20Wealth%20and%20natural%20capit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raig\World%20Bank\Active%20Projects\ECA\SCD-CPF\Romania\SD\ENR\Rou_LandCoverChang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Craig\World%20Bank\Active%20Projects\ECA\SCD-CPF\Romania\SD\ENR\ANS%20-%201960-201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Craig\World%20Bank\Active%20Projects\ECA\SCD-CPF\Romania\SD\ENR\ANS%20-%201960-2015.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wb514198\AppData\Local\Microsoft\Windows\INetCache\IE\BNLERM65\API_AG.LND.AGRI.ZS_DS2_en_excel_v2.xls"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b514198\AppData\Local\Microsoft\Windows\INetCache\IE\S7DQB7E4\API_NV.AGR.TOTL.ZS_DS2_en_excel_v2.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Sheet1!$B$47</c:f>
              <c:strCache>
                <c:ptCount val="1"/>
                <c:pt idx="0">
                  <c:v>Produced capital (including urban land)</c:v>
                </c:pt>
              </c:strCache>
            </c:strRef>
          </c:tx>
          <c:spPr>
            <a:solidFill>
              <a:schemeClr val="accent1"/>
            </a:solidFill>
            <a:ln>
              <a:noFill/>
            </a:ln>
            <a:effectLst/>
          </c:spPr>
          <c:invertIfNegative val="0"/>
          <c:cat>
            <c:numRef>
              <c:f>Sheet1!$C$46:$G$46</c:f>
              <c:numCache>
                <c:formatCode>General</c:formatCode>
                <c:ptCount val="5"/>
                <c:pt idx="0">
                  <c:v>1995</c:v>
                </c:pt>
                <c:pt idx="1">
                  <c:v>2000</c:v>
                </c:pt>
                <c:pt idx="2">
                  <c:v>2005</c:v>
                </c:pt>
                <c:pt idx="3">
                  <c:v>2010</c:v>
                </c:pt>
                <c:pt idx="4">
                  <c:v>2014</c:v>
                </c:pt>
              </c:numCache>
            </c:numRef>
          </c:cat>
          <c:val>
            <c:numRef>
              <c:f>Sheet1!$C$47:$G$47</c:f>
              <c:numCache>
                <c:formatCode>_(* #,##0_);_(* \(#,##0\);_(* "-"??_);_(@_)</c:formatCode>
                <c:ptCount val="5"/>
                <c:pt idx="0">
                  <c:v>492085.77638488344</c:v>
                </c:pt>
                <c:pt idx="1">
                  <c:v>434469.36761966033</c:v>
                </c:pt>
                <c:pt idx="2">
                  <c:v>634421.80132363143</c:v>
                </c:pt>
                <c:pt idx="3">
                  <c:v>781134.44735021505</c:v>
                </c:pt>
                <c:pt idx="4">
                  <c:v>819510.11787301674</c:v>
                </c:pt>
              </c:numCache>
            </c:numRef>
          </c:val>
          <c:extLst>
            <c:ext xmlns:c16="http://schemas.microsoft.com/office/drawing/2014/chart" uri="{C3380CC4-5D6E-409C-BE32-E72D297353CC}">
              <c16:uniqueId val="{00000000-9A28-4DCB-9213-6E9E44CF7D12}"/>
            </c:ext>
          </c:extLst>
        </c:ser>
        <c:ser>
          <c:idx val="1"/>
          <c:order val="1"/>
          <c:tx>
            <c:strRef>
              <c:f>Sheet1!$B$48</c:f>
              <c:strCache>
                <c:ptCount val="1"/>
                <c:pt idx="0">
                  <c:v>Human capital</c:v>
                </c:pt>
              </c:strCache>
            </c:strRef>
          </c:tx>
          <c:spPr>
            <a:solidFill>
              <a:schemeClr val="accent2"/>
            </a:solidFill>
            <a:ln>
              <a:noFill/>
            </a:ln>
            <a:effectLst/>
          </c:spPr>
          <c:invertIfNegative val="0"/>
          <c:cat>
            <c:numRef>
              <c:f>Sheet1!$C$46:$G$46</c:f>
              <c:numCache>
                <c:formatCode>General</c:formatCode>
                <c:ptCount val="5"/>
                <c:pt idx="0">
                  <c:v>1995</c:v>
                </c:pt>
                <c:pt idx="1">
                  <c:v>2000</c:v>
                </c:pt>
                <c:pt idx="2">
                  <c:v>2005</c:v>
                </c:pt>
                <c:pt idx="3">
                  <c:v>2010</c:v>
                </c:pt>
                <c:pt idx="4">
                  <c:v>2014</c:v>
                </c:pt>
              </c:numCache>
            </c:numRef>
          </c:cat>
          <c:val>
            <c:numRef>
              <c:f>Sheet1!$C$48:$G$48</c:f>
              <c:numCache>
                <c:formatCode>_(* #,##0_);_(* \(#,##0\);_(* "-"??_);_(@_)</c:formatCode>
                <c:ptCount val="5"/>
                <c:pt idx="0">
                  <c:v>804942.04966779263</c:v>
                </c:pt>
                <c:pt idx="1">
                  <c:v>746007.15741010231</c:v>
                </c:pt>
                <c:pt idx="2">
                  <c:v>1119263.3153911829</c:v>
                </c:pt>
                <c:pt idx="3">
                  <c:v>1093545.2922148986</c:v>
                </c:pt>
                <c:pt idx="4">
                  <c:v>1075363.7611732262</c:v>
                </c:pt>
              </c:numCache>
            </c:numRef>
          </c:val>
          <c:extLst>
            <c:ext xmlns:c16="http://schemas.microsoft.com/office/drawing/2014/chart" uri="{C3380CC4-5D6E-409C-BE32-E72D297353CC}">
              <c16:uniqueId val="{00000001-9A28-4DCB-9213-6E9E44CF7D12}"/>
            </c:ext>
          </c:extLst>
        </c:ser>
        <c:ser>
          <c:idx val="2"/>
          <c:order val="2"/>
          <c:tx>
            <c:strRef>
              <c:f>Sheet1!$B$49</c:f>
              <c:strCache>
                <c:ptCount val="1"/>
                <c:pt idx="0">
                  <c:v>Natural capital</c:v>
                </c:pt>
              </c:strCache>
            </c:strRef>
          </c:tx>
          <c:spPr>
            <a:solidFill>
              <a:schemeClr val="accent3"/>
            </a:solidFill>
            <a:ln>
              <a:noFill/>
            </a:ln>
            <a:effectLst/>
          </c:spPr>
          <c:invertIfNegative val="0"/>
          <c:cat>
            <c:numRef>
              <c:f>Sheet1!$C$46:$G$46</c:f>
              <c:numCache>
                <c:formatCode>General</c:formatCode>
                <c:ptCount val="5"/>
                <c:pt idx="0">
                  <c:v>1995</c:v>
                </c:pt>
                <c:pt idx="1">
                  <c:v>2000</c:v>
                </c:pt>
                <c:pt idx="2">
                  <c:v>2005</c:v>
                </c:pt>
                <c:pt idx="3">
                  <c:v>2010</c:v>
                </c:pt>
                <c:pt idx="4">
                  <c:v>2014</c:v>
                </c:pt>
              </c:numCache>
            </c:numRef>
          </c:cat>
          <c:val>
            <c:numRef>
              <c:f>Sheet1!$C$49:$G$49</c:f>
              <c:numCache>
                <c:formatCode>_(* #,##0_);_(* \(#,##0\);_(* "-"??_);_(@_)</c:formatCode>
                <c:ptCount val="5"/>
                <c:pt idx="0">
                  <c:v>426260.54101676476</c:v>
                </c:pt>
                <c:pt idx="1">
                  <c:v>344764.12593922485</c:v>
                </c:pt>
                <c:pt idx="2">
                  <c:v>350931.05879396771</c:v>
                </c:pt>
                <c:pt idx="3">
                  <c:v>301611.04081634525</c:v>
                </c:pt>
                <c:pt idx="4">
                  <c:v>343736.95275194279</c:v>
                </c:pt>
              </c:numCache>
            </c:numRef>
          </c:val>
          <c:extLst>
            <c:ext xmlns:c16="http://schemas.microsoft.com/office/drawing/2014/chart" uri="{C3380CC4-5D6E-409C-BE32-E72D297353CC}">
              <c16:uniqueId val="{00000002-9A28-4DCB-9213-6E9E44CF7D12}"/>
            </c:ext>
          </c:extLst>
        </c:ser>
        <c:dLbls>
          <c:showLegendKey val="0"/>
          <c:showVal val="0"/>
          <c:showCatName val="0"/>
          <c:showSerName val="0"/>
          <c:showPercent val="0"/>
          <c:showBubbleSize val="0"/>
        </c:dLbls>
        <c:gapWidth val="150"/>
        <c:overlap val="100"/>
        <c:axId val="1765937471"/>
        <c:axId val="1843453551"/>
      </c:barChart>
      <c:catAx>
        <c:axId val="176593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3453551"/>
        <c:crosses val="autoZero"/>
        <c:auto val="1"/>
        <c:lblAlgn val="ctr"/>
        <c:lblOffset val="100"/>
        <c:noMultiLvlLbl val="0"/>
      </c:catAx>
      <c:valAx>
        <c:axId val="18434535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93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tables!$A$3</c:f>
              <c:strCache>
                <c:ptCount val="1"/>
                <c:pt idx="0">
                  <c:v>Cropland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tables!$B$2:$F$2</c:f>
              <c:numCache>
                <c:formatCode>General</c:formatCode>
                <c:ptCount val="5"/>
                <c:pt idx="0">
                  <c:v>1995</c:v>
                </c:pt>
                <c:pt idx="1">
                  <c:v>2000</c:v>
                </c:pt>
                <c:pt idx="2">
                  <c:v>2005</c:v>
                </c:pt>
                <c:pt idx="3">
                  <c:v>2010</c:v>
                </c:pt>
                <c:pt idx="4">
                  <c:v>2015</c:v>
                </c:pt>
              </c:numCache>
            </c:numRef>
          </c:cat>
          <c:val>
            <c:numRef>
              <c:f>tables!$B$3:$F$3</c:f>
              <c:numCache>
                <c:formatCode>General</c:formatCode>
                <c:ptCount val="5"/>
                <c:pt idx="0">
                  <c:v>136385.4</c:v>
                </c:pt>
                <c:pt idx="1">
                  <c:v>134672</c:v>
                </c:pt>
                <c:pt idx="2">
                  <c:v>130236.8</c:v>
                </c:pt>
                <c:pt idx="3">
                  <c:v>128933</c:v>
                </c:pt>
                <c:pt idx="4">
                  <c:v>127886.3</c:v>
                </c:pt>
              </c:numCache>
            </c:numRef>
          </c:val>
          <c:smooth val="0"/>
          <c:extLst>
            <c:ext xmlns:c16="http://schemas.microsoft.com/office/drawing/2014/chart" uri="{C3380CC4-5D6E-409C-BE32-E72D297353CC}">
              <c16:uniqueId val="{00000000-7D66-483D-9D40-96C1B0E240E7}"/>
            </c:ext>
          </c:extLst>
        </c:ser>
        <c:dLbls>
          <c:showLegendKey val="0"/>
          <c:showVal val="0"/>
          <c:showCatName val="0"/>
          <c:showSerName val="0"/>
          <c:showPercent val="0"/>
          <c:showBubbleSize val="0"/>
        </c:dLbls>
        <c:marker val="1"/>
        <c:smooth val="0"/>
        <c:axId val="1930521615"/>
        <c:axId val="1938605503"/>
      </c:lineChart>
      <c:lineChart>
        <c:grouping val="standard"/>
        <c:varyColors val="0"/>
        <c:ser>
          <c:idx val="1"/>
          <c:order val="1"/>
          <c:tx>
            <c:strRef>
              <c:f>tables!$A$4</c:f>
              <c:strCache>
                <c:ptCount val="1"/>
                <c:pt idx="0">
                  <c:v>Urban area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tables!$B$4:$F$4</c:f>
              <c:numCache>
                <c:formatCode>General</c:formatCode>
                <c:ptCount val="5"/>
                <c:pt idx="0">
                  <c:v>3729</c:v>
                </c:pt>
                <c:pt idx="1">
                  <c:v>4637.3</c:v>
                </c:pt>
                <c:pt idx="2">
                  <c:v>7222</c:v>
                </c:pt>
                <c:pt idx="3">
                  <c:v>7671</c:v>
                </c:pt>
                <c:pt idx="4">
                  <c:v>8696.7999999999993</c:v>
                </c:pt>
              </c:numCache>
            </c:numRef>
          </c:val>
          <c:smooth val="0"/>
          <c:extLst>
            <c:ext xmlns:c16="http://schemas.microsoft.com/office/drawing/2014/chart" uri="{C3380CC4-5D6E-409C-BE32-E72D297353CC}">
              <c16:uniqueId val="{00000001-7D66-483D-9D40-96C1B0E240E7}"/>
            </c:ext>
          </c:extLst>
        </c:ser>
        <c:dLbls>
          <c:showLegendKey val="0"/>
          <c:showVal val="0"/>
          <c:showCatName val="0"/>
          <c:showSerName val="0"/>
          <c:showPercent val="0"/>
          <c:showBubbleSize val="0"/>
        </c:dLbls>
        <c:marker val="1"/>
        <c:smooth val="0"/>
        <c:axId val="1930525359"/>
        <c:axId val="1938597727"/>
      </c:lineChart>
      <c:catAx>
        <c:axId val="1930521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8605503"/>
        <c:crosses val="autoZero"/>
        <c:auto val="1"/>
        <c:lblAlgn val="ctr"/>
        <c:lblOffset val="100"/>
        <c:noMultiLvlLbl val="0"/>
      </c:catAx>
      <c:valAx>
        <c:axId val="1938605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Cropland (km</a:t>
                </a:r>
                <a:r>
                  <a:rPr lang="en-US" baseline="30000"/>
                  <a:t>2</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0521615"/>
        <c:crosses val="autoZero"/>
        <c:crossBetween val="between"/>
      </c:valAx>
      <c:valAx>
        <c:axId val="1938597727"/>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Urban area </a:t>
                </a:r>
                <a:r>
                  <a:rPr lang="en-US" sz="1000" b="0" i="0" u="none" strike="noStrike" baseline="0">
                    <a:effectLst/>
                  </a:rPr>
                  <a:t>(km</a:t>
                </a:r>
                <a:r>
                  <a:rPr lang="en-US" sz="1000" b="0" i="0" u="none" strike="noStrike" baseline="30000">
                    <a:effectLst/>
                  </a:rPr>
                  <a:t>2</a:t>
                </a:r>
                <a:r>
                  <a:rPr lang="en-US" sz="1000" b="0" i="0" u="none" strike="noStrike" baseline="0">
                    <a:effectLst/>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0525359"/>
        <c:crosses val="max"/>
        <c:crossBetween val="between"/>
      </c:valAx>
      <c:catAx>
        <c:axId val="1930525359"/>
        <c:scaling>
          <c:orientation val="minMax"/>
        </c:scaling>
        <c:delete val="1"/>
        <c:axPos val="b"/>
        <c:majorTickMark val="out"/>
        <c:minorTickMark val="none"/>
        <c:tickLblPos val="nextTo"/>
        <c:crossAx val="19385977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845346019460579E-2"/>
          <c:y val="0.12083163584104961"/>
          <c:w val="0.8846283763024605"/>
          <c:h val="0.65698535417211834"/>
        </c:manualLayout>
      </c:layout>
      <c:barChart>
        <c:barDir val="col"/>
        <c:grouping val="clustered"/>
        <c:varyColors val="0"/>
        <c:ser>
          <c:idx val="0"/>
          <c:order val="0"/>
          <c:spPr>
            <a:solidFill>
              <a:schemeClr val="accent1">
                <a:lumMod val="60000"/>
                <a:lumOff val="40000"/>
              </a:schemeClr>
            </a:solidFill>
            <a:ln>
              <a:noFill/>
            </a:ln>
            <a:effectLst/>
          </c:spPr>
          <c:invertIfNegative val="0"/>
          <c:cat>
            <c:strRef>
              <c:f>'ANS - Romania'!$C$68:$C$73</c:f>
              <c:strCache>
                <c:ptCount val="6"/>
                <c:pt idx="0">
                  <c:v>Gross national savings</c:v>
                </c:pt>
                <c:pt idx="1">
                  <c:v>Net national savings</c:v>
                </c:pt>
                <c:pt idx="2">
                  <c:v>Education expenditure</c:v>
                </c:pt>
                <c:pt idx="3">
                  <c:v>Natural resource depletion</c:v>
                </c:pt>
                <c:pt idx="4">
                  <c:v>Pollution damages</c:v>
                </c:pt>
                <c:pt idx="5">
                  <c:v>ANS, incl particulate emission damage</c:v>
                </c:pt>
              </c:strCache>
            </c:strRef>
          </c:cat>
          <c:val>
            <c:numRef>
              <c:f>'ANS - Romania'!$D$68:$D$73</c:f>
              <c:numCache>
                <c:formatCode>_(* #,##0.00_);_(* \(#,##0.00\);_(* "-"??_);_(@_)</c:formatCode>
                <c:ptCount val="6"/>
                <c:pt idx="0">
                  <c:v>19.04015274</c:v>
                </c:pt>
                <c:pt idx="1">
                  <c:v>-7.3889190197428496</c:v>
                </c:pt>
                <c:pt idx="2">
                  <c:v>3.4053559</c:v>
                </c:pt>
                <c:pt idx="3">
                  <c:v>-1.4595474356298552</c:v>
                </c:pt>
                <c:pt idx="4">
                  <c:v>-4.6109714911616999</c:v>
                </c:pt>
                <c:pt idx="5">
                  <c:v>-10.054082046534401</c:v>
                </c:pt>
              </c:numCache>
            </c:numRef>
          </c:val>
          <c:extLst>
            <c:ext xmlns:c16="http://schemas.microsoft.com/office/drawing/2014/chart" uri="{C3380CC4-5D6E-409C-BE32-E72D297353CC}">
              <c16:uniqueId val="{00000000-166D-4458-96D5-CFCBB7843FBB}"/>
            </c:ext>
          </c:extLst>
        </c:ser>
        <c:dLbls>
          <c:showLegendKey val="0"/>
          <c:showVal val="0"/>
          <c:showCatName val="0"/>
          <c:showSerName val="0"/>
          <c:showPercent val="0"/>
          <c:showBubbleSize val="0"/>
        </c:dLbls>
        <c:gapWidth val="219"/>
        <c:overlap val="-27"/>
        <c:axId val="1573878623"/>
        <c:axId val="1"/>
      </c:barChart>
      <c:catAx>
        <c:axId val="157387862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vert="horz" wrap="square" anchor="t" anchorCtr="0"/>
          <a:lstStyle/>
          <a:p>
            <a:pPr>
              <a:defRPr sz="900" b="1"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title>
          <c:tx>
            <c:rich>
              <a:bodyPr rot="0" vert="horz"/>
              <a:lstStyle/>
              <a:p>
                <a:pPr>
                  <a:defRPr/>
                </a:pPr>
                <a:r>
                  <a:rPr lang="en-US" b="0"/>
                  <a:t>%</a:t>
                </a:r>
                <a:r>
                  <a:rPr lang="en-US" b="0" baseline="0"/>
                  <a:t> of GNI</a:t>
                </a:r>
                <a:endParaRPr lang="en-US" b="0"/>
              </a:p>
            </c:rich>
          </c:tx>
          <c:layout>
            <c:manualLayout>
              <c:xMode val="edge"/>
              <c:yMode val="edge"/>
              <c:x val="2.4526198439241916E-2"/>
              <c:y val="2.7978844034223817E-2"/>
            </c:manualLayout>
          </c:layout>
          <c:overlay val="0"/>
        </c:title>
        <c:numFmt formatCode="_(* #,##0_);_(* \(#,##0\);_(* &quot;-&quot;_);_(@_)"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78623"/>
        <c:crosses val="autoZero"/>
        <c:crossBetween val="between"/>
      </c:valAx>
      <c:spPr>
        <a:noFill/>
        <a:ln w="25400">
          <a:noFill/>
        </a:ln>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231054451526887E-2"/>
          <c:y val="7.9242032730404824E-2"/>
          <c:w val="0.89048852226804986"/>
          <c:h val="0.69868983431334653"/>
        </c:manualLayout>
      </c:layout>
      <c:barChart>
        <c:barDir val="col"/>
        <c:grouping val="stacked"/>
        <c:varyColors val="0"/>
        <c:ser>
          <c:idx val="0"/>
          <c:order val="0"/>
          <c:tx>
            <c:strRef>
              <c:f>'ANS - Romania'!$C$100</c:f>
              <c:strCache>
                <c:ptCount val="1"/>
                <c:pt idx="0">
                  <c:v>Consumption of fixed capital</c:v>
                </c:pt>
              </c:strCache>
            </c:strRef>
          </c:tx>
          <c:spPr>
            <a:solidFill>
              <a:schemeClr val="accent1">
                <a:lumMod val="60000"/>
                <a:lumOff val="40000"/>
              </a:schemeClr>
            </a:solidFill>
            <a:ln>
              <a:noFill/>
            </a:ln>
            <a:effectLst/>
          </c:spPr>
          <c:invertIfNegative val="0"/>
          <c:cat>
            <c:numRef>
              <c:f>'ANS - Romania'!$D$67:$X$67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'ANS - Romania'!$D$100:$X$100</c:f>
              <c:numCache>
                <c:formatCode>_(* #,##0.00_);_(* \(#,##0.00\);_(* "-"??_);_(@_)</c:formatCode>
                <c:ptCount val="21"/>
                <c:pt idx="0">
                  <c:v>26.429071759612999</c:v>
                </c:pt>
                <c:pt idx="1">
                  <c:v>26.468865687419299</c:v>
                </c:pt>
                <c:pt idx="2">
                  <c:v>24.307094438897</c:v>
                </c:pt>
                <c:pt idx="3">
                  <c:v>22.107934960862</c:v>
                </c:pt>
                <c:pt idx="4">
                  <c:v>21.745855791787601</c:v>
                </c:pt>
                <c:pt idx="5">
                  <c:v>20.3395342407009</c:v>
                </c:pt>
                <c:pt idx="6">
                  <c:v>20.226525350837601</c:v>
                </c:pt>
                <c:pt idx="7">
                  <c:v>22.687139626964399</c:v>
                </c:pt>
                <c:pt idx="8">
                  <c:v>22.215524641874499</c:v>
                </c:pt>
                <c:pt idx="9">
                  <c:v>20.3119489926905</c:v>
                </c:pt>
                <c:pt idx="10">
                  <c:v>19.249008529474001</c:v>
                </c:pt>
                <c:pt idx="11">
                  <c:v>18.012987184623402</c:v>
                </c:pt>
                <c:pt idx="12">
                  <c:v>16.706094637056399</c:v>
                </c:pt>
                <c:pt idx="13">
                  <c:v>16.227902936245702</c:v>
                </c:pt>
                <c:pt idx="14">
                  <c:v>18.173047253380101</c:v>
                </c:pt>
                <c:pt idx="15">
                  <c:v>18.1656145256316</c:v>
                </c:pt>
                <c:pt idx="16">
                  <c:v>19.080409249165101</c:v>
                </c:pt>
                <c:pt idx="17">
                  <c:v>18.844625444831301</c:v>
                </c:pt>
                <c:pt idx="18">
                  <c:v>18.934749304090801</c:v>
                </c:pt>
                <c:pt idx="19">
                  <c:v>18.822572995602801</c:v>
                </c:pt>
                <c:pt idx="20">
                  <c:v>19.090919726722898</c:v>
                </c:pt>
              </c:numCache>
            </c:numRef>
          </c:val>
          <c:extLst>
            <c:ext xmlns:c16="http://schemas.microsoft.com/office/drawing/2014/chart" uri="{C3380CC4-5D6E-409C-BE32-E72D297353CC}">
              <c16:uniqueId val="{00000000-1CB9-427C-992C-22F99E52EFC2}"/>
            </c:ext>
          </c:extLst>
        </c:ser>
        <c:ser>
          <c:idx val="1"/>
          <c:order val="1"/>
          <c:tx>
            <c:strRef>
              <c:f>'ANS - Romania'!$C$101</c:f>
              <c:strCache>
                <c:ptCount val="1"/>
                <c:pt idx="0">
                  <c:v>Education expenditure</c:v>
                </c:pt>
              </c:strCache>
            </c:strRef>
          </c:tx>
          <c:spPr>
            <a:solidFill>
              <a:srgbClr val="ED7D31"/>
            </a:solidFill>
            <a:ln w="25400">
              <a:noFill/>
            </a:ln>
          </c:spPr>
          <c:invertIfNegative val="0"/>
          <c:cat>
            <c:numRef>
              <c:f>'ANS - Romania'!$D$67:$X$67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'ANS - Romania'!$D$101:$X$101</c:f>
              <c:numCache>
                <c:formatCode>_(* #,##0.00_);_(* \(#,##0.00\);_(* "-"??_);_(@_)</c:formatCode>
                <c:ptCount val="21"/>
                <c:pt idx="0">
                  <c:v>3.4053559</c:v>
                </c:pt>
                <c:pt idx="1">
                  <c:v>3.3</c:v>
                </c:pt>
                <c:pt idx="2">
                  <c:v>3.6145250999999998</c:v>
                </c:pt>
                <c:pt idx="3">
                  <c:v>3.2284487999999998</c:v>
                </c:pt>
                <c:pt idx="4">
                  <c:v>3.0242244000001</c:v>
                </c:pt>
                <c:pt idx="5">
                  <c:v>2.82</c:v>
                </c:pt>
                <c:pt idx="6">
                  <c:v>3.02</c:v>
                </c:pt>
                <c:pt idx="7">
                  <c:v>3.22</c:v>
                </c:pt>
                <c:pt idx="8">
                  <c:v>3.24</c:v>
                </c:pt>
                <c:pt idx="9">
                  <c:v>3.23</c:v>
                </c:pt>
                <c:pt idx="10">
                  <c:v>3.38</c:v>
                </c:pt>
                <c:pt idx="11">
                  <c:v>3.4099999999999899</c:v>
                </c:pt>
                <c:pt idx="12">
                  <c:v>3.44</c:v>
                </c:pt>
                <c:pt idx="13">
                  <c:v>3.59500000000001</c:v>
                </c:pt>
                <c:pt idx="14">
                  <c:v>3.75</c:v>
                </c:pt>
                <c:pt idx="15">
                  <c:v>3.18</c:v>
                </c:pt>
                <c:pt idx="16">
                  <c:v>2.87</c:v>
                </c:pt>
                <c:pt idx="17">
                  <c:v>2.81</c:v>
                </c:pt>
                <c:pt idx="18">
                  <c:v>2.81</c:v>
                </c:pt>
                <c:pt idx="19">
                  <c:v>2.81</c:v>
                </c:pt>
                <c:pt idx="20">
                  <c:v>2.81</c:v>
                </c:pt>
              </c:numCache>
            </c:numRef>
          </c:val>
          <c:extLst>
            <c:ext xmlns:c16="http://schemas.microsoft.com/office/drawing/2014/chart" uri="{C3380CC4-5D6E-409C-BE32-E72D297353CC}">
              <c16:uniqueId val="{00000001-1CB9-427C-992C-22F99E52EFC2}"/>
            </c:ext>
          </c:extLst>
        </c:ser>
        <c:ser>
          <c:idx val="2"/>
          <c:order val="2"/>
          <c:tx>
            <c:strRef>
              <c:f>'ANS - Romania'!$C$102</c:f>
              <c:strCache>
                <c:ptCount val="1"/>
                <c:pt idx="0">
                  <c:v>Natural resource depletion</c:v>
                </c:pt>
              </c:strCache>
            </c:strRef>
          </c:tx>
          <c:spPr>
            <a:solidFill>
              <a:srgbClr val="A5A5A5"/>
            </a:solidFill>
            <a:ln w="25400">
              <a:noFill/>
            </a:ln>
          </c:spPr>
          <c:invertIfNegative val="0"/>
          <c:cat>
            <c:numRef>
              <c:f>'ANS - Romania'!$D$67:$X$67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'ANS - Romania'!$D$102:$X$102</c:f>
              <c:numCache>
                <c:formatCode>_(* #,##0.00_);_(* \(#,##0.00\);_(* "-"??_);_(@_)</c:formatCode>
                <c:ptCount val="21"/>
                <c:pt idx="0">
                  <c:v>-1.4595474356298552</c:v>
                </c:pt>
                <c:pt idx="1">
                  <c:v>-1.7735137657431417</c:v>
                </c:pt>
                <c:pt idx="2">
                  <c:v>-1.4558613853502975</c:v>
                </c:pt>
                <c:pt idx="3">
                  <c:v>-0.39922076062256179</c:v>
                </c:pt>
                <c:pt idx="4">
                  <c:v>-0.81719883559426598</c:v>
                </c:pt>
                <c:pt idx="5">
                  <c:v>-2.0092508035329346</c:v>
                </c:pt>
                <c:pt idx="6">
                  <c:v>-2.1410022004594764</c:v>
                </c:pt>
                <c:pt idx="7">
                  <c:v>-1.7943778031493196</c:v>
                </c:pt>
                <c:pt idx="8">
                  <c:v>-1.6006816167459454</c:v>
                </c:pt>
                <c:pt idx="9">
                  <c:v>-1.7066144557750471</c:v>
                </c:pt>
                <c:pt idx="10">
                  <c:v>-1.4920677459737828</c:v>
                </c:pt>
                <c:pt idx="11">
                  <c:v>-1.3247370784548522</c:v>
                </c:pt>
                <c:pt idx="12">
                  <c:v>-0.96107536548179551</c:v>
                </c:pt>
                <c:pt idx="13">
                  <c:v>-1.2838843124207493</c:v>
                </c:pt>
                <c:pt idx="14">
                  <c:v>-0.76320561043660617</c:v>
                </c:pt>
                <c:pt idx="15">
                  <c:v>-0.85916684814074284</c:v>
                </c:pt>
                <c:pt idx="16">
                  <c:v>-1.4083768574196067</c:v>
                </c:pt>
                <c:pt idx="17">
                  <c:v>-1.5109096567730904</c:v>
                </c:pt>
                <c:pt idx="18">
                  <c:v>-1.2040511393009117</c:v>
                </c:pt>
                <c:pt idx="19">
                  <c:v>-1.0467190481846245</c:v>
                </c:pt>
                <c:pt idx="20">
                  <c:v>-0.64298057761118921</c:v>
                </c:pt>
              </c:numCache>
            </c:numRef>
          </c:val>
          <c:extLst>
            <c:ext xmlns:c16="http://schemas.microsoft.com/office/drawing/2014/chart" uri="{C3380CC4-5D6E-409C-BE32-E72D297353CC}">
              <c16:uniqueId val="{00000002-1CB9-427C-992C-22F99E52EFC2}"/>
            </c:ext>
          </c:extLst>
        </c:ser>
        <c:ser>
          <c:idx val="3"/>
          <c:order val="3"/>
          <c:tx>
            <c:strRef>
              <c:f>'ANS - Romania'!$C$103</c:f>
              <c:strCache>
                <c:ptCount val="1"/>
                <c:pt idx="0">
                  <c:v>Pollution damages</c:v>
                </c:pt>
              </c:strCache>
            </c:strRef>
          </c:tx>
          <c:spPr>
            <a:solidFill>
              <a:srgbClr val="FFC000"/>
            </a:solidFill>
            <a:ln w="25400">
              <a:noFill/>
            </a:ln>
          </c:spPr>
          <c:invertIfNegative val="0"/>
          <c:cat>
            <c:numRef>
              <c:f>'ANS - Romania'!$D$67:$X$67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'ANS - Romania'!$D$103:$X$103</c:f>
              <c:numCache>
                <c:formatCode>_(* #,##0.00_);_(* \(#,##0.00\);_(* "-"??_);_(@_)</c:formatCode>
                <c:ptCount val="21"/>
                <c:pt idx="0">
                  <c:v>-4.6109714911616999</c:v>
                </c:pt>
                <c:pt idx="1">
                  <c:v>-4.8503920245750027</c:v>
                </c:pt>
                <c:pt idx="2">
                  <c:v>-4.8736351770796889</c:v>
                </c:pt>
                <c:pt idx="3">
                  <c:v>-4.0369370332010588</c:v>
                </c:pt>
                <c:pt idx="4">
                  <c:v>-4.2157238912808799</c:v>
                </c:pt>
                <c:pt idx="5">
                  <c:v>-4.2224886473671273</c:v>
                </c:pt>
                <c:pt idx="6">
                  <c:v>-4.2521108990649523</c:v>
                </c:pt>
                <c:pt idx="7">
                  <c:v>-3.8463601613567628</c:v>
                </c:pt>
                <c:pt idx="8">
                  <c:v>-3.3648906088315131</c:v>
                </c:pt>
                <c:pt idx="9">
                  <c:v>-2.769361428132266</c:v>
                </c:pt>
                <c:pt idx="10">
                  <c:v>-2.2861624083202221</c:v>
                </c:pt>
                <c:pt idx="11">
                  <c:v>-2.1440541275337979</c:v>
                </c:pt>
                <c:pt idx="12">
                  <c:v>-1.72813848029662</c:v>
                </c:pt>
                <c:pt idx="13">
                  <c:v>-1.468058266946872</c:v>
                </c:pt>
                <c:pt idx="14">
                  <c:v>-1.5762019550305379</c:v>
                </c:pt>
                <c:pt idx="15">
                  <c:v>-1.5751873687336562</c:v>
                </c:pt>
                <c:pt idx="16">
                  <c:v>-1.568215855991421</c:v>
                </c:pt>
                <c:pt idx="17">
                  <c:v>-1.6527189463649541</c:v>
                </c:pt>
                <c:pt idx="18">
                  <c:v>-1.3720286955272609</c:v>
                </c:pt>
                <c:pt idx="19">
                  <c:v>-1.315342664907222</c:v>
                </c:pt>
                <c:pt idx="20">
                  <c:v>-1.4542267246282541</c:v>
                </c:pt>
              </c:numCache>
            </c:numRef>
          </c:val>
          <c:extLst>
            <c:ext xmlns:c16="http://schemas.microsoft.com/office/drawing/2014/chart" uri="{C3380CC4-5D6E-409C-BE32-E72D297353CC}">
              <c16:uniqueId val="{00000003-1CB9-427C-992C-22F99E52EFC2}"/>
            </c:ext>
          </c:extLst>
        </c:ser>
        <c:dLbls>
          <c:showLegendKey val="0"/>
          <c:showVal val="0"/>
          <c:showCatName val="0"/>
          <c:showSerName val="0"/>
          <c:showPercent val="0"/>
          <c:showBubbleSize val="0"/>
        </c:dLbls>
        <c:gapWidth val="219"/>
        <c:overlap val="100"/>
        <c:axId val="1573872799"/>
        <c:axId val="1"/>
      </c:barChart>
      <c:lineChart>
        <c:grouping val="standard"/>
        <c:varyColors val="0"/>
        <c:ser>
          <c:idx val="4"/>
          <c:order val="4"/>
          <c:tx>
            <c:strRef>
              <c:f>'ANS - Romania'!$C$104</c:f>
              <c:strCache>
                <c:ptCount val="1"/>
                <c:pt idx="0">
                  <c:v>Gross national savings</c:v>
                </c:pt>
              </c:strCache>
            </c:strRef>
          </c:tx>
          <c:spPr>
            <a:ln w="28575" cap="rnd">
              <a:solidFill>
                <a:schemeClr val="tx1"/>
              </a:solidFill>
              <a:prstDash val="sysDash"/>
              <a:round/>
            </a:ln>
            <a:effectLst/>
          </c:spPr>
          <c:marker>
            <c:symbol val="none"/>
          </c:marker>
          <c:cat>
            <c:numRef>
              <c:f>'ANS - Romania'!$D$99:$X$99</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'ANS - Romania'!$D$104:$X$104</c:f>
              <c:numCache>
                <c:formatCode>_(* #,##0.00_);_(* \(#,##0.00\);_(* "-"??_);_(@_)</c:formatCode>
                <c:ptCount val="21"/>
                <c:pt idx="0">
                  <c:v>19.04015274</c:v>
                </c:pt>
                <c:pt idx="1">
                  <c:v>16.455309849999999</c:v>
                </c:pt>
                <c:pt idx="2">
                  <c:v>15.57589608</c:v>
                </c:pt>
                <c:pt idx="3">
                  <c:v>11.4884694</c:v>
                </c:pt>
                <c:pt idx="4">
                  <c:v>12.02068914</c:v>
                </c:pt>
                <c:pt idx="5">
                  <c:v>16.250069620000001</c:v>
                </c:pt>
                <c:pt idx="6">
                  <c:v>17.333848830000001</c:v>
                </c:pt>
                <c:pt idx="7">
                  <c:v>19.37523444</c:v>
                </c:pt>
                <c:pt idx="8">
                  <c:v>16.518584910000001</c:v>
                </c:pt>
                <c:pt idx="9">
                  <c:v>16.758492910000001</c:v>
                </c:pt>
                <c:pt idx="10">
                  <c:v>15.776222799999999</c:v>
                </c:pt>
                <c:pt idx="11">
                  <c:v>17.523883229999999</c:v>
                </c:pt>
                <c:pt idx="12">
                  <c:v>18.133160669999999</c:v>
                </c:pt>
                <c:pt idx="13">
                  <c:v>22.060808269999999</c:v>
                </c:pt>
                <c:pt idx="14">
                  <c:v>22.630069649999999</c:v>
                </c:pt>
                <c:pt idx="15">
                  <c:v>22.006739</c:v>
                </c:pt>
                <c:pt idx="16">
                  <c:v>23.121248049999998</c:v>
                </c:pt>
                <c:pt idx="17">
                  <c:v>22.563543060000001</c:v>
                </c:pt>
                <c:pt idx="18">
                  <c:v>25.043890909999998</c:v>
                </c:pt>
                <c:pt idx="19">
                  <c:v>24.410257049999998</c:v>
                </c:pt>
                <c:pt idx="20">
                  <c:v>25.051080970000001</c:v>
                </c:pt>
              </c:numCache>
            </c:numRef>
          </c:val>
          <c:smooth val="0"/>
          <c:extLst>
            <c:ext xmlns:c16="http://schemas.microsoft.com/office/drawing/2014/chart" uri="{C3380CC4-5D6E-409C-BE32-E72D297353CC}">
              <c16:uniqueId val="{00000004-1CB9-427C-992C-22F99E52EFC2}"/>
            </c:ext>
          </c:extLst>
        </c:ser>
        <c:ser>
          <c:idx val="5"/>
          <c:order val="5"/>
          <c:tx>
            <c:strRef>
              <c:f>'ANS - Romania'!$C$105</c:f>
              <c:strCache>
                <c:ptCount val="1"/>
                <c:pt idx="0">
                  <c:v>Adjusted net savings</c:v>
                </c:pt>
              </c:strCache>
            </c:strRef>
          </c:tx>
          <c:spPr>
            <a:ln w="28575" cap="rnd">
              <a:solidFill>
                <a:schemeClr val="accent6"/>
              </a:solidFill>
              <a:round/>
            </a:ln>
            <a:effectLst/>
          </c:spPr>
          <c:marker>
            <c:symbol val="none"/>
          </c:marker>
          <c:cat>
            <c:numRef>
              <c:f>'ANS - Romania'!$D$99:$X$99</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'ANS - Romania'!$D$105:$X$105</c:f>
              <c:numCache>
                <c:formatCode>_(* #,##0.00_);_(* \(#,##0.00\);_(* "-"??_);_(@_)</c:formatCode>
                <c:ptCount val="21"/>
                <c:pt idx="0">
                  <c:v>-10.054082046534401</c:v>
                </c:pt>
                <c:pt idx="1">
                  <c:v>-13.337461630884899</c:v>
                </c:pt>
                <c:pt idx="2">
                  <c:v>-11.4461698214587</c:v>
                </c:pt>
                <c:pt idx="3">
                  <c:v>-11.827174551988801</c:v>
                </c:pt>
                <c:pt idx="4">
                  <c:v>-11.7338649751206</c:v>
                </c:pt>
                <c:pt idx="5">
                  <c:v>-7.5012040728465301</c:v>
                </c:pt>
                <c:pt idx="6">
                  <c:v>-6.26578962227694</c:v>
                </c:pt>
                <c:pt idx="7">
                  <c:v>-5.7326431513357701</c:v>
                </c:pt>
                <c:pt idx="8">
                  <c:v>-7.4225119571947999</c:v>
                </c:pt>
                <c:pt idx="9">
                  <c:v>-4.7994319621203703</c:v>
                </c:pt>
                <c:pt idx="10">
                  <c:v>-3.87101587980007</c:v>
                </c:pt>
                <c:pt idx="11">
                  <c:v>-0.547862099803474</c:v>
                </c:pt>
                <c:pt idx="12">
                  <c:v>2.17785902054097</c:v>
                </c:pt>
                <c:pt idx="13">
                  <c:v>6.6759607063722299</c:v>
                </c:pt>
                <c:pt idx="14">
                  <c:v>5.8676058863353902</c:v>
                </c:pt>
                <c:pt idx="15">
                  <c:v>4.58670679281005</c:v>
                </c:pt>
                <c:pt idx="16">
                  <c:v>3.9342301809274902</c:v>
                </c:pt>
                <c:pt idx="17">
                  <c:v>3.36534543337079</c:v>
                </c:pt>
                <c:pt idx="18">
                  <c:v>6.3430231343539596</c:v>
                </c:pt>
                <c:pt idx="19">
                  <c:v>6.0355929294376098</c:v>
                </c:pt>
                <c:pt idx="20">
                  <c:v>6.6729520408318397</c:v>
                </c:pt>
              </c:numCache>
            </c:numRef>
          </c:val>
          <c:smooth val="0"/>
          <c:extLst>
            <c:ext xmlns:c16="http://schemas.microsoft.com/office/drawing/2014/chart" uri="{C3380CC4-5D6E-409C-BE32-E72D297353CC}">
              <c16:uniqueId val="{00000005-1CB9-427C-992C-22F99E52EFC2}"/>
            </c:ext>
          </c:extLst>
        </c:ser>
        <c:dLbls>
          <c:showLegendKey val="0"/>
          <c:showVal val="0"/>
          <c:showCatName val="0"/>
          <c:showSerName val="0"/>
          <c:showPercent val="0"/>
          <c:showBubbleSize val="0"/>
        </c:dLbls>
        <c:marker val="1"/>
        <c:smooth val="0"/>
        <c:axId val="1573872799"/>
        <c:axId val="1"/>
      </c:lineChart>
      <c:catAx>
        <c:axId val="1573872799"/>
        <c:scaling>
          <c:orientation val="minMax"/>
        </c:scaling>
        <c:delete val="0"/>
        <c:axPos val="b"/>
        <c:title>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2"/>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en-US" b="0" i="0"/>
                  <a:t>% of GNI</a:t>
                </a:r>
              </a:p>
            </c:rich>
          </c:tx>
          <c:layout>
            <c:manualLayout>
              <c:xMode val="edge"/>
              <c:yMode val="edge"/>
              <c:x val="2.328042328042328E-2"/>
              <c:y val="2.7383398780578784E-3"/>
            </c:manualLayout>
          </c:layout>
          <c:overlay val="0"/>
        </c:title>
        <c:numFmt formatCode="_(* #,##0_);_(* \(#,##0\);_(* &quot;-&quot;_);_(@_)" sourceLinked="0"/>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72799"/>
        <c:crossesAt val="1"/>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[API_AG.LND.AGRI.ZS_DS2_en_excel_v2.xls]Sheet1!$AF$1:$BE$1</c:f>
              <c:numCache>
                <c:formatCode>General</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cat>
          <c:val>
            <c:numRef>
              <c:f>[API_AG.LND.AGRI.ZS_DS2_en_excel_v2.xls]Sheet1!$AF$2:$BE$2</c:f>
              <c:numCache>
                <c:formatCode>General</c:formatCode>
                <c:ptCount val="26"/>
                <c:pt idx="0">
                  <c:v>64.395029431000651</c:v>
                </c:pt>
                <c:pt idx="1">
                  <c:v>64.490543014032937</c:v>
                </c:pt>
                <c:pt idx="2">
                  <c:v>64.455678549638279</c:v>
                </c:pt>
                <c:pt idx="3">
                  <c:v>64.468752723786281</c:v>
                </c:pt>
                <c:pt idx="4">
                  <c:v>64.476493398980438</c:v>
                </c:pt>
                <c:pt idx="5">
                  <c:v>64.477755022005312</c:v>
                </c:pt>
                <c:pt idx="6">
                  <c:v>64.403973509933778</c:v>
                </c:pt>
                <c:pt idx="7">
                  <c:v>64.470875266849646</c:v>
                </c:pt>
                <c:pt idx="8">
                  <c:v>64.231891632910845</c:v>
                </c:pt>
                <c:pt idx="9">
                  <c:v>64.377177700348426</c:v>
                </c:pt>
                <c:pt idx="10">
                  <c:v>64.677201689086246</c:v>
                </c:pt>
                <c:pt idx="11">
                  <c:v>64.420356101171038</c:v>
                </c:pt>
                <c:pt idx="12">
                  <c:v>64.462522295210334</c:v>
                </c:pt>
                <c:pt idx="13">
                  <c:v>64.361817786475314</c:v>
                </c:pt>
                <c:pt idx="14">
                  <c:v>61.434782608695649</c:v>
                </c:pt>
                <c:pt idx="15">
                  <c:v>61.657535437864162</c:v>
                </c:pt>
                <c:pt idx="16">
                  <c:v>61.044438646838849</c:v>
                </c:pt>
                <c:pt idx="17">
                  <c:v>59.289225281656442</c:v>
                </c:pt>
                <c:pt idx="18">
                  <c:v>59.30404523705959</c:v>
                </c:pt>
                <c:pt idx="19">
                  <c:v>59.206294010258198</c:v>
                </c:pt>
                <c:pt idx="20">
                  <c:v>61.534449032818948</c:v>
                </c:pt>
                <c:pt idx="21">
                  <c:v>60.746404831211706</c:v>
                </c:pt>
                <c:pt idx="22">
                  <c:v>59.703504043126685</c:v>
                </c:pt>
                <c:pt idx="23">
                  <c:v>60.448637134286834</c:v>
                </c:pt>
                <c:pt idx="24">
                  <c:v>60.109527121001392</c:v>
                </c:pt>
                <c:pt idx="25">
                  <c:v>60.131258692628656</c:v>
                </c:pt>
              </c:numCache>
            </c:numRef>
          </c:val>
          <c:smooth val="0"/>
          <c:extLst>
            <c:ext xmlns:c16="http://schemas.microsoft.com/office/drawing/2014/chart" uri="{C3380CC4-5D6E-409C-BE32-E72D297353CC}">
              <c16:uniqueId val="{00000000-CC8F-4C17-992F-B87DC1ED89FF}"/>
            </c:ext>
          </c:extLst>
        </c:ser>
        <c:dLbls>
          <c:showLegendKey val="0"/>
          <c:showVal val="0"/>
          <c:showCatName val="0"/>
          <c:showSerName val="0"/>
          <c:showPercent val="0"/>
          <c:showBubbleSize val="0"/>
        </c:dLbls>
        <c:smooth val="0"/>
        <c:axId val="450723344"/>
        <c:axId val="441413824"/>
      </c:lineChart>
      <c:catAx>
        <c:axId val="450723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13824"/>
        <c:crosses val="autoZero"/>
        <c:auto val="1"/>
        <c:lblAlgn val="ctr"/>
        <c:lblOffset val="100"/>
        <c:tickLblSkip val="10"/>
        <c:noMultiLvlLbl val="0"/>
      </c:catAx>
      <c:valAx>
        <c:axId val="441413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r>
                  <a:rPr lang="en-US" baseline="0"/>
                  <a:t> Agricultural Land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72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26695420159265"/>
          <c:y val="5.0974660650017357E-2"/>
          <c:w val="0.78839295218930605"/>
          <c:h val="0.66741737927920297"/>
        </c:manualLayout>
      </c:layout>
      <c:lineChart>
        <c:grouping val="standard"/>
        <c:varyColors val="0"/>
        <c:ser>
          <c:idx val="0"/>
          <c:order val="0"/>
          <c:tx>
            <c:strRef>
              <c:f>[API_NV.AGR.TOTL.ZS_DS2_en_excel_v2.xls]Sheet1!$A$2</c:f>
              <c:strCache>
                <c:ptCount val="1"/>
                <c:pt idx="0">
                  <c:v>Romania</c:v>
                </c:pt>
              </c:strCache>
            </c:strRef>
          </c:tx>
          <c:spPr>
            <a:ln w="28575" cap="rnd">
              <a:solidFill>
                <a:schemeClr val="accent1"/>
              </a:solidFill>
              <a:round/>
            </a:ln>
            <a:effectLst/>
          </c:spPr>
          <c:marker>
            <c:symbol val="none"/>
          </c:marker>
          <c:cat>
            <c:strRef>
              <c:f>[API_NV.AGR.TOTL.ZS_DS2_en_excel_v2.xls]Sheet1!$B$1:$AB$1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[API_NV.AGR.TOTL.ZS_DS2_en_excel_v2.xls]Sheet1!$B$2:$AB$2</c:f>
              <c:numCache>
                <c:formatCode>General</c:formatCode>
                <c:ptCount val="27"/>
                <c:pt idx="0">
                  <c:v>23.740642050501208</c:v>
                </c:pt>
                <c:pt idx="1">
                  <c:v>20.128738747459103</c:v>
                </c:pt>
                <c:pt idx="2">
                  <c:v>19.405937246416013</c:v>
                </c:pt>
                <c:pt idx="3">
                  <c:v>22.637019552027279</c:v>
                </c:pt>
                <c:pt idx="4">
                  <c:v>21.537732660108006</c:v>
                </c:pt>
                <c:pt idx="5">
                  <c:v>19.153122445303516</c:v>
                </c:pt>
                <c:pt idx="6">
                  <c:v>18.428336808695171</c:v>
                </c:pt>
                <c:pt idx="7">
                  <c:v>18.721620091821976</c:v>
                </c:pt>
                <c:pt idx="8">
                  <c:v>15.944808161920029</c:v>
                </c:pt>
                <c:pt idx="9">
                  <c:v>14.106246965528403</c:v>
                </c:pt>
                <c:pt idx="10">
                  <c:v>12.020058307121603</c:v>
                </c:pt>
                <c:pt idx="11">
                  <c:v>14.49417566341851</c:v>
                </c:pt>
                <c:pt idx="12">
                  <c:v>12.557721544941552</c:v>
                </c:pt>
                <c:pt idx="13">
                  <c:v>12.92051279733114</c:v>
                </c:pt>
                <c:pt idx="14">
                  <c:v>13.984514479496957</c:v>
                </c:pt>
                <c:pt idx="15">
                  <c:v>9.4807391451156668</c:v>
                </c:pt>
                <c:pt idx="16">
                  <c:v>8.742578439030277</c:v>
                </c:pt>
                <c:pt idx="17">
                  <c:v>5.4671688626925823</c:v>
                </c:pt>
                <c:pt idx="18">
                  <c:v>6.5641495951166515</c:v>
                </c:pt>
                <c:pt idx="19">
                  <c:v>6.0393832835318548</c:v>
                </c:pt>
                <c:pt idx="20">
                  <c:v>6.2712801706228936</c:v>
                </c:pt>
                <c:pt idx="21">
                  <c:v>7.3337310485281106</c:v>
                </c:pt>
                <c:pt idx="22">
                  <c:v>5.3205068925462005</c:v>
                </c:pt>
                <c:pt idx="23">
                  <c:v>6.1279977542003667</c:v>
                </c:pt>
                <c:pt idx="24">
                  <c:v>5.3396740394430706</c:v>
                </c:pt>
                <c:pt idx="25">
                  <c:v>4.7602410844234386</c:v>
                </c:pt>
                <c:pt idx="26">
                  <c:v>4.3387407992218581</c:v>
                </c:pt>
              </c:numCache>
            </c:numRef>
          </c:val>
          <c:smooth val="0"/>
          <c:extLst>
            <c:ext xmlns:c16="http://schemas.microsoft.com/office/drawing/2014/chart" uri="{C3380CC4-5D6E-409C-BE32-E72D297353CC}">
              <c16:uniqueId val="{00000000-DAD1-4CC8-9F2E-2245D2AF02AC}"/>
            </c:ext>
          </c:extLst>
        </c:ser>
        <c:dLbls>
          <c:showLegendKey val="0"/>
          <c:showVal val="0"/>
          <c:showCatName val="0"/>
          <c:showSerName val="0"/>
          <c:showPercent val="0"/>
          <c:showBubbleSize val="0"/>
        </c:dLbls>
        <c:smooth val="0"/>
        <c:axId val="503603360"/>
        <c:axId val="448074384"/>
      </c:lineChart>
      <c:catAx>
        <c:axId val="50360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074384"/>
        <c:crosses val="autoZero"/>
        <c:auto val="1"/>
        <c:lblAlgn val="ctr"/>
        <c:lblOffset val="100"/>
        <c:tickLblSkip val="10"/>
        <c:tickMarkSkip val="1"/>
        <c:noMultiLvlLbl val="0"/>
      </c:catAx>
      <c:valAx>
        <c:axId val="448074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r>
                  <a:rPr lang="en-US" baseline="0"/>
                  <a:t> Agricultural GDP</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0336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C6D943-ED02-4125-8418-4A3385EA9999}" type="doc">
      <dgm:prSet loTypeId="urn:microsoft.com/office/officeart/2005/8/layout/process1" loCatId="process" qsTypeId="urn:microsoft.com/office/officeart/2005/8/quickstyle/simple1" qsCatId="simple" csTypeId="urn:microsoft.com/office/officeart/2005/8/colors/accent1_2" csCatId="accent1" phldr="1"/>
      <dgm:spPr/>
    </dgm:pt>
    <dgm:pt modelId="{77A33F00-825D-4C8F-AF21-1AE3D0DE9CA0}">
      <dgm:prSet phldrT="[Text]">
        <dgm:style>
          <a:lnRef idx="2">
            <a:schemeClr val="dk1"/>
          </a:lnRef>
          <a:fillRef idx="1">
            <a:schemeClr val="lt1"/>
          </a:fillRef>
          <a:effectRef idx="0">
            <a:schemeClr val="dk1"/>
          </a:effectRef>
          <a:fontRef idx="minor">
            <a:schemeClr val="dk1"/>
          </a:fontRef>
        </dgm:style>
      </dgm:prSet>
      <dgm:spPr>
        <a:ln/>
      </dgm:spPr>
      <dgm:t>
        <a:bodyPr/>
        <a:lstStyle/>
        <a:p>
          <a:pPr algn="ctr"/>
          <a:r>
            <a:rPr lang="en-US" b="1"/>
            <a:t>Benchmarking:</a:t>
          </a:r>
          <a:r>
            <a:rPr lang="en-US"/>
            <a:t> Natural capital, ANS, baseline resources stocks and ambient conditions</a:t>
          </a:r>
          <a:endParaRPr lang="en-US" b="1"/>
        </a:p>
      </dgm:t>
    </dgm:pt>
    <dgm:pt modelId="{6CAD0987-9683-440F-BD8E-D7C0C5B21C29}" type="parTrans" cxnId="{7B2FE5F7-0DA7-4B8F-9E05-D5995EFDB2D0}">
      <dgm:prSet/>
      <dgm:spPr/>
      <dgm:t>
        <a:bodyPr/>
        <a:lstStyle/>
        <a:p>
          <a:pPr algn="ctr"/>
          <a:endParaRPr lang="en-US"/>
        </a:p>
      </dgm:t>
    </dgm:pt>
    <dgm:pt modelId="{81796B62-8C47-430D-95DA-4E3CC5D1265A}" type="sibTrans" cxnId="{7B2FE5F7-0DA7-4B8F-9E05-D5995EFDB2D0}">
      <dgm:prSet>
        <dgm:style>
          <a:lnRef idx="2">
            <a:schemeClr val="dk1"/>
          </a:lnRef>
          <a:fillRef idx="1">
            <a:schemeClr val="lt1"/>
          </a:fillRef>
          <a:effectRef idx="0">
            <a:schemeClr val="dk1"/>
          </a:effectRef>
          <a:fontRef idx="minor">
            <a:schemeClr val="dk1"/>
          </a:fontRef>
        </dgm:style>
      </dgm:prSet>
      <dgm:spPr>
        <a:ln/>
      </dgm:spPr>
      <dgm:t>
        <a:bodyPr/>
        <a:lstStyle/>
        <a:p>
          <a:pPr algn="ctr"/>
          <a:endParaRPr lang="en-US"/>
        </a:p>
      </dgm:t>
    </dgm:pt>
    <dgm:pt modelId="{82F74CC0-CEA7-45F5-9235-F7D0AEC4D5A2}">
      <dgm:prSet phldrT="[Text]">
        <dgm:style>
          <a:lnRef idx="2">
            <a:schemeClr val="dk1"/>
          </a:lnRef>
          <a:fillRef idx="1">
            <a:schemeClr val="lt1"/>
          </a:fillRef>
          <a:effectRef idx="0">
            <a:schemeClr val="dk1"/>
          </a:effectRef>
          <a:fontRef idx="minor">
            <a:schemeClr val="dk1"/>
          </a:fontRef>
        </dgm:style>
      </dgm:prSet>
      <dgm:spPr>
        <a:ln/>
      </dgm:spPr>
      <dgm:t>
        <a:bodyPr/>
        <a:lstStyle/>
        <a:p>
          <a:pPr algn="ctr"/>
          <a:r>
            <a:rPr lang="en-US" b="1"/>
            <a:t>Green Growth Decoupling Tool:</a:t>
          </a:r>
          <a:r>
            <a:rPr lang="en-US"/>
            <a:t> Macroeconomic and sectoral</a:t>
          </a:r>
        </a:p>
      </dgm:t>
    </dgm:pt>
    <dgm:pt modelId="{3022BCE6-B0C5-40F1-B48E-25A61A1E7F24}" type="parTrans" cxnId="{E01B6582-1351-44E4-9BC4-7DD6CE8FE8F7}">
      <dgm:prSet/>
      <dgm:spPr/>
      <dgm:t>
        <a:bodyPr/>
        <a:lstStyle/>
        <a:p>
          <a:pPr algn="ctr"/>
          <a:endParaRPr lang="en-US"/>
        </a:p>
      </dgm:t>
    </dgm:pt>
    <dgm:pt modelId="{D7CED52B-7237-416D-9D2E-46D9AD571F25}" type="sibTrans" cxnId="{E01B6582-1351-44E4-9BC4-7DD6CE8FE8F7}">
      <dgm:prSet>
        <dgm:style>
          <a:lnRef idx="2">
            <a:schemeClr val="dk1"/>
          </a:lnRef>
          <a:fillRef idx="1">
            <a:schemeClr val="lt1"/>
          </a:fillRef>
          <a:effectRef idx="0">
            <a:schemeClr val="dk1"/>
          </a:effectRef>
          <a:fontRef idx="minor">
            <a:schemeClr val="dk1"/>
          </a:fontRef>
        </dgm:style>
      </dgm:prSet>
      <dgm:spPr>
        <a:ln/>
      </dgm:spPr>
      <dgm:t>
        <a:bodyPr/>
        <a:lstStyle/>
        <a:p>
          <a:pPr algn="ctr"/>
          <a:endParaRPr lang="en-US"/>
        </a:p>
      </dgm:t>
    </dgm:pt>
    <dgm:pt modelId="{789D55D2-A771-4B72-925F-F3AE08A3FAB0}">
      <dgm:prSet phldrT="[Text]">
        <dgm:style>
          <a:lnRef idx="2">
            <a:schemeClr val="dk1"/>
          </a:lnRef>
          <a:fillRef idx="1">
            <a:schemeClr val="lt1"/>
          </a:fillRef>
          <a:effectRef idx="0">
            <a:schemeClr val="dk1"/>
          </a:effectRef>
          <a:fontRef idx="minor">
            <a:schemeClr val="dk1"/>
          </a:fontRef>
        </dgm:style>
      </dgm:prSet>
      <dgm:spPr>
        <a:ln/>
      </dgm:spPr>
      <dgm:t>
        <a:bodyPr/>
        <a:lstStyle/>
        <a:p>
          <a:pPr algn="ctr"/>
          <a:r>
            <a:rPr lang="en-US" b="1"/>
            <a:t>Hypotheses</a:t>
          </a:r>
          <a:r>
            <a:rPr lang="en-US"/>
            <a:t> for underlying causes of observed trends</a:t>
          </a:r>
        </a:p>
      </dgm:t>
    </dgm:pt>
    <dgm:pt modelId="{D22E618E-055C-4A07-8487-DDFF10C07DC1}" type="parTrans" cxnId="{85C4CAFF-1E2A-4C4E-8847-9E29A3F5ACDA}">
      <dgm:prSet/>
      <dgm:spPr/>
      <dgm:t>
        <a:bodyPr/>
        <a:lstStyle/>
        <a:p>
          <a:pPr algn="ctr"/>
          <a:endParaRPr lang="en-US"/>
        </a:p>
      </dgm:t>
    </dgm:pt>
    <dgm:pt modelId="{1DE54258-6525-4657-85A5-DE48991D6675}" type="sibTrans" cxnId="{85C4CAFF-1E2A-4C4E-8847-9E29A3F5ACDA}">
      <dgm:prSet>
        <dgm:style>
          <a:lnRef idx="2">
            <a:schemeClr val="dk1"/>
          </a:lnRef>
          <a:fillRef idx="1">
            <a:schemeClr val="lt1"/>
          </a:fillRef>
          <a:effectRef idx="0">
            <a:schemeClr val="dk1"/>
          </a:effectRef>
          <a:fontRef idx="minor">
            <a:schemeClr val="dk1"/>
          </a:fontRef>
        </dgm:style>
      </dgm:prSet>
      <dgm:spPr>
        <a:ln/>
      </dgm:spPr>
      <dgm:t>
        <a:bodyPr/>
        <a:lstStyle/>
        <a:p>
          <a:pPr algn="ctr"/>
          <a:endParaRPr lang="en-US"/>
        </a:p>
      </dgm:t>
    </dgm:pt>
    <dgm:pt modelId="{03C790A8-A7D5-4CD8-8F4F-0106F206BBF3}">
      <dgm:prSet phldrT="[Text]">
        <dgm:style>
          <a:lnRef idx="2">
            <a:schemeClr val="dk1"/>
          </a:lnRef>
          <a:fillRef idx="1">
            <a:schemeClr val="lt1"/>
          </a:fillRef>
          <a:effectRef idx="0">
            <a:schemeClr val="dk1"/>
          </a:effectRef>
          <a:fontRef idx="minor">
            <a:schemeClr val="dk1"/>
          </a:fontRef>
        </dgm:style>
      </dgm:prSet>
      <dgm:spPr>
        <a:ln/>
      </dgm:spPr>
      <dgm:t>
        <a:bodyPr/>
        <a:lstStyle/>
        <a:p>
          <a:pPr algn="ctr"/>
          <a:r>
            <a:rPr lang="en-US" b="1"/>
            <a:t>Policy implications</a:t>
          </a:r>
          <a:endParaRPr lang="en-US"/>
        </a:p>
      </dgm:t>
    </dgm:pt>
    <dgm:pt modelId="{F50B4F14-FBC3-4928-A46C-837CF8886882}" type="parTrans" cxnId="{CE74AB76-3608-4107-AA9F-EB631FF8A115}">
      <dgm:prSet/>
      <dgm:spPr/>
      <dgm:t>
        <a:bodyPr/>
        <a:lstStyle/>
        <a:p>
          <a:pPr algn="ctr"/>
          <a:endParaRPr lang="en-US"/>
        </a:p>
      </dgm:t>
    </dgm:pt>
    <dgm:pt modelId="{598A60E1-6FB8-4506-966D-A12D0B9F7C0D}" type="sibTrans" cxnId="{CE74AB76-3608-4107-AA9F-EB631FF8A115}">
      <dgm:prSet/>
      <dgm:spPr/>
      <dgm:t>
        <a:bodyPr/>
        <a:lstStyle/>
        <a:p>
          <a:pPr algn="ctr"/>
          <a:endParaRPr lang="en-US"/>
        </a:p>
      </dgm:t>
    </dgm:pt>
    <dgm:pt modelId="{013E071A-8B5A-40B0-80B3-9A4C1C761424}" type="pres">
      <dgm:prSet presAssocID="{A4C6D943-ED02-4125-8418-4A3385EA9999}" presName="Name0" presStyleCnt="0">
        <dgm:presLayoutVars>
          <dgm:dir/>
          <dgm:resizeHandles val="exact"/>
        </dgm:presLayoutVars>
      </dgm:prSet>
      <dgm:spPr/>
    </dgm:pt>
    <dgm:pt modelId="{CE0B82A0-C657-42C0-964F-D24B1A222DE9}" type="pres">
      <dgm:prSet presAssocID="{77A33F00-825D-4C8F-AF21-1AE3D0DE9CA0}" presName="node" presStyleLbl="node1" presStyleIdx="0" presStyleCnt="4">
        <dgm:presLayoutVars>
          <dgm:bulletEnabled val="1"/>
        </dgm:presLayoutVars>
      </dgm:prSet>
      <dgm:spPr/>
    </dgm:pt>
    <dgm:pt modelId="{8C490C42-DED8-4F9F-AEFC-A4C325721120}" type="pres">
      <dgm:prSet presAssocID="{81796B62-8C47-430D-95DA-4E3CC5D1265A}" presName="sibTrans" presStyleLbl="sibTrans2D1" presStyleIdx="0" presStyleCnt="3"/>
      <dgm:spPr/>
    </dgm:pt>
    <dgm:pt modelId="{15DA8F67-03A3-49A2-9E9B-5194DD19D7E4}" type="pres">
      <dgm:prSet presAssocID="{81796B62-8C47-430D-95DA-4E3CC5D1265A}" presName="connectorText" presStyleLbl="sibTrans2D1" presStyleIdx="0" presStyleCnt="3"/>
      <dgm:spPr/>
    </dgm:pt>
    <dgm:pt modelId="{32E55206-33AD-4DAA-B0AE-7E25AFB4B1C4}" type="pres">
      <dgm:prSet presAssocID="{82F74CC0-CEA7-45F5-9235-F7D0AEC4D5A2}" presName="node" presStyleLbl="node1" presStyleIdx="1" presStyleCnt="4">
        <dgm:presLayoutVars>
          <dgm:bulletEnabled val="1"/>
        </dgm:presLayoutVars>
      </dgm:prSet>
      <dgm:spPr/>
    </dgm:pt>
    <dgm:pt modelId="{3A4DB554-37B8-4C86-8A58-BCE5E8A78F72}" type="pres">
      <dgm:prSet presAssocID="{D7CED52B-7237-416D-9D2E-46D9AD571F25}" presName="sibTrans" presStyleLbl="sibTrans2D1" presStyleIdx="1" presStyleCnt="3"/>
      <dgm:spPr/>
    </dgm:pt>
    <dgm:pt modelId="{469CE309-4EC6-4F67-9A9F-958EE344B019}" type="pres">
      <dgm:prSet presAssocID="{D7CED52B-7237-416D-9D2E-46D9AD571F25}" presName="connectorText" presStyleLbl="sibTrans2D1" presStyleIdx="1" presStyleCnt="3"/>
      <dgm:spPr/>
    </dgm:pt>
    <dgm:pt modelId="{703BD61D-9D8D-4691-B7FA-8190E7659436}" type="pres">
      <dgm:prSet presAssocID="{789D55D2-A771-4B72-925F-F3AE08A3FAB0}" presName="node" presStyleLbl="node1" presStyleIdx="2" presStyleCnt="4">
        <dgm:presLayoutVars>
          <dgm:bulletEnabled val="1"/>
        </dgm:presLayoutVars>
      </dgm:prSet>
      <dgm:spPr/>
    </dgm:pt>
    <dgm:pt modelId="{73AAA47D-1AC7-4AC8-845C-3A436FFD4B7A}" type="pres">
      <dgm:prSet presAssocID="{1DE54258-6525-4657-85A5-DE48991D6675}" presName="sibTrans" presStyleLbl="sibTrans2D1" presStyleIdx="2" presStyleCnt="3"/>
      <dgm:spPr/>
    </dgm:pt>
    <dgm:pt modelId="{9E559C13-1F26-4F9F-9A04-24A20AEA1FED}" type="pres">
      <dgm:prSet presAssocID="{1DE54258-6525-4657-85A5-DE48991D6675}" presName="connectorText" presStyleLbl="sibTrans2D1" presStyleIdx="2" presStyleCnt="3"/>
      <dgm:spPr/>
    </dgm:pt>
    <dgm:pt modelId="{83B332BE-F613-426D-800F-373A9742E62A}" type="pres">
      <dgm:prSet presAssocID="{03C790A8-A7D5-4CD8-8F4F-0106F206BBF3}" presName="node" presStyleLbl="node1" presStyleIdx="3" presStyleCnt="4">
        <dgm:presLayoutVars>
          <dgm:bulletEnabled val="1"/>
        </dgm:presLayoutVars>
      </dgm:prSet>
      <dgm:spPr/>
    </dgm:pt>
  </dgm:ptLst>
  <dgm:cxnLst>
    <dgm:cxn modelId="{4AA30D0B-7141-4CFD-BD1F-5A7555E1AD7F}" type="presOf" srcId="{789D55D2-A771-4B72-925F-F3AE08A3FAB0}" destId="{703BD61D-9D8D-4691-B7FA-8190E7659436}" srcOrd="0" destOrd="0" presId="urn:microsoft.com/office/officeart/2005/8/layout/process1"/>
    <dgm:cxn modelId="{9538B134-2C04-45F7-A241-2A65701CB3D2}" type="presOf" srcId="{D7CED52B-7237-416D-9D2E-46D9AD571F25}" destId="{3A4DB554-37B8-4C86-8A58-BCE5E8A78F72}" srcOrd="0" destOrd="0" presId="urn:microsoft.com/office/officeart/2005/8/layout/process1"/>
    <dgm:cxn modelId="{03F1AC37-D6CF-47B4-935F-B08A58AE98CA}" type="presOf" srcId="{82F74CC0-CEA7-45F5-9235-F7D0AEC4D5A2}" destId="{32E55206-33AD-4DAA-B0AE-7E25AFB4B1C4}" srcOrd="0" destOrd="0" presId="urn:microsoft.com/office/officeart/2005/8/layout/process1"/>
    <dgm:cxn modelId="{71247540-4F67-4E1A-9E96-35453A12BE62}" type="presOf" srcId="{81796B62-8C47-430D-95DA-4E3CC5D1265A}" destId="{15DA8F67-03A3-49A2-9E9B-5194DD19D7E4}" srcOrd="1" destOrd="0" presId="urn:microsoft.com/office/officeart/2005/8/layout/process1"/>
    <dgm:cxn modelId="{01DC6E67-6AAF-4EF0-B528-E5AF430B3635}" type="presOf" srcId="{77A33F00-825D-4C8F-AF21-1AE3D0DE9CA0}" destId="{CE0B82A0-C657-42C0-964F-D24B1A222DE9}" srcOrd="0" destOrd="0" presId="urn:microsoft.com/office/officeart/2005/8/layout/process1"/>
    <dgm:cxn modelId="{0B1D8367-728D-4D3B-88FB-42CFBABC4074}" type="presOf" srcId="{03C790A8-A7D5-4CD8-8F4F-0106F206BBF3}" destId="{83B332BE-F613-426D-800F-373A9742E62A}" srcOrd="0" destOrd="0" presId="urn:microsoft.com/office/officeart/2005/8/layout/process1"/>
    <dgm:cxn modelId="{CE74AB76-3608-4107-AA9F-EB631FF8A115}" srcId="{A4C6D943-ED02-4125-8418-4A3385EA9999}" destId="{03C790A8-A7D5-4CD8-8F4F-0106F206BBF3}" srcOrd="3" destOrd="0" parTransId="{F50B4F14-FBC3-4928-A46C-837CF8886882}" sibTransId="{598A60E1-6FB8-4506-966D-A12D0B9F7C0D}"/>
    <dgm:cxn modelId="{E01B6582-1351-44E4-9BC4-7DD6CE8FE8F7}" srcId="{A4C6D943-ED02-4125-8418-4A3385EA9999}" destId="{82F74CC0-CEA7-45F5-9235-F7D0AEC4D5A2}" srcOrd="1" destOrd="0" parTransId="{3022BCE6-B0C5-40F1-B48E-25A61A1E7F24}" sibTransId="{D7CED52B-7237-416D-9D2E-46D9AD571F25}"/>
    <dgm:cxn modelId="{61FCA78A-C25F-4757-97A0-0EB882DC20D1}" type="presOf" srcId="{1DE54258-6525-4657-85A5-DE48991D6675}" destId="{9E559C13-1F26-4F9F-9A04-24A20AEA1FED}" srcOrd="1" destOrd="0" presId="urn:microsoft.com/office/officeart/2005/8/layout/process1"/>
    <dgm:cxn modelId="{5370F39D-9ADC-4064-9329-9B5A90BBFC56}" type="presOf" srcId="{A4C6D943-ED02-4125-8418-4A3385EA9999}" destId="{013E071A-8B5A-40B0-80B3-9A4C1C761424}" srcOrd="0" destOrd="0" presId="urn:microsoft.com/office/officeart/2005/8/layout/process1"/>
    <dgm:cxn modelId="{626543B9-6F9D-40AE-8C2F-99BA9AC6FBBA}" type="presOf" srcId="{81796B62-8C47-430D-95DA-4E3CC5D1265A}" destId="{8C490C42-DED8-4F9F-AEFC-A4C325721120}" srcOrd="0" destOrd="0" presId="urn:microsoft.com/office/officeart/2005/8/layout/process1"/>
    <dgm:cxn modelId="{EBAF6DBC-1290-4F3C-8D2A-2A916B0D83EC}" type="presOf" srcId="{1DE54258-6525-4657-85A5-DE48991D6675}" destId="{73AAA47D-1AC7-4AC8-845C-3A436FFD4B7A}" srcOrd="0" destOrd="0" presId="urn:microsoft.com/office/officeart/2005/8/layout/process1"/>
    <dgm:cxn modelId="{7B2FE5F7-0DA7-4B8F-9E05-D5995EFDB2D0}" srcId="{A4C6D943-ED02-4125-8418-4A3385EA9999}" destId="{77A33F00-825D-4C8F-AF21-1AE3D0DE9CA0}" srcOrd="0" destOrd="0" parTransId="{6CAD0987-9683-440F-BD8E-D7C0C5B21C29}" sibTransId="{81796B62-8C47-430D-95DA-4E3CC5D1265A}"/>
    <dgm:cxn modelId="{61E468FB-7B60-429B-B263-F34AD8C44EC8}" type="presOf" srcId="{D7CED52B-7237-416D-9D2E-46D9AD571F25}" destId="{469CE309-4EC6-4F67-9A9F-958EE344B019}" srcOrd="1" destOrd="0" presId="urn:microsoft.com/office/officeart/2005/8/layout/process1"/>
    <dgm:cxn modelId="{85C4CAFF-1E2A-4C4E-8847-9E29A3F5ACDA}" srcId="{A4C6D943-ED02-4125-8418-4A3385EA9999}" destId="{789D55D2-A771-4B72-925F-F3AE08A3FAB0}" srcOrd="2" destOrd="0" parTransId="{D22E618E-055C-4A07-8487-DDFF10C07DC1}" sibTransId="{1DE54258-6525-4657-85A5-DE48991D6675}"/>
    <dgm:cxn modelId="{85CB559E-CA57-4CFC-A7F3-22B99CD74355}" type="presParOf" srcId="{013E071A-8B5A-40B0-80B3-9A4C1C761424}" destId="{CE0B82A0-C657-42C0-964F-D24B1A222DE9}" srcOrd="0" destOrd="0" presId="urn:microsoft.com/office/officeart/2005/8/layout/process1"/>
    <dgm:cxn modelId="{4D6CA7AA-FF1C-470B-8FCC-58E0EF43D6C0}" type="presParOf" srcId="{013E071A-8B5A-40B0-80B3-9A4C1C761424}" destId="{8C490C42-DED8-4F9F-AEFC-A4C325721120}" srcOrd="1" destOrd="0" presId="urn:microsoft.com/office/officeart/2005/8/layout/process1"/>
    <dgm:cxn modelId="{56961D9F-5E9D-44F8-A7FF-308BAB683595}" type="presParOf" srcId="{8C490C42-DED8-4F9F-AEFC-A4C325721120}" destId="{15DA8F67-03A3-49A2-9E9B-5194DD19D7E4}" srcOrd="0" destOrd="0" presId="urn:microsoft.com/office/officeart/2005/8/layout/process1"/>
    <dgm:cxn modelId="{CDF0C6D8-8FB1-40A0-8B5C-FD3DC3F6B652}" type="presParOf" srcId="{013E071A-8B5A-40B0-80B3-9A4C1C761424}" destId="{32E55206-33AD-4DAA-B0AE-7E25AFB4B1C4}" srcOrd="2" destOrd="0" presId="urn:microsoft.com/office/officeart/2005/8/layout/process1"/>
    <dgm:cxn modelId="{A557927A-D53C-4373-BF5F-A6109545F3AD}" type="presParOf" srcId="{013E071A-8B5A-40B0-80B3-9A4C1C761424}" destId="{3A4DB554-37B8-4C86-8A58-BCE5E8A78F72}" srcOrd="3" destOrd="0" presId="urn:microsoft.com/office/officeart/2005/8/layout/process1"/>
    <dgm:cxn modelId="{75D0B7FA-8ADD-4B52-837C-0E6E8286DE4C}" type="presParOf" srcId="{3A4DB554-37B8-4C86-8A58-BCE5E8A78F72}" destId="{469CE309-4EC6-4F67-9A9F-958EE344B019}" srcOrd="0" destOrd="0" presId="urn:microsoft.com/office/officeart/2005/8/layout/process1"/>
    <dgm:cxn modelId="{DE4CC645-D7C9-4B3F-AF88-46BDF0DA0828}" type="presParOf" srcId="{013E071A-8B5A-40B0-80B3-9A4C1C761424}" destId="{703BD61D-9D8D-4691-B7FA-8190E7659436}" srcOrd="4" destOrd="0" presId="urn:microsoft.com/office/officeart/2005/8/layout/process1"/>
    <dgm:cxn modelId="{B4B719C0-86B7-4CD2-AE81-AF1327BC54A8}" type="presParOf" srcId="{013E071A-8B5A-40B0-80B3-9A4C1C761424}" destId="{73AAA47D-1AC7-4AC8-845C-3A436FFD4B7A}" srcOrd="5" destOrd="0" presId="urn:microsoft.com/office/officeart/2005/8/layout/process1"/>
    <dgm:cxn modelId="{86D0C878-4E99-41BF-8058-C11B518EB313}" type="presParOf" srcId="{73AAA47D-1AC7-4AC8-845C-3A436FFD4B7A}" destId="{9E559C13-1F26-4F9F-9A04-24A20AEA1FED}" srcOrd="0" destOrd="0" presId="urn:microsoft.com/office/officeart/2005/8/layout/process1"/>
    <dgm:cxn modelId="{CF3E0389-E1A7-491C-AD50-D51B2389AE03}" type="presParOf" srcId="{013E071A-8B5A-40B0-80B3-9A4C1C761424}" destId="{83B332BE-F613-426D-800F-373A9742E62A}" srcOrd="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0B82A0-C657-42C0-964F-D24B1A222DE9}">
      <dsp:nvSpPr>
        <dsp:cNvPr id="0" name=""/>
        <dsp:cNvSpPr/>
      </dsp:nvSpPr>
      <dsp:spPr>
        <a:xfrm>
          <a:off x="2595" y="42714"/>
          <a:ext cx="1134674" cy="109567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Benchmarking:</a:t>
          </a:r>
          <a:r>
            <a:rPr lang="en-US" sz="1100" kern="1200"/>
            <a:t> Natural capital, ANS, baseline resources stocks and ambient conditions</a:t>
          </a:r>
          <a:endParaRPr lang="en-US" sz="1100" b="1" kern="1200"/>
        </a:p>
      </dsp:txBody>
      <dsp:txXfrm>
        <a:off x="34686" y="74805"/>
        <a:ext cx="1070492" cy="1031488"/>
      </dsp:txXfrm>
    </dsp:sp>
    <dsp:sp modelId="{8C490C42-DED8-4F9F-AEFC-A4C325721120}">
      <dsp:nvSpPr>
        <dsp:cNvPr id="0" name=""/>
        <dsp:cNvSpPr/>
      </dsp:nvSpPr>
      <dsp:spPr>
        <a:xfrm>
          <a:off x="1250737" y="449850"/>
          <a:ext cx="240551" cy="281399"/>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250737" y="506130"/>
        <a:ext cx="168386" cy="168839"/>
      </dsp:txXfrm>
    </dsp:sp>
    <dsp:sp modelId="{32E55206-33AD-4DAA-B0AE-7E25AFB4B1C4}">
      <dsp:nvSpPr>
        <dsp:cNvPr id="0" name=""/>
        <dsp:cNvSpPr/>
      </dsp:nvSpPr>
      <dsp:spPr>
        <a:xfrm>
          <a:off x="1591140" y="42714"/>
          <a:ext cx="1134674" cy="109567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Green Growth Decoupling Tool:</a:t>
          </a:r>
          <a:r>
            <a:rPr lang="en-US" sz="1100" kern="1200"/>
            <a:t> Macroeconomic and sectoral</a:t>
          </a:r>
        </a:p>
      </dsp:txBody>
      <dsp:txXfrm>
        <a:off x="1623231" y="74805"/>
        <a:ext cx="1070492" cy="1031488"/>
      </dsp:txXfrm>
    </dsp:sp>
    <dsp:sp modelId="{3A4DB554-37B8-4C86-8A58-BCE5E8A78F72}">
      <dsp:nvSpPr>
        <dsp:cNvPr id="0" name=""/>
        <dsp:cNvSpPr/>
      </dsp:nvSpPr>
      <dsp:spPr>
        <a:xfrm>
          <a:off x="2839282" y="449850"/>
          <a:ext cx="240551" cy="281399"/>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839282" y="506130"/>
        <a:ext cx="168386" cy="168839"/>
      </dsp:txXfrm>
    </dsp:sp>
    <dsp:sp modelId="{703BD61D-9D8D-4691-B7FA-8190E7659436}">
      <dsp:nvSpPr>
        <dsp:cNvPr id="0" name=""/>
        <dsp:cNvSpPr/>
      </dsp:nvSpPr>
      <dsp:spPr>
        <a:xfrm>
          <a:off x="3179684" y="42714"/>
          <a:ext cx="1134674" cy="109567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Hypotheses</a:t>
          </a:r>
          <a:r>
            <a:rPr lang="en-US" sz="1100" kern="1200"/>
            <a:t> for underlying causes of observed trends</a:t>
          </a:r>
        </a:p>
      </dsp:txBody>
      <dsp:txXfrm>
        <a:off x="3211775" y="74805"/>
        <a:ext cx="1070492" cy="1031488"/>
      </dsp:txXfrm>
    </dsp:sp>
    <dsp:sp modelId="{73AAA47D-1AC7-4AC8-845C-3A436FFD4B7A}">
      <dsp:nvSpPr>
        <dsp:cNvPr id="0" name=""/>
        <dsp:cNvSpPr/>
      </dsp:nvSpPr>
      <dsp:spPr>
        <a:xfrm>
          <a:off x="4427827" y="449850"/>
          <a:ext cx="240551" cy="281399"/>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427827" y="506130"/>
        <a:ext cx="168386" cy="168839"/>
      </dsp:txXfrm>
    </dsp:sp>
    <dsp:sp modelId="{83B332BE-F613-426D-800F-373A9742E62A}">
      <dsp:nvSpPr>
        <dsp:cNvPr id="0" name=""/>
        <dsp:cNvSpPr/>
      </dsp:nvSpPr>
      <dsp:spPr>
        <a:xfrm>
          <a:off x="4768229" y="42714"/>
          <a:ext cx="1134674" cy="109567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Policy implications</a:t>
          </a:r>
          <a:endParaRPr lang="en-US" sz="1100" kern="1200"/>
        </a:p>
      </dsp:txBody>
      <dsp:txXfrm>
        <a:off x="4800320" y="74805"/>
        <a:ext cx="1070492" cy="10314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0.31661</cdr:x>
      <cdr:y>0.65121</cdr:y>
    </cdr:from>
    <cdr:to>
      <cdr:x>0.46321</cdr:x>
      <cdr:y>0.65357</cdr:y>
    </cdr:to>
    <cdr:cxnSp macro="">
      <cdr:nvCxnSpPr>
        <cdr:cNvPr id="3" name="Straight Connector 2">
          <a:extLst xmlns:a="http://schemas.openxmlformats.org/drawingml/2006/main">
            <a:ext uri="{FF2B5EF4-FFF2-40B4-BE49-F238E27FC236}">
              <a16:creationId xmlns:a16="http://schemas.microsoft.com/office/drawing/2014/main" id="{D39EEC16-BC65-42C3-8274-CFD74BFE9666}"/>
            </a:ext>
          </a:extLst>
        </cdr:cNvPr>
        <cdr:cNvCxnSpPr/>
      </cdr:nvCxnSpPr>
      <cdr:spPr>
        <a:xfrm xmlns:a="http://schemas.openxmlformats.org/drawingml/2006/main" flipV="1">
          <a:off x="1803400" y="2080684"/>
          <a:ext cx="835025" cy="7559"/>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a4117c50-33ca-4e49-9a5c-4b51d291b3ff" ContentTypeId="0x01010054E0FEF4951F9D49A6F48A35419983C7" PreviousValue="false"/>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A99E1FD9B8DEA44A925DE5A4AAF4F992" ma:contentTypeVersion="3" ma:contentTypeDescription="" ma:contentTypeScope="" ma:versionID="51e5766597f690059846b1159165edd7">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Authors xmlns="b99a068c-3844-4a16-badd-77233eea0529">000107702:Linh Van Nguyen:nlinh@worldbank.org;</DocAuthors>
    <DocStatus xmlns="b99a068c-3844-4a16-badd-77233eea0529" xsi:nil="true"/>
    <RefreshDate xmlns="b99a068c-3844-4a16-badd-77233eea0529" xsi:nil="true"/>
    <Authors xmlns="b99a068c-3844-4a16-badd-77233eea0529">
      <UserInfo>
        <DisplayName>i:0#.w|wb\wb107702</DisplayName>
        <AccountId>4951</AccountId>
        <AccountType/>
      </UserInfo>
      <UserInfo>
        <DisplayName/>
        <AccountId xsi:nil="true"/>
        <AccountType/>
      </UserInfo>
    </Authors>
    <Abstract xmlns="b99a068c-3844-4a16-badd-77233eea0529" xsi:nil="true"/>
    <SequenceNum xmlns="b99a068c-3844-4a16-badd-77233eea0529" xsi:nil="true"/>
    <Cordis_x0020_ID xmlns="b99a068c-3844-4a16-badd-77233eea0529" xsi:nil="true"/>
    <PolicyExceptions xmlns="b99a068c-3844-4a16-badd-77233eea0529" xsi:nil="true"/>
    <Stage xmlns="b99a068c-3844-4a16-badd-77233eea0529">IMP</Stage>
    <IsTemplate xmlns="b99a068c-3844-4a16-badd-77233eea0529">false</IsTemplate>
    <IsHidden xmlns="b99a068c-3844-4a16-badd-77233eea0529">false</IsHidden>
    <WBDocType xmlns="b99a068c-3844-4a16-badd-77233eea0529">Report</WBDocType>
    <SecurityClassification xmlns="b99a068c-3844-4a16-badd-77233eea0529">Public</SecurityClassification>
    <DeliverableID xmlns="b99a068c-3844-4a16-badd-77233eea0529">DLV0215145</DeliverableID>
    <DisclosedVersion xmlns="b99a068c-3844-4a16-badd-77233eea0529" xsi:nil="true"/>
    <IsMandatory xmlns="b99a068c-3844-4a16-badd-77233eea0529">false</IsMandatory>
    <ProjectID xmlns="b99a068c-3844-4a16-badd-77233eea0529">P157612</ProjectID>
    <DocumentAction xmlns="b99a068c-3844-4a16-badd-77233eea0529" xsi:nil="true"/>
    <AttachmentType xmlns="b99a068c-3844-4a16-badd-77233eea0529" xsi:nil="true"/>
    <LockStatus xmlns="b99a068c-3844-4a16-badd-77233eea0529" xsi:nil="true"/>
    <TemplateDocVersion xmlns="b99a068c-3844-4a16-badd-77233eea0529" xsi:nil="true"/>
    <DependentDoc xmlns="b99a068c-3844-4a16-badd-77233eea0529" xsi:nil="true"/>
    <ApprovedVersion xmlns="b99a068c-3844-4a16-badd-77233eea0529" xsi:nil="true"/>
    <Task_x0020_ID xmlns="b99a068c-3844-4a16-badd-77233eea0529" xsi:nil="true"/>
    <DocumentType xmlns="b99a068c-3844-4a16-badd-77233eea0529" xsi:nil="true"/>
    <Package xmlns="b99a068c-3844-4a16-badd-77233eea0529">true</Package>
    <SAPStage xmlns="b99a068c-3844-4a16-badd-77233eea0529" xsi:nil="true"/>
    <HasUserUploaded xmlns="b99a068c-3844-4a16-badd-77233eea0529">true</HasUserUploaded>
    <DocumentDate xmlns="b99a068c-3844-4a16-badd-77233eea0529">2017-11-29T05:00:00+00:00</DocumentDate>
  </documentManagement>
</p:properties>
</file>

<file path=customXml/itemProps1.xml><?xml version="1.0" encoding="utf-8"?>
<ds:datastoreItem xmlns:ds="http://schemas.openxmlformats.org/officeDocument/2006/customXml" ds:itemID="{578DC5DC-C731-4248-9AC0-7DAA3EDDB459}"/>
</file>

<file path=customXml/itemProps2.xml><?xml version="1.0" encoding="utf-8"?>
<ds:datastoreItem xmlns:ds="http://schemas.openxmlformats.org/officeDocument/2006/customXml" ds:itemID="{7020B8FF-430D-43AC-882F-09142BAEF2E2}"/>
</file>

<file path=customXml/itemProps3.xml><?xml version="1.0" encoding="utf-8"?>
<ds:datastoreItem xmlns:ds="http://schemas.openxmlformats.org/officeDocument/2006/customXml" ds:itemID="{44BFDAA3-B778-4CD5-9353-E87BCDEE58CE}"/>
</file>

<file path=customXml/itemProps4.xml><?xml version="1.0" encoding="utf-8"?>
<ds:datastoreItem xmlns:ds="http://schemas.openxmlformats.org/officeDocument/2006/customXml" ds:itemID="{F09202CF-9C95-4A12-9704-0AB38F4B6335}"/>
</file>

<file path=customXml/itemProps5.xml><?xml version="1.0" encoding="utf-8"?>
<ds:datastoreItem xmlns:ds="http://schemas.openxmlformats.org/officeDocument/2006/customXml" ds:itemID="{0758B7CD-F4F5-479F-9FCD-4B393C94C2B4}"/>
</file>

<file path=docProps/app.xml><?xml version="1.0" encoding="utf-8"?>
<Properties xmlns="http://schemas.openxmlformats.org/officeDocument/2006/extended-properties" xmlns:vt="http://schemas.openxmlformats.org/officeDocument/2006/docPropsVTypes">
  <Template>Normal.dotm</Template>
  <TotalTime>78</TotalTime>
  <Pages>34</Pages>
  <Words>13776</Words>
  <Characters>78529</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Paper</dc:title>
  <dc:subject/>
  <dc:creator>Tijen Arin</dc:creator>
  <cp:keywords/>
  <dc:description/>
  <cp:lastModifiedBy>Craig Meisner</cp:lastModifiedBy>
  <cp:revision>24</cp:revision>
  <cp:lastPrinted>2016-08-15T21:56:00Z</cp:lastPrinted>
  <dcterms:created xsi:type="dcterms:W3CDTF">2018-03-05T15:12:00Z</dcterms:created>
  <dcterms:modified xsi:type="dcterms:W3CDTF">2018-03-14T14:04:00Z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id="7ZRTxDit"/&gt;&lt;style id="http://www.zotero.org/styles/chicago-author-date" locale="en-US" hasBibliography="1" bibliographyStyleHasBeenSet="1"/&gt;&lt;prefs&gt;&lt;pref name="fieldType" value="Field"/&gt;&lt;pref n</vt:lpwstr>
  </property>
  <property fmtid="{D5CDD505-2E9C-101B-9397-08002B2CF9AE}" pid="3" name="ZOTERO_PREF_2">
    <vt:lpwstr>ame="storeReferences" value="true"/&gt;&lt;pref name="automaticJournalAbbreviations" value=""/&gt;&lt;pref name="noteType" value=""/&gt;&lt;/prefs&gt;&lt;/data&gt;</vt:lpwstr>
  </property>
  <property fmtid="{D5CDD505-2E9C-101B-9397-08002B2CF9AE}" pid="4" name="ContentTypeId">
    <vt:lpwstr>0x01010054E0FEF4951F9D49A6F48A35419983C700A99E1FD9B8DEA44A925DE5A4AAF4F992</vt:lpwstr>
  </property>
</Properties>
</file>