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2A" w:rsidRDefault="00FB5B2A">
      <w:pPr>
        <w:spacing w:before="0"/>
      </w:pPr>
      <w:bookmarkStart w:id="0" w:name="_Toc482284011"/>
      <w:bookmarkStart w:id="1" w:name="_Toc482360281"/>
      <w:r>
        <w:rPr>
          <w:noProof/>
          <w:lang w:eastAsia="en-US"/>
        </w:rPr>
        <w:drawing>
          <wp:inline distT="0" distB="0" distL="0" distR="0">
            <wp:extent cx="6093460" cy="8618220"/>
            <wp:effectExtent l="19050" t="0" r="2540" b="0"/>
            <wp:docPr id="3" name="Рисунок 2" descr="Monte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negro.png"/>
                    <pic:cNvPicPr/>
                  </pic:nvPicPr>
                  <pic:blipFill>
                    <a:blip r:embed="rId9" cstate="print"/>
                    <a:stretch>
                      <a:fillRect/>
                    </a:stretch>
                  </pic:blipFill>
                  <pic:spPr>
                    <a:xfrm>
                      <a:off x="0" y="0"/>
                      <a:ext cx="6093460" cy="8618220"/>
                    </a:xfrm>
                    <a:prstGeom prst="rect">
                      <a:avLst/>
                    </a:prstGeom>
                  </pic:spPr>
                </pic:pic>
              </a:graphicData>
            </a:graphic>
          </wp:inline>
        </w:drawing>
      </w:r>
      <w:r>
        <w:br w:type="page"/>
      </w:r>
    </w:p>
    <w:p w:rsidR="00FB5B2A" w:rsidRPr="00FB5B2A" w:rsidRDefault="00FB5B2A" w:rsidP="00FB5B2A">
      <w:pPr>
        <w:spacing w:before="60" w:after="60"/>
        <w:jc w:val="lowKashida"/>
        <w:rPr>
          <w:rFonts w:ascii="Calibri" w:eastAsia="Calibri" w:hAnsi="Calibri" w:cs="Arial"/>
          <w:sz w:val="36"/>
          <w:szCs w:val="36"/>
          <w:lang w:eastAsia="en-US"/>
        </w:rPr>
      </w:pPr>
      <w:r w:rsidRPr="00FB5B2A">
        <w:rPr>
          <w:rFonts w:ascii="Calibri" w:eastAsia="Calibri" w:hAnsi="Calibri" w:cs="Arial"/>
          <w:b/>
          <w:bCs/>
          <w:sz w:val="36"/>
          <w:szCs w:val="36"/>
          <w:lang w:eastAsia="en-US"/>
        </w:rPr>
        <w:lastRenderedPageBreak/>
        <w:t>Table of contents</w:t>
      </w:r>
    </w:p>
    <w:p w:rsidR="00FB5B2A" w:rsidRPr="00FB5B2A" w:rsidRDefault="00FB5B2A" w:rsidP="00FB5B2A">
      <w:pPr>
        <w:spacing w:before="60" w:after="60"/>
        <w:jc w:val="lowKashida"/>
        <w:rPr>
          <w:rFonts w:ascii="Calibri" w:eastAsia="Calibri" w:hAnsi="Calibri" w:cs="Arial"/>
          <w:lang w:eastAsia="en-US"/>
        </w:rPr>
      </w:pPr>
    </w:p>
    <w:p w:rsidR="002762AB" w:rsidRDefault="008A4F57">
      <w:pPr>
        <w:pStyle w:val="21"/>
        <w:tabs>
          <w:tab w:val="right" w:leader="dot" w:pos="9679"/>
        </w:tabs>
        <w:rPr>
          <w:noProof/>
          <w:lang w:eastAsia="en-US"/>
        </w:rPr>
      </w:pPr>
      <w:r>
        <w:fldChar w:fldCharType="begin"/>
      </w:r>
      <w:r w:rsidR="009135CD">
        <w:instrText xml:space="preserve"> TOC \o "1-3" \h \z \u </w:instrText>
      </w:r>
      <w:r>
        <w:fldChar w:fldCharType="separate"/>
      </w:r>
      <w:hyperlink w:anchor="_Toc12207109" w:history="1">
        <w:r w:rsidR="002762AB" w:rsidRPr="00A43D4A">
          <w:rPr>
            <w:rStyle w:val="ad"/>
            <w:rFonts w:eastAsia="Times New Roman"/>
            <w:noProof/>
            <w:lang w:eastAsia="en-US"/>
          </w:rPr>
          <w:t>Executive summary</w:t>
        </w:r>
        <w:r w:rsidR="002762AB">
          <w:rPr>
            <w:noProof/>
            <w:webHidden/>
          </w:rPr>
          <w:tab/>
        </w:r>
        <w:r w:rsidR="002762AB">
          <w:rPr>
            <w:noProof/>
            <w:webHidden/>
          </w:rPr>
          <w:fldChar w:fldCharType="begin"/>
        </w:r>
        <w:r w:rsidR="002762AB">
          <w:rPr>
            <w:noProof/>
            <w:webHidden/>
          </w:rPr>
          <w:instrText xml:space="preserve"> PAGEREF _Toc12207109 \h </w:instrText>
        </w:r>
        <w:r w:rsidR="002762AB">
          <w:rPr>
            <w:noProof/>
            <w:webHidden/>
          </w:rPr>
        </w:r>
        <w:r w:rsidR="002762AB">
          <w:rPr>
            <w:noProof/>
            <w:webHidden/>
          </w:rPr>
          <w:fldChar w:fldCharType="separate"/>
        </w:r>
        <w:r w:rsidR="002762AB">
          <w:rPr>
            <w:noProof/>
            <w:webHidden/>
          </w:rPr>
          <w:t>3</w:t>
        </w:r>
        <w:r w:rsidR="002762AB">
          <w:rPr>
            <w:noProof/>
            <w:webHidden/>
          </w:rPr>
          <w:fldChar w:fldCharType="end"/>
        </w:r>
      </w:hyperlink>
    </w:p>
    <w:p w:rsidR="002762AB" w:rsidRDefault="002762AB">
      <w:pPr>
        <w:pStyle w:val="21"/>
        <w:tabs>
          <w:tab w:val="right" w:leader="dot" w:pos="9679"/>
        </w:tabs>
        <w:rPr>
          <w:noProof/>
          <w:lang w:eastAsia="en-US"/>
        </w:rPr>
      </w:pPr>
      <w:hyperlink w:anchor="_Toc12207110" w:history="1">
        <w:r w:rsidRPr="00A43D4A">
          <w:rPr>
            <w:rStyle w:val="ad"/>
            <w:rFonts w:eastAsia="Times New Roman"/>
            <w:noProof/>
            <w:lang w:eastAsia="en-US"/>
          </w:rPr>
          <w:t>Acknowledgments</w:t>
        </w:r>
        <w:r>
          <w:rPr>
            <w:noProof/>
            <w:webHidden/>
          </w:rPr>
          <w:tab/>
        </w:r>
        <w:r>
          <w:rPr>
            <w:noProof/>
            <w:webHidden/>
          </w:rPr>
          <w:fldChar w:fldCharType="begin"/>
        </w:r>
        <w:r>
          <w:rPr>
            <w:noProof/>
            <w:webHidden/>
          </w:rPr>
          <w:instrText xml:space="preserve"> PAGEREF _Toc12207110 \h </w:instrText>
        </w:r>
        <w:r>
          <w:rPr>
            <w:noProof/>
            <w:webHidden/>
          </w:rPr>
        </w:r>
        <w:r>
          <w:rPr>
            <w:noProof/>
            <w:webHidden/>
          </w:rPr>
          <w:fldChar w:fldCharType="separate"/>
        </w:r>
        <w:r>
          <w:rPr>
            <w:noProof/>
            <w:webHidden/>
          </w:rPr>
          <w:t>4</w:t>
        </w:r>
        <w:r>
          <w:rPr>
            <w:noProof/>
            <w:webHidden/>
          </w:rPr>
          <w:fldChar w:fldCharType="end"/>
        </w:r>
      </w:hyperlink>
    </w:p>
    <w:p w:rsidR="002762AB" w:rsidRDefault="002762AB">
      <w:pPr>
        <w:pStyle w:val="21"/>
        <w:tabs>
          <w:tab w:val="right" w:leader="dot" w:pos="9679"/>
        </w:tabs>
        <w:rPr>
          <w:noProof/>
          <w:lang w:eastAsia="en-US"/>
        </w:rPr>
      </w:pPr>
      <w:hyperlink w:anchor="_Toc12207111" w:history="1">
        <w:r w:rsidRPr="00A43D4A">
          <w:rPr>
            <w:rStyle w:val="ad"/>
            <w:rFonts w:eastAsia="Times New Roman"/>
            <w:noProof/>
            <w:lang w:eastAsia="en-US"/>
          </w:rPr>
          <w:t>Introduction</w:t>
        </w:r>
        <w:r>
          <w:rPr>
            <w:noProof/>
            <w:webHidden/>
          </w:rPr>
          <w:tab/>
        </w:r>
        <w:r>
          <w:rPr>
            <w:noProof/>
            <w:webHidden/>
          </w:rPr>
          <w:fldChar w:fldCharType="begin"/>
        </w:r>
        <w:r>
          <w:rPr>
            <w:noProof/>
            <w:webHidden/>
          </w:rPr>
          <w:instrText xml:space="preserve"> PAGEREF _Toc12207111 \h </w:instrText>
        </w:r>
        <w:r>
          <w:rPr>
            <w:noProof/>
            <w:webHidden/>
          </w:rPr>
        </w:r>
        <w:r>
          <w:rPr>
            <w:noProof/>
            <w:webHidden/>
          </w:rPr>
          <w:fldChar w:fldCharType="separate"/>
        </w:r>
        <w:r>
          <w:rPr>
            <w:noProof/>
            <w:webHidden/>
          </w:rPr>
          <w:t>5</w:t>
        </w:r>
        <w:r>
          <w:rPr>
            <w:noProof/>
            <w:webHidden/>
          </w:rPr>
          <w:fldChar w:fldCharType="end"/>
        </w:r>
      </w:hyperlink>
    </w:p>
    <w:p w:rsidR="002762AB" w:rsidRDefault="002762AB">
      <w:pPr>
        <w:pStyle w:val="21"/>
        <w:tabs>
          <w:tab w:val="right" w:leader="dot" w:pos="9679"/>
        </w:tabs>
        <w:rPr>
          <w:noProof/>
          <w:lang w:eastAsia="en-US"/>
        </w:rPr>
      </w:pPr>
      <w:hyperlink w:anchor="_Toc12207112" w:history="1">
        <w:r w:rsidRPr="00A43D4A">
          <w:rPr>
            <w:rStyle w:val="ad"/>
            <w:noProof/>
          </w:rPr>
          <w:t>Tobacco use and prevalence of smoking</w:t>
        </w:r>
        <w:r>
          <w:rPr>
            <w:noProof/>
            <w:webHidden/>
          </w:rPr>
          <w:tab/>
        </w:r>
        <w:r>
          <w:rPr>
            <w:noProof/>
            <w:webHidden/>
          </w:rPr>
          <w:fldChar w:fldCharType="begin"/>
        </w:r>
        <w:r>
          <w:rPr>
            <w:noProof/>
            <w:webHidden/>
          </w:rPr>
          <w:instrText xml:space="preserve"> PAGEREF _Toc12207112 \h </w:instrText>
        </w:r>
        <w:r>
          <w:rPr>
            <w:noProof/>
            <w:webHidden/>
          </w:rPr>
        </w:r>
        <w:r>
          <w:rPr>
            <w:noProof/>
            <w:webHidden/>
          </w:rPr>
          <w:fldChar w:fldCharType="separate"/>
        </w:r>
        <w:r>
          <w:rPr>
            <w:noProof/>
            <w:webHidden/>
          </w:rPr>
          <w:t>5</w:t>
        </w:r>
        <w:r>
          <w:rPr>
            <w:noProof/>
            <w:webHidden/>
          </w:rPr>
          <w:fldChar w:fldCharType="end"/>
        </w:r>
      </w:hyperlink>
    </w:p>
    <w:p w:rsidR="002762AB" w:rsidRDefault="002762AB">
      <w:pPr>
        <w:pStyle w:val="31"/>
        <w:tabs>
          <w:tab w:val="right" w:leader="dot" w:pos="9679"/>
        </w:tabs>
        <w:rPr>
          <w:noProof/>
          <w:lang w:eastAsia="en-US"/>
        </w:rPr>
      </w:pPr>
      <w:hyperlink w:anchor="_Toc12207113" w:history="1">
        <w:r w:rsidRPr="00A43D4A">
          <w:rPr>
            <w:rStyle w:val="ad"/>
            <w:noProof/>
          </w:rPr>
          <w:t>Tobacco use among adults</w:t>
        </w:r>
        <w:r>
          <w:rPr>
            <w:noProof/>
            <w:webHidden/>
          </w:rPr>
          <w:tab/>
        </w:r>
        <w:r>
          <w:rPr>
            <w:noProof/>
            <w:webHidden/>
          </w:rPr>
          <w:fldChar w:fldCharType="begin"/>
        </w:r>
        <w:r>
          <w:rPr>
            <w:noProof/>
            <w:webHidden/>
          </w:rPr>
          <w:instrText xml:space="preserve"> PAGEREF _Toc12207113 \h </w:instrText>
        </w:r>
        <w:r>
          <w:rPr>
            <w:noProof/>
            <w:webHidden/>
          </w:rPr>
        </w:r>
        <w:r>
          <w:rPr>
            <w:noProof/>
            <w:webHidden/>
          </w:rPr>
          <w:fldChar w:fldCharType="separate"/>
        </w:r>
        <w:r>
          <w:rPr>
            <w:noProof/>
            <w:webHidden/>
          </w:rPr>
          <w:t>5</w:t>
        </w:r>
        <w:r>
          <w:rPr>
            <w:noProof/>
            <w:webHidden/>
          </w:rPr>
          <w:fldChar w:fldCharType="end"/>
        </w:r>
      </w:hyperlink>
    </w:p>
    <w:p w:rsidR="002762AB" w:rsidRDefault="002762AB">
      <w:pPr>
        <w:pStyle w:val="31"/>
        <w:tabs>
          <w:tab w:val="right" w:leader="dot" w:pos="9679"/>
        </w:tabs>
        <w:rPr>
          <w:noProof/>
          <w:lang w:eastAsia="en-US"/>
        </w:rPr>
      </w:pPr>
      <w:hyperlink w:anchor="_Toc12207114" w:history="1">
        <w:r w:rsidRPr="00A43D4A">
          <w:rPr>
            <w:rStyle w:val="ad"/>
            <w:noProof/>
          </w:rPr>
          <w:t>Tobacco use among adolescents</w:t>
        </w:r>
        <w:r>
          <w:rPr>
            <w:noProof/>
            <w:webHidden/>
          </w:rPr>
          <w:tab/>
        </w:r>
        <w:r>
          <w:rPr>
            <w:noProof/>
            <w:webHidden/>
          </w:rPr>
          <w:fldChar w:fldCharType="begin"/>
        </w:r>
        <w:r>
          <w:rPr>
            <w:noProof/>
            <w:webHidden/>
          </w:rPr>
          <w:instrText xml:space="preserve"> PAGEREF _Toc12207114 \h </w:instrText>
        </w:r>
        <w:r>
          <w:rPr>
            <w:noProof/>
            <w:webHidden/>
          </w:rPr>
        </w:r>
        <w:r>
          <w:rPr>
            <w:noProof/>
            <w:webHidden/>
          </w:rPr>
          <w:fldChar w:fldCharType="separate"/>
        </w:r>
        <w:r>
          <w:rPr>
            <w:noProof/>
            <w:webHidden/>
          </w:rPr>
          <w:t>6</w:t>
        </w:r>
        <w:r>
          <w:rPr>
            <w:noProof/>
            <w:webHidden/>
          </w:rPr>
          <w:fldChar w:fldCharType="end"/>
        </w:r>
      </w:hyperlink>
    </w:p>
    <w:p w:rsidR="002762AB" w:rsidRDefault="002762AB">
      <w:pPr>
        <w:pStyle w:val="21"/>
        <w:tabs>
          <w:tab w:val="right" w:leader="dot" w:pos="9679"/>
        </w:tabs>
        <w:rPr>
          <w:noProof/>
          <w:lang w:eastAsia="en-US"/>
        </w:rPr>
      </w:pPr>
      <w:hyperlink w:anchor="_Toc12207115" w:history="1">
        <w:r w:rsidRPr="00A43D4A">
          <w:rPr>
            <w:rStyle w:val="ad"/>
            <w:noProof/>
          </w:rPr>
          <w:t>Health data and research: the burden of tobacco-related diseases</w:t>
        </w:r>
        <w:r>
          <w:rPr>
            <w:noProof/>
            <w:webHidden/>
          </w:rPr>
          <w:tab/>
        </w:r>
        <w:r>
          <w:rPr>
            <w:noProof/>
            <w:webHidden/>
          </w:rPr>
          <w:fldChar w:fldCharType="begin"/>
        </w:r>
        <w:r>
          <w:rPr>
            <w:noProof/>
            <w:webHidden/>
          </w:rPr>
          <w:instrText xml:space="preserve"> PAGEREF _Toc12207115 \h </w:instrText>
        </w:r>
        <w:r>
          <w:rPr>
            <w:noProof/>
            <w:webHidden/>
          </w:rPr>
        </w:r>
        <w:r>
          <w:rPr>
            <w:noProof/>
            <w:webHidden/>
          </w:rPr>
          <w:fldChar w:fldCharType="separate"/>
        </w:r>
        <w:r>
          <w:rPr>
            <w:noProof/>
            <w:webHidden/>
          </w:rPr>
          <w:t>7</w:t>
        </w:r>
        <w:r>
          <w:rPr>
            <w:noProof/>
            <w:webHidden/>
          </w:rPr>
          <w:fldChar w:fldCharType="end"/>
        </w:r>
      </w:hyperlink>
    </w:p>
    <w:p w:rsidR="002762AB" w:rsidRDefault="002762AB">
      <w:pPr>
        <w:pStyle w:val="31"/>
        <w:tabs>
          <w:tab w:val="right" w:leader="dot" w:pos="9679"/>
        </w:tabs>
        <w:rPr>
          <w:noProof/>
          <w:lang w:eastAsia="en-US"/>
        </w:rPr>
      </w:pPr>
      <w:hyperlink w:anchor="_Toc12207116" w:history="1">
        <w:r w:rsidRPr="00A43D4A">
          <w:rPr>
            <w:rStyle w:val="ad"/>
            <w:noProof/>
          </w:rPr>
          <w:t>Lung cancer</w:t>
        </w:r>
        <w:r>
          <w:rPr>
            <w:noProof/>
            <w:webHidden/>
          </w:rPr>
          <w:tab/>
        </w:r>
        <w:r>
          <w:rPr>
            <w:noProof/>
            <w:webHidden/>
          </w:rPr>
          <w:fldChar w:fldCharType="begin"/>
        </w:r>
        <w:r>
          <w:rPr>
            <w:noProof/>
            <w:webHidden/>
          </w:rPr>
          <w:instrText xml:space="preserve"> PAGEREF _Toc12207116 \h </w:instrText>
        </w:r>
        <w:r>
          <w:rPr>
            <w:noProof/>
            <w:webHidden/>
          </w:rPr>
        </w:r>
        <w:r>
          <w:rPr>
            <w:noProof/>
            <w:webHidden/>
          </w:rPr>
          <w:fldChar w:fldCharType="separate"/>
        </w:r>
        <w:r>
          <w:rPr>
            <w:noProof/>
            <w:webHidden/>
          </w:rPr>
          <w:t>8</w:t>
        </w:r>
        <w:r>
          <w:rPr>
            <w:noProof/>
            <w:webHidden/>
          </w:rPr>
          <w:fldChar w:fldCharType="end"/>
        </w:r>
      </w:hyperlink>
    </w:p>
    <w:p w:rsidR="002762AB" w:rsidRDefault="002762AB">
      <w:pPr>
        <w:pStyle w:val="31"/>
        <w:tabs>
          <w:tab w:val="right" w:leader="dot" w:pos="9679"/>
        </w:tabs>
        <w:rPr>
          <w:noProof/>
          <w:lang w:eastAsia="en-US"/>
        </w:rPr>
      </w:pPr>
      <w:hyperlink w:anchor="_Toc12207117" w:history="1">
        <w:r w:rsidRPr="00A43D4A">
          <w:rPr>
            <w:rStyle w:val="ad"/>
            <w:noProof/>
          </w:rPr>
          <w:t>Laryngeal cancer</w:t>
        </w:r>
        <w:r>
          <w:rPr>
            <w:noProof/>
            <w:webHidden/>
          </w:rPr>
          <w:tab/>
        </w:r>
        <w:r>
          <w:rPr>
            <w:noProof/>
            <w:webHidden/>
          </w:rPr>
          <w:fldChar w:fldCharType="begin"/>
        </w:r>
        <w:r>
          <w:rPr>
            <w:noProof/>
            <w:webHidden/>
          </w:rPr>
          <w:instrText xml:space="preserve"> PAGEREF _Toc12207117 \h </w:instrText>
        </w:r>
        <w:r>
          <w:rPr>
            <w:noProof/>
            <w:webHidden/>
          </w:rPr>
        </w:r>
        <w:r>
          <w:rPr>
            <w:noProof/>
            <w:webHidden/>
          </w:rPr>
          <w:fldChar w:fldCharType="separate"/>
        </w:r>
        <w:r>
          <w:rPr>
            <w:noProof/>
            <w:webHidden/>
          </w:rPr>
          <w:t>8</w:t>
        </w:r>
        <w:r>
          <w:rPr>
            <w:noProof/>
            <w:webHidden/>
          </w:rPr>
          <w:fldChar w:fldCharType="end"/>
        </w:r>
      </w:hyperlink>
    </w:p>
    <w:p w:rsidR="002762AB" w:rsidRDefault="002762AB">
      <w:pPr>
        <w:pStyle w:val="21"/>
        <w:tabs>
          <w:tab w:val="right" w:leader="dot" w:pos="9679"/>
        </w:tabs>
        <w:rPr>
          <w:noProof/>
          <w:lang w:eastAsia="en-US"/>
        </w:rPr>
      </w:pPr>
      <w:hyperlink w:anchor="_Toc12207118" w:history="1">
        <w:r w:rsidRPr="00A43D4A">
          <w:rPr>
            <w:rStyle w:val="ad"/>
            <w:noProof/>
          </w:rPr>
          <w:t>Tobacco control policies</w:t>
        </w:r>
        <w:r>
          <w:rPr>
            <w:noProof/>
            <w:webHidden/>
          </w:rPr>
          <w:tab/>
        </w:r>
        <w:r>
          <w:rPr>
            <w:noProof/>
            <w:webHidden/>
          </w:rPr>
          <w:fldChar w:fldCharType="begin"/>
        </w:r>
        <w:r>
          <w:rPr>
            <w:noProof/>
            <w:webHidden/>
          </w:rPr>
          <w:instrText xml:space="preserve"> PAGEREF _Toc12207118 \h </w:instrText>
        </w:r>
        <w:r>
          <w:rPr>
            <w:noProof/>
            <w:webHidden/>
          </w:rPr>
        </w:r>
        <w:r>
          <w:rPr>
            <w:noProof/>
            <w:webHidden/>
          </w:rPr>
          <w:fldChar w:fldCharType="separate"/>
        </w:r>
        <w:r>
          <w:rPr>
            <w:noProof/>
            <w:webHidden/>
          </w:rPr>
          <w:t>8</w:t>
        </w:r>
        <w:r>
          <w:rPr>
            <w:noProof/>
            <w:webHidden/>
          </w:rPr>
          <w:fldChar w:fldCharType="end"/>
        </w:r>
      </w:hyperlink>
    </w:p>
    <w:p w:rsidR="002762AB" w:rsidRDefault="002762AB">
      <w:pPr>
        <w:pStyle w:val="31"/>
        <w:tabs>
          <w:tab w:val="right" w:leader="dot" w:pos="9679"/>
        </w:tabs>
        <w:rPr>
          <w:noProof/>
          <w:lang w:eastAsia="en-US"/>
        </w:rPr>
      </w:pPr>
      <w:hyperlink w:anchor="_Toc12207119" w:history="1">
        <w:r w:rsidRPr="00A43D4A">
          <w:rPr>
            <w:rStyle w:val="ad"/>
            <w:noProof/>
          </w:rPr>
          <w:t>Smoke-free places</w:t>
        </w:r>
        <w:r>
          <w:rPr>
            <w:noProof/>
            <w:webHidden/>
          </w:rPr>
          <w:tab/>
        </w:r>
        <w:r>
          <w:rPr>
            <w:noProof/>
            <w:webHidden/>
          </w:rPr>
          <w:fldChar w:fldCharType="begin"/>
        </w:r>
        <w:r>
          <w:rPr>
            <w:noProof/>
            <w:webHidden/>
          </w:rPr>
          <w:instrText xml:space="preserve"> PAGEREF _Toc12207119 \h </w:instrText>
        </w:r>
        <w:r>
          <w:rPr>
            <w:noProof/>
            <w:webHidden/>
          </w:rPr>
        </w:r>
        <w:r>
          <w:rPr>
            <w:noProof/>
            <w:webHidden/>
          </w:rPr>
          <w:fldChar w:fldCharType="separate"/>
        </w:r>
        <w:r>
          <w:rPr>
            <w:noProof/>
            <w:webHidden/>
          </w:rPr>
          <w:t>9</w:t>
        </w:r>
        <w:r>
          <w:rPr>
            <w:noProof/>
            <w:webHidden/>
          </w:rPr>
          <w:fldChar w:fldCharType="end"/>
        </w:r>
      </w:hyperlink>
    </w:p>
    <w:p w:rsidR="002762AB" w:rsidRDefault="002762AB">
      <w:pPr>
        <w:pStyle w:val="31"/>
        <w:tabs>
          <w:tab w:val="right" w:leader="dot" w:pos="9679"/>
        </w:tabs>
        <w:rPr>
          <w:noProof/>
          <w:lang w:eastAsia="en-US"/>
        </w:rPr>
      </w:pPr>
      <w:hyperlink w:anchor="_Toc12207120" w:history="1">
        <w:r w:rsidRPr="00A43D4A">
          <w:rPr>
            <w:rStyle w:val="ad"/>
            <w:noProof/>
          </w:rPr>
          <w:t>Smoking cessation</w:t>
        </w:r>
        <w:r>
          <w:rPr>
            <w:noProof/>
            <w:webHidden/>
          </w:rPr>
          <w:tab/>
        </w:r>
        <w:r>
          <w:rPr>
            <w:noProof/>
            <w:webHidden/>
          </w:rPr>
          <w:fldChar w:fldCharType="begin"/>
        </w:r>
        <w:r>
          <w:rPr>
            <w:noProof/>
            <w:webHidden/>
          </w:rPr>
          <w:instrText xml:space="preserve"> PAGEREF _Toc12207120 \h </w:instrText>
        </w:r>
        <w:r>
          <w:rPr>
            <w:noProof/>
            <w:webHidden/>
          </w:rPr>
        </w:r>
        <w:r>
          <w:rPr>
            <w:noProof/>
            <w:webHidden/>
          </w:rPr>
          <w:fldChar w:fldCharType="separate"/>
        </w:r>
        <w:r>
          <w:rPr>
            <w:noProof/>
            <w:webHidden/>
          </w:rPr>
          <w:t>9</w:t>
        </w:r>
        <w:r>
          <w:rPr>
            <w:noProof/>
            <w:webHidden/>
          </w:rPr>
          <w:fldChar w:fldCharType="end"/>
        </w:r>
      </w:hyperlink>
    </w:p>
    <w:p w:rsidR="002762AB" w:rsidRDefault="002762AB">
      <w:pPr>
        <w:pStyle w:val="31"/>
        <w:tabs>
          <w:tab w:val="right" w:leader="dot" w:pos="9679"/>
        </w:tabs>
        <w:rPr>
          <w:noProof/>
          <w:lang w:eastAsia="en-US"/>
        </w:rPr>
      </w:pPr>
      <w:hyperlink w:anchor="_Toc12207121" w:history="1">
        <w:r w:rsidRPr="00A43D4A">
          <w:rPr>
            <w:rStyle w:val="ad"/>
            <w:noProof/>
          </w:rPr>
          <w:t>Health warnings</w:t>
        </w:r>
        <w:r>
          <w:rPr>
            <w:noProof/>
            <w:webHidden/>
          </w:rPr>
          <w:tab/>
        </w:r>
        <w:r>
          <w:rPr>
            <w:noProof/>
            <w:webHidden/>
          </w:rPr>
          <w:fldChar w:fldCharType="begin"/>
        </w:r>
        <w:r>
          <w:rPr>
            <w:noProof/>
            <w:webHidden/>
          </w:rPr>
          <w:instrText xml:space="preserve"> PAGEREF _Toc12207121 \h </w:instrText>
        </w:r>
        <w:r>
          <w:rPr>
            <w:noProof/>
            <w:webHidden/>
          </w:rPr>
        </w:r>
        <w:r>
          <w:rPr>
            <w:noProof/>
            <w:webHidden/>
          </w:rPr>
          <w:fldChar w:fldCharType="separate"/>
        </w:r>
        <w:r>
          <w:rPr>
            <w:noProof/>
            <w:webHidden/>
          </w:rPr>
          <w:t>9</w:t>
        </w:r>
        <w:r>
          <w:rPr>
            <w:noProof/>
            <w:webHidden/>
          </w:rPr>
          <w:fldChar w:fldCharType="end"/>
        </w:r>
      </w:hyperlink>
    </w:p>
    <w:p w:rsidR="002762AB" w:rsidRDefault="002762AB">
      <w:pPr>
        <w:pStyle w:val="31"/>
        <w:tabs>
          <w:tab w:val="right" w:leader="dot" w:pos="9679"/>
        </w:tabs>
        <w:rPr>
          <w:noProof/>
          <w:lang w:eastAsia="en-US"/>
        </w:rPr>
      </w:pPr>
      <w:hyperlink w:anchor="_Toc12207122" w:history="1">
        <w:r w:rsidRPr="00A43D4A">
          <w:rPr>
            <w:rStyle w:val="ad"/>
            <w:noProof/>
          </w:rPr>
          <w:t>Tobacco advertising, promotion, and sponsorship</w:t>
        </w:r>
        <w:r>
          <w:rPr>
            <w:noProof/>
            <w:webHidden/>
          </w:rPr>
          <w:tab/>
        </w:r>
        <w:r>
          <w:rPr>
            <w:noProof/>
            <w:webHidden/>
          </w:rPr>
          <w:fldChar w:fldCharType="begin"/>
        </w:r>
        <w:r>
          <w:rPr>
            <w:noProof/>
            <w:webHidden/>
          </w:rPr>
          <w:instrText xml:space="preserve"> PAGEREF _Toc12207122 \h </w:instrText>
        </w:r>
        <w:r>
          <w:rPr>
            <w:noProof/>
            <w:webHidden/>
          </w:rPr>
        </w:r>
        <w:r>
          <w:rPr>
            <w:noProof/>
            <w:webHidden/>
          </w:rPr>
          <w:fldChar w:fldCharType="separate"/>
        </w:r>
        <w:r>
          <w:rPr>
            <w:noProof/>
            <w:webHidden/>
          </w:rPr>
          <w:t>9</w:t>
        </w:r>
        <w:r>
          <w:rPr>
            <w:noProof/>
            <w:webHidden/>
          </w:rPr>
          <w:fldChar w:fldCharType="end"/>
        </w:r>
      </w:hyperlink>
    </w:p>
    <w:p w:rsidR="002762AB" w:rsidRDefault="002762AB">
      <w:pPr>
        <w:pStyle w:val="21"/>
        <w:tabs>
          <w:tab w:val="right" w:leader="dot" w:pos="9679"/>
        </w:tabs>
        <w:rPr>
          <w:noProof/>
          <w:lang w:eastAsia="en-US"/>
        </w:rPr>
      </w:pPr>
      <w:hyperlink w:anchor="_Toc12207123" w:history="1">
        <w:r w:rsidRPr="00A43D4A">
          <w:rPr>
            <w:rStyle w:val="ad"/>
            <w:noProof/>
          </w:rPr>
          <w:t>Tobacco taxation policy</w:t>
        </w:r>
        <w:r>
          <w:rPr>
            <w:noProof/>
            <w:webHidden/>
          </w:rPr>
          <w:tab/>
        </w:r>
        <w:r>
          <w:rPr>
            <w:noProof/>
            <w:webHidden/>
          </w:rPr>
          <w:fldChar w:fldCharType="begin"/>
        </w:r>
        <w:r>
          <w:rPr>
            <w:noProof/>
            <w:webHidden/>
          </w:rPr>
          <w:instrText xml:space="preserve"> PAGEREF _Toc12207123 \h </w:instrText>
        </w:r>
        <w:r>
          <w:rPr>
            <w:noProof/>
            <w:webHidden/>
          </w:rPr>
        </w:r>
        <w:r>
          <w:rPr>
            <w:noProof/>
            <w:webHidden/>
          </w:rPr>
          <w:fldChar w:fldCharType="separate"/>
        </w:r>
        <w:r>
          <w:rPr>
            <w:noProof/>
            <w:webHidden/>
          </w:rPr>
          <w:t>9</w:t>
        </w:r>
        <w:r>
          <w:rPr>
            <w:noProof/>
            <w:webHidden/>
          </w:rPr>
          <w:fldChar w:fldCharType="end"/>
        </w:r>
      </w:hyperlink>
    </w:p>
    <w:p w:rsidR="002762AB" w:rsidRDefault="002762AB">
      <w:pPr>
        <w:pStyle w:val="31"/>
        <w:tabs>
          <w:tab w:val="right" w:leader="dot" w:pos="9679"/>
        </w:tabs>
        <w:rPr>
          <w:noProof/>
          <w:lang w:eastAsia="en-US"/>
        </w:rPr>
      </w:pPr>
      <w:hyperlink w:anchor="_Toc12207124" w:history="1">
        <w:r w:rsidRPr="00A43D4A">
          <w:rPr>
            <w:rStyle w:val="ad"/>
            <w:noProof/>
          </w:rPr>
          <w:t>Tobacco taxation changes in 2009–2019</w:t>
        </w:r>
        <w:r>
          <w:rPr>
            <w:noProof/>
            <w:webHidden/>
          </w:rPr>
          <w:tab/>
        </w:r>
        <w:r>
          <w:rPr>
            <w:noProof/>
            <w:webHidden/>
          </w:rPr>
          <w:fldChar w:fldCharType="begin"/>
        </w:r>
        <w:r>
          <w:rPr>
            <w:noProof/>
            <w:webHidden/>
          </w:rPr>
          <w:instrText xml:space="preserve"> PAGEREF _Toc12207124 \h </w:instrText>
        </w:r>
        <w:r>
          <w:rPr>
            <w:noProof/>
            <w:webHidden/>
          </w:rPr>
        </w:r>
        <w:r>
          <w:rPr>
            <w:noProof/>
            <w:webHidden/>
          </w:rPr>
          <w:fldChar w:fldCharType="separate"/>
        </w:r>
        <w:r>
          <w:rPr>
            <w:noProof/>
            <w:webHidden/>
          </w:rPr>
          <w:t>9</w:t>
        </w:r>
        <w:r>
          <w:rPr>
            <w:noProof/>
            <w:webHidden/>
          </w:rPr>
          <w:fldChar w:fldCharType="end"/>
        </w:r>
      </w:hyperlink>
    </w:p>
    <w:p w:rsidR="002762AB" w:rsidRDefault="002762AB">
      <w:pPr>
        <w:pStyle w:val="31"/>
        <w:tabs>
          <w:tab w:val="right" w:leader="dot" w:pos="9679"/>
        </w:tabs>
        <w:rPr>
          <w:noProof/>
          <w:lang w:eastAsia="en-US"/>
        </w:rPr>
      </w:pPr>
      <w:hyperlink w:anchor="_Toc12207125" w:history="1">
        <w:r w:rsidRPr="00A43D4A">
          <w:rPr>
            <w:rStyle w:val="ad"/>
            <w:noProof/>
          </w:rPr>
          <w:t>Cigarette taxes and prices in the neighboring countries</w:t>
        </w:r>
        <w:r>
          <w:rPr>
            <w:noProof/>
            <w:webHidden/>
          </w:rPr>
          <w:tab/>
        </w:r>
        <w:r>
          <w:rPr>
            <w:noProof/>
            <w:webHidden/>
          </w:rPr>
          <w:fldChar w:fldCharType="begin"/>
        </w:r>
        <w:r>
          <w:rPr>
            <w:noProof/>
            <w:webHidden/>
          </w:rPr>
          <w:instrText xml:space="preserve"> PAGEREF _Toc12207125 \h </w:instrText>
        </w:r>
        <w:r>
          <w:rPr>
            <w:noProof/>
            <w:webHidden/>
          </w:rPr>
        </w:r>
        <w:r>
          <w:rPr>
            <w:noProof/>
            <w:webHidden/>
          </w:rPr>
          <w:fldChar w:fldCharType="separate"/>
        </w:r>
        <w:r>
          <w:rPr>
            <w:noProof/>
            <w:webHidden/>
          </w:rPr>
          <w:t>12</w:t>
        </w:r>
        <w:r>
          <w:rPr>
            <w:noProof/>
            <w:webHidden/>
          </w:rPr>
          <w:fldChar w:fldCharType="end"/>
        </w:r>
      </w:hyperlink>
    </w:p>
    <w:p w:rsidR="002762AB" w:rsidRDefault="002762AB">
      <w:pPr>
        <w:pStyle w:val="21"/>
        <w:tabs>
          <w:tab w:val="right" w:leader="dot" w:pos="9679"/>
        </w:tabs>
        <w:rPr>
          <w:noProof/>
          <w:lang w:eastAsia="en-US"/>
        </w:rPr>
      </w:pPr>
      <w:hyperlink w:anchor="_Toc12207126" w:history="1">
        <w:r w:rsidRPr="00A43D4A">
          <w:rPr>
            <w:rStyle w:val="ad"/>
            <w:noProof/>
          </w:rPr>
          <w:t>Cigarette prices</w:t>
        </w:r>
        <w:r>
          <w:rPr>
            <w:noProof/>
            <w:webHidden/>
          </w:rPr>
          <w:tab/>
        </w:r>
        <w:r>
          <w:rPr>
            <w:noProof/>
            <w:webHidden/>
          </w:rPr>
          <w:fldChar w:fldCharType="begin"/>
        </w:r>
        <w:r>
          <w:rPr>
            <w:noProof/>
            <w:webHidden/>
          </w:rPr>
          <w:instrText xml:space="preserve"> PAGEREF _Toc12207126 \h </w:instrText>
        </w:r>
        <w:r>
          <w:rPr>
            <w:noProof/>
            <w:webHidden/>
          </w:rPr>
        </w:r>
        <w:r>
          <w:rPr>
            <w:noProof/>
            <w:webHidden/>
          </w:rPr>
          <w:fldChar w:fldCharType="separate"/>
        </w:r>
        <w:r>
          <w:rPr>
            <w:noProof/>
            <w:webHidden/>
          </w:rPr>
          <w:t>13</w:t>
        </w:r>
        <w:r>
          <w:rPr>
            <w:noProof/>
            <w:webHidden/>
          </w:rPr>
          <w:fldChar w:fldCharType="end"/>
        </w:r>
      </w:hyperlink>
    </w:p>
    <w:p w:rsidR="002762AB" w:rsidRDefault="002762AB">
      <w:pPr>
        <w:pStyle w:val="21"/>
        <w:tabs>
          <w:tab w:val="right" w:leader="dot" w:pos="9679"/>
        </w:tabs>
        <w:rPr>
          <w:noProof/>
          <w:lang w:eastAsia="en-US"/>
        </w:rPr>
      </w:pPr>
      <w:hyperlink w:anchor="_Toc12207127" w:history="1">
        <w:r w:rsidRPr="00A43D4A">
          <w:rPr>
            <w:rStyle w:val="ad"/>
            <w:noProof/>
          </w:rPr>
          <w:t>Tobacco affordability</w:t>
        </w:r>
        <w:r>
          <w:rPr>
            <w:noProof/>
            <w:webHidden/>
          </w:rPr>
          <w:tab/>
        </w:r>
        <w:r>
          <w:rPr>
            <w:noProof/>
            <w:webHidden/>
          </w:rPr>
          <w:fldChar w:fldCharType="begin"/>
        </w:r>
        <w:r>
          <w:rPr>
            <w:noProof/>
            <w:webHidden/>
          </w:rPr>
          <w:instrText xml:space="preserve"> PAGEREF _Toc12207127 \h </w:instrText>
        </w:r>
        <w:r>
          <w:rPr>
            <w:noProof/>
            <w:webHidden/>
          </w:rPr>
        </w:r>
        <w:r>
          <w:rPr>
            <w:noProof/>
            <w:webHidden/>
          </w:rPr>
          <w:fldChar w:fldCharType="separate"/>
        </w:r>
        <w:r>
          <w:rPr>
            <w:noProof/>
            <w:webHidden/>
          </w:rPr>
          <w:t>14</w:t>
        </w:r>
        <w:r>
          <w:rPr>
            <w:noProof/>
            <w:webHidden/>
          </w:rPr>
          <w:fldChar w:fldCharType="end"/>
        </w:r>
      </w:hyperlink>
    </w:p>
    <w:p w:rsidR="002762AB" w:rsidRDefault="002762AB">
      <w:pPr>
        <w:pStyle w:val="21"/>
        <w:tabs>
          <w:tab w:val="right" w:leader="dot" w:pos="9679"/>
        </w:tabs>
        <w:rPr>
          <w:noProof/>
          <w:lang w:eastAsia="en-US"/>
        </w:rPr>
      </w:pPr>
      <w:hyperlink w:anchor="_Toc12207128" w:history="1">
        <w:r w:rsidRPr="00A43D4A">
          <w:rPr>
            <w:rStyle w:val="ad"/>
            <w:noProof/>
          </w:rPr>
          <w:t>Tobacco sales and consumption</w:t>
        </w:r>
        <w:r>
          <w:rPr>
            <w:noProof/>
            <w:webHidden/>
          </w:rPr>
          <w:tab/>
        </w:r>
        <w:r>
          <w:rPr>
            <w:noProof/>
            <w:webHidden/>
          </w:rPr>
          <w:fldChar w:fldCharType="begin"/>
        </w:r>
        <w:r>
          <w:rPr>
            <w:noProof/>
            <w:webHidden/>
          </w:rPr>
          <w:instrText xml:space="preserve"> PAGEREF _Toc12207128 \h </w:instrText>
        </w:r>
        <w:r>
          <w:rPr>
            <w:noProof/>
            <w:webHidden/>
          </w:rPr>
        </w:r>
        <w:r>
          <w:rPr>
            <w:noProof/>
            <w:webHidden/>
          </w:rPr>
          <w:fldChar w:fldCharType="separate"/>
        </w:r>
        <w:r>
          <w:rPr>
            <w:noProof/>
            <w:webHidden/>
          </w:rPr>
          <w:t>15</w:t>
        </w:r>
        <w:r>
          <w:rPr>
            <w:noProof/>
            <w:webHidden/>
          </w:rPr>
          <w:fldChar w:fldCharType="end"/>
        </w:r>
      </w:hyperlink>
    </w:p>
    <w:p w:rsidR="002762AB" w:rsidRDefault="002762AB">
      <w:pPr>
        <w:pStyle w:val="21"/>
        <w:tabs>
          <w:tab w:val="right" w:leader="dot" w:pos="9679"/>
        </w:tabs>
        <w:rPr>
          <w:noProof/>
          <w:lang w:eastAsia="en-US"/>
        </w:rPr>
      </w:pPr>
      <w:hyperlink w:anchor="_Toc12207129" w:history="1">
        <w:r w:rsidRPr="00A43D4A">
          <w:rPr>
            <w:rStyle w:val="ad"/>
            <w:noProof/>
          </w:rPr>
          <w:t>Tobacco excise revenue</w:t>
        </w:r>
        <w:r>
          <w:rPr>
            <w:noProof/>
            <w:webHidden/>
          </w:rPr>
          <w:tab/>
        </w:r>
        <w:r>
          <w:rPr>
            <w:noProof/>
            <w:webHidden/>
          </w:rPr>
          <w:fldChar w:fldCharType="begin"/>
        </w:r>
        <w:r>
          <w:rPr>
            <w:noProof/>
            <w:webHidden/>
          </w:rPr>
          <w:instrText xml:space="preserve"> PAGEREF _Toc12207129 \h </w:instrText>
        </w:r>
        <w:r>
          <w:rPr>
            <w:noProof/>
            <w:webHidden/>
          </w:rPr>
        </w:r>
        <w:r>
          <w:rPr>
            <w:noProof/>
            <w:webHidden/>
          </w:rPr>
          <w:fldChar w:fldCharType="separate"/>
        </w:r>
        <w:r>
          <w:rPr>
            <w:noProof/>
            <w:webHidden/>
          </w:rPr>
          <w:t>16</w:t>
        </w:r>
        <w:r>
          <w:rPr>
            <w:noProof/>
            <w:webHidden/>
          </w:rPr>
          <w:fldChar w:fldCharType="end"/>
        </w:r>
      </w:hyperlink>
    </w:p>
    <w:p w:rsidR="002762AB" w:rsidRDefault="002762AB">
      <w:pPr>
        <w:pStyle w:val="21"/>
        <w:tabs>
          <w:tab w:val="right" w:leader="dot" w:pos="9679"/>
        </w:tabs>
        <w:rPr>
          <w:noProof/>
          <w:lang w:eastAsia="en-US"/>
        </w:rPr>
      </w:pPr>
      <w:hyperlink w:anchor="_Toc12207130" w:history="1">
        <w:r w:rsidRPr="00A43D4A">
          <w:rPr>
            <w:rStyle w:val="ad"/>
            <w:noProof/>
          </w:rPr>
          <w:t>Discussion</w:t>
        </w:r>
        <w:r>
          <w:rPr>
            <w:noProof/>
            <w:webHidden/>
          </w:rPr>
          <w:tab/>
        </w:r>
        <w:r>
          <w:rPr>
            <w:noProof/>
            <w:webHidden/>
          </w:rPr>
          <w:fldChar w:fldCharType="begin"/>
        </w:r>
        <w:r>
          <w:rPr>
            <w:noProof/>
            <w:webHidden/>
          </w:rPr>
          <w:instrText xml:space="preserve"> PAGEREF _Toc12207130 \h </w:instrText>
        </w:r>
        <w:r>
          <w:rPr>
            <w:noProof/>
            <w:webHidden/>
          </w:rPr>
        </w:r>
        <w:r>
          <w:rPr>
            <w:noProof/>
            <w:webHidden/>
          </w:rPr>
          <w:fldChar w:fldCharType="separate"/>
        </w:r>
        <w:r>
          <w:rPr>
            <w:noProof/>
            <w:webHidden/>
          </w:rPr>
          <w:t>17</w:t>
        </w:r>
        <w:r>
          <w:rPr>
            <w:noProof/>
            <w:webHidden/>
          </w:rPr>
          <w:fldChar w:fldCharType="end"/>
        </w:r>
      </w:hyperlink>
    </w:p>
    <w:p w:rsidR="002762AB" w:rsidRDefault="002762AB">
      <w:pPr>
        <w:pStyle w:val="31"/>
        <w:tabs>
          <w:tab w:val="right" w:leader="dot" w:pos="9679"/>
        </w:tabs>
        <w:rPr>
          <w:noProof/>
          <w:lang w:eastAsia="en-US"/>
        </w:rPr>
      </w:pPr>
      <w:hyperlink w:anchor="_Toc12207131" w:history="1">
        <w:r w:rsidRPr="00A43D4A">
          <w:rPr>
            <w:rStyle w:val="ad"/>
            <w:noProof/>
          </w:rPr>
          <w:t>Causes of tobacco revenue decline in 2018</w:t>
        </w:r>
        <w:r>
          <w:rPr>
            <w:noProof/>
            <w:webHidden/>
          </w:rPr>
          <w:tab/>
        </w:r>
        <w:r>
          <w:rPr>
            <w:noProof/>
            <w:webHidden/>
          </w:rPr>
          <w:fldChar w:fldCharType="begin"/>
        </w:r>
        <w:r>
          <w:rPr>
            <w:noProof/>
            <w:webHidden/>
          </w:rPr>
          <w:instrText xml:space="preserve"> PAGEREF _Toc12207131 \h </w:instrText>
        </w:r>
        <w:r>
          <w:rPr>
            <w:noProof/>
            <w:webHidden/>
          </w:rPr>
        </w:r>
        <w:r>
          <w:rPr>
            <w:noProof/>
            <w:webHidden/>
          </w:rPr>
          <w:fldChar w:fldCharType="separate"/>
        </w:r>
        <w:r>
          <w:rPr>
            <w:noProof/>
            <w:webHidden/>
          </w:rPr>
          <w:t>17</w:t>
        </w:r>
        <w:r>
          <w:rPr>
            <w:noProof/>
            <w:webHidden/>
          </w:rPr>
          <w:fldChar w:fldCharType="end"/>
        </w:r>
      </w:hyperlink>
    </w:p>
    <w:p w:rsidR="002762AB" w:rsidRDefault="002762AB">
      <w:pPr>
        <w:pStyle w:val="31"/>
        <w:tabs>
          <w:tab w:val="right" w:leader="dot" w:pos="9679"/>
        </w:tabs>
        <w:rPr>
          <w:noProof/>
          <w:lang w:eastAsia="en-US"/>
        </w:rPr>
      </w:pPr>
      <w:hyperlink w:anchor="_Toc12207132" w:history="1">
        <w:r w:rsidRPr="00A43D4A">
          <w:rPr>
            <w:rStyle w:val="ad"/>
            <w:noProof/>
          </w:rPr>
          <w:t>Estimating the impact of the adopted cigarette excise changes for 2020-2025</w:t>
        </w:r>
        <w:r>
          <w:rPr>
            <w:noProof/>
            <w:webHidden/>
          </w:rPr>
          <w:tab/>
        </w:r>
        <w:r>
          <w:rPr>
            <w:noProof/>
            <w:webHidden/>
          </w:rPr>
          <w:fldChar w:fldCharType="begin"/>
        </w:r>
        <w:r>
          <w:rPr>
            <w:noProof/>
            <w:webHidden/>
          </w:rPr>
          <w:instrText xml:space="preserve"> PAGEREF _Toc12207132 \h </w:instrText>
        </w:r>
        <w:r>
          <w:rPr>
            <w:noProof/>
            <w:webHidden/>
          </w:rPr>
        </w:r>
        <w:r>
          <w:rPr>
            <w:noProof/>
            <w:webHidden/>
          </w:rPr>
          <w:fldChar w:fldCharType="separate"/>
        </w:r>
        <w:r>
          <w:rPr>
            <w:noProof/>
            <w:webHidden/>
          </w:rPr>
          <w:t>19</w:t>
        </w:r>
        <w:r>
          <w:rPr>
            <w:noProof/>
            <w:webHidden/>
          </w:rPr>
          <w:fldChar w:fldCharType="end"/>
        </w:r>
      </w:hyperlink>
    </w:p>
    <w:p w:rsidR="002762AB" w:rsidRDefault="002762AB">
      <w:pPr>
        <w:pStyle w:val="21"/>
        <w:tabs>
          <w:tab w:val="right" w:leader="dot" w:pos="9679"/>
        </w:tabs>
        <w:rPr>
          <w:noProof/>
          <w:lang w:eastAsia="en-US"/>
        </w:rPr>
      </w:pPr>
      <w:hyperlink w:anchor="_Toc12207133" w:history="1">
        <w:r w:rsidRPr="00A43D4A">
          <w:rPr>
            <w:rStyle w:val="ad"/>
            <w:noProof/>
          </w:rPr>
          <w:t>Conclusions</w:t>
        </w:r>
        <w:r>
          <w:rPr>
            <w:noProof/>
            <w:webHidden/>
          </w:rPr>
          <w:tab/>
        </w:r>
        <w:r>
          <w:rPr>
            <w:noProof/>
            <w:webHidden/>
          </w:rPr>
          <w:fldChar w:fldCharType="begin"/>
        </w:r>
        <w:r>
          <w:rPr>
            <w:noProof/>
            <w:webHidden/>
          </w:rPr>
          <w:instrText xml:space="preserve"> PAGEREF _Toc12207133 \h </w:instrText>
        </w:r>
        <w:r>
          <w:rPr>
            <w:noProof/>
            <w:webHidden/>
          </w:rPr>
        </w:r>
        <w:r>
          <w:rPr>
            <w:noProof/>
            <w:webHidden/>
          </w:rPr>
          <w:fldChar w:fldCharType="separate"/>
        </w:r>
        <w:r>
          <w:rPr>
            <w:noProof/>
            <w:webHidden/>
          </w:rPr>
          <w:t>20</w:t>
        </w:r>
        <w:r>
          <w:rPr>
            <w:noProof/>
            <w:webHidden/>
          </w:rPr>
          <w:fldChar w:fldCharType="end"/>
        </w:r>
      </w:hyperlink>
    </w:p>
    <w:p w:rsidR="002762AB" w:rsidRDefault="002762AB">
      <w:pPr>
        <w:pStyle w:val="21"/>
        <w:tabs>
          <w:tab w:val="right" w:leader="dot" w:pos="9679"/>
        </w:tabs>
        <w:rPr>
          <w:noProof/>
          <w:lang w:eastAsia="en-US"/>
        </w:rPr>
      </w:pPr>
      <w:hyperlink w:anchor="_Toc12207134" w:history="1">
        <w:r w:rsidRPr="00A43D4A">
          <w:rPr>
            <w:rStyle w:val="ad"/>
            <w:noProof/>
          </w:rPr>
          <w:t>Recommendations</w:t>
        </w:r>
        <w:r>
          <w:rPr>
            <w:noProof/>
            <w:webHidden/>
          </w:rPr>
          <w:tab/>
        </w:r>
        <w:r>
          <w:rPr>
            <w:noProof/>
            <w:webHidden/>
          </w:rPr>
          <w:fldChar w:fldCharType="begin"/>
        </w:r>
        <w:r>
          <w:rPr>
            <w:noProof/>
            <w:webHidden/>
          </w:rPr>
          <w:instrText xml:space="preserve"> PAGEREF _Toc12207134 \h </w:instrText>
        </w:r>
        <w:r>
          <w:rPr>
            <w:noProof/>
            <w:webHidden/>
          </w:rPr>
        </w:r>
        <w:r>
          <w:rPr>
            <w:noProof/>
            <w:webHidden/>
          </w:rPr>
          <w:fldChar w:fldCharType="separate"/>
        </w:r>
        <w:r>
          <w:rPr>
            <w:noProof/>
            <w:webHidden/>
          </w:rPr>
          <w:t>20</w:t>
        </w:r>
        <w:r>
          <w:rPr>
            <w:noProof/>
            <w:webHidden/>
          </w:rPr>
          <w:fldChar w:fldCharType="end"/>
        </w:r>
      </w:hyperlink>
    </w:p>
    <w:p w:rsidR="002762AB" w:rsidRDefault="002762AB">
      <w:pPr>
        <w:pStyle w:val="21"/>
        <w:tabs>
          <w:tab w:val="right" w:leader="dot" w:pos="9679"/>
        </w:tabs>
        <w:rPr>
          <w:noProof/>
          <w:lang w:eastAsia="en-US"/>
        </w:rPr>
      </w:pPr>
      <w:hyperlink w:anchor="_Toc12207135" w:history="1">
        <w:r w:rsidRPr="00A43D4A">
          <w:rPr>
            <w:rStyle w:val="ad"/>
            <w:noProof/>
          </w:rPr>
          <w:t>References</w:t>
        </w:r>
        <w:r>
          <w:rPr>
            <w:noProof/>
            <w:webHidden/>
          </w:rPr>
          <w:tab/>
        </w:r>
        <w:r>
          <w:rPr>
            <w:noProof/>
            <w:webHidden/>
          </w:rPr>
          <w:fldChar w:fldCharType="begin"/>
        </w:r>
        <w:r>
          <w:rPr>
            <w:noProof/>
            <w:webHidden/>
          </w:rPr>
          <w:instrText xml:space="preserve"> PAGEREF _Toc12207135 \h </w:instrText>
        </w:r>
        <w:r>
          <w:rPr>
            <w:noProof/>
            <w:webHidden/>
          </w:rPr>
        </w:r>
        <w:r>
          <w:rPr>
            <w:noProof/>
            <w:webHidden/>
          </w:rPr>
          <w:fldChar w:fldCharType="separate"/>
        </w:r>
        <w:r>
          <w:rPr>
            <w:noProof/>
            <w:webHidden/>
          </w:rPr>
          <w:t>21</w:t>
        </w:r>
        <w:r>
          <w:rPr>
            <w:noProof/>
            <w:webHidden/>
          </w:rPr>
          <w:fldChar w:fldCharType="end"/>
        </w:r>
      </w:hyperlink>
    </w:p>
    <w:p w:rsidR="00FB5B2A" w:rsidRDefault="008A4F57" w:rsidP="00FB5B2A">
      <w:r>
        <w:fldChar w:fldCharType="end"/>
      </w:r>
    </w:p>
    <w:p w:rsidR="00FB5B2A" w:rsidRPr="00FB5B2A" w:rsidRDefault="00FB5B2A" w:rsidP="00FB5B2A">
      <w:pPr>
        <w:spacing w:before="60" w:after="60"/>
        <w:jc w:val="lowKashida"/>
        <w:rPr>
          <w:rFonts w:ascii="Calibri" w:eastAsia="Calibri" w:hAnsi="Calibri" w:cs="Arial"/>
          <w:lang w:eastAsia="en-US"/>
        </w:rPr>
      </w:pPr>
      <w:r w:rsidRPr="00FB5B2A">
        <w:rPr>
          <w:rFonts w:ascii="Calibri" w:eastAsia="Calibri" w:hAnsi="Calibri" w:cs="Arial"/>
          <w:lang w:eastAsia="en-US"/>
        </w:rPr>
        <w:br w:type="page"/>
      </w:r>
    </w:p>
    <w:p w:rsidR="00FB5B2A" w:rsidRPr="00FB5B2A" w:rsidRDefault="00FB5B2A" w:rsidP="00FB5B2A">
      <w:pPr>
        <w:spacing w:before="60" w:after="0"/>
        <w:jc w:val="center"/>
        <w:rPr>
          <w:rFonts w:ascii="Calibri" w:eastAsia="Calibri" w:hAnsi="Calibri" w:cs="Arial"/>
          <w:b/>
          <w:bCs/>
          <w:sz w:val="44"/>
          <w:szCs w:val="44"/>
          <w:lang w:eastAsia="en-US"/>
        </w:rPr>
      </w:pPr>
      <w:r w:rsidRPr="00FB5B2A">
        <w:rPr>
          <w:rFonts w:ascii="Calibri" w:eastAsia="Calibri" w:hAnsi="Calibri" w:cs="Arial"/>
          <w:b/>
          <w:bCs/>
          <w:sz w:val="44"/>
          <w:szCs w:val="44"/>
          <w:lang w:eastAsia="en-US"/>
        </w:rPr>
        <w:lastRenderedPageBreak/>
        <w:t>Montenegro</w:t>
      </w:r>
    </w:p>
    <w:p w:rsidR="00FB5B2A" w:rsidRPr="00FB5B2A" w:rsidRDefault="00FB5B2A" w:rsidP="00FB5B2A">
      <w:pPr>
        <w:spacing w:before="60" w:after="0"/>
        <w:jc w:val="center"/>
        <w:rPr>
          <w:rFonts w:ascii="Calibri" w:eastAsia="Calibri" w:hAnsi="Calibri" w:cs="Arial"/>
          <w:b/>
          <w:bCs/>
          <w:sz w:val="32"/>
          <w:szCs w:val="32"/>
          <w:lang w:eastAsia="en-US"/>
        </w:rPr>
      </w:pPr>
      <w:r w:rsidRPr="00FB5B2A">
        <w:rPr>
          <w:rFonts w:ascii="Calibri" w:eastAsia="Calibri" w:hAnsi="Calibri" w:cs="Arial"/>
          <w:b/>
          <w:bCs/>
          <w:sz w:val="32"/>
          <w:szCs w:val="32"/>
          <w:lang w:eastAsia="en-US"/>
        </w:rPr>
        <w:t>Overview of Tobacco Use, Tobacco Control Legislation, and Taxation</w:t>
      </w:r>
    </w:p>
    <w:p w:rsidR="00FB5B2A" w:rsidRPr="00FB5B2A" w:rsidRDefault="00FB5B2A" w:rsidP="00FB5B2A">
      <w:pPr>
        <w:spacing w:before="60" w:after="0"/>
        <w:jc w:val="center"/>
        <w:rPr>
          <w:rFonts w:ascii="Calibri" w:eastAsia="Calibri" w:hAnsi="Calibri" w:cs="Arial"/>
          <w:b/>
          <w:bCs/>
          <w:sz w:val="32"/>
          <w:szCs w:val="32"/>
          <w:lang w:eastAsia="en-US"/>
        </w:rPr>
      </w:pPr>
      <w:r w:rsidRPr="00FB5B2A">
        <w:rPr>
          <w:rFonts w:ascii="Calibri" w:eastAsia="Calibri" w:hAnsi="Calibri" w:cs="Arial"/>
          <w:b/>
          <w:bCs/>
          <w:sz w:val="32"/>
          <w:szCs w:val="32"/>
          <w:lang w:eastAsia="en-US"/>
        </w:rPr>
        <w:t>A Country Brief</w:t>
      </w:r>
    </w:p>
    <w:p w:rsidR="00FB5B2A" w:rsidRPr="00FB5B2A" w:rsidRDefault="00FB5B2A" w:rsidP="009135CD">
      <w:pPr>
        <w:pStyle w:val="2"/>
        <w:rPr>
          <w:rFonts w:eastAsia="Times New Roman"/>
          <w:lang w:eastAsia="en-US"/>
        </w:rPr>
      </w:pPr>
      <w:bookmarkStart w:id="2" w:name="_Toc11674880"/>
      <w:bookmarkStart w:id="3" w:name="_Toc12207109"/>
      <w:r w:rsidRPr="00FB5B2A">
        <w:rPr>
          <w:rFonts w:eastAsia="Times New Roman"/>
          <w:lang w:eastAsia="en-US"/>
        </w:rPr>
        <w:t>Executive summary</w:t>
      </w:r>
      <w:bookmarkEnd w:id="2"/>
      <w:bookmarkEnd w:id="3"/>
    </w:p>
    <w:p w:rsidR="00C6756E" w:rsidRDefault="00C6756E" w:rsidP="00C6756E">
      <w:r>
        <w:t xml:space="preserve">Montenegro </w:t>
      </w:r>
      <w:r w:rsidRPr="00E03331">
        <w:t xml:space="preserve">became a Party to the WHO Framework Convention on Tobacco Control </w:t>
      </w:r>
      <w:r>
        <w:t xml:space="preserve">in </w:t>
      </w:r>
      <w:r w:rsidRPr="00E03331">
        <w:t>2006</w:t>
      </w:r>
      <w:r>
        <w:t xml:space="preserve"> and ratified the </w:t>
      </w:r>
      <w:r w:rsidRPr="00E03331">
        <w:t>Protocol to Eliminate Illicit Trade in Tobacco Products</w:t>
      </w:r>
      <w:r>
        <w:t xml:space="preserve"> in 2017.</w:t>
      </w:r>
    </w:p>
    <w:p w:rsidR="00C6756E" w:rsidRDefault="00C6756E" w:rsidP="00833429">
      <w:r w:rsidRPr="00343381">
        <w:t xml:space="preserve">Tobacco excise hikes, </w:t>
      </w:r>
      <w:r>
        <w:t>undertaken</w:t>
      </w:r>
      <w:r w:rsidRPr="00343381">
        <w:t xml:space="preserve"> in Montenegro in 20</w:t>
      </w:r>
      <w:r>
        <w:t>09</w:t>
      </w:r>
      <w:r w:rsidRPr="00343381">
        <w:t>-201</w:t>
      </w:r>
      <w:r w:rsidR="0078677E">
        <w:t>1</w:t>
      </w:r>
      <w:r w:rsidRPr="00343381">
        <w:t>, were successful</w:t>
      </w:r>
      <w:r w:rsidR="0078677E">
        <w:t xml:space="preserve"> both in fiscal and public health terms</w:t>
      </w:r>
      <w:r w:rsidR="0033693E">
        <w:t>. R</w:t>
      </w:r>
      <w:r w:rsidR="0033693E" w:rsidRPr="00343381">
        <w:t xml:space="preserve">evenues from </w:t>
      </w:r>
      <w:r w:rsidR="0033693E">
        <w:t xml:space="preserve">tobacco </w:t>
      </w:r>
      <w:r w:rsidR="0033693E" w:rsidRPr="00343381">
        <w:t>excise</w:t>
      </w:r>
      <w:r w:rsidR="0033693E">
        <w:t>s</w:t>
      </w:r>
      <w:r w:rsidR="0033693E" w:rsidRPr="00343381">
        <w:t xml:space="preserve"> rose from about 4 million in</w:t>
      </w:r>
      <w:r w:rsidR="0033693E">
        <w:t xml:space="preserve"> 2007 to 44 million euro in 2011</w:t>
      </w:r>
      <w:r w:rsidR="0078677E">
        <w:t>.</w:t>
      </w:r>
      <w:r w:rsidR="0033693E">
        <w:t xml:space="preserve"> Annual cigarette sales declined from more than 1.5 billion cigarettes in 2008-2011 to less than 1 billion cigarettes </w:t>
      </w:r>
      <w:r w:rsidR="00833429">
        <w:t xml:space="preserve">in </w:t>
      </w:r>
      <w:r w:rsidR="0033693E">
        <w:t>2014</w:t>
      </w:r>
      <w:r w:rsidR="00833429">
        <w:t xml:space="preserve"> and further years</w:t>
      </w:r>
      <w:r w:rsidR="0033693E">
        <w:t>. However, i</w:t>
      </w:r>
      <w:r>
        <w:t xml:space="preserve">n </w:t>
      </w:r>
      <w:r w:rsidRPr="00343381">
        <w:t>2013</w:t>
      </w:r>
      <w:r>
        <w:t>-2016,</w:t>
      </w:r>
      <w:r w:rsidRPr="00343381">
        <w:t xml:space="preserve"> tobacco excise increases were </w:t>
      </w:r>
      <w:r w:rsidR="00833429">
        <w:t>too</w:t>
      </w:r>
      <w:r w:rsidR="00833429" w:rsidRPr="00343381">
        <w:t xml:space="preserve"> </w:t>
      </w:r>
      <w:r w:rsidRPr="00343381">
        <w:t>small to reduce tobacco affordability and tobacco sales</w:t>
      </w:r>
      <w:r>
        <w:t>,</w:t>
      </w:r>
      <w:r w:rsidRPr="00343381">
        <w:t xml:space="preserve"> and tobacco revenues did not change much</w:t>
      </w:r>
      <w:r>
        <w:t>.</w:t>
      </w:r>
      <w:r w:rsidR="0033693E">
        <w:t xml:space="preserve"> </w:t>
      </w:r>
    </w:p>
    <w:p w:rsidR="0033693E" w:rsidRDefault="00C6756E" w:rsidP="00833429">
      <w:r>
        <w:t xml:space="preserve">In August 2017, Montenegro adopted an ambitious plan of excise tax increases; however, the tobacco industry responded with series of hidden actions (forestalling and price over-shifting) which temporarily reduced tobacco excise revenue in early 2018. As the </w:t>
      </w:r>
      <w:r w:rsidR="0078677E">
        <w:t xml:space="preserve">next </w:t>
      </w:r>
      <w:r w:rsidR="0033693E">
        <w:t>high increase of excise rate was scheduled for January 2018</w:t>
      </w:r>
      <w:r w:rsidR="00833429">
        <w:t>,</w:t>
      </w:r>
      <w:r w:rsidR="0033693E">
        <w:t xml:space="preserve"> and at the same time</w:t>
      </w:r>
      <w:r w:rsidR="00833429">
        <w:t>,</w:t>
      </w:r>
      <w:r w:rsidR="0033693E">
        <w:t xml:space="preserve"> VAT rate increased from 19% to 21%, the industry substantially increased cigarette supply in the second half of 2017 and sharply reduced it in early 2018 as it already had in stocks large number</w:t>
      </w:r>
      <w:r w:rsidR="00833429">
        <w:t>s</w:t>
      </w:r>
      <w:r w:rsidR="0033693E">
        <w:t xml:space="preserve"> of cigarettes for which excise was paid in 2017. The excise revenue </w:t>
      </w:r>
      <w:r w:rsidR="00833429">
        <w:t xml:space="preserve">substantially </w:t>
      </w:r>
      <w:r w:rsidR="0033693E">
        <w:t xml:space="preserve">increased in late 2017, but declined in early 2018 despite </w:t>
      </w:r>
      <w:r w:rsidR="0078677E">
        <w:t xml:space="preserve">the </w:t>
      </w:r>
      <w:r w:rsidR="0033693E">
        <w:t xml:space="preserve">excise rate increase. </w:t>
      </w:r>
    </w:p>
    <w:p w:rsidR="00C6756E" w:rsidRDefault="00C6756E" w:rsidP="00833429">
      <w:r>
        <w:t xml:space="preserve">The industry organized </w:t>
      </w:r>
      <w:r w:rsidR="00833429">
        <w:t xml:space="preserve">the </w:t>
      </w:r>
      <w:r>
        <w:t xml:space="preserve">media campaign to persuade the government that this revenue decline was allegedly caused by tax-driven growth </w:t>
      </w:r>
      <w:r w:rsidR="00833429">
        <w:t xml:space="preserve">in </w:t>
      </w:r>
      <w:r>
        <w:t>cigarette smuggling (while no rigorous evidence of such growth was presented), and the only way to fight smuggling is the reduction of cigarette excise. From September 2018, the excise rates were reduced, while they are still higher than those planned before 2017.</w:t>
      </w:r>
    </w:p>
    <w:p w:rsidR="0033693E" w:rsidRPr="00343381" w:rsidRDefault="0033693E" w:rsidP="0033693E">
      <w:r>
        <w:t xml:space="preserve">The plan of annual tobacco excise changes until 2025 was already adopted by authorities, but the proposed changes have rather low potential to reduce the tobacco consumption and to increase government revenue. The expected total excise rate in 2025 will be below 90 euro </w:t>
      </w:r>
      <w:r w:rsidR="0078677E">
        <w:t>(</w:t>
      </w:r>
      <w:r>
        <w:t>minimum EU level</w:t>
      </w:r>
      <w:r w:rsidR="0078677E">
        <w:t>)</w:t>
      </w:r>
      <w:r w:rsidR="002762AB">
        <w:t>.</w:t>
      </w:r>
      <w:bookmarkStart w:id="4" w:name="_GoBack"/>
      <w:bookmarkEnd w:id="4"/>
    </w:p>
    <w:p w:rsidR="0033693E" w:rsidRDefault="0033693E" w:rsidP="0033693E">
      <w:r w:rsidRPr="00343381">
        <w:t xml:space="preserve">Montenegro is able to </w:t>
      </w:r>
      <w:r>
        <w:t>conduct a more aggressive and</w:t>
      </w:r>
      <w:r w:rsidRPr="00343381">
        <w:t xml:space="preserve"> </w:t>
      </w:r>
      <w:r>
        <w:t xml:space="preserve">successful </w:t>
      </w:r>
      <w:r w:rsidRPr="00343381">
        <w:t>tobacco taxation policy which can both reduce tobacco consumptio</w:t>
      </w:r>
      <w:r>
        <w:t>n and increase tobacco revenue</w:t>
      </w:r>
      <w:r w:rsidRPr="00343381">
        <w:t>.</w:t>
      </w:r>
      <w:r>
        <w:t xml:space="preserve"> The following recommendations can help to make such policy more successful:</w:t>
      </w:r>
    </w:p>
    <w:p w:rsidR="0033693E" w:rsidRDefault="0033693E" w:rsidP="0078677E">
      <w:pPr>
        <w:numPr>
          <w:ilvl w:val="0"/>
          <w:numId w:val="4"/>
        </w:numPr>
        <w:spacing w:before="0"/>
        <w:contextualSpacing/>
      </w:pPr>
      <w:r w:rsidRPr="00A44EB0">
        <w:t xml:space="preserve">Annually increase the </w:t>
      </w:r>
      <w:r>
        <w:t xml:space="preserve">specific </w:t>
      </w:r>
      <w:r w:rsidRPr="00A44EB0">
        <w:t xml:space="preserve">excise rates </w:t>
      </w:r>
      <w:r>
        <w:t xml:space="preserve">by </w:t>
      </w:r>
      <w:r w:rsidRPr="00A44EB0">
        <w:t xml:space="preserve">at least </w:t>
      </w:r>
      <w:r>
        <w:t>5 euro per 1000 cigarettes and do not decrease the ad valorem rate.</w:t>
      </w:r>
    </w:p>
    <w:p w:rsidR="0033693E" w:rsidRPr="00A44EB0" w:rsidRDefault="0033693E" w:rsidP="0078677E">
      <w:pPr>
        <w:numPr>
          <w:ilvl w:val="0"/>
          <w:numId w:val="4"/>
        </w:numPr>
        <w:spacing w:before="0"/>
        <w:contextualSpacing/>
      </w:pPr>
      <w:r>
        <w:t xml:space="preserve">Annually </w:t>
      </w:r>
      <w:r w:rsidR="003C2FF1">
        <w:t>i</w:t>
      </w:r>
      <w:r>
        <w:t>ncrease excise rates for other tobacco products, including novel tobacco products.</w:t>
      </w:r>
    </w:p>
    <w:p w:rsidR="0033693E" w:rsidRPr="00A44EB0" w:rsidRDefault="0033693E" w:rsidP="0078677E">
      <w:pPr>
        <w:numPr>
          <w:ilvl w:val="0"/>
          <w:numId w:val="4"/>
        </w:numPr>
        <w:spacing w:before="0"/>
        <w:contextualSpacing/>
      </w:pPr>
      <w:r w:rsidRPr="00A44EB0">
        <w:t xml:space="preserve">Introduce effective policies against forestalling using </w:t>
      </w:r>
      <w:r>
        <w:t xml:space="preserve">the </w:t>
      </w:r>
      <w:r w:rsidRPr="00A44EB0">
        <w:t>successful experience of other countries.</w:t>
      </w:r>
    </w:p>
    <w:p w:rsidR="0033693E" w:rsidRPr="00A44EB0" w:rsidRDefault="0033693E" w:rsidP="003C2FF1">
      <w:pPr>
        <w:numPr>
          <w:ilvl w:val="0"/>
          <w:numId w:val="4"/>
        </w:numPr>
        <w:spacing w:before="0"/>
        <w:contextualSpacing/>
      </w:pPr>
      <w:r>
        <w:t xml:space="preserve">Develop the </w:t>
      </w:r>
      <w:r w:rsidRPr="00A44EB0">
        <w:t xml:space="preserve">tobacco use surveillance and monitoring, including regular collection of information on smoking prevalence, licit and illicit cigarette sales, prices and other economic indicators. </w:t>
      </w:r>
    </w:p>
    <w:p w:rsidR="00FB5B2A" w:rsidRDefault="0033693E" w:rsidP="00FB5B2A">
      <w:pPr>
        <w:numPr>
          <w:ilvl w:val="0"/>
          <w:numId w:val="4"/>
        </w:numPr>
        <w:spacing w:before="0"/>
        <w:contextualSpacing/>
      </w:pPr>
      <w:r>
        <w:t xml:space="preserve">Implement the </w:t>
      </w:r>
      <w:r w:rsidRPr="00A44EB0">
        <w:t xml:space="preserve">effective policies to counteract </w:t>
      </w:r>
      <w:r>
        <w:t xml:space="preserve">the </w:t>
      </w:r>
      <w:r w:rsidRPr="00A44EB0">
        <w:t>tobacco smuggling and other kinds of illicit tobacco sales in line with the provisions of the FCTC Protocol to Eliminate Illicit Trade in Tobacco Products</w:t>
      </w:r>
      <w:r w:rsidRPr="0078677E">
        <w:rPr>
          <w:i/>
        </w:rPr>
        <w:t>.</w:t>
      </w:r>
    </w:p>
    <w:p w:rsidR="00FB5B2A" w:rsidRPr="00FB5B2A" w:rsidRDefault="00FB5B2A" w:rsidP="009135CD">
      <w:pPr>
        <w:pStyle w:val="2"/>
        <w:rPr>
          <w:rFonts w:eastAsia="Times New Roman"/>
          <w:lang w:eastAsia="en-US"/>
        </w:rPr>
      </w:pPr>
      <w:r w:rsidRPr="00FB5B2A">
        <w:rPr>
          <w:rFonts w:eastAsia="Times New Roman"/>
          <w:lang w:eastAsia="en-US"/>
        </w:rPr>
        <w:br w:type="page"/>
      </w:r>
      <w:bookmarkStart w:id="5" w:name="_Toc11235125"/>
      <w:bookmarkStart w:id="6" w:name="_Toc11674881"/>
      <w:bookmarkStart w:id="7" w:name="_Toc12207110"/>
      <w:r w:rsidRPr="00FB5B2A">
        <w:rPr>
          <w:rFonts w:eastAsia="Times New Roman"/>
          <w:lang w:eastAsia="en-US"/>
        </w:rPr>
        <w:lastRenderedPageBreak/>
        <w:t>Acknowledgments</w:t>
      </w:r>
      <w:bookmarkEnd w:id="5"/>
      <w:bookmarkEnd w:id="6"/>
      <w:bookmarkEnd w:id="7"/>
    </w:p>
    <w:p w:rsidR="00FB5B2A" w:rsidRPr="00FB5B2A" w:rsidRDefault="00FB5B2A" w:rsidP="00FB5B2A">
      <w:pPr>
        <w:spacing w:before="60" w:after="60"/>
        <w:jc w:val="lowKashida"/>
        <w:rPr>
          <w:rFonts w:ascii="Calibri" w:eastAsia="Calibri" w:hAnsi="Calibri" w:cs="Arial"/>
          <w:lang w:eastAsia="en-US"/>
        </w:rPr>
      </w:pPr>
      <w:r w:rsidRPr="00FB5B2A">
        <w:rPr>
          <w:rFonts w:ascii="Calibri" w:eastAsia="Calibri" w:hAnsi="Calibri" w:cs="Arial"/>
          <w:lang w:eastAsia="en-US"/>
        </w:rPr>
        <w:t>This country brief was prepared by a team from the World Bank Group Global Tobacco Control Program led by Patricio V. Marquez, including Konstantin Krasovsky, and Tatiana Andreeva.</w:t>
      </w:r>
    </w:p>
    <w:p w:rsidR="00FB5B2A" w:rsidRPr="00FB5B2A" w:rsidRDefault="00FB5B2A" w:rsidP="00FB5B2A">
      <w:pPr>
        <w:spacing w:before="60" w:after="60"/>
        <w:jc w:val="lowKashida"/>
        <w:rPr>
          <w:rFonts w:ascii="Calibri" w:eastAsia="Calibri" w:hAnsi="Calibri" w:cs="Arial"/>
          <w:lang w:eastAsia="en-US"/>
        </w:rPr>
      </w:pPr>
    </w:p>
    <w:p w:rsidR="00FB5B2A" w:rsidRPr="00FB5B2A" w:rsidRDefault="00FB5B2A" w:rsidP="009135CD">
      <w:pPr>
        <w:spacing w:before="60" w:after="60"/>
        <w:jc w:val="lowKashida"/>
        <w:rPr>
          <w:rFonts w:ascii="Calibri" w:eastAsia="Calibri" w:hAnsi="Calibri" w:cs="Arial"/>
          <w:lang w:eastAsia="en-US"/>
        </w:rPr>
      </w:pPr>
      <w:r w:rsidRPr="00FB5B2A">
        <w:rPr>
          <w:rFonts w:ascii="Calibri" w:eastAsia="Calibri" w:hAnsi="Calibri" w:cs="Arial"/>
          <w:lang w:eastAsia="en-US"/>
        </w:rPr>
        <w:t xml:space="preserve">June </w:t>
      </w:r>
      <w:r w:rsidR="009135CD">
        <w:rPr>
          <w:rFonts w:ascii="Calibri" w:eastAsia="Calibri" w:hAnsi="Calibri" w:cs="Arial"/>
          <w:lang w:eastAsia="en-US"/>
        </w:rPr>
        <w:t>23</w:t>
      </w:r>
      <w:r w:rsidRPr="00FB5B2A">
        <w:rPr>
          <w:rFonts w:ascii="Calibri" w:eastAsia="Calibri" w:hAnsi="Calibri" w:cs="Arial"/>
          <w:lang w:eastAsia="en-US"/>
        </w:rPr>
        <w:t>, 2019</w:t>
      </w:r>
    </w:p>
    <w:p w:rsidR="00FB5B2A" w:rsidRPr="00FB5B2A" w:rsidRDefault="00FB5B2A" w:rsidP="00FB5B2A">
      <w:pPr>
        <w:spacing w:before="60" w:after="60"/>
        <w:jc w:val="lowKashida"/>
        <w:rPr>
          <w:rFonts w:ascii="Calibri" w:eastAsia="Calibri" w:hAnsi="Calibri" w:cs="Arial"/>
          <w:rtl/>
          <w:cs/>
          <w:lang w:eastAsia="en-US"/>
        </w:rPr>
      </w:pPr>
      <w:r w:rsidRPr="00FB5B2A">
        <w:rPr>
          <w:rFonts w:ascii="Calibri" w:eastAsia="Calibri" w:hAnsi="Calibri" w:cs="Arial" w:hint="cs"/>
          <w:cs/>
          <w:lang w:eastAsia="en-US"/>
        </w:rPr>
        <w:t>‎</w:t>
      </w:r>
    </w:p>
    <w:p w:rsidR="00FB5B2A" w:rsidRPr="00FB5B2A" w:rsidRDefault="00FB5B2A" w:rsidP="00FB5B2A">
      <w:pPr>
        <w:spacing w:before="60" w:after="60"/>
        <w:jc w:val="lowKashida"/>
        <w:rPr>
          <w:rFonts w:ascii="Calibri" w:eastAsia="Calibri" w:hAnsi="Calibri" w:cs="Arial"/>
          <w:rtl/>
          <w:cs/>
          <w:lang w:eastAsia="en-US"/>
        </w:rPr>
      </w:pPr>
      <w:r w:rsidRPr="00FB5B2A">
        <w:rPr>
          <w:rFonts w:ascii="Calibri" w:eastAsia="Calibri" w:hAnsi="Calibri" w:cs="Arial"/>
          <w:lang w:eastAsia="en-US"/>
        </w:rPr>
        <w:br w:type="page"/>
      </w:r>
    </w:p>
    <w:p w:rsidR="00FB5B2A" w:rsidRPr="00FB5B2A" w:rsidRDefault="00FB5B2A" w:rsidP="009135CD">
      <w:pPr>
        <w:pStyle w:val="2"/>
        <w:rPr>
          <w:rFonts w:eastAsia="Times New Roman"/>
          <w:lang w:eastAsia="en-US"/>
        </w:rPr>
      </w:pPr>
      <w:bookmarkStart w:id="8" w:name="_Toc11235126"/>
      <w:bookmarkStart w:id="9" w:name="_Toc11493150"/>
      <w:bookmarkStart w:id="10" w:name="_Toc11674882"/>
      <w:bookmarkStart w:id="11" w:name="_Toc12207111"/>
      <w:r w:rsidRPr="00FB5B2A">
        <w:rPr>
          <w:rFonts w:eastAsia="Times New Roman"/>
          <w:lang w:eastAsia="en-US"/>
        </w:rPr>
        <w:lastRenderedPageBreak/>
        <w:t>Introduction</w:t>
      </w:r>
      <w:bookmarkEnd w:id="8"/>
      <w:bookmarkEnd w:id="9"/>
      <w:bookmarkEnd w:id="10"/>
      <w:bookmarkEnd w:id="11"/>
    </w:p>
    <w:p w:rsidR="00FB5B2A" w:rsidRPr="00FB5B2A" w:rsidRDefault="00FB5B2A" w:rsidP="00FB5B2A">
      <w:pPr>
        <w:keepNext/>
        <w:keepLines/>
        <w:spacing w:before="200" w:after="0"/>
        <w:jc w:val="lowKashida"/>
        <w:outlineLvl w:val="3"/>
        <w:rPr>
          <w:rFonts w:ascii="Cambria" w:eastAsia="Times New Roman" w:hAnsi="Cambria" w:cs="Times New Roman"/>
          <w:b/>
          <w:bCs/>
          <w:i/>
          <w:iCs/>
          <w:color w:val="4F81BD"/>
          <w:lang w:eastAsia="en-US"/>
        </w:rPr>
      </w:pPr>
      <w:r w:rsidRPr="00FB5B2A">
        <w:rPr>
          <w:rFonts w:ascii="Cambria" w:eastAsia="Times New Roman" w:hAnsi="Cambria" w:cs="Times New Roman"/>
          <w:b/>
          <w:bCs/>
          <w:i/>
          <w:iCs/>
          <w:color w:val="4F81BD"/>
          <w:lang w:eastAsia="en-US"/>
        </w:rPr>
        <w:t>The Objective of the Country Brief</w:t>
      </w:r>
    </w:p>
    <w:p w:rsidR="00FB5B2A" w:rsidRPr="00FB5B2A" w:rsidRDefault="00FB5B2A" w:rsidP="00FB5B2A">
      <w:pPr>
        <w:spacing w:before="60" w:after="60"/>
        <w:jc w:val="lowKashida"/>
        <w:rPr>
          <w:rFonts w:ascii="Calibri" w:eastAsia="Calibri" w:hAnsi="Calibri" w:cs="Arial"/>
          <w:lang w:eastAsia="en-US"/>
        </w:rPr>
      </w:pPr>
      <w:r w:rsidRPr="00FB5B2A">
        <w:rPr>
          <w:rFonts w:ascii="Calibri" w:eastAsia="Calibri" w:hAnsi="Calibri" w:cs="Arial"/>
          <w:lang w:eastAsia="en-US"/>
        </w:rPr>
        <w:t xml:space="preserve">This country brief presents an overview of current tobacco control legislation, tobacco use, and taxation policy in </w:t>
      </w:r>
      <w:r>
        <w:t>Montenegro</w:t>
      </w:r>
      <w:r w:rsidRPr="00FB5B2A">
        <w:rPr>
          <w:rFonts w:ascii="Calibri" w:eastAsia="Calibri" w:hAnsi="Calibri" w:cs="Arial"/>
          <w:lang w:eastAsia="en-US"/>
        </w:rPr>
        <w:t xml:space="preserve">. Data and information were collected from various sources. The brief is intended to serve as the context for complementary assessments on different aspects of tobacco taxation in the country to be shared with government teams and other national and international stakeholders. </w:t>
      </w:r>
    </w:p>
    <w:bookmarkEnd w:id="0"/>
    <w:bookmarkEnd w:id="1"/>
    <w:p w:rsidR="004B1A17" w:rsidRDefault="004B1A17" w:rsidP="00502EF5">
      <w:r w:rsidRPr="004B1A17">
        <w:t xml:space="preserve">After the breakup of Yugoslavia in 1992, the republics of Serbia and Montenegro together established a federation </w:t>
      </w:r>
      <w:r w:rsidR="002D6311">
        <w:t>named '</w:t>
      </w:r>
      <w:r w:rsidR="009135CD">
        <w:t xml:space="preserve">The </w:t>
      </w:r>
      <w:r w:rsidRPr="004B1A17">
        <w:t>Federal Republic of Yugoslavia</w:t>
      </w:r>
      <w:r w:rsidR="002D6311">
        <w:t>'</w:t>
      </w:r>
      <w:r>
        <w:t xml:space="preserve">. </w:t>
      </w:r>
      <w:r w:rsidRPr="004B1A17">
        <w:t xml:space="preserve">In 2003, it renamed itself </w:t>
      </w:r>
      <w:r w:rsidR="002D6311">
        <w:t>as '</w:t>
      </w:r>
      <w:r w:rsidRPr="004B1A17">
        <w:t>Serbia and Montenegro</w:t>
      </w:r>
      <w:r w:rsidR="002D6311">
        <w:t>'</w:t>
      </w:r>
      <w:r w:rsidRPr="004B1A17">
        <w:t>. On the basis of an independence referendum held on 21 May 2006, Montenegro declared independence on 3 June of that year.</w:t>
      </w:r>
    </w:p>
    <w:p w:rsidR="009B6FA3" w:rsidRDefault="002E12A9" w:rsidP="00502EF5">
      <w:r>
        <w:t xml:space="preserve">The </w:t>
      </w:r>
      <w:r w:rsidR="009B6FA3">
        <w:t>objectives of the paper are:</w:t>
      </w:r>
    </w:p>
    <w:p w:rsidR="00A52A9B" w:rsidRDefault="009B6FA3" w:rsidP="00502EF5">
      <w:pPr>
        <w:pStyle w:val="af5"/>
        <w:numPr>
          <w:ilvl w:val="0"/>
          <w:numId w:val="1"/>
        </w:numPr>
      </w:pPr>
      <w:r>
        <w:t>Estimate recent trends in tobacco smoking and tobacco control policies in Montenegro</w:t>
      </w:r>
      <w:r w:rsidR="00604567">
        <w:t>;</w:t>
      </w:r>
    </w:p>
    <w:p w:rsidR="00A52A9B" w:rsidRDefault="009B6FA3" w:rsidP="00502EF5">
      <w:pPr>
        <w:pStyle w:val="af5"/>
        <w:numPr>
          <w:ilvl w:val="0"/>
          <w:numId w:val="1"/>
        </w:numPr>
      </w:pPr>
      <w:r>
        <w:t>E</w:t>
      </w:r>
      <w:r w:rsidRPr="00E9741C">
        <w:t xml:space="preserve">stimate the impact of tobacco taxation policy on tobacco consumption and tobacco excise revenues in </w:t>
      </w:r>
      <w:r>
        <w:t xml:space="preserve">Montenegro </w:t>
      </w:r>
      <w:r w:rsidRPr="00E9741C">
        <w:t>between 200</w:t>
      </w:r>
      <w:r>
        <w:t>8</w:t>
      </w:r>
      <w:r w:rsidRPr="00E9741C">
        <w:t xml:space="preserve"> and 2016</w:t>
      </w:r>
      <w:r>
        <w:t>.</w:t>
      </w:r>
    </w:p>
    <w:p w:rsidR="00B7228E" w:rsidRDefault="00B306D7" w:rsidP="00502EF5">
      <w:pPr>
        <w:pStyle w:val="2"/>
      </w:pPr>
      <w:bookmarkStart w:id="12" w:name="_Toc482360283"/>
      <w:bookmarkStart w:id="13" w:name="_Toc12207112"/>
      <w:r>
        <w:t xml:space="preserve">Tobacco </w:t>
      </w:r>
      <w:r w:rsidR="00E71FD8">
        <w:t>use</w:t>
      </w:r>
      <w:r w:rsidR="002D6311">
        <w:t xml:space="preserve"> and prevalence of smoking</w:t>
      </w:r>
      <w:bookmarkEnd w:id="12"/>
      <w:bookmarkEnd w:id="13"/>
    </w:p>
    <w:p w:rsidR="00064433" w:rsidRDefault="00520093" w:rsidP="009135CD">
      <w:pPr>
        <w:pStyle w:val="3"/>
      </w:pPr>
      <w:bookmarkStart w:id="14" w:name="_Toc482360284"/>
      <w:bookmarkStart w:id="15" w:name="_Toc12207113"/>
      <w:r>
        <w:t xml:space="preserve">Tobacco use </w:t>
      </w:r>
      <w:r w:rsidR="009135CD">
        <w:t xml:space="preserve">among </w:t>
      </w:r>
      <w:r>
        <w:t>adults</w:t>
      </w:r>
      <w:bookmarkEnd w:id="14"/>
      <w:bookmarkEnd w:id="15"/>
    </w:p>
    <w:p w:rsidR="006D3BCF" w:rsidRDefault="009135CD" w:rsidP="009A51AE">
      <w:r>
        <w:t xml:space="preserve">Estimates of the prevalence </w:t>
      </w:r>
      <w:r w:rsidR="0084788F">
        <w:t xml:space="preserve">smoking in former Yugoslavia </w:t>
      </w:r>
      <w:r>
        <w:t xml:space="preserve">are </w:t>
      </w:r>
      <w:r w:rsidR="0084788F">
        <w:t>available from the MONICA project surveys</w:t>
      </w:r>
      <w:r w:rsidR="002E12A9">
        <w:t>, conducted in 1984-1995</w:t>
      </w:r>
      <w:r w:rsidR="0084788F">
        <w:t xml:space="preserve"> </w:t>
      </w:r>
      <w:r w:rsidR="008A4F57">
        <w:fldChar w:fldCharType="begin"/>
      </w:r>
      <w:r w:rsidR="009A51AE">
        <w:instrText xml:space="preserve"> ADDIN EN.CITE &lt;EndNote&gt;&lt;Cite&gt;&lt;Author&gt;Tolonen&lt;/Author&gt;&lt;Year&gt;2000&lt;/Year&gt;&lt;RecNum&gt;4685&lt;/RecNum&gt;&lt;DisplayText&gt;[1]&lt;/DisplayText&gt;&lt;record&gt;&lt;rec-number&gt;4685&lt;/rec-number&gt;&lt;foreign-keys&gt;&lt;key app="EN" db-id="ep9zdt9a8tdpsseaptvpd555505tfr02pr2e" timestamp="1494496135"&gt;4685&lt;/key&gt;&lt;/foreign-keys&gt;&lt;ref-type name="Web Page"&gt;12&lt;/ref-type&gt;&lt;contributors&gt;&lt;authors&gt;&lt;author&gt;Tolonen, H&lt;/author&gt;&lt;author&gt;Kuulasmaa, K&lt;/author&gt;&lt;author&gt;Ruokokoski, E&lt;/author&gt;&lt;/authors&gt;&lt;/contributors&gt;&lt;titles&gt;&lt;title&gt;MONICA population survey data book&lt;/title&gt;&lt;secondary-title&gt;World Health Organization. &lt;/secondary-title&gt;&lt;/titles&gt;&lt;dates&gt;&lt;year&gt;2000&lt;/year&gt;&lt;/dates&gt;&lt;urls&gt;&lt;related-urls&gt;&lt;url&gt;http://www.thl.fi/publications/monica/surveydb/title.htm&lt;/url&gt;&lt;/related-urls&gt;&lt;/urls&gt;&lt;/record&gt;&lt;/Cite&gt;&lt;/EndNote&gt;</w:instrText>
      </w:r>
      <w:r w:rsidR="008A4F57">
        <w:fldChar w:fldCharType="separate"/>
      </w:r>
      <w:r w:rsidR="009A51AE">
        <w:rPr>
          <w:noProof/>
        </w:rPr>
        <w:t>[1]</w:t>
      </w:r>
      <w:r w:rsidR="008A4F57">
        <w:fldChar w:fldCharType="end"/>
      </w:r>
      <w:r w:rsidR="0084788F">
        <w:t xml:space="preserve">. </w:t>
      </w:r>
      <w:r>
        <w:t xml:space="preserve">Results </w:t>
      </w:r>
      <w:r w:rsidR="0084788F">
        <w:t>by age, gender</w:t>
      </w:r>
      <w:r>
        <w:t>,</w:t>
      </w:r>
      <w:r w:rsidR="0084788F">
        <w:t xml:space="preserve"> and survey dates </w:t>
      </w:r>
      <w:r>
        <w:t xml:space="preserve">are summarized </w:t>
      </w:r>
      <w:r w:rsidR="0084788F">
        <w:t xml:space="preserve">in </w:t>
      </w:r>
      <w:r w:rsidR="008A4F57">
        <w:fldChar w:fldCharType="begin"/>
      </w:r>
      <w:r w:rsidR="00515162">
        <w:instrText xml:space="preserve"> REF _Ref482280275 \h </w:instrText>
      </w:r>
      <w:r w:rsidR="008A4F57">
        <w:fldChar w:fldCharType="separate"/>
      </w:r>
      <w:r w:rsidR="00515162">
        <w:t xml:space="preserve">Table </w:t>
      </w:r>
      <w:r w:rsidR="00515162">
        <w:rPr>
          <w:noProof/>
        </w:rPr>
        <w:t>1</w:t>
      </w:r>
      <w:r w:rsidR="008A4F57">
        <w:fldChar w:fldCharType="end"/>
      </w:r>
      <w:r w:rsidR="0084788F">
        <w:t>. However, the limitation of the data is that this could be not fully representative of the situation in Montenegro.</w:t>
      </w:r>
    </w:p>
    <w:p w:rsidR="0084788F" w:rsidRDefault="00515162" w:rsidP="009135CD">
      <w:pPr>
        <w:pStyle w:val="af"/>
      </w:pPr>
      <w:bookmarkStart w:id="16" w:name="_Ref482280275"/>
      <w:bookmarkStart w:id="17" w:name="_Ref482280259"/>
      <w:r>
        <w:t xml:space="preserve">Table </w:t>
      </w:r>
      <w:r w:rsidR="008A4F57">
        <w:fldChar w:fldCharType="begin"/>
      </w:r>
      <w:r w:rsidR="009B50F6">
        <w:instrText xml:space="preserve"> SEQ Table \* ARABIC </w:instrText>
      </w:r>
      <w:r w:rsidR="008A4F57">
        <w:fldChar w:fldCharType="separate"/>
      </w:r>
      <w:r w:rsidR="00FF5642">
        <w:rPr>
          <w:noProof/>
        </w:rPr>
        <w:t>1</w:t>
      </w:r>
      <w:r w:rsidR="008A4F57">
        <w:rPr>
          <w:noProof/>
        </w:rPr>
        <w:fldChar w:fldCharType="end"/>
      </w:r>
      <w:bookmarkEnd w:id="16"/>
      <w:r w:rsidR="0084788F">
        <w:t xml:space="preserve">. </w:t>
      </w:r>
      <w:r w:rsidR="009135CD">
        <w:t xml:space="preserve">The prevalence of daily </w:t>
      </w:r>
      <w:r w:rsidR="0084788F">
        <w:t xml:space="preserve">cigarette smoking </w:t>
      </w:r>
      <w:r w:rsidR="00254701">
        <w:t xml:space="preserve">(%) </w:t>
      </w:r>
      <w:r w:rsidR="0084788F">
        <w:t>in Yugoslavia MONICA collaborating center in 198</w:t>
      </w:r>
      <w:r w:rsidR="002E12A9">
        <w:t>4</w:t>
      </w:r>
      <w:r w:rsidR="0084788F">
        <w:t>-199</w:t>
      </w:r>
      <w:bookmarkEnd w:id="17"/>
      <w:r w:rsidR="002E12A9">
        <w:t>5</w:t>
      </w:r>
    </w:p>
    <w:tbl>
      <w:tblPr>
        <w:tblStyle w:val="ae"/>
        <w:tblW w:w="0" w:type="auto"/>
        <w:tblLook w:val="04A0" w:firstRow="1" w:lastRow="0" w:firstColumn="1" w:lastColumn="0" w:noHBand="0" w:noVBand="1"/>
      </w:tblPr>
      <w:tblGrid>
        <w:gridCol w:w="1072"/>
        <w:gridCol w:w="900"/>
        <w:gridCol w:w="1440"/>
        <w:gridCol w:w="1440"/>
        <w:gridCol w:w="1440"/>
      </w:tblGrid>
      <w:tr w:rsidR="00556D53" w:rsidTr="002E12A9">
        <w:tc>
          <w:tcPr>
            <w:tcW w:w="1072" w:type="dxa"/>
          </w:tcPr>
          <w:p w:rsidR="00556D53" w:rsidRDefault="00556D53" w:rsidP="006D69C3">
            <w:pPr>
              <w:spacing w:before="0"/>
            </w:pPr>
          </w:p>
        </w:tc>
        <w:tc>
          <w:tcPr>
            <w:tcW w:w="900" w:type="dxa"/>
          </w:tcPr>
          <w:p w:rsidR="00556D53" w:rsidRDefault="00556D53" w:rsidP="006D69C3">
            <w:pPr>
              <w:spacing w:before="0"/>
            </w:pPr>
          </w:p>
        </w:tc>
        <w:tc>
          <w:tcPr>
            <w:tcW w:w="4320" w:type="dxa"/>
            <w:gridSpan w:val="3"/>
          </w:tcPr>
          <w:p w:rsidR="00556D53" w:rsidRDefault="00556D53" w:rsidP="006D69C3">
            <w:pPr>
              <w:spacing w:before="0"/>
            </w:pPr>
            <w:r>
              <w:t>Survey time</w:t>
            </w:r>
          </w:p>
        </w:tc>
      </w:tr>
      <w:tr w:rsidR="00F30AC6" w:rsidTr="00F30AC6">
        <w:tc>
          <w:tcPr>
            <w:tcW w:w="1072" w:type="dxa"/>
          </w:tcPr>
          <w:p w:rsidR="00F30AC6" w:rsidRDefault="00F30AC6" w:rsidP="006D69C3">
            <w:pPr>
              <w:spacing w:before="0"/>
            </w:pPr>
          </w:p>
        </w:tc>
        <w:tc>
          <w:tcPr>
            <w:tcW w:w="900" w:type="dxa"/>
          </w:tcPr>
          <w:p w:rsidR="00F30AC6" w:rsidRDefault="00F30AC6" w:rsidP="006D69C3">
            <w:pPr>
              <w:spacing w:before="0"/>
            </w:pPr>
          </w:p>
        </w:tc>
        <w:tc>
          <w:tcPr>
            <w:tcW w:w="1440" w:type="dxa"/>
          </w:tcPr>
          <w:p w:rsidR="00F30AC6" w:rsidRDefault="00F30AC6" w:rsidP="006D69C3">
            <w:pPr>
              <w:spacing w:before="0"/>
            </w:pPr>
            <w:r w:rsidRPr="00520093">
              <w:t>Sep84-Dec84</w:t>
            </w:r>
          </w:p>
        </w:tc>
        <w:tc>
          <w:tcPr>
            <w:tcW w:w="1440" w:type="dxa"/>
          </w:tcPr>
          <w:p w:rsidR="00F30AC6" w:rsidRDefault="00F30AC6" w:rsidP="006D69C3">
            <w:pPr>
              <w:spacing w:before="0"/>
            </w:pPr>
            <w:r w:rsidRPr="00520093">
              <w:t>Sep88-Apr89</w:t>
            </w:r>
          </w:p>
        </w:tc>
        <w:tc>
          <w:tcPr>
            <w:tcW w:w="1440" w:type="dxa"/>
          </w:tcPr>
          <w:p w:rsidR="00F30AC6" w:rsidRDefault="00F30AC6" w:rsidP="006D69C3">
            <w:pPr>
              <w:spacing w:before="0"/>
            </w:pPr>
            <w:r w:rsidRPr="00520093">
              <w:t>Sep94-Feb95</w:t>
            </w:r>
          </w:p>
        </w:tc>
      </w:tr>
      <w:tr w:rsidR="00F30AC6" w:rsidTr="00F30AC6">
        <w:tc>
          <w:tcPr>
            <w:tcW w:w="1072" w:type="dxa"/>
          </w:tcPr>
          <w:p w:rsidR="00F30AC6" w:rsidRDefault="00556D53" w:rsidP="006D69C3">
            <w:pPr>
              <w:spacing w:before="0"/>
            </w:pPr>
            <w:r>
              <w:t>Gender</w:t>
            </w:r>
          </w:p>
        </w:tc>
        <w:tc>
          <w:tcPr>
            <w:tcW w:w="900" w:type="dxa"/>
          </w:tcPr>
          <w:p w:rsidR="00F30AC6" w:rsidRPr="00F30AC6" w:rsidRDefault="00556D53" w:rsidP="006D69C3">
            <w:pPr>
              <w:spacing w:before="0"/>
            </w:pPr>
            <w:r>
              <w:t>Age</w:t>
            </w:r>
          </w:p>
        </w:tc>
        <w:tc>
          <w:tcPr>
            <w:tcW w:w="1440" w:type="dxa"/>
          </w:tcPr>
          <w:p w:rsidR="00F30AC6" w:rsidRPr="00F30AC6" w:rsidRDefault="00F30AC6" w:rsidP="006D69C3">
            <w:pPr>
              <w:spacing w:before="0"/>
            </w:pPr>
          </w:p>
        </w:tc>
        <w:tc>
          <w:tcPr>
            <w:tcW w:w="1440" w:type="dxa"/>
          </w:tcPr>
          <w:p w:rsidR="00F30AC6" w:rsidRPr="00F30AC6" w:rsidRDefault="00F30AC6" w:rsidP="006D69C3">
            <w:pPr>
              <w:spacing w:before="0"/>
            </w:pPr>
          </w:p>
        </w:tc>
        <w:tc>
          <w:tcPr>
            <w:tcW w:w="1440" w:type="dxa"/>
          </w:tcPr>
          <w:p w:rsidR="00F30AC6" w:rsidRPr="00F30AC6" w:rsidRDefault="00F30AC6" w:rsidP="006D69C3">
            <w:pPr>
              <w:spacing w:before="0"/>
            </w:pPr>
          </w:p>
        </w:tc>
      </w:tr>
      <w:tr w:rsidR="00556D53" w:rsidTr="00F30AC6">
        <w:tc>
          <w:tcPr>
            <w:tcW w:w="1072" w:type="dxa"/>
          </w:tcPr>
          <w:p w:rsidR="00556D53" w:rsidRDefault="00556D53" w:rsidP="006D69C3">
            <w:pPr>
              <w:spacing w:before="0"/>
            </w:pPr>
          </w:p>
        </w:tc>
        <w:tc>
          <w:tcPr>
            <w:tcW w:w="900" w:type="dxa"/>
          </w:tcPr>
          <w:p w:rsidR="00556D53" w:rsidRPr="00F30AC6" w:rsidRDefault="00556D53" w:rsidP="006D69C3">
            <w:pPr>
              <w:spacing w:before="0"/>
            </w:pPr>
          </w:p>
        </w:tc>
        <w:tc>
          <w:tcPr>
            <w:tcW w:w="1440" w:type="dxa"/>
          </w:tcPr>
          <w:p w:rsidR="00556D53" w:rsidRPr="00F30AC6" w:rsidRDefault="00556D53" w:rsidP="006D69C3">
            <w:pPr>
              <w:spacing w:before="0"/>
            </w:pPr>
          </w:p>
        </w:tc>
        <w:tc>
          <w:tcPr>
            <w:tcW w:w="1440" w:type="dxa"/>
          </w:tcPr>
          <w:p w:rsidR="00556D53" w:rsidRPr="00F30AC6" w:rsidRDefault="00556D53" w:rsidP="006D69C3">
            <w:pPr>
              <w:spacing w:before="0"/>
            </w:pPr>
          </w:p>
        </w:tc>
        <w:tc>
          <w:tcPr>
            <w:tcW w:w="1440" w:type="dxa"/>
          </w:tcPr>
          <w:p w:rsidR="00556D53" w:rsidRPr="00F30AC6" w:rsidRDefault="00556D53" w:rsidP="006D69C3">
            <w:pPr>
              <w:spacing w:before="0"/>
            </w:pPr>
          </w:p>
        </w:tc>
      </w:tr>
      <w:tr w:rsidR="00F30AC6" w:rsidTr="00F30AC6">
        <w:tc>
          <w:tcPr>
            <w:tcW w:w="1072" w:type="dxa"/>
          </w:tcPr>
          <w:p w:rsidR="00F30AC6" w:rsidRDefault="00F30AC6" w:rsidP="006D69C3">
            <w:pPr>
              <w:spacing w:before="0"/>
            </w:pPr>
            <w:r>
              <w:t>Men</w:t>
            </w:r>
          </w:p>
        </w:tc>
        <w:tc>
          <w:tcPr>
            <w:tcW w:w="900" w:type="dxa"/>
          </w:tcPr>
          <w:p w:rsidR="00F30AC6" w:rsidRDefault="00F30AC6" w:rsidP="006D69C3">
            <w:pPr>
              <w:spacing w:before="0"/>
            </w:pPr>
            <w:r w:rsidRPr="00F30AC6">
              <w:t>25-34</w:t>
            </w:r>
          </w:p>
        </w:tc>
        <w:tc>
          <w:tcPr>
            <w:tcW w:w="1440" w:type="dxa"/>
          </w:tcPr>
          <w:p w:rsidR="00F30AC6" w:rsidRDefault="00F30AC6" w:rsidP="006D69C3">
            <w:pPr>
              <w:spacing w:before="0"/>
            </w:pPr>
            <w:r w:rsidRPr="00F30AC6">
              <w:t>70.3</w:t>
            </w:r>
          </w:p>
        </w:tc>
        <w:tc>
          <w:tcPr>
            <w:tcW w:w="1440" w:type="dxa"/>
          </w:tcPr>
          <w:p w:rsidR="00F30AC6" w:rsidRDefault="00F30AC6" w:rsidP="006D69C3">
            <w:pPr>
              <w:spacing w:before="0"/>
            </w:pPr>
            <w:r w:rsidRPr="00F30AC6">
              <w:t>60.3</w:t>
            </w:r>
          </w:p>
        </w:tc>
        <w:tc>
          <w:tcPr>
            <w:tcW w:w="1440" w:type="dxa"/>
          </w:tcPr>
          <w:p w:rsidR="00F30AC6" w:rsidRDefault="00F30AC6" w:rsidP="006D69C3">
            <w:pPr>
              <w:spacing w:before="0"/>
            </w:pPr>
            <w:r w:rsidRPr="00F30AC6">
              <w:t>63.2</w:t>
            </w:r>
          </w:p>
        </w:tc>
      </w:tr>
      <w:tr w:rsidR="00F30AC6" w:rsidTr="00F30AC6">
        <w:tc>
          <w:tcPr>
            <w:tcW w:w="1072" w:type="dxa"/>
          </w:tcPr>
          <w:p w:rsidR="00F30AC6" w:rsidRDefault="00F30AC6" w:rsidP="006D69C3">
            <w:pPr>
              <w:spacing w:before="0"/>
            </w:pPr>
          </w:p>
        </w:tc>
        <w:tc>
          <w:tcPr>
            <w:tcW w:w="900" w:type="dxa"/>
          </w:tcPr>
          <w:p w:rsidR="00F30AC6" w:rsidRDefault="00F30AC6" w:rsidP="006D69C3">
            <w:pPr>
              <w:spacing w:before="0"/>
            </w:pPr>
            <w:r w:rsidRPr="00F30AC6">
              <w:t>35-44</w:t>
            </w:r>
          </w:p>
        </w:tc>
        <w:tc>
          <w:tcPr>
            <w:tcW w:w="1440" w:type="dxa"/>
          </w:tcPr>
          <w:p w:rsidR="00F30AC6" w:rsidRDefault="00F30AC6" w:rsidP="006D69C3">
            <w:pPr>
              <w:spacing w:before="0"/>
            </w:pPr>
            <w:r w:rsidRPr="00F30AC6">
              <w:t>57.9</w:t>
            </w:r>
          </w:p>
        </w:tc>
        <w:tc>
          <w:tcPr>
            <w:tcW w:w="1440" w:type="dxa"/>
          </w:tcPr>
          <w:p w:rsidR="00F30AC6" w:rsidRDefault="00F30AC6" w:rsidP="006D69C3">
            <w:pPr>
              <w:spacing w:before="0"/>
            </w:pPr>
            <w:r w:rsidRPr="00F30AC6">
              <w:t>57.9</w:t>
            </w:r>
          </w:p>
        </w:tc>
        <w:tc>
          <w:tcPr>
            <w:tcW w:w="1440" w:type="dxa"/>
          </w:tcPr>
          <w:p w:rsidR="00F30AC6" w:rsidRDefault="00F30AC6" w:rsidP="006D69C3">
            <w:pPr>
              <w:spacing w:before="0"/>
            </w:pPr>
            <w:r w:rsidRPr="00F30AC6">
              <w:t>59.7</w:t>
            </w:r>
          </w:p>
        </w:tc>
      </w:tr>
      <w:tr w:rsidR="00F30AC6" w:rsidTr="00F30AC6">
        <w:tc>
          <w:tcPr>
            <w:tcW w:w="1072" w:type="dxa"/>
          </w:tcPr>
          <w:p w:rsidR="00F30AC6" w:rsidRDefault="00F30AC6" w:rsidP="006D69C3">
            <w:pPr>
              <w:spacing w:before="0"/>
            </w:pPr>
          </w:p>
        </w:tc>
        <w:tc>
          <w:tcPr>
            <w:tcW w:w="900" w:type="dxa"/>
          </w:tcPr>
          <w:p w:rsidR="00F30AC6" w:rsidRDefault="00F30AC6" w:rsidP="006D69C3">
            <w:pPr>
              <w:spacing w:before="0"/>
            </w:pPr>
            <w:r w:rsidRPr="00F30AC6">
              <w:t>45-54</w:t>
            </w:r>
          </w:p>
        </w:tc>
        <w:tc>
          <w:tcPr>
            <w:tcW w:w="1440" w:type="dxa"/>
          </w:tcPr>
          <w:p w:rsidR="00F30AC6" w:rsidRDefault="00F30AC6" w:rsidP="006D69C3">
            <w:pPr>
              <w:spacing w:before="0"/>
            </w:pPr>
            <w:r w:rsidRPr="00F30AC6">
              <w:t>45.6</w:t>
            </w:r>
          </w:p>
        </w:tc>
        <w:tc>
          <w:tcPr>
            <w:tcW w:w="1440" w:type="dxa"/>
          </w:tcPr>
          <w:p w:rsidR="00F30AC6" w:rsidRDefault="00F30AC6" w:rsidP="006D69C3">
            <w:pPr>
              <w:spacing w:before="0"/>
            </w:pPr>
            <w:r w:rsidRPr="00F30AC6">
              <w:t>44.5</w:t>
            </w:r>
          </w:p>
        </w:tc>
        <w:tc>
          <w:tcPr>
            <w:tcW w:w="1440" w:type="dxa"/>
          </w:tcPr>
          <w:p w:rsidR="00F30AC6" w:rsidRDefault="00F30AC6" w:rsidP="006D69C3">
            <w:pPr>
              <w:spacing w:before="0"/>
            </w:pPr>
            <w:r w:rsidRPr="00F30AC6">
              <w:t>46.7</w:t>
            </w:r>
          </w:p>
        </w:tc>
      </w:tr>
      <w:tr w:rsidR="00F30AC6" w:rsidTr="00F30AC6">
        <w:tc>
          <w:tcPr>
            <w:tcW w:w="1072" w:type="dxa"/>
          </w:tcPr>
          <w:p w:rsidR="00F30AC6" w:rsidRDefault="00F30AC6" w:rsidP="006D69C3">
            <w:pPr>
              <w:spacing w:before="0"/>
            </w:pPr>
          </w:p>
        </w:tc>
        <w:tc>
          <w:tcPr>
            <w:tcW w:w="900" w:type="dxa"/>
          </w:tcPr>
          <w:p w:rsidR="00F30AC6" w:rsidRDefault="00F30AC6" w:rsidP="006D69C3">
            <w:pPr>
              <w:spacing w:before="0"/>
            </w:pPr>
            <w:r w:rsidRPr="00F30AC6">
              <w:t>55-64</w:t>
            </w:r>
          </w:p>
        </w:tc>
        <w:tc>
          <w:tcPr>
            <w:tcW w:w="1440" w:type="dxa"/>
          </w:tcPr>
          <w:p w:rsidR="00F30AC6" w:rsidRDefault="00F30AC6" w:rsidP="006D69C3">
            <w:pPr>
              <w:spacing w:before="0"/>
            </w:pPr>
            <w:r w:rsidRPr="00F30AC6">
              <w:t>36.1</w:t>
            </w:r>
          </w:p>
        </w:tc>
        <w:tc>
          <w:tcPr>
            <w:tcW w:w="1440" w:type="dxa"/>
          </w:tcPr>
          <w:p w:rsidR="00F30AC6" w:rsidRDefault="00F30AC6" w:rsidP="006D69C3">
            <w:pPr>
              <w:spacing w:before="0"/>
            </w:pPr>
            <w:r w:rsidRPr="00F30AC6">
              <w:t>38.4</w:t>
            </w:r>
          </w:p>
        </w:tc>
        <w:tc>
          <w:tcPr>
            <w:tcW w:w="1440" w:type="dxa"/>
          </w:tcPr>
          <w:p w:rsidR="00F30AC6" w:rsidRDefault="00F30AC6" w:rsidP="006D69C3">
            <w:pPr>
              <w:spacing w:before="0"/>
            </w:pPr>
            <w:r w:rsidRPr="00F30AC6">
              <w:t>34.6</w:t>
            </w:r>
          </w:p>
        </w:tc>
      </w:tr>
      <w:tr w:rsidR="00F30AC6" w:rsidTr="00F30AC6">
        <w:tc>
          <w:tcPr>
            <w:tcW w:w="1072" w:type="dxa"/>
          </w:tcPr>
          <w:p w:rsidR="00F30AC6" w:rsidRDefault="00F30AC6" w:rsidP="006D69C3">
            <w:pPr>
              <w:spacing w:before="0"/>
            </w:pPr>
          </w:p>
        </w:tc>
        <w:tc>
          <w:tcPr>
            <w:tcW w:w="900" w:type="dxa"/>
          </w:tcPr>
          <w:p w:rsidR="00F30AC6" w:rsidRDefault="00F30AC6" w:rsidP="006D69C3">
            <w:pPr>
              <w:spacing w:before="0"/>
            </w:pPr>
            <w:r w:rsidRPr="00F30AC6">
              <w:t>35-64</w:t>
            </w:r>
          </w:p>
        </w:tc>
        <w:tc>
          <w:tcPr>
            <w:tcW w:w="1440" w:type="dxa"/>
          </w:tcPr>
          <w:p w:rsidR="00F30AC6" w:rsidRDefault="00F30AC6" w:rsidP="006D69C3">
            <w:pPr>
              <w:spacing w:before="0"/>
            </w:pPr>
            <w:r w:rsidRPr="00F30AC6">
              <w:t>47.9</w:t>
            </w:r>
          </w:p>
        </w:tc>
        <w:tc>
          <w:tcPr>
            <w:tcW w:w="1440" w:type="dxa"/>
          </w:tcPr>
          <w:p w:rsidR="00F30AC6" w:rsidRDefault="00F30AC6" w:rsidP="006D69C3">
            <w:pPr>
              <w:spacing w:before="0"/>
            </w:pPr>
            <w:r w:rsidRPr="00F30AC6">
              <w:t>48.1</w:t>
            </w:r>
          </w:p>
        </w:tc>
        <w:tc>
          <w:tcPr>
            <w:tcW w:w="1440" w:type="dxa"/>
          </w:tcPr>
          <w:p w:rsidR="00F30AC6" w:rsidRDefault="00F30AC6" w:rsidP="006D69C3">
            <w:pPr>
              <w:spacing w:before="0"/>
            </w:pPr>
            <w:r w:rsidRPr="00F30AC6">
              <w:t>48.6</w:t>
            </w:r>
          </w:p>
        </w:tc>
      </w:tr>
      <w:tr w:rsidR="00F30AC6" w:rsidTr="00F30AC6">
        <w:tc>
          <w:tcPr>
            <w:tcW w:w="1072" w:type="dxa"/>
          </w:tcPr>
          <w:p w:rsidR="00F30AC6" w:rsidRDefault="00F30AC6" w:rsidP="006D69C3">
            <w:pPr>
              <w:spacing w:before="0"/>
            </w:pPr>
          </w:p>
        </w:tc>
        <w:tc>
          <w:tcPr>
            <w:tcW w:w="900" w:type="dxa"/>
          </w:tcPr>
          <w:p w:rsidR="00F30AC6" w:rsidRDefault="00F30AC6" w:rsidP="006D69C3">
            <w:pPr>
              <w:spacing w:before="0"/>
            </w:pPr>
          </w:p>
        </w:tc>
        <w:tc>
          <w:tcPr>
            <w:tcW w:w="1440" w:type="dxa"/>
          </w:tcPr>
          <w:p w:rsidR="00F30AC6" w:rsidRDefault="00F30AC6" w:rsidP="006D69C3">
            <w:pPr>
              <w:spacing w:before="0"/>
            </w:pPr>
          </w:p>
        </w:tc>
        <w:tc>
          <w:tcPr>
            <w:tcW w:w="1440" w:type="dxa"/>
          </w:tcPr>
          <w:p w:rsidR="00F30AC6" w:rsidRDefault="00F30AC6" w:rsidP="006D69C3">
            <w:pPr>
              <w:spacing w:before="0"/>
            </w:pPr>
          </w:p>
        </w:tc>
        <w:tc>
          <w:tcPr>
            <w:tcW w:w="1440" w:type="dxa"/>
          </w:tcPr>
          <w:p w:rsidR="00F30AC6" w:rsidRDefault="00F30AC6" w:rsidP="006D69C3">
            <w:pPr>
              <w:spacing w:before="0"/>
            </w:pPr>
          </w:p>
        </w:tc>
      </w:tr>
      <w:tr w:rsidR="00F30AC6" w:rsidTr="00F30AC6">
        <w:tc>
          <w:tcPr>
            <w:tcW w:w="1072" w:type="dxa"/>
          </w:tcPr>
          <w:p w:rsidR="00F30AC6" w:rsidRDefault="00F30AC6" w:rsidP="006D69C3">
            <w:pPr>
              <w:spacing w:before="0"/>
            </w:pPr>
            <w:r w:rsidRPr="00F30AC6">
              <w:t>Women</w:t>
            </w:r>
          </w:p>
        </w:tc>
        <w:tc>
          <w:tcPr>
            <w:tcW w:w="900" w:type="dxa"/>
          </w:tcPr>
          <w:p w:rsidR="00F30AC6" w:rsidRDefault="00F30AC6" w:rsidP="006D69C3">
            <w:pPr>
              <w:spacing w:before="0"/>
            </w:pPr>
            <w:r w:rsidRPr="00F30AC6">
              <w:t>25-34</w:t>
            </w:r>
          </w:p>
        </w:tc>
        <w:tc>
          <w:tcPr>
            <w:tcW w:w="1440" w:type="dxa"/>
          </w:tcPr>
          <w:p w:rsidR="00F30AC6" w:rsidRDefault="00F30AC6" w:rsidP="006D69C3">
            <w:pPr>
              <w:spacing w:before="0"/>
            </w:pPr>
            <w:r w:rsidRPr="00F30AC6">
              <w:t>48.3</w:t>
            </w:r>
          </w:p>
        </w:tc>
        <w:tc>
          <w:tcPr>
            <w:tcW w:w="1440" w:type="dxa"/>
          </w:tcPr>
          <w:p w:rsidR="00F30AC6" w:rsidRDefault="00F30AC6" w:rsidP="006D69C3">
            <w:pPr>
              <w:spacing w:before="0"/>
            </w:pPr>
            <w:r w:rsidRPr="00F30AC6">
              <w:t>48.7</w:t>
            </w:r>
          </w:p>
        </w:tc>
        <w:tc>
          <w:tcPr>
            <w:tcW w:w="1440" w:type="dxa"/>
          </w:tcPr>
          <w:p w:rsidR="00F30AC6" w:rsidRDefault="00F30AC6" w:rsidP="006D69C3">
            <w:pPr>
              <w:spacing w:before="0"/>
            </w:pPr>
            <w:r w:rsidRPr="00F30AC6">
              <w:t>49.0</w:t>
            </w:r>
          </w:p>
        </w:tc>
      </w:tr>
      <w:tr w:rsidR="00F30AC6" w:rsidTr="00F30AC6">
        <w:tc>
          <w:tcPr>
            <w:tcW w:w="1072" w:type="dxa"/>
          </w:tcPr>
          <w:p w:rsidR="00F30AC6" w:rsidRDefault="00F30AC6" w:rsidP="006D69C3">
            <w:pPr>
              <w:spacing w:before="0"/>
            </w:pPr>
          </w:p>
        </w:tc>
        <w:tc>
          <w:tcPr>
            <w:tcW w:w="900" w:type="dxa"/>
          </w:tcPr>
          <w:p w:rsidR="00F30AC6" w:rsidRDefault="00F30AC6" w:rsidP="006D69C3">
            <w:pPr>
              <w:spacing w:before="0"/>
            </w:pPr>
            <w:r w:rsidRPr="00F30AC6">
              <w:t>35-44</w:t>
            </w:r>
          </w:p>
        </w:tc>
        <w:tc>
          <w:tcPr>
            <w:tcW w:w="1440" w:type="dxa"/>
          </w:tcPr>
          <w:p w:rsidR="00F30AC6" w:rsidRDefault="00F30AC6" w:rsidP="006D69C3">
            <w:pPr>
              <w:spacing w:before="0"/>
            </w:pPr>
            <w:r w:rsidRPr="00F30AC6">
              <w:t>36.0</w:t>
            </w:r>
          </w:p>
        </w:tc>
        <w:tc>
          <w:tcPr>
            <w:tcW w:w="1440" w:type="dxa"/>
          </w:tcPr>
          <w:p w:rsidR="00F30AC6" w:rsidRDefault="00F30AC6" w:rsidP="006D69C3">
            <w:pPr>
              <w:spacing w:before="0"/>
            </w:pPr>
            <w:r w:rsidRPr="00F30AC6">
              <w:t>38.1</w:t>
            </w:r>
          </w:p>
        </w:tc>
        <w:tc>
          <w:tcPr>
            <w:tcW w:w="1440" w:type="dxa"/>
          </w:tcPr>
          <w:p w:rsidR="00F30AC6" w:rsidRDefault="00F30AC6" w:rsidP="006D69C3">
            <w:pPr>
              <w:spacing w:before="0"/>
            </w:pPr>
            <w:r w:rsidRPr="00F30AC6">
              <w:t>40.9</w:t>
            </w:r>
          </w:p>
        </w:tc>
      </w:tr>
      <w:tr w:rsidR="00F30AC6" w:rsidTr="00F30AC6">
        <w:tc>
          <w:tcPr>
            <w:tcW w:w="1072" w:type="dxa"/>
          </w:tcPr>
          <w:p w:rsidR="00F30AC6" w:rsidRDefault="00F30AC6" w:rsidP="006D69C3">
            <w:pPr>
              <w:spacing w:before="0"/>
            </w:pPr>
          </w:p>
        </w:tc>
        <w:tc>
          <w:tcPr>
            <w:tcW w:w="900" w:type="dxa"/>
          </w:tcPr>
          <w:p w:rsidR="00F30AC6" w:rsidRDefault="00F30AC6" w:rsidP="006D69C3">
            <w:pPr>
              <w:spacing w:before="0"/>
            </w:pPr>
            <w:r w:rsidRPr="00F30AC6">
              <w:t>45-54</w:t>
            </w:r>
          </w:p>
        </w:tc>
        <w:tc>
          <w:tcPr>
            <w:tcW w:w="1440" w:type="dxa"/>
          </w:tcPr>
          <w:p w:rsidR="00F30AC6" w:rsidRDefault="00F30AC6" w:rsidP="006D69C3">
            <w:pPr>
              <w:spacing w:before="0"/>
            </w:pPr>
            <w:r w:rsidRPr="00F30AC6">
              <w:t>22.2</w:t>
            </w:r>
          </w:p>
        </w:tc>
        <w:tc>
          <w:tcPr>
            <w:tcW w:w="1440" w:type="dxa"/>
          </w:tcPr>
          <w:p w:rsidR="00F30AC6" w:rsidRDefault="00F30AC6" w:rsidP="006D69C3">
            <w:pPr>
              <w:spacing w:before="0"/>
            </w:pPr>
            <w:r w:rsidRPr="00F30AC6">
              <w:t>20.8</w:t>
            </w:r>
          </w:p>
        </w:tc>
        <w:tc>
          <w:tcPr>
            <w:tcW w:w="1440" w:type="dxa"/>
          </w:tcPr>
          <w:p w:rsidR="00F30AC6" w:rsidRDefault="00F30AC6" w:rsidP="006D69C3">
            <w:pPr>
              <w:spacing w:before="0"/>
            </w:pPr>
            <w:r w:rsidRPr="00F30AC6">
              <w:t>27.0</w:t>
            </w:r>
          </w:p>
        </w:tc>
      </w:tr>
      <w:tr w:rsidR="00F30AC6" w:rsidTr="00F30AC6">
        <w:tc>
          <w:tcPr>
            <w:tcW w:w="1072" w:type="dxa"/>
          </w:tcPr>
          <w:p w:rsidR="00F30AC6" w:rsidRDefault="00F30AC6" w:rsidP="006D69C3">
            <w:pPr>
              <w:spacing w:before="0"/>
            </w:pPr>
          </w:p>
        </w:tc>
        <w:tc>
          <w:tcPr>
            <w:tcW w:w="900" w:type="dxa"/>
          </w:tcPr>
          <w:p w:rsidR="00F30AC6" w:rsidRDefault="00F30AC6" w:rsidP="006D69C3">
            <w:pPr>
              <w:spacing w:before="0"/>
            </w:pPr>
            <w:r w:rsidRPr="00F30AC6">
              <w:t>55-64</w:t>
            </w:r>
          </w:p>
        </w:tc>
        <w:tc>
          <w:tcPr>
            <w:tcW w:w="1440" w:type="dxa"/>
          </w:tcPr>
          <w:p w:rsidR="00F30AC6" w:rsidRDefault="00F30AC6" w:rsidP="006D69C3">
            <w:pPr>
              <w:spacing w:before="0"/>
            </w:pPr>
            <w:r w:rsidRPr="00F30AC6">
              <w:t>16.6</w:t>
            </w:r>
          </w:p>
        </w:tc>
        <w:tc>
          <w:tcPr>
            <w:tcW w:w="1440" w:type="dxa"/>
          </w:tcPr>
          <w:p w:rsidR="00F30AC6" w:rsidRDefault="00F30AC6" w:rsidP="006D69C3">
            <w:pPr>
              <w:spacing w:before="0"/>
            </w:pPr>
            <w:r w:rsidRPr="00F30AC6">
              <w:t>11.7</w:t>
            </w:r>
          </w:p>
        </w:tc>
        <w:tc>
          <w:tcPr>
            <w:tcW w:w="1440" w:type="dxa"/>
          </w:tcPr>
          <w:p w:rsidR="00F30AC6" w:rsidRDefault="00F30AC6" w:rsidP="006D69C3">
            <w:pPr>
              <w:spacing w:before="0"/>
            </w:pPr>
            <w:r w:rsidRPr="00F30AC6">
              <w:t>16.9</w:t>
            </w:r>
          </w:p>
        </w:tc>
      </w:tr>
      <w:tr w:rsidR="00F30AC6" w:rsidTr="00F30AC6">
        <w:tc>
          <w:tcPr>
            <w:tcW w:w="1072" w:type="dxa"/>
          </w:tcPr>
          <w:p w:rsidR="00F30AC6" w:rsidRDefault="00F30AC6" w:rsidP="006D69C3">
            <w:pPr>
              <w:spacing w:before="0"/>
            </w:pPr>
          </w:p>
        </w:tc>
        <w:tc>
          <w:tcPr>
            <w:tcW w:w="900" w:type="dxa"/>
          </w:tcPr>
          <w:p w:rsidR="00F30AC6" w:rsidRDefault="00F30AC6" w:rsidP="006D69C3">
            <w:pPr>
              <w:spacing w:before="0"/>
            </w:pPr>
            <w:r w:rsidRPr="00F30AC6">
              <w:t>35-64</w:t>
            </w:r>
          </w:p>
        </w:tc>
        <w:tc>
          <w:tcPr>
            <w:tcW w:w="1440" w:type="dxa"/>
          </w:tcPr>
          <w:p w:rsidR="00F30AC6" w:rsidRDefault="00F30AC6" w:rsidP="006D69C3">
            <w:pPr>
              <w:spacing w:before="0"/>
            </w:pPr>
            <w:r w:rsidRPr="00F30AC6">
              <w:t>26.1</w:t>
            </w:r>
          </w:p>
        </w:tc>
        <w:tc>
          <w:tcPr>
            <w:tcW w:w="1440" w:type="dxa"/>
          </w:tcPr>
          <w:p w:rsidR="00F30AC6" w:rsidRDefault="00F30AC6" w:rsidP="006D69C3">
            <w:pPr>
              <w:spacing w:before="0"/>
            </w:pPr>
            <w:r w:rsidRPr="00F30AC6">
              <w:t>25.1</w:t>
            </w:r>
          </w:p>
        </w:tc>
        <w:tc>
          <w:tcPr>
            <w:tcW w:w="1440" w:type="dxa"/>
          </w:tcPr>
          <w:p w:rsidR="00F30AC6" w:rsidRDefault="00F30AC6" w:rsidP="006D69C3">
            <w:pPr>
              <w:spacing w:before="0"/>
            </w:pPr>
            <w:r w:rsidRPr="00F30AC6">
              <w:t>29.8</w:t>
            </w:r>
          </w:p>
        </w:tc>
      </w:tr>
    </w:tbl>
    <w:p w:rsidR="00C130F7" w:rsidRDefault="00C130F7" w:rsidP="009E6991">
      <w:r>
        <w:t xml:space="preserve">As the MONICA </w:t>
      </w:r>
      <w:r w:rsidR="009135CD">
        <w:t xml:space="preserve">results </w:t>
      </w:r>
      <w:r>
        <w:t xml:space="preserve">show, the prevalence of daily smoking was very high in both men and women, did not have any trend to decrease, and was the highest in the youngest groups. As the same project shows, </w:t>
      </w:r>
      <w:r w:rsidR="009E6991">
        <w:t xml:space="preserve">the </w:t>
      </w:r>
      <w:r>
        <w:lastRenderedPageBreak/>
        <w:t>average number of cigarettes smoked per day was also very high at the level of 24 cigarettes for men and 18 cigarettes for women.</w:t>
      </w:r>
    </w:p>
    <w:p w:rsidR="00064433" w:rsidRDefault="00052C5E" w:rsidP="009A51AE">
      <w:r>
        <w:t xml:space="preserve">It is believed </w:t>
      </w:r>
      <w:r w:rsidR="008A4F57">
        <w:fldChar w:fldCharType="begin"/>
      </w:r>
      <w:r w:rsidR="009A51AE">
        <w:instrText xml:space="preserve"> ADDIN EN.CITE &lt;EndNote&gt;&lt;Cite&gt;&lt;Author&gt;Zizic-Borjanovic&lt;/Author&gt;&lt;Year&gt;2007&lt;/Year&gt;&lt;RecNum&gt;4681&lt;/RecNum&gt;&lt;DisplayText&gt;[2]&lt;/DisplayText&gt;&lt;record&gt;&lt;rec-number&gt;4681&lt;/rec-number&gt;&lt;foreign-keys&gt;&lt;key app="EN" db-id="ep9zdt9a8tdpsseaptvpd555505tfr02pr2e" timestamp="1494080931"&gt;4681&lt;/key&gt;&lt;/foreign-keys&gt;&lt;ref-type name="Journal Article"&gt;17&lt;/ref-type&gt;&lt;contributors&gt;&lt;authors&gt;&lt;author&gt;Zizic-Borjanovic, S.&lt;/author&gt;&lt;author&gt;Jerinic, M.&lt;/author&gt;&lt;author&gt;Igic, R.&lt;/author&gt;&lt;/authors&gt;&lt;/contributors&gt;&lt;auth-address&gt;Institute of Public Health of Serbia Dr. Milan Jovanovic Batut, Belgrade, Serbia.&lt;/auth-address&gt;&lt;titles&gt;&lt;title&gt;Twenty five years of antismoking movement started by medical students: some further goals&lt;/title&gt;&lt;secondary-title&gt;J buon&lt;/secondary-title&gt;&lt;alt-title&gt;Journal of B.U.ON. : official journal of the Balkan Union of Oncology&lt;/alt-title&gt;&lt;/titles&gt;&lt;periodical&gt;&lt;full-title&gt;J buon&lt;/full-title&gt;&lt;abbr-1&gt;Journal of B.U.ON. : official journal of the Balkan Union of Oncology&lt;/abbr-1&gt;&lt;/periodical&gt;&lt;alt-periodical&gt;&lt;full-title&gt;J buon&lt;/full-title&gt;&lt;abbr-1&gt;Journal of B.U.ON. : official journal of the Balkan Union of Oncology&lt;/abbr-1&gt;&lt;/alt-periodical&gt;&lt;pages&gt;181-4&lt;/pages&gt;&lt;volume&gt;12&lt;/volume&gt;&lt;number&gt;2&lt;/number&gt;&lt;edition&gt;2007/06/30&lt;/edition&gt;&lt;keywords&gt;&lt;keyword&gt;Advertising as Topic&lt;/keyword&gt;&lt;keyword&gt;Attitude to Health&lt;/keyword&gt;&lt;keyword&gt;Counseling&lt;/keyword&gt;&lt;keyword&gt;Europe&lt;/keyword&gt;&lt;keyword&gt;Health Behavior&lt;/keyword&gt;&lt;keyword&gt;*Health Promotion&lt;/keyword&gt;&lt;keyword&gt;Humans&lt;/keyword&gt;&lt;keyword&gt;*Physician&amp;apos;s Role&lt;/keyword&gt;&lt;keyword&gt;*Smoking Cessation&lt;/keyword&gt;&lt;keyword&gt;*Students, Medical&lt;/keyword&gt;&lt;keyword&gt;Tobacco Use Disorder/prevention &amp;amp; control&lt;/keyword&gt;&lt;keyword&gt;Yugoslavia&lt;/keyword&gt;&lt;/keywords&gt;&lt;dates&gt;&lt;year&gt;2007&lt;/year&gt;&lt;pub-dates&gt;&lt;date&gt;Apr-Jun&lt;/date&gt;&lt;/pub-dates&gt;&lt;/dates&gt;&lt;isbn&gt;1107-0625 (Print)&amp;#xD;1107-0625&lt;/isbn&gt;&lt;accession-num&gt;17600869&lt;/accession-num&gt;&lt;urls&gt;&lt;/urls&gt;&lt;remote-database-provider&gt;NLM&lt;/remote-database-provider&gt;&lt;language&gt;eng&lt;/language&gt;&lt;/record&gt;&lt;/Cite&gt;&lt;/EndNote&gt;</w:instrText>
      </w:r>
      <w:r w:rsidR="008A4F57">
        <w:fldChar w:fldCharType="separate"/>
      </w:r>
      <w:r w:rsidR="009A51AE">
        <w:rPr>
          <w:noProof/>
        </w:rPr>
        <w:t>[2]</w:t>
      </w:r>
      <w:r w:rsidR="008A4F57">
        <w:fldChar w:fldCharType="end"/>
      </w:r>
      <w:r>
        <w:t xml:space="preserve"> that </w:t>
      </w:r>
      <w:r w:rsidRPr="00064433">
        <w:t xml:space="preserve">at </w:t>
      </w:r>
      <w:r w:rsidR="00064433" w:rsidRPr="00064433">
        <w:t xml:space="preserve">the time of the civil war in several Yugoslav republics, more citizens, including children and youth, started </w:t>
      </w:r>
      <w:r w:rsidR="00064433">
        <w:t>to smoke than in previous years</w:t>
      </w:r>
      <w:r w:rsidR="00064433" w:rsidRPr="00064433">
        <w:t>.</w:t>
      </w:r>
      <w:r>
        <w:t xml:space="preserve"> However, this opinion is not supported by the survey data and can be questioned</w:t>
      </w:r>
      <w:r w:rsidR="00F25B0A">
        <w:t>,</w:t>
      </w:r>
      <w:r>
        <w:t xml:space="preserve"> especially as the later </w:t>
      </w:r>
      <w:r w:rsidR="00F25B0A">
        <w:t xml:space="preserve">results </w:t>
      </w:r>
      <w:r>
        <w:t>show lower prevalence at least among men.</w:t>
      </w:r>
    </w:p>
    <w:p w:rsidR="002E12A9" w:rsidRPr="00064433" w:rsidRDefault="00780B06" w:rsidP="00F25B0A">
      <w:r>
        <w:t xml:space="preserve">The </w:t>
      </w:r>
      <w:r w:rsidR="002E12A9" w:rsidRPr="002E12A9">
        <w:t xml:space="preserve">National </w:t>
      </w:r>
      <w:r w:rsidRPr="002E12A9">
        <w:t xml:space="preserve">Tobacco Control </w:t>
      </w:r>
      <w:r w:rsidR="002E12A9" w:rsidRPr="002E12A9">
        <w:t xml:space="preserve">Coordinator </w:t>
      </w:r>
      <w:r w:rsidR="00254701" w:rsidRPr="002E12A9">
        <w:t>Prof</w:t>
      </w:r>
      <w:r w:rsidR="002E12A9" w:rsidRPr="002E12A9">
        <w:t>. Agim</w:t>
      </w:r>
      <w:r w:rsidR="002E12A9">
        <w:t>a</w:t>
      </w:r>
      <w:r w:rsidR="002E12A9" w:rsidRPr="002E12A9">
        <w:t xml:space="preserve"> Ljaljević </w:t>
      </w:r>
      <w:r w:rsidR="002E12A9">
        <w:t>informed in the media interview</w:t>
      </w:r>
      <w:r>
        <w:rPr>
          <w:rStyle w:val="a8"/>
        </w:rPr>
        <w:footnoteReference w:id="1"/>
      </w:r>
      <w:r w:rsidR="002E12A9">
        <w:t xml:space="preserve"> </w:t>
      </w:r>
      <w:r>
        <w:t>that</w:t>
      </w:r>
      <w:r w:rsidR="00F25B0A">
        <w:t>,</w:t>
      </w:r>
      <w:r>
        <w:t xml:space="preserve"> </w:t>
      </w:r>
      <w:r w:rsidR="002E12A9">
        <w:t xml:space="preserve">according to the Living Standards Measurement Survey (LSMS), </w:t>
      </w:r>
      <w:r w:rsidR="00F25B0A">
        <w:t xml:space="preserve">the prevalence of </w:t>
      </w:r>
      <w:r>
        <w:t xml:space="preserve">smoking </w:t>
      </w:r>
      <w:r w:rsidR="002E12A9">
        <w:t xml:space="preserve">in Montenegro </w:t>
      </w:r>
      <w:r>
        <w:t>w</w:t>
      </w:r>
      <w:r w:rsidR="002E12A9">
        <w:t>as 41.9</w:t>
      </w:r>
      <w:r>
        <w:t xml:space="preserve">% in 2004, but it decreased to </w:t>
      </w:r>
      <w:r w:rsidR="002E12A9">
        <w:t>32.8</w:t>
      </w:r>
      <w:r>
        <w:t>% in 2008</w:t>
      </w:r>
      <w:r w:rsidR="009B6FA3">
        <w:t xml:space="preserve"> (by 9 percentage points</w:t>
      </w:r>
      <w:r w:rsidR="00F25B0A">
        <w:t>,</w:t>
      </w:r>
      <w:r w:rsidR="009B6FA3">
        <w:t xml:space="preserve"> or by 22%)</w:t>
      </w:r>
      <w:r>
        <w:t>.</w:t>
      </w:r>
    </w:p>
    <w:p w:rsidR="00052C5E" w:rsidRDefault="00052C5E" w:rsidP="009A51AE">
      <w:r>
        <w:t xml:space="preserve">According to the country FCTC report, the most recent adult (20 years and older) surveys (the National Health Survey) were conducted in 2012 and 2008. The </w:t>
      </w:r>
      <w:r w:rsidR="00F25B0A">
        <w:t xml:space="preserve">prevalence of </w:t>
      </w:r>
      <w:r>
        <w:t>current smoking decreased from 32.</w:t>
      </w:r>
      <w:r w:rsidR="009B6FA3">
        <w:t>8</w:t>
      </w:r>
      <w:r>
        <w:t xml:space="preserve">% in 2008 to 31% (35% among men and 27% among women) in 2012 </w:t>
      </w:r>
      <w:r w:rsidR="008A4F57">
        <w:fldChar w:fldCharType="begin"/>
      </w:r>
      <w:r w:rsidR="009A51AE">
        <w:instrText xml:space="preserve"> ADDIN EN.CITE &lt;EndNote&gt;&lt;Cite&gt;&lt;Year&gt;2016&lt;/Year&gt;&lt;RecNum&gt;4686&lt;/RecNum&gt;&lt;DisplayText&gt;[3, 4]&lt;/DisplayText&gt;&lt;record&gt;&lt;rec-number&gt;4686&lt;/rec-number&gt;&lt;foreign-keys&gt;&lt;key app="EN" db-id="ep9zdt9a8tdpsseaptvpd555505tfr02pr2e" timestamp="1494501074"&gt;4686&lt;/key&gt;&lt;/foreign-keys&gt;&lt;ref-type name="Web Page"&gt;12&lt;/ref-type&gt;&lt;contributors&gt;&lt;/contributors&gt;&lt;titles&gt;&lt;title&gt;Montenegro. Health impact of tobacco control policies in line with the WHO Framework Convention on Tobacco Control (WHO FCTC)&lt;/title&gt;&lt;secondary-title&gt;Tobacco Control Fact Sheet&lt;/secondary-title&gt;&lt;/titles&gt;&lt;dates&gt;&lt;year&gt;2016&lt;/year&gt;&lt;/dates&gt;&lt;publisher&gt;World Health Organization&lt;/publisher&gt;&lt;urls&gt;&lt;related-urls&gt;&lt;url&gt;http://www.euro.who.int/__data/assets/pdf_file/0005/312593/Tobacco-control-fact-sheet-Montenegro.pdf&lt;/url&gt;&lt;/related-urls&gt;&lt;/urls&gt;&lt;/record&gt;&lt;/Cite&gt;&lt;Cite&gt;&lt;Year&gt;2015&lt;/Year&gt;&lt;RecNum&gt;4687&lt;/RecNum&gt;&lt;record&gt;&lt;rec-number&gt;4687&lt;/rec-number&gt;&lt;foreign-keys&gt;&lt;key app="EN" db-id="ep9zdt9a8tdpsseaptvpd555505tfr02pr2e" timestamp="1494501650"&gt;4687&lt;/key&gt;&lt;/foreign-keys&gt;&lt;ref-type name="Web Page"&gt;12&lt;/ref-type&gt;&lt;contributors&gt;&lt;/contributors&gt;&lt;titles&gt;&lt;title&gt;WHO Report on the Global Tobacco Epidemic, Country profile: Montenegro&lt;/title&gt;&lt;/titles&gt;&lt;dates&gt;&lt;year&gt;2015&lt;/year&gt;&lt;/dates&gt;&lt;publisher&gt;World Health Organization&lt;/publisher&gt;&lt;urls&gt;&lt;related-urls&gt;&lt;url&gt;http://www.who.int/tobacco/surveillance/policy/country_profile/mne.pdf&lt;/url&gt;&lt;/related-urls&gt;&lt;/urls&gt;&lt;/record&gt;&lt;/Cite&gt;&lt;/EndNote&gt;</w:instrText>
      </w:r>
      <w:r w:rsidR="008A4F57">
        <w:fldChar w:fldCharType="separate"/>
      </w:r>
      <w:r w:rsidR="009A51AE">
        <w:rPr>
          <w:noProof/>
        </w:rPr>
        <w:t>[3, 4]</w:t>
      </w:r>
      <w:r w:rsidR="008A4F57">
        <w:fldChar w:fldCharType="end"/>
      </w:r>
      <w:r>
        <w:t>.</w:t>
      </w:r>
    </w:p>
    <w:p w:rsidR="00E71FD8" w:rsidRDefault="00052C5E" w:rsidP="00502EF5">
      <w:r>
        <w:t xml:space="preserve">In 2012-2008, the prevalence of smoking mainly declined in the younger </w:t>
      </w:r>
      <w:r w:rsidR="00E94C0A">
        <w:t xml:space="preserve">adult </w:t>
      </w:r>
      <w:r>
        <w:t>age groups: in the age group 20-34</w:t>
      </w:r>
      <w:r w:rsidR="00254701">
        <w:t>,</w:t>
      </w:r>
      <w:r>
        <w:t xml:space="preserve"> it decreased from 29.6% to 26%</w:t>
      </w:r>
      <w:r w:rsidR="00F25B0A">
        <w:t>,</w:t>
      </w:r>
      <w:r>
        <w:t xml:space="preserve"> and in the age group 35-44</w:t>
      </w:r>
      <w:r w:rsidR="00254701">
        <w:t xml:space="preserve">, </w:t>
      </w:r>
      <w:r>
        <w:t>from 40.3% to 37%, while current smoking rates increased in the age groups 45-54 and 55-64 years old.</w:t>
      </w:r>
    </w:p>
    <w:p w:rsidR="0005609C" w:rsidRDefault="0005609C" w:rsidP="00EF765F">
      <w:r>
        <w:t xml:space="preserve">According to the </w:t>
      </w:r>
      <w:r w:rsidRPr="0005609C">
        <w:t>General Population Survey on S</w:t>
      </w:r>
      <w:r>
        <w:t>ubstance Use in Montenegro</w:t>
      </w:r>
      <w:r>
        <w:rPr>
          <w:rStyle w:val="a8"/>
        </w:rPr>
        <w:footnoteReference w:id="2"/>
      </w:r>
      <w:r w:rsidR="00F25B0A">
        <w:t>,</w:t>
      </w:r>
      <w:r>
        <w:t xml:space="preserve"> in 2017</w:t>
      </w:r>
      <w:r w:rsidR="00F25B0A">
        <w:t>,</w:t>
      </w:r>
      <w:r>
        <w:t xml:space="preserve"> more than a third (35.4%) of all adults (aged 15-64 years old)</w:t>
      </w:r>
      <w:r w:rsidR="00F25B0A">
        <w:t xml:space="preserve"> </w:t>
      </w:r>
      <w:r>
        <w:t xml:space="preserve">reported current smoking. </w:t>
      </w:r>
      <w:r w:rsidR="00EF765F">
        <w:t xml:space="preserve">Among all adults, </w:t>
      </w:r>
      <w:r>
        <w:t>17.1% smoked at some point in their lifetime and quitted smoking later on</w:t>
      </w:r>
      <w:r w:rsidR="00EF765F">
        <w:t xml:space="preserve">; </w:t>
      </w:r>
      <w:r>
        <w:t>47.6% of respondents reported abstinence from smoking throughout the lifetime. In the subpopulation of young adults</w:t>
      </w:r>
      <w:r w:rsidR="00EF765F">
        <w:t xml:space="preserve"> </w:t>
      </w:r>
      <w:r>
        <w:t xml:space="preserve">(aged 15-34 years), one in four (25.5%) reported current smoking, 13% reported quitting smoking, while </w:t>
      </w:r>
      <w:r w:rsidR="00EF765F">
        <w:t xml:space="preserve">the </w:t>
      </w:r>
      <w:r>
        <w:t>majority of respondents in this subpopulation never smoked (61.4%). Almost one in five young respondents aged 15</w:t>
      </w:r>
      <w:r w:rsidR="00EF765F">
        <w:t>-</w:t>
      </w:r>
      <w:r>
        <w:t xml:space="preserve">24 </w:t>
      </w:r>
      <w:r w:rsidR="00EF765F">
        <w:t xml:space="preserve">were </w:t>
      </w:r>
      <w:r>
        <w:t>active smoke</w:t>
      </w:r>
      <w:r w:rsidR="00EF765F">
        <w:t>rs</w:t>
      </w:r>
      <w:r>
        <w:t xml:space="preserve"> (18.7%). Almost one in ten of them quitted smoking (10.3%)</w:t>
      </w:r>
      <w:r w:rsidR="00EF765F">
        <w:t>, and</w:t>
      </w:r>
      <w:r>
        <w:t xml:space="preserve"> 71% of young respondents never smoked by the age of 24.</w:t>
      </w:r>
    </w:p>
    <w:p w:rsidR="0005609C" w:rsidRDefault="00EF765F" w:rsidP="00EF765F">
      <w:r>
        <w:t xml:space="preserve">By gender, the prevalence of current smoking is </w:t>
      </w:r>
      <w:r w:rsidR="0005609C">
        <w:t xml:space="preserve">36.2% </w:t>
      </w:r>
      <w:r>
        <w:t xml:space="preserve">among </w:t>
      </w:r>
      <w:r w:rsidR="0005609C">
        <w:t xml:space="preserve">adult men </w:t>
      </w:r>
      <w:r>
        <w:t xml:space="preserve">and </w:t>
      </w:r>
      <w:r w:rsidR="0005609C">
        <w:t xml:space="preserve">34.5% </w:t>
      </w:r>
      <w:r>
        <w:t>among women</w:t>
      </w:r>
      <w:r w:rsidR="0005609C">
        <w:t>. Slightly more m</w:t>
      </w:r>
      <w:r>
        <w:t xml:space="preserve">en </w:t>
      </w:r>
      <w:r w:rsidR="0005609C">
        <w:t xml:space="preserve">than </w:t>
      </w:r>
      <w:r>
        <w:t xml:space="preserve">women are former smokers </w:t>
      </w:r>
      <w:r w:rsidR="0005609C">
        <w:t>(17.5% vs. 16.6%)</w:t>
      </w:r>
      <w:r>
        <w:t>. Likewise</w:t>
      </w:r>
      <w:r w:rsidR="0005609C">
        <w:t xml:space="preserve">, slightly more </w:t>
      </w:r>
      <w:r>
        <w:t xml:space="preserve">women </w:t>
      </w:r>
      <w:r w:rsidR="0005609C">
        <w:t xml:space="preserve">than </w:t>
      </w:r>
      <w:r>
        <w:t xml:space="preserve">men </w:t>
      </w:r>
      <w:r w:rsidR="0005609C">
        <w:t>abstained from smoking throughout the</w:t>
      </w:r>
      <w:r>
        <w:t>ir</w:t>
      </w:r>
      <w:r w:rsidR="0005609C">
        <w:t xml:space="preserve"> lifetime (48.9% </w:t>
      </w:r>
      <w:r>
        <w:t xml:space="preserve">of women </w:t>
      </w:r>
      <w:r w:rsidR="0005609C">
        <w:t xml:space="preserve">vs. 46.3% of </w:t>
      </w:r>
      <w:r>
        <w:t>men</w:t>
      </w:r>
      <w:r w:rsidR="0005609C">
        <w:t>).</w:t>
      </w:r>
    </w:p>
    <w:p w:rsidR="00DF5B47" w:rsidRDefault="00DF5B47" w:rsidP="00502EF5">
      <w:pPr>
        <w:pStyle w:val="3"/>
      </w:pPr>
      <w:bookmarkStart w:id="18" w:name="_Toc482360285"/>
      <w:bookmarkStart w:id="19" w:name="_Toc12207114"/>
      <w:r>
        <w:t>Tobacco use among adolescents</w:t>
      </w:r>
      <w:bookmarkEnd w:id="18"/>
      <w:bookmarkEnd w:id="19"/>
    </w:p>
    <w:p w:rsidR="001F1771" w:rsidRDefault="009D24AD" w:rsidP="009A51AE">
      <w:r>
        <w:t>According to the Global Youth Tobacco Survey</w:t>
      </w:r>
      <w:r w:rsidR="00093634">
        <w:t xml:space="preserve"> (GYTS), Montenegro is generally classified as a country with low prevalence of smoking </w:t>
      </w:r>
      <w:r w:rsidR="008A4F57">
        <w:fldChar w:fldCharType="begin">
          <w:fldData xml:space="preserve">PEVuZE5vdGU+PENpdGU+PEF1dGhvcj5SZWlkcGF0aDwvQXV0aG9yPjxZZWFyPjIwMTM8L1llYXI+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</w:fldData>
        </w:fldChar>
      </w:r>
      <w:r w:rsidR="009A51AE">
        <w:instrText xml:space="preserve"> ADDIN EN.CITE </w:instrText>
      </w:r>
      <w:r w:rsidR="008A4F57">
        <w:fldChar w:fldCharType="begin">
          <w:fldData xml:space="preserve">PEVuZE5vdGU+PENpdGU+PEF1dGhvcj5SZWlkcGF0aDwvQXV0aG9yPjxZZWFyPjIwMTM8L1llYXI+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</w:fldData>
        </w:fldChar>
      </w:r>
      <w:r w:rsidR="009A51AE">
        <w:instrText xml:space="preserve"> ADDIN EN.CITE.DATA </w:instrText>
      </w:r>
      <w:r w:rsidR="008A4F57">
        <w:fldChar w:fldCharType="end"/>
      </w:r>
      <w:r w:rsidR="008A4F57">
        <w:fldChar w:fldCharType="separate"/>
      </w:r>
      <w:r w:rsidR="009A51AE">
        <w:rPr>
          <w:noProof/>
        </w:rPr>
        <w:t>[5]</w:t>
      </w:r>
      <w:r w:rsidR="008A4F57">
        <w:fldChar w:fldCharType="end"/>
      </w:r>
      <w:r w:rsidR="00093634">
        <w:t xml:space="preserve">. </w:t>
      </w:r>
    </w:p>
    <w:p w:rsidR="001F1771" w:rsidRDefault="001F1771" w:rsidP="009A51AE">
      <w:r>
        <w:t xml:space="preserve">The first GYTS conducted in Montenegro in 2003 </w:t>
      </w:r>
      <w:r w:rsidR="008A4F57">
        <w:fldChar w:fldCharType="begin">
          <w:fldData xml:space="preserve">PEVuZE5vdGU+PENpdGU+PEF1dGhvcj5MamFsamV2aWM8L0F1dGhvcj48WWVhcj4yMDA4PC9ZZWFy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</w:fldData>
        </w:fldChar>
      </w:r>
      <w:r w:rsidR="009A51AE">
        <w:instrText xml:space="preserve"> ADDIN EN.CITE </w:instrText>
      </w:r>
      <w:r w:rsidR="008A4F57">
        <w:fldChar w:fldCharType="begin">
          <w:fldData xml:space="preserve">PEVuZE5vdGU+PENpdGU+PEF1dGhvcj5MamFsamV2aWM8L0F1dGhvcj48WWVhcj4yMDA4PC9ZZWFy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</w:fldData>
        </w:fldChar>
      </w:r>
      <w:r w:rsidR="009A51AE">
        <w:instrText xml:space="preserve"> ADDIN EN.CITE.DATA </w:instrText>
      </w:r>
      <w:r w:rsidR="008A4F57">
        <w:fldChar w:fldCharType="end"/>
      </w:r>
      <w:r w:rsidR="008A4F57">
        <w:fldChar w:fldCharType="separate"/>
      </w:r>
      <w:r w:rsidR="009A51AE">
        <w:rPr>
          <w:noProof/>
        </w:rPr>
        <w:t>[6, 7]</w:t>
      </w:r>
      <w:r w:rsidR="008A4F57">
        <w:fldChar w:fldCharType="end"/>
      </w:r>
      <w:r w:rsidR="00F12046" w:rsidRPr="00F12046">
        <w:t xml:space="preserve"> </w:t>
      </w:r>
      <w:r w:rsidR="00F12046">
        <w:t xml:space="preserve">showed that </w:t>
      </w:r>
      <w:r w:rsidR="00212F8E">
        <w:t>"</w:t>
      </w:r>
      <w:r w:rsidR="00F12046" w:rsidRPr="00F12046">
        <w:t xml:space="preserve">3.6% </w:t>
      </w:r>
      <w:r w:rsidR="00F12046">
        <w:t xml:space="preserve">of adolescents were current </w:t>
      </w:r>
      <w:r w:rsidR="00F12046" w:rsidRPr="00F12046">
        <w:t>smokers and one in three students (30.6%) experimented with smoking. More than two thirds who smoked agreed that they should quit smoking, and three</w:t>
      </w:r>
      <w:r w:rsidR="00834B26">
        <w:t>-</w:t>
      </w:r>
      <w:r w:rsidR="00F12046" w:rsidRPr="00F12046">
        <w:t>fourths tried to quit. This study has also shown that children are exposed to passive smoking at home and elsewhere</w:t>
      </w:r>
      <w:r w:rsidR="00212F8E">
        <w:t>"</w:t>
      </w:r>
      <w:r w:rsidR="00F12046" w:rsidRPr="00F12046">
        <w:t xml:space="preserve">. </w:t>
      </w:r>
      <w:r w:rsidR="00212F8E">
        <w:t xml:space="preserve">Another analysis based on this same data </w:t>
      </w:r>
      <w:r w:rsidR="008A4F57">
        <w:lastRenderedPageBreak/>
        <w:fldChar w:fldCharType="begin"/>
      </w:r>
      <w:r w:rsidR="009A51AE">
        <w:instrText xml:space="preserve"> ADDIN EN.CITE &lt;EndNote&gt;&lt;Cite&gt;&lt;Author&gt;Baska&lt;/Author&gt;&lt;Year&gt;2009&lt;/Year&gt;&lt;RecNum&gt;4683&lt;/RecNum&gt;&lt;DisplayText&gt;[8]&lt;/DisplayText&gt;&lt;record&gt;&lt;rec-number&gt;4683&lt;/rec-number&gt;&lt;foreign-keys&gt;&lt;key app="EN" db-id="ep9zdt9a8tdpsseaptvpd555505tfr02pr2e" timestamp="1494143358"&gt;4683&lt;/key&gt;&lt;/foreign-keys&gt;&lt;ref-type name="Journal Article"&gt;17&lt;/ref-type&gt;&lt;contributors&gt;&lt;authors&gt;&lt;author&gt;Baska, T.&lt;/author&gt;&lt;author&gt;Warren, C. W.&lt;/author&gt;&lt;author&gt;Baskova, M.&lt;/author&gt;&lt;author&gt;Jones, N. R.&lt;/author&gt;&lt;/authors&gt;&lt;/contributors&gt;&lt;auth-address&gt;Department of Epidemiology, Institute of Public Health, Jessenius Faculty of Medicine, Comenius University, Sklabinska 26, 037 53 Martin, Slovakia. baska@jfmed.uniba.sk&lt;/auth-address&gt;&lt;titles&gt;&lt;title&gt;Prevalence of youth cigarette smoking and selected social factors in 25 European countries: findings from the Global Youth Tobacco Survey&lt;/title&gt;&lt;secondary-title&gt;Int J Public Health&lt;/secondary-title&gt;&lt;alt-title&gt;International journal of public health&lt;/alt-title&gt;&lt;/titles&gt;&lt;periodical&gt;&lt;full-title&gt;Int J Public Health&lt;/full-title&gt;&lt;/periodical&gt;&lt;alt-periodical&gt;&lt;full-title&gt;International Journal of Public Health&lt;/full-title&gt;&lt;/alt-periodical&gt;&lt;pages&gt;439-45&lt;/pages&gt;&lt;volume&gt;54&lt;/volume&gt;&lt;number&gt;6&lt;/number&gt;&lt;edition&gt;2009/08/15&lt;/edition&gt;&lt;keywords&gt;&lt;keyword&gt;Adolescent&lt;/keyword&gt;&lt;keyword&gt;Advertising as Topic&lt;/keyword&gt;&lt;keyword&gt;Europe/epidemiology&lt;/keyword&gt;&lt;keyword&gt;Female&lt;/keyword&gt;&lt;keyword&gt;Health Surveys&lt;/keyword&gt;&lt;keyword&gt;Humans&lt;/keyword&gt;&lt;keyword&gt;Male&lt;/keyword&gt;&lt;keyword&gt;Smoking/*epidemiology&lt;/keyword&gt;&lt;keyword&gt;*Social Environment&lt;/keyword&gt;&lt;keyword&gt;Tobacco Smoke Pollution&lt;/keyword&gt;&lt;/keywords&gt;&lt;dates&gt;&lt;year&gt;2009&lt;/year&gt;&lt;/dates&gt;&lt;isbn&gt;1661-8556&lt;/isbn&gt;&lt;accession-num&gt;19680601&lt;/accession-num&gt;&lt;urls&gt;&lt;related-urls&gt;&lt;url&gt;http://link.springer.com/article/10.1007%2Fs00038-009-0051-9&lt;/url&gt;&lt;/related-urls&gt;&lt;/urls&gt;&lt;electronic-resource-num&gt;10.1007/s00038-009-0051-9&lt;/electronic-resource-num&gt;&lt;remote-database-provider&gt;NLM&lt;/remote-database-provider&gt;&lt;language&gt;eng&lt;/language&gt;&lt;/record&gt;&lt;/Cite&gt;&lt;/EndNote&gt;</w:instrText>
      </w:r>
      <w:r w:rsidR="008A4F57">
        <w:fldChar w:fldCharType="separate"/>
      </w:r>
      <w:r w:rsidR="009A51AE">
        <w:rPr>
          <w:noProof/>
        </w:rPr>
        <w:t>[8]</w:t>
      </w:r>
      <w:r w:rsidR="008A4F57">
        <w:fldChar w:fldCharType="end"/>
      </w:r>
      <w:r w:rsidR="00212F8E">
        <w:t xml:space="preserve"> concluded that the prevalence of current smoking among boys was the lowest among all participating countries (6.0%).</w:t>
      </w:r>
    </w:p>
    <w:p w:rsidR="00992BC2" w:rsidRDefault="00992BC2" w:rsidP="009A51AE">
      <w:r>
        <w:t>A</w:t>
      </w:r>
      <w:r w:rsidR="00780B06">
        <w:t xml:space="preserve">ccording to </w:t>
      </w:r>
      <w:r>
        <w:t xml:space="preserve">the </w:t>
      </w:r>
      <w:r w:rsidR="00DE1D4B">
        <w:t xml:space="preserve">GYTS conducted in 2008 </w:t>
      </w:r>
      <w:r w:rsidR="008A4F57">
        <w:fldChar w:fldCharType="begin"/>
      </w:r>
      <w:r w:rsidR="009A51AE">
        <w:instrText xml:space="preserve"> ADDIN EN.CITE &lt;EndNote&gt;&lt;Cite&gt;&lt;Author&gt;Ljaljevic&lt;/Author&gt;&lt;Year&gt;2010&lt;/Year&gt;&lt;RecNum&gt;4675&lt;/RecNum&gt;&lt;DisplayText&gt;[9]&lt;/DisplayText&gt;&lt;record&gt;&lt;rec-number&gt;4675&lt;/rec-number&gt;&lt;foreign-keys&gt;&lt;key app="EN" db-id="ep9zdt9a8tdpsseaptvpd555505tfr02pr2e" timestamp="1494071678"&gt;4675&lt;/key&gt;&lt;/foreign-keys&gt;&lt;ref-type name="Journal Article"&gt;17&lt;/ref-type&gt;&lt;contributors&gt;&lt;authors&gt;&lt;author&gt;Ljaljevic, A.&lt;/author&gt;&lt;author&gt;Zvrko, E.&lt;/author&gt;&lt;author&gt;Mugosa, B.&lt;/author&gt;&lt;author&gt;Matijevic, S.&lt;/author&gt;&lt;author&gt;Andjelic, J.&lt;/author&gt;&lt;/authors&gt;&lt;/contributors&gt;&lt;auth-address&gt;Institute of Public Health, Podgorica, Montenegro.&lt;/auth-address&gt;&lt;titles&gt;&lt;title&gt;Prevalence of smoking and other smoking-related behaviours among students aged 13 to 15 years in Montenegro: results from the Global Youth Tobacco Survey of 2008&lt;/title&gt;&lt;secondary-title&gt;Arh Hig Rada Toksikol&lt;/secondary-title&gt;&lt;alt-title&gt;Arhiv za higijenu rada i toksikologiju&lt;/alt-title&gt;&lt;/titles&gt;&lt;alt-periodical&gt;&lt;full-title&gt;Arhiv za Higijenu Rada i Toksikologiju&lt;/full-title&gt;&lt;/alt-periodical&gt;&lt;pages&gt;203-9&lt;/pages&gt;&lt;volume&gt;61&lt;/volume&gt;&lt;number&gt;2&lt;/number&gt;&lt;edition&gt;2010/07/01&lt;/edition&gt;&lt;keywords&gt;&lt;keyword&gt;Adolescent&lt;/keyword&gt;&lt;keyword&gt;Adolescent Behavior&lt;/keyword&gt;&lt;keyword&gt;Data Collection&lt;/keyword&gt;&lt;keyword&gt;Female&lt;/keyword&gt;&lt;keyword&gt;Health Knowledge, Attitudes, Practice&lt;/keyword&gt;&lt;keyword&gt;Humans&lt;/keyword&gt;&lt;keyword&gt;Male&lt;/keyword&gt;&lt;keyword&gt;Montenegro/epidemiology&lt;/keyword&gt;&lt;keyword&gt;Prevalence&lt;/keyword&gt;&lt;keyword&gt;Smoking/*epidemiology&lt;/keyword&gt;&lt;/keywords&gt;&lt;dates&gt;&lt;year&gt;2010&lt;/year&gt;&lt;pub-dates&gt;&lt;date&gt;Jun&lt;/date&gt;&lt;/pub-dates&gt;&lt;/dates&gt;&lt;isbn&gt;0004-1254&lt;/isbn&gt;&lt;accession-num&gt;20587395&lt;/accession-num&gt;&lt;urls&gt;&lt;related-urls&gt;&lt;url&gt;https://www.degruyter.com/downloadpdf/j/aiht.2010.61.issue-2/10004-1254-61-2010-1987/10004-1254-61-2010-1987.pdf&lt;/url&gt;&lt;/related-urls&gt;&lt;/urls&gt;&lt;electronic-resource-num&gt;10.2478/10004-1254-61-2010-1987&lt;/electronic-resource-num&gt;&lt;remote-database-provider&gt;NLM&lt;/remote-database-provider&gt;&lt;language&gt;eng&lt;/language&gt;&lt;/record&gt;&lt;/Cite&gt;&lt;/EndNote&gt;</w:instrText>
      </w:r>
      <w:r w:rsidR="008A4F57">
        <w:fldChar w:fldCharType="separate"/>
      </w:r>
      <w:r w:rsidR="009A51AE">
        <w:rPr>
          <w:noProof/>
        </w:rPr>
        <w:t>[9]</w:t>
      </w:r>
      <w:r w:rsidR="008A4F57">
        <w:fldChar w:fldCharType="end"/>
      </w:r>
      <w:r w:rsidR="00DE1D4B">
        <w:t xml:space="preserve">, </w:t>
      </w:r>
      <w:r w:rsidR="00DE1D4B" w:rsidRPr="00DE1D4B">
        <w:t>more than 30% of students aged 13 to 15 tried smoking, 5.1% smoked cigarettes</w:t>
      </w:r>
      <w:r w:rsidR="000F6A56">
        <w:t xml:space="preserve"> (5.7% boys and 4.4% girls)</w:t>
      </w:r>
      <w:r w:rsidR="00DE1D4B" w:rsidRPr="00DE1D4B">
        <w:t xml:space="preserve">, and 3.6% of students used tobacco products other than cigarettes. Four in 10 ever smokers started to smoke before the age of 10. More than half </w:t>
      </w:r>
      <w:r w:rsidR="0023342E">
        <w:t xml:space="preserve">of </w:t>
      </w:r>
      <w:r w:rsidR="00DE1D4B" w:rsidRPr="00DE1D4B">
        <w:t xml:space="preserve">the students reported </w:t>
      </w:r>
      <w:r w:rsidR="0023342E" w:rsidRPr="00DE1D4B">
        <w:t>second</w:t>
      </w:r>
      <w:r w:rsidR="0023342E">
        <w:t>hand</w:t>
      </w:r>
      <w:r w:rsidR="0023342E" w:rsidRPr="00DE1D4B">
        <w:t xml:space="preserve"> </w:t>
      </w:r>
      <w:r w:rsidR="00DE1D4B" w:rsidRPr="00DE1D4B">
        <w:t xml:space="preserve">smoke exposure at home. Almost all (96.5 %) current smokers </w:t>
      </w:r>
      <w:r w:rsidR="0023342E">
        <w:t xml:space="preserve">had experience of </w:t>
      </w:r>
      <w:r w:rsidR="00DE1D4B" w:rsidRPr="00DE1D4B">
        <w:t>b</w:t>
      </w:r>
      <w:r w:rsidR="0023342E">
        <w:t>uying</w:t>
      </w:r>
      <w:r w:rsidR="00DE1D4B" w:rsidRPr="00DE1D4B">
        <w:t xml:space="preserve"> cigarettes in a store. Two in 10 students owned an artifact with a cigarette or tobacco brand logo on it.</w:t>
      </w:r>
    </w:p>
    <w:p w:rsidR="009D24AD" w:rsidRDefault="00DF5B47" w:rsidP="009A51AE">
      <w:r>
        <w:t xml:space="preserve">In the </w:t>
      </w:r>
      <w:r w:rsidR="00093634">
        <w:t>GYTS</w:t>
      </w:r>
      <w:r w:rsidR="009D24AD">
        <w:t xml:space="preserve"> conducted in 2014 and comprising </w:t>
      </w:r>
      <w:r w:rsidR="009D24AD" w:rsidRPr="009D24AD">
        <w:t>3,573</w:t>
      </w:r>
      <w:r w:rsidR="009D24AD">
        <w:t xml:space="preserve"> adolescents aged 13-15 years</w:t>
      </w:r>
      <w:r w:rsidR="00D07A80">
        <w:t xml:space="preserve"> </w:t>
      </w:r>
      <w:r w:rsidR="008A4F57">
        <w:fldChar w:fldCharType="begin">
          <w:fldData xml:space="preserve">PEVuZE5vdGU+PENpdGU+PEF1dGhvcj5EJmFwb3M7QW5nZWxvPC9BdXRob3I+PFllYXI+MjAxNjwv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</w:fldData>
        </w:fldChar>
      </w:r>
      <w:r w:rsidR="009A51AE">
        <w:instrText xml:space="preserve"> ADDIN EN.CITE </w:instrText>
      </w:r>
      <w:r w:rsidR="008A4F57">
        <w:fldChar w:fldCharType="begin">
          <w:fldData xml:space="preserve">PEVuZE5vdGU+PENpdGU+PEF1dGhvcj5EJmFwb3M7QW5nZWxvPC9BdXRob3I+PFllYXI+MjAxNjwv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</w:fldData>
        </w:fldChar>
      </w:r>
      <w:r w:rsidR="009A51AE">
        <w:instrText xml:space="preserve"> ADDIN EN.CITE.DATA </w:instrText>
      </w:r>
      <w:r w:rsidR="008A4F57">
        <w:fldChar w:fldCharType="end"/>
      </w:r>
      <w:r w:rsidR="008A4F57">
        <w:fldChar w:fldCharType="separate"/>
      </w:r>
      <w:r w:rsidR="009A51AE">
        <w:rPr>
          <w:noProof/>
        </w:rPr>
        <w:t>[10]</w:t>
      </w:r>
      <w:r w:rsidR="008A4F57">
        <w:fldChar w:fldCharType="end"/>
      </w:r>
      <w:r w:rsidR="009D24AD">
        <w:t xml:space="preserve">, </w:t>
      </w:r>
      <w:r w:rsidR="0023342E">
        <w:t xml:space="preserve">the </w:t>
      </w:r>
      <w:r w:rsidR="00254701">
        <w:t xml:space="preserve">prevalence of </w:t>
      </w:r>
      <w:r w:rsidR="009D24AD">
        <w:t>current cigarette smoking (</w:t>
      </w:r>
      <w:r w:rsidR="00834B26">
        <w:t xml:space="preserve">self-reported </w:t>
      </w:r>
      <w:r w:rsidR="009D24AD" w:rsidRPr="009D24AD">
        <w:t>smok</w:t>
      </w:r>
      <w:r w:rsidR="00834B26">
        <w:t xml:space="preserve">ing </w:t>
      </w:r>
      <w:r w:rsidR="009D24AD" w:rsidRPr="009D24AD">
        <w:t>cigarettes on at least 1 day in the past 30 days</w:t>
      </w:r>
      <w:r w:rsidR="009D24AD">
        <w:t xml:space="preserve">) was </w:t>
      </w:r>
      <w:r w:rsidR="009D24AD" w:rsidRPr="009D24AD">
        <w:t>6.9</w:t>
      </w:r>
      <w:r w:rsidR="009D24AD">
        <w:t>% </w:t>
      </w:r>
      <w:r w:rsidR="009D24AD" w:rsidRPr="009D24AD">
        <w:t>(3.4–13.5)</w:t>
      </w:r>
      <w:r w:rsidR="009D24AD">
        <w:t xml:space="preserve"> </w:t>
      </w:r>
      <w:r w:rsidR="00780B06">
        <w:t xml:space="preserve">among all </w:t>
      </w:r>
      <w:r w:rsidR="009D24AD">
        <w:t xml:space="preserve">adolescents, </w:t>
      </w:r>
      <w:r w:rsidR="009D24AD" w:rsidRPr="009D24AD">
        <w:t>10.8</w:t>
      </w:r>
      <w:r w:rsidR="009D24AD">
        <w:t>% </w:t>
      </w:r>
      <w:r w:rsidR="009D24AD" w:rsidRPr="009D24AD">
        <w:t>(4.6–23.3)</w:t>
      </w:r>
      <w:r w:rsidR="009D24AD">
        <w:t xml:space="preserve"> </w:t>
      </w:r>
      <w:r w:rsidR="00254701">
        <w:t xml:space="preserve">among </w:t>
      </w:r>
      <w:r w:rsidR="009D24AD">
        <w:t xml:space="preserve">male adolescents and </w:t>
      </w:r>
      <w:r w:rsidR="009D24AD" w:rsidRPr="009D24AD">
        <w:t>2.8</w:t>
      </w:r>
      <w:r w:rsidR="009D24AD">
        <w:t>% </w:t>
      </w:r>
      <w:r w:rsidR="009D24AD" w:rsidRPr="009D24AD">
        <w:t>(1.7–4.5)</w:t>
      </w:r>
      <w:r w:rsidR="009D24AD">
        <w:t xml:space="preserve"> </w:t>
      </w:r>
      <w:r w:rsidR="00254701">
        <w:t xml:space="preserve">among </w:t>
      </w:r>
      <w:r w:rsidR="009D24AD">
        <w:t>female adolescents</w:t>
      </w:r>
      <w:r w:rsidR="00D07A80">
        <w:t xml:space="preserve">. The overall prevalence and </w:t>
      </w:r>
      <w:r w:rsidR="00834B26">
        <w:t xml:space="preserve">the </w:t>
      </w:r>
      <w:r w:rsidR="00D07A80">
        <w:t xml:space="preserve">prevalence among male adolescents is slightly lower but not statistically different than in neighboring </w:t>
      </w:r>
      <w:r w:rsidR="00D07A80" w:rsidRPr="00D07A80">
        <w:t>Bosnia and Herzegovina</w:t>
      </w:r>
      <w:r w:rsidR="00D07A80">
        <w:t xml:space="preserve"> and </w:t>
      </w:r>
      <w:r w:rsidR="00D07A80" w:rsidRPr="00D07A80">
        <w:t>Serbia</w:t>
      </w:r>
      <w:r w:rsidR="00D07A80">
        <w:t xml:space="preserve">. </w:t>
      </w:r>
      <w:r w:rsidR="00F24069">
        <w:t xml:space="preserve">However, the prevalence of smoking among female adolescents is significantly and by 2-4 times lower than in these two countries where it amounts to </w:t>
      </w:r>
      <w:r w:rsidR="00F24069" w:rsidRPr="00F24069">
        <w:t>8.8 (7.0–11.2)</w:t>
      </w:r>
      <w:r w:rsidR="00F24069">
        <w:t xml:space="preserve"> in </w:t>
      </w:r>
      <w:r w:rsidR="00F24069" w:rsidRPr="00F24069">
        <w:t>Bosnia and Herzegovina</w:t>
      </w:r>
      <w:r w:rsidR="00F24069">
        <w:t xml:space="preserve"> and to </w:t>
      </w:r>
      <w:r w:rsidR="00F24069" w:rsidRPr="00F24069">
        <w:t>13.3 (9.8–17.8)</w:t>
      </w:r>
      <w:r w:rsidR="00F24069">
        <w:t xml:space="preserve"> in Serbia which is higher than among male adolescents in this country.</w:t>
      </w:r>
    </w:p>
    <w:p w:rsidR="00E126C8" w:rsidRDefault="00E126C8" w:rsidP="00834B26">
      <w:r>
        <w:t xml:space="preserve">However, GYTS data revealed that </w:t>
      </w:r>
      <w:r w:rsidR="00834B26">
        <w:t xml:space="preserve">the prevalence of </w:t>
      </w:r>
      <w:r>
        <w:t>current cigarette smoking among adolescents in Montenegro increased from 3.6% in 2003 to 5.1% in 2008 and 6.9% in 2014.</w:t>
      </w:r>
    </w:p>
    <w:p w:rsidR="009D24AD" w:rsidRDefault="002B63BE" w:rsidP="00814999">
      <w:r>
        <w:t xml:space="preserve">According to the European School Survey Project on Alcohol and Other Drugs (ESPAD - </w:t>
      </w:r>
      <w:r w:rsidRPr="002B63BE">
        <w:t>http://www.espad.org</w:t>
      </w:r>
      <w:r>
        <w:t xml:space="preserve">), lifetime use of cigarettes by adolescents </w:t>
      </w:r>
      <w:r w:rsidR="00C20C1A">
        <w:t xml:space="preserve">(aged 15-17 years old) </w:t>
      </w:r>
      <w:r>
        <w:t xml:space="preserve">in Montenegro in 2007-2011-2015 remained </w:t>
      </w:r>
      <w:r w:rsidR="00834B26">
        <w:t xml:space="preserve">stable </w:t>
      </w:r>
      <w:r w:rsidR="00E126C8">
        <w:t>(34-35%)</w:t>
      </w:r>
      <w:r w:rsidR="00C20C1A">
        <w:t>.</w:t>
      </w:r>
      <w:r w:rsidR="00E56EE4">
        <w:t xml:space="preserve"> </w:t>
      </w:r>
      <w:r w:rsidR="00834B26">
        <w:t xml:space="preserve">The prevalence of current </w:t>
      </w:r>
      <w:r w:rsidR="00C20C1A">
        <w:t xml:space="preserve">(during the </w:t>
      </w:r>
      <w:r w:rsidR="00E56EE4">
        <w:t>past 30 days</w:t>
      </w:r>
      <w:r w:rsidR="00C20C1A">
        <w:t>)</w:t>
      </w:r>
      <w:r w:rsidR="00E56EE4">
        <w:t xml:space="preserve"> cigarette use was </w:t>
      </w:r>
      <w:r w:rsidR="00C20C1A">
        <w:t xml:space="preserve">12% in 2007 and 2011, but increased to </w:t>
      </w:r>
      <w:r>
        <w:t>15%</w:t>
      </w:r>
      <w:r w:rsidR="00C20C1A">
        <w:t xml:space="preserve"> in 2015, while it </w:t>
      </w:r>
      <w:r>
        <w:t>is lower than ESPAD average (21%</w:t>
      </w:r>
      <w:r w:rsidR="00E126C8">
        <w:t xml:space="preserve"> in 2015</w:t>
      </w:r>
      <w:r w:rsidR="00C20C1A">
        <w:t>, 28% in 2007 and 2011</w:t>
      </w:r>
      <w:r>
        <w:t xml:space="preserve">). </w:t>
      </w:r>
      <w:r w:rsidR="00814999">
        <w:t xml:space="preserve">The prevalence of smoking </w:t>
      </w:r>
      <w:r w:rsidR="00C20C1A">
        <w:t xml:space="preserve">among boys increased from 13% in 2007 </w:t>
      </w:r>
      <w:r w:rsidR="005B54C4">
        <w:t xml:space="preserve">to </w:t>
      </w:r>
      <w:r w:rsidR="00C20C1A">
        <w:t>15% in 2011 and 18% in 2015, while among girls</w:t>
      </w:r>
      <w:r w:rsidR="00814999">
        <w:t>,</w:t>
      </w:r>
      <w:r w:rsidR="00C20C1A">
        <w:t xml:space="preserve"> it was 12%, 9%</w:t>
      </w:r>
      <w:r w:rsidR="00814999">
        <w:t>,</w:t>
      </w:r>
      <w:r w:rsidR="00C20C1A">
        <w:t xml:space="preserve"> and 12% respectively. </w:t>
      </w:r>
    </w:p>
    <w:p w:rsidR="00C20C1A" w:rsidRDefault="00C20C1A" w:rsidP="00814999">
      <w:r>
        <w:t>So</w:t>
      </w:r>
      <w:r w:rsidR="00814999">
        <w:t>,</w:t>
      </w:r>
      <w:r>
        <w:t xml:space="preserve"> </w:t>
      </w:r>
      <w:r w:rsidR="005B54C4">
        <w:t xml:space="preserve">over </w:t>
      </w:r>
      <w:r>
        <w:t>recent years</w:t>
      </w:r>
      <w:r w:rsidR="00814999">
        <w:t>,</w:t>
      </w:r>
      <w:r>
        <w:t xml:space="preserve"> some increase </w:t>
      </w:r>
      <w:r w:rsidR="00814999">
        <w:t xml:space="preserve">in </w:t>
      </w:r>
      <w:r>
        <w:t xml:space="preserve">smoking prevalence among adolescents </w:t>
      </w:r>
      <w:r w:rsidR="00E94C0A">
        <w:t>wa</w:t>
      </w:r>
      <w:r>
        <w:t>s observed, especially among boys</w:t>
      </w:r>
      <w:r w:rsidR="000F6A56">
        <w:t>. T</w:t>
      </w:r>
      <w:r>
        <w:t>his trend is the opposite o</w:t>
      </w:r>
      <w:r w:rsidR="00814999">
        <w:t>f</w:t>
      </w:r>
      <w:r>
        <w:t xml:space="preserve"> </w:t>
      </w:r>
      <w:r w:rsidR="00E94C0A">
        <w:t xml:space="preserve">the </w:t>
      </w:r>
      <w:r>
        <w:t xml:space="preserve">smoking prevalence </w:t>
      </w:r>
      <w:r w:rsidR="00E94C0A">
        <w:t xml:space="preserve">trend </w:t>
      </w:r>
      <w:r>
        <w:t xml:space="preserve">among adults. </w:t>
      </w:r>
    </w:p>
    <w:p w:rsidR="00B306D7" w:rsidRDefault="00814999" w:rsidP="009A51AE">
      <w:r>
        <w:t xml:space="preserve">The prevalence </w:t>
      </w:r>
      <w:r w:rsidR="00B306D7">
        <w:t>of smokeless tobacco use</w:t>
      </w:r>
      <w:r w:rsidR="005B54C4">
        <w:t>, according to the</w:t>
      </w:r>
      <w:r w:rsidR="00B306D7">
        <w:t xml:space="preserve"> </w:t>
      </w:r>
      <w:r w:rsidR="005B54C4">
        <w:t>Global Youth Tobacco S</w:t>
      </w:r>
      <w:r w:rsidR="00780B06">
        <w:t>urvey</w:t>
      </w:r>
      <w:r w:rsidR="005B54C4">
        <w:t>,</w:t>
      </w:r>
      <w:r w:rsidR="00780B06">
        <w:t xml:space="preserve"> </w:t>
      </w:r>
      <w:r w:rsidR="00B306D7">
        <w:t xml:space="preserve">among adolescents </w:t>
      </w:r>
      <w:r w:rsidR="00B306D7" w:rsidRPr="00B306D7">
        <w:t xml:space="preserve">aged 13–15 years </w:t>
      </w:r>
      <w:r w:rsidR="00B306D7">
        <w:t xml:space="preserve">in 2007-2011 was reported </w:t>
      </w:r>
      <w:r w:rsidR="008A4F57">
        <w:fldChar w:fldCharType="begin">
          <w:fldData xml:space="preserve">PEVuZE5vdGU+PENpdGU+PEF1dGhvcj5BZ2FrdTwvQXV0aG9yPjxZZWFyPjIwMTQ8L1llYXI+PFJl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==
</w:fldData>
        </w:fldChar>
      </w:r>
      <w:r w:rsidR="009A51AE">
        <w:instrText xml:space="preserve"> ADDIN EN.CITE </w:instrText>
      </w:r>
      <w:r w:rsidR="008A4F57">
        <w:fldChar w:fldCharType="begin">
          <w:fldData xml:space="preserve">PEVuZE5vdGU+PENpdGU+PEF1dGhvcj5BZ2FrdTwvQXV0aG9yPjxZZWFyPjIwMTQ8L1llYXI+PFJl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==
</w:fldData>
        </w:fldChar>
      </w:r>
      <w:r w:rsidR="009A51AE">
        <w:instrText xml:space="preserve"> ADDIN EN.CITE.DATA </w:instrText>
      </w:r>
      <w:r w:rsidR="008A4F57">
        <w:fldChar w:fldCharType="end"/>
      </w:r>
      <w:r w:rsidR="008A4F57">
        <w:fldChar w:fldCharType="separate"/>
      </w:r>
      <w:r w:rsidR="009A51AE">
        <w:rPr>
          <w:noProof/>
        </w:rPr>
        <w:t>[11]</w:t>
      </w:r>
      <w:r w:rsidR="008A4F57">
        <w:fldChar w:fldCharType="end"/>
      </w:r>
      <w:r w:rsidR="00B306D7">
        <w:t xml:space="preserve"> </w:t>
      </w:r>
      <w:r>
        <w:t xml:space="preserve">to be </w:t>
      </w:r>
      <w:r w:rsidR="00B306D7" w:rsidRPr="00B306D7">
        <w:t>1.1%</w:t>
      </w:r>
      <w:r w:rsidR="00B306D7">
        <w:t xml:space="preserve"> which is the lowest among </w:t>
      </w:r>
      <w:r>
        <w:t xml:space="preserve">the </w:t>
      </w:r>
      <w:r w:rsidR="00B306D7">
        <w:t>participating countries.</w:t>
      </w:r>
    </w:p>
    <w:p w:rsidR="006111BE" w:rsidRDefault="00B660EE" w:rsidP="00502EF5">
      <w:pPr>
        <w:pStyle w:val="2"/>
      </w:pPr>
      <w:bookmarkStart w:id="20" w:name="_Toc482360286"/>
      <w:bookmarkStart w:id="21" w:name="_Toc12207115"/>
      <w:r w:rsidRPr="00B660EE">
        <w:t>Health data and research</w:t>
      </w:r>
      <w:r>
        <w:t>:</w:t>
      </w:r>
      <w:r w:rsidRPr="00B660EE">
        <w:t xml:space="preserve"> </w:t>
      </w:r>
      <w:r w:rsidR="00814999">
        <w:t xml:space="preserve">the </w:t>
      </w:r>
      <w:r>
        <w:t xml:space="preserve">burden </w:t>
      </w:r>
      <w:r w:rsidR="006111BE">
        <w:t>of tobacco-related diseases</w:t>
      </w:r>
      <w:bookmarkEnd w:id="20"/>
      <w:bookmarkEnd w:id="21"/>
    </w:p>
    <w:p w:rsidR="00B660EE" w:rsidRPr="00B660EE" w:rsidRDefault="00B660EE" w:rsidP="009A51AE">
      <w:r>
        <w:t xml:space="preserve">In terms of population health research, the countries of former Yugoslavia have been referred to as 'probably the least explored region in Europe' </w:t>
      </w:r>
      <w:r w:rsidR="008A4F57">
        <w:fldChar w:fldCharType="begin"/>
      </w:r>
      <w:r w:rsidR="009A51AE">
        <w:instrText xml:space="preserve"> ADDIN EN.CITE &lt;EndNote&gt;&lt;Cite&gt;&lt;Author&gt;Bozicevic&lt;/Author&gt;&lt;Year&gt;2004&lt;/Year&gt;&lt;RecNum&gt;4684&lt;/RecNum&gt;&lt;DisplayText&gt;[12]&lt;/DisplayText&gt;&lt;record&gt;&lt;rec-number&gt;4684&lt;/rec-number&gt;&lt;foreign-keys&gt;&lt;key app="EN" db-id="ep9zdt9a8tdpsseaptvpd555505tfr02pr2e" timestamp="1494144492"&gt;4684&lt;/key&gt;&lt;/foreign-keys&gt;&lt;ref-type name="Serial"&gt;57&lt;/ref-type&gt;&lt;contributors&gt;&lt;authors&gt;&lt;author&gt;Bozicevic, Ivana&lt;/author&gt;&lt;author&gt;Gilmore, Anna&lt;/author&gt;&lt;author&gt;Oreskovic, Stipe&lt;/author&gt;&lt;/authors&gt;&lt;/contributors&gt;&lt;titles&gt;&lt;title&gt;The tobacco epidemic in south-east Europe: consequences and policy responses&lt;/title&gt;&lt;secondary-title&gt;HNP Discussion paper&lt;/secondary-title&gt;&lt;/titles&gt;&lt;pages&gt;79&lt;/pages&gt;&lt;volume&gt;Economics of Tobacco Control Paper No.18&lt;/volume&gt;&lt;number&gt;18&lt;/number&gt;&lt;dates&gt;&lt;year&gt;2004&lt;/year&gt;&lt;/dates&gt;&lt;publisher&gt;The International Bank for Reconstruction and Development / The World Bank&lt;/publisher&gt;&lt;urls&gt;&lt;/urls&gt;&lt;/record&gt;&lt;/Cite&gt;&lt;/EndNote&gt;</w:instrText>
      </w:r>
      <w:r w:rsidR="008A4F57">
        <w:fldChar w:fldCharType="separate"/>
      </w:r>
      <w:r w:rsidR="009A51AE">
        <w:rPr>
          <w:noProof/>
        </w:rPr>
        <w:t>[12]</w:t>
      </w:r>
      <w:r w:rsidR="008A4F57">
        <w:fldChar w:fldCharType="end"/>
      </w:r>
      <w:r>
        <w:t>.</w:t>
      </w:r>
      <w:r w:rsidR="00A52A9B">
        <w:t xml:space="preserve"> Currently, in the WHO Euro </w:t>
      </w:r>
      <w:r w:rsidR="00814999">
        <w:t>'</w:t>
      </w:r>
      <w:r w:rsidR="00A52A9B">
        <w:t>Health for All</w:t>
      </w:r>
      <w:r w:rsidR="00814999">
        <w:t>'</w:t>
      </w:r>
      <w:r w:rsidR="00A52A9B">
        <w:t xml:space="preserve"> database, most indicators for Montenegro are not reported after 2009.</w:t>
      </w:r>
    </w:p>
    <w:p w:rsidR="006111BE" w:rsidRDefault="008644AB" w:rsidP="00502EF5">
      <w:pPr>
        <w:pStyle w:val="3"/>
      </w:pPr>
      <w:bookmarkStart w:id="22" w:name="_Toc482360287"/>
      <w:bookmarkStart w:id="23" w:name="_Toc12207116"/>
      <w:r>
        <w:lastRenderedPageBreak/>
        <w:t>Lung cancer</w:t>
      </w:r>
      <w:bookmarkEnd w:id="22"/>
      <w:bookmarkEnd w:id="23"/>
    </w:p>
    <w:p w:rsidR="00AD1791" w:rsidRPr="00AD1791" w:rsidRDefault="00AD1791" w:rsidP="003C3B1F">
      <w:r>
        <w:t xml:space="preserve">According to the </w:t>
      </w:r>
      <w:r w:rsidRPr="00AD1791">
        <w:t>Europ</w:t>
      </w:r>
      <w:r>
        <w:t>ean Health Information Gateway</w:t>
      </w:r>
      <w:r w:rsidRPr="00AD1791">
        <w:t xml:space="preserve"> Health for All explorer</w:t>
      </w:r>
      <w:r>
        <w:t xml:space="preserve"> </w:t>
      </w:r>
      <w:r w:rsidR="00F801E4">
        <w:rPr>
          <w:rStyle w:val="a8"/>
        </w:rPr>
        <w:footnoteReference w:id="3"/>
      </w:r>
      <w:r w:rsidR="00F801E4">
        <w:t>,</w:t>
      </w:r>
      <w:r>
        <w:t xml:space="preserve"> the only available estimate of </w:t>
      </w:r>
      <w:r w:rsidRPr="00AD1791">
        <w:t>Incidence of trachea, bronchus</w:t>
      </w:r>
      <w:r w:rsidR="00814999">
        <w:t>,</w:t>
      </w:r>
      <w:r w:rsidRPr="00AD1791">
        <w:t xml:space="preserve"> and lung cancer per </w:t>
      </w:r>
      <w:r w:rsidR="00814999" w:rsidRPr="00AD1791">
        <w:t>100</w:t>
      </w:r>
      <w:r w:rsidR="00814999">
        <w:t>,</w:t>
      </w:r>
      <w:r w:rsidRPr="00AD1791">
        <w:t>000</w:t>
      </w:r>
      <w:r>
        <w:t xml:space="preserve"> </w:t>
      </w:r>
      <w:r w:rsidR="00E94C0A">
        <w:t xml:space="preserve">in Montenegro </w:t>
      </w:r>
      <w:r>
        <w:t>was for year 2013</w:t>
      </w:r>
      <w:r w:rsidR="003C3B1F">
        <w:t>,</w:t>
      </w:r>
      <w:r>
        <w:t xml:space="preserve"> and it constitutes 54 per </w:t>
      </w:r>
      <w:r w:rsidR="003C3B1F" w:rsidRPr="00AD1791">
        <w:t>100</w:t>
      </w:r>
      <w:r w:rsidR="003C3B1F">
        <w:t>,</w:t>
      </w:r>
      <w:r w:rsidRPr="00AD1791">
        <w:t>000</w:t>
      </w:r>
      <w:r>
        <w:t xml:space="preserve"> among all, 29 among women and 80 among men. When compared to the neighboring countries, this indicator is lower than in Serbia and Croatia and higher than in Bosnia and Herzegovina and Albania. </w:t>
      </w:r>
    </w:p>
    <w:p w:rsidR="008644AB" w:rsidRPr="008644AB" w:rsidRDefault="00DC2E77" w:rsidP="009A51AE">
      <w:r w:rsidRPr="00DC2E77">
        <w:t>A population-based study analyzing lung cancer mortality in Montenegro in the period 1976-2000</w:t>
      </w:r>
      <w:r>
        <w:t xml:space="preserve"> </w:t>
      </w:r>
      <w:r w:rsidR="008A4F57">
        <w:fldChar w:fldCharType="begin">
          <w:fldData xml:space="preserve">PEVuZE5vdGU+PENpdGU+PEF1dGhvcj5HbGVkb3ZpYzwvQXV0aG9yPjxZZWFyPjIwMDM8L1llYXI+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</w:fldData>
        </w:fldChar>
      </w:r>
      <w:r w:rsidR="009A51AE">
        <w:instrText xml:space="preserve"> ADDIN EN.CITE </w:instrText>
      </w:r>
      <w:r w:rsidR="008A4F57">
        <w:fldChar w:fldCharType="begin">
          <w:fldData xml:space="preserve">PEVuZE5vdGU+PENpdGU+PEF1dGhvcj5HbGVkb3ZpYzwvQXV0aG9yPjxZZWFyPjIwMDM8L1llYXI+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</w:fldData>
        </w:fldChar>
      </w:r>
      <w:r w:rsidR="009A51AE">
        <w:instrText xml:space="preserve"> ADDIN EN.CITE.DATA </w:instrText>
      </w:r>
      <w:r w:rsidR="008A4F57">
        <w:fldChar w:fldCharType="end"/>
      </w:r>
      <w:r w:rsidR="008A4F57">
        <w:fldChar w:fldCharType="separate"/>
      </w:r>
      <w:r w:rsidR="009A51AE">
        <w:rPr>
          <w:noProof/>
        </w:rPr>
        <w:t>[13]</w:t>
      </w:r>
      <w:r w:rsidR="008A4F57">
        <w:fldChar w:fldCharType="end"/>
      </w:r>
      <w:r>
        <w:t xml:space="preserve"> showed that </w:t>
      </w:r>
      <w:r w:rsidRPr="00DC2E77">
        <w:t xml:space="preserve">the highest average standardized lung cancer mortality rates in Montenegro increased in each successive five-year period for both sexes from 1976 to 2000, with highest </w:t>
      </w:r>
      <w:r w:rsidR="003C3B1F">
        <w:t>indicators</w:t>
      </w:r>
      <w:r w:rsidR="003C3B1F" w:rsidRPr="00DC2E77">
        <w:t xml:space="preserve"> </w:t>
      </w:r>
      <w:r w:rsidRPr="00DC2E77">
        <w:t xml:space="preserve">in the last </w:t>
      </w:r>
      <w:r w:rsidR="003C3B1F" w:rsidRPr="00DC2E77">
        <w:t>five</w:t>
      </w:r>
      <w:r w:rsidR="003C3B1F">
        <w:t>-</w:t>
      </w:r>
      <w:r w:rsidRPr="00DC2E77">
        <w:t>year</w:t>
      </w:r>
      <w:r w:rsidR="003C3B1F">
        <w:t xml:space="preserve"> period</w:t>
      </w:r>
      <w:r w:rsidR="003C3B1F" w:rsidRPr="00DC2E77">
        <w:t xml:space="preserve"> </w:t>
      </w:r>
      <w:r w:rsidRPr="00DC2E77">
        <w:t>(1996-2000). In males</w:t>
      </w:r>
      <w:r w:rsidR="003C3B1F">
        <w:t>,</w:t>
      </w:r>
      <w:r w:rsidRPr="00DC2E77">
        <w:t xml:space="preserve"> the death rate has almost doubled, and in females</w:t>
      </w:r>
      <w:r w:rsidR="003C3B1F">
        <w:t>,</w:t>
      </w:r>
      <w:r w:rsidRPr="00DC2E77">
        <w:t xml:space="preserve"> it </w:t>
      </w:r>
      <w:r w:rsidR="003C3B1F">
        <w:t xml:space="preserve">became </w:t>
      </w:r>
      <w:r w:rsidRPr="00DC2E77">
        <w:t xml:space="preserve">nearly three-fold higher. In the cohort analysis of age-specific death rates, all age groups in the birth cohort born before 1911 had a higher lung cancer mortality risk than those in the birth cohort comprising those born between 1912 and 1931. The rates showed an increasing tendency in all age groups irrespective of sex, except </w:t>
      </w:r>
      <w:r w:rsidR="005B54C4">
        <w:t>for</w:t>
      </w:r>
      <w:r w:rsidR="005B54C4" w:rsidRPr="00DC2E77">
        <w:t xml:space="preserve"> </w:t>
      </w:r>
      <w:r w:rsidRPr="00DC2E77">
        <w:t xml:space="preserve">males in the </w:t>
      </w:r>
      <w:r w:rsidR="005B54C4">
        <w:t xml:space="preserve">group aged </w:t>
      </w:r>
      <w:r w:rsidRPr="00DC2E77">
        <w:t xml:space="preserve">25-44 </w:t>
      </w:r>
      <w:r w:rsidR="005B54C4">
        <w:t>years</w:t>
      </w:r>
      <w:r w:rsidRPr="00DC2E77">
        <w:t xml:space="preserve">. The time analysis of lung cancer mortality rates for the period 1976-2000 revealed annual changes of 3% for males and 6.6% for females, respectively. During the period </w:t>
      </w:r>
      <w:r w:rsidR="003C3B1F">
        <w:t xml:space="preserve">of </w:t>
      </w:r>
      <w:r w:rsidRPr="00DC2E77">
        <w:t>observ</w:t>
      </w:r>
      <w:r w:rsidR="003C3B1F">
        <w:t>ation</w:t>
      </w:r>
      <w:r w:rsidR="005B54C4">
        <w:t>,</w:t>
      </w:r>
      <w:r w:rsidRPr="00DC2E77">
        <w:t xml:space="preserve"> the consumption of cigarettes increased by 98.2% (from 1.064 kg per capita in 1965 to 2.109 kg per capita in 1990). The significant </w:t>
      </w:r>
      <w:r w:rsidR="003C3B1F">
        <w:t>upward trend</w:t>
      </w:r>
      <w:r w:rsidRPr="00DC2E77">
        <w:t xml:space="preserve"> (y=1.10+0.05x, P=0.001) </w:t>
      </w:r>
      <w:r w:rsidR="003C3B1F" w:rsidRPr="00DC2E77">
        <w:t>was registered in cigarette consumption</w:t>
      </w:r>
      <w:r w:rsidR="003C3B1F">
        <w:t>.</w:t>
      </w:r>
      <w:r w:rsidR="003C3B1F" w:rsidRPr="00DC2E77">
        <w:t xml:space="preserve"> </w:t>
      </w:r>
      <w:r w:rsidRPr="00DC2E77">
        <w:t xml:space="preserve">A significant correlation between lung cancer mortality rates and cigarette consumption is also observed (r=0.427, P=0.037). </w:t>
      </w:r>
    </w:p>
    <w:p w:rsidR="006111BE" w:rsidRDefault="006111BE" w:rsidP="00502EF5">
      <w:pPr>
        <w:pStyle w:val="3"/>
      </w:pPr>
      <w:bookmarkStart w:id="24" w:name="_Toc482360288"/>
      <w:bookmarkStart w:id="25" w:name="_Toc12207117"/>
      <w:r>
        <w:t>L</w:t>
      </w:r>
      <w:r w:rsidR="008644AB">
        <w:t>aryngeal cancer</w:t>
      </w:r>
      <w:bookmarkEnd w:id="24"/>
      <w:bookmarkEnd w:id="25"/>
      <w:r w:rsidR="008644AB">
        <w:t xml:space="preserve"> </w:t>
      </w:r>
    </w:p>
    <w:p w:rsidR="006111BE" w:rsidRDefault="006111BE" w:rsidP="009A51AE">
      <w:r>
        <w:t xml:space="preserve">A hospital-based case-control study of risk factors of laryngeal cancer conducted in Montenegro </w:t>
      </w:r>
      <w:r w:rsidR="008A4F57">
        <w:fldChar w:fldCharType="begin"/>
      </w:r>
      <w:r w:rsidR="009A51AE">
        <w:instrText xml:space="preserve"> ADDIN EN.CITE &lt;EndNote&gt;&lt;Cite&gt;&lt;Author&gt;Zvrko&lt;/Author&gt;&lt;Year&gt;2008&lt;/Year&gt;&lt;RecNum&gt;4677&lt;/RecNum&gt;&lt;DisplayText&gt;[14]&lt;/DisplayText&gt;&lt;record&gt;&lt;rec-number&gt;4677&lt;/rec-number&gt;&lt;foreign-keys&gt;&lt;key app="EN" db-id="ep9zdt9a8tdpsseaptvpd555505tfr02pr2e" timestamp="1494078708"&gt;4677&lt;/key&gt;&lt;/foreign-keys&gt;&lt;ref-type name="Journal Article"&gt;17&lt;/ref-type&gt;&lt;contributors&gt;&lt;authors&gt;&lt;author&gt;Zvrko, E.&lt;/author&gt;&lt;author&gt;Gledovic, Z.&lt;/author&gt;&lt;author&gt;Ljaljevic, A.&lt;/author&gt;&lt;/authors&gt;&lt;/contributors&gt;&lt;auth-address&gt;Clinic for Otorhinolaryngology and Maxillofacial Surgery, Clinical Centre of Montenegro, Podgorica, Montenegro. elvirz@cg.yu&lt;/auth-address&gt;&lt;titles&gt;&lt;title&gt;Risk factors for laryngeal cancer in Montenegro&lt;/title&gt;&lt;secondary-title&gt;Arh Hig Rada Toksikol&lt;/secondary-title&gt;&lt;alt-title&gt;Arhiv za higijenu rada i toksikologiju&lt;/alt-title&gt;&lt;/titles&gt;&lt;alt-periodical&gt;&lt;full-title&gt;Arhiv za Higijenu Rada i Toksikologiju&lt;/full-title&gt;&lt;/alt-periodical&gt;&lt;pages&gt;11-8&lt;/pages&gt;&lt;volume&gt;59&lt;/volume&gt;&lt;number&gt;1&lt;/number&gt;&lt;edition&gt;2008/04/15&lt;/edition&gt;&lt;keywords&gt;&lt;keyword&gt;Adult&lt;/keyword&gt;&lt;keyword&gt;Aged&lt;/keyword&gt;&lt;keyword&gt;Aged, 80 and over&lt;/keyword&gt;&lt;keyword&gt;Alcohol Drinking/adverse effects&lt;/keyword&gt;&lt;keyword&gt;Case-Control Studies&lt;/keyword&gt;&lt;keyword&gt;Coffee/adverse effects&lt;/keyword&gt;&lt;keyword&gt;Female&lt;/keyword&gt;&lt;keyword&gt;Humans&lt;/keyword&gt;&lt;keyword&gt;Laryngeal Neoplasms/*etiology&lt;/keyword&gt;&lt;keyword&gt;Male&lt;/keyword&gt;&lt;keyword&gt;Middle Aged&lt;/keyword&gt;&lt;keyword&gt;Montenegro&lt;/keyword&gt;&lt;keyword&gt;Risk Factors&lt;/keyword&gt;&lt;keyword&gt;Smoking/adverse effects&lt;/keyword&gt;&lt;/keywords&gt;&lt;dates&gt;&lt;year&gt;2008&lt;/year&gt;&lt;pub-dates&gt;&lt;date&gt;Mar&lt;/date&gt;&lt;/pub-dates&gt;&lt;/dates&gt;&lt;isbn&gt;0004-1254 (Print)&amp;#xD;0004-1254&lt;/isbn&gt;&lt;accession-num&gt;18407867&lt;/accession-num&gt;&lt;urls&gt;&lt;related-urls&gt;&lt;url&gt;https://www.degruyter.com/downloadpdf/j/aiht.2008.59.issue-1/10004-1254-59-2008-1863/10004-1254-59-2008-1863.pdf&lt;/url&gt;&lt;/related-urls&gt;&lt;/urls&gt;&lt;electronic-resource-num&gt;10.2478/10004-1254-59-2008-1863&lt;/electronic-resource-num&gt;&lt;remote-database-provider&gt;NLM&lt;/remote-database-provider&gt;&lt;language&gt;eng&lt;/language&gt;&lt;/record&gt;&lt;/Cite&gt;&lt;/EndNote&gt;</w:instrText>
      </w:r>
      <w:r w:rsidR="008A4F57">
        <w:fldChar w:fldCharType="separate"/>
      </w:r>
      <w:r w:rsidR="009A51AE">
        <w:rPr>
          <w:noProof/>
        </w:rPr>
        <w:t>[14]</w:t>
      </w:r>
      <w:r w:rsidR="008A4F57">
        <w:fldChar w:fldCharType="end"/>
      </w:r>
      <w:r>
        <w:t xml:space="preserve"> pointed </w:t>
      </w:r>
      <w:r w:rsidR="003C3B1F">
        <w:t xml:space="preserve">out </w:t>
      </w:r>
      <w:r>
        <w:t xml:space="preserve">that two tobacco-related factors were among those independently associated with risk of laryngeal cancer: </w:t>
      </w:r>
      <w:r w:rsidRPr="006111BE">
        <w:t>cigarette smoking for more than 40 years (OR=4.32, CI 95% = 1.69 to 11.06)</w:t>
      </w:r>
      <w:r>
        <w:t xml:space="preserve"> and</w:t>
      </w:r>
      <w:r w:rsidRPr="006111BE">
        <w:t xml:space="preserve"> smoking more than 30 cigarettes per day (OR=4.24, CI 95% = 1.75 to 10.27)</w:t>
      </w:r>
      <w:r>
        <w:t>.</w:t>
      </w:r>
    </w:p>
    <w:p w:rsidR="00E71FD8" w:rsidRDefault="00E71FD8" w:rsidP="00502EF5">
      <w:pPr>
        <w:pStyle w:val="2"/>
      </w:pPr>
      <w:bookmarkStart w:id="26" w:name="_Toc482360289"/>
      <w:bookmarkStart w:id="27" w:name="_Toc12207118"/>
      <w:r>
        <w:t xml:space="preserve">Tobacco control </w:t>
      </w:r>
      <w:r w:rsidR="009F6CF2">
        <w:t>polici</w:t>
      </w:r>
      <w:r>
        <w:t>es</w:t>
      </w:r>
      <w:bookmarkEnd w:id="26"/>
      <w:bookmarkEnd w:id="27"/>
    </w:p>
    <w:p w:rsidR="00064433" w:rsidRDefault="00064433" w:rsidP="009A51AE">
      <w:r>
        <w:t>Antismoking activities were relatively developed in former Yugoslavia. At least as early as in 1982</w:t>
      </w:r>
      <w:r w:rsidR="00BA05E0">
        <w:t>,</w:t>
      </w:r>
      <w:r>
        <w:t xml:space="preserve"> </w:t>
      </w:r>
      <w:r w:rsidRPr="00064433">
        <w:t xml:space="preserve">medical students of the former Yugoslavia </w:t>
      </w:r>
      <w:r>
        <w:t>started</w:t>
      </w:r>
      <w:r w:rsidRPr="00064433">
        <w:t xml:space="preserve"> a national preventive campaign "January 31st, a Day without Cigarette". This campaign was soon recognized by the World Health Organization (WHO) as one of "the most successful preventive achievement of medical students in Europe"</w:t>
      </w:r>
      <w:r>
        <w:t xml:space="preserve"> </w:t>
      </w:r>
      <w:r w:rsidR="008A4F57">
        <w:fldChar w:fldCharType="begin"/>
      </w:r>
      <w:r w:rsidR="009A51AE">
        <w:instrText xml:space="preserve"> ADDIN EN.CITE &lt;EndNote&gt;&lt;Cite&gt;&lt;Author&gt;Zizic-Borjanovic&lt;/Author&gt;&lt;Year&gt;2007&lt;/Year&gt;&lt;RecNum&gt;4681&lt;/RecNum&gt;&lt;DisplayText&gt;[2]&lt;/DisplayText&gt;&lt;record&gt;&lt;rec-number&gt;4681&lt;/rec-number&gt;&lt;foreign-keys&gt;&lt;key app="EN" db-id="ep9zdt9a8tdpsseaptvpd555505tfr02pr2e" timestamp="1494080931"&gt;4681&lt;/key&gt;&lt;/foreign-keys&gt;&lt;ref-type name="Journal Article"&gt;17&lt;/ref-type&gt;&lt;contributors&gt;&lt;authors&gt;&lt;author&gt;Zizic-Borjanovic, S.&lt;/author&gt;&lt;author&gt;Jerinic, M.&lt;/author&gt;&lt;author&gt;Igic, R.&lt;/author&gt;&lt;/authors&gt;&lt;/contributors&gt;&lt;auth-address&gt;Institute of Public Health of Serbia Dr. Milan Jovanovic Batut, Belgrade, Serbia.&lt;/auth-address&gt;&lt;titles&gt;&lt;title&gt;Twenty five years of antismoking movement started by medical students: some further goals&lt;/title&gt;&lt;secondary-title&gt;J buon&lt;/secondary-title&gt;&lt;alt-title&gt;Journal of B.U.ON. : official journal of the Balkan Union of Oncology&lt;/alt-title&gt;&lt;/titles&gt;&lt;periodical&gt;&lt;full-title&gt;J buon&lt;/full-title&gt;&lt;abbr-1&gt;Journal of B.U.ON. : official journal of the Balkan Union of Oncology&lt;/abbr-1&gt;&lt;/periodical&gt;&lt;alt-periodical&gt;&lt;full-title&gt;J buon&lt;/full-title&gt;&lt;abbr-1&gt;Journal of B.U.ON. : official journal of the Balkan Union of Oncology&lt;/abbr-1&gt;&lt;/alt-periodical&gt;&lt;pages&gt;181-4&lt;/pages&gt;&lt;volume&gt;12&lt;/volume&gt;&lt;number&gt;2&lt;/number&gt;&lt;edition&gt;2007/06/30&lt;/edition&gt;&lt;keywords&gt;&lt;keyword&gt;Advertising as Topic&lt;/keyword&gt;&lt;keyword&gt;Attitude to Health&lt;/keyword&gt;&lt;keyword&gt;Counseling&lt;/keyword&gt;&lt;keyword&gt;Europe&lt;/keyword&gt;&lt;keyword&gt;Health Behavior&lt;/keyword&gt;&lt;keyword&gt;*Health Promotion&lt;/keyword&gt;&lt;keyword&gt;Humans&lt;/keyword&gt;&lt;keyword&gt;*Physician&amp;apos;s Role&lt;/keyword&gt;&lt;keyword&gt;*Smoking Cessation&lt;/keyword&gt;&lt;keyword&gt;*Students, Medical&lt;/keyword&gt;&lt;keyword&gt;Tobacco Use Disorder/prevention &amp;amp; control&lt;/keyword&gt;&lt;keyword&gt;Yugoslavia&lt;/keyword&gt;&lt;/keywords&gt;&lt;dates&gt;&lt;year&gt;2007&lt;/year&gt;&lt;pub-dates&gt;&lt;date&gt;Apr-Jun&lt;/date&gt;&lt;/pub-dates&gt;&lt;/dates&gt;&lt;isbn&gt;1107-0625 (Print)&amp;#xD;1107-0625&lt;/isbn&gt;&lt;accession-num&gt;17600869&lt;/accession-num&gt;&lt;urls&gt;&lt;/urls&gt;&lt;remote-database-provider&gt;NLM&lt;/remote-database-provider&gt;&lt;language&gt;eng&lt;/language&gt;&lt;/record&gt;&lt;/Cite&gt;&lt;/EndNote&gt;</w:instrText>
      </w:r>
      <w:r w:rsidR="008A4F57">
        <w:fldChar w:fldCharType="separate"/>
      </w:r>
      <w:r w:rsidR="009A51AE">
        <w:rPr>
          <w:noProof/>
        </w:rPr>
        <w:t>[2]</w:t>
      </w:r>
      <w:r w:rsidR="008A4F57">
        <w:fldChar w:fldCharType="end"/>
      </w:r>
      <w:r w:rsidRPr="00064433">
        <w:t xml:space="preserve">. </w:t>
      </w:r>
    </w:p>
    <w:p w:rsidR="00365AC2" w:rsidRPr="00365AC2" w:rsidRDefault="00365AC2" w:rsidP="00BA05E0">
      <w:r>
        <w:t xml:space="preserve">The Law on </w:t>
      </w:r>
      <w:r w:rsidR="00BA05E0">
        <w:t xml:space="preserve">the restriction of </w:t>
      </w:r>
      <w:r>
        <w:t xml:space="preserve">tobacco product use </w:t>
      </w:r>
      <w:r w:rsidR="00BA05E0">
        <w:t xml:space="preserve">was adopted </w:t>
      </w:r>
      <w:r w:rsidR="008A5385">
        <w:t xml:space="preserve">in Montenegro </w:t>
      </w:r>
      <w:r>
        <w:t xml:space="preserve">in 2004 and amended in 2011 and 2016 </w:t>
      </w:r>
      <w:r>
        <w:rPr>
          <w:rStyle w:val="a8"/>
        </w:rPr>
        <w:footnoteReference w:id="4"/>
      </w:r>
    </w:p>
    <w:p w:rsidR="00DF5B47" w:rsidRDefault="00B953EC" w:rsidP="009A51AE">
      <w:r>
        <w:t xml:space="preserve">As documented in the country profile information </w:t>
      </w:r>
      <w:r w:rsidR="008A4F57">
        <w:fldChar w:fldCharType="begin"/>
      </w:r>
      <w:r w:rsidR="009A51AE">
        <w:instrText xml:space="preserve"> ADDIN EN.CITE &lt;EndNote&gt;&lt;Cite&gt;&lt;Year&gt;2015&lt;/Year&gt;&lt;RecNum&gt;4687&lt;/RecNum&gt;&lt;DisplayText&gt;[3, 4]&lt;/DisplayText&gt;&lt;record&gt;&lt;rec-number&gt;4687&lt;/rec-number&gt;&lt;foreign-keys&gt;&lt;key app="EN" db-id="ep9zdt9a8tdpsseaptvpd555505tfr02pr2e" timestamp="1494501650"&gt;4687&lt;/key&gt;&lt;/foreign-keys&gt;&lt;ref-type name="Web Page"&gt;12&lt;/ref-type&gt;&lt;contributors&gt;&lt;/contributors&gt;&lt;titles&gt;&lt;title&gt;WHO Report on the Global Tobacco Epidemic, Country profile: Montenegro&lt;/title&gt;&lt;/titles&gt;&lt;dates&gt;&lt;year&gt;2015&lt;/year&gt;&lt;/dates&gt;&lt;publisher&gt;World Health Organization&lt;/publisher&gt;&lt;urls&gt;&lt;related-urls&gt;&lt;url&gt;http://www.who.int/tobacco/surveillance/policy/country_profile/mne.pdf&lt;/url&gt;&lt;/related-urls&gt;&lt;/urls&gt;&lt;/record&gt;&lt;/Cite&gt;&lt;Cite&gt;&lt;Year&gt;2016&lt;/Year&gt;&lt;RecNum&gt;4686&lt;/RecNum&gt;&lt;record&gt;&lt;rec-number&gt;4686&lt;/rec-number&gt;&lt;foreign-keys&gt;&lt;key app="EN" db-id="ep9zdt9a8tdpsseaptvpd555505tfr02pr2e" timestamp="1494501074"&gt;4686&lt;/key&gt;&lt;/foreign-keys&gt;&lt;ref-type name="Web Page"&gt;12&lt;/ref-type&gt;&lt;contributors&gt;&lt;/contributors&gt;&lt;titles&gt;&lt;title&gt;Montenegro. Health impact of tobacco control policies in line with the WHO Framework Convention on Tobacco Control (WHO FCTC)&lt;/title&gt;&lt;secondary-title&gt;Tobacco Control Fact Sheet&lt;/secondary-title&gt;&lt;/titles&gt;&lt;dates&gt;&lt;year&gt;2016&lt;/year&gt;&lt;/dates&gt;&lt;publisher&gt;World Health Organization&lt;/publisher&gt;&lt;urls&gt;&lt;related-urls&gt;&lt;url&gt;http://www.euro.who.int/__data/assets/pdf_file/0005/312593/Tobacco-control-fact-sheet-Montenegro.pdf&lt;/url&gt;&lt;/related-urls&gt;&lt;/urls&gt;&lt;/record&gt;&lt;/Cite&gt;&lt;/EndNote&gt;</w:instrText>
      </w:r>
      <w:r w:rsidR="008A4F57">
        <w:fldChar w:fldCharType="separate"/>
      </w:r>
      <w:r w:rsidR="009A51AE">
        <w:rPr>
          <w:noProof/>
        </w:rPr>
        <w:t>[3, 4]</w:t>
      </w:r>
      <w:r w:rsidR="008A4F57">
        <w:fldChar w:fldCharType="end"/>
      </w:r>
      <w:r>
        <w:t>, various parts of the WHO MPOWER package are currently at differing levels of implementation.</w:t>
      </w:r>
    </w:p>
    <w:p w:rsidR="00B953EC" w:rsidRDefault="009A51AE" w:rsidP="00502EF5">
      <w:pPr>
        <w:pStyle w:val="3"/>
      </w:pPr>
      <w:bookmarkStart w:id="28" w:name="_Toc482360290"/>
      <w:bookmarkStart w:id="29" w:name="_Toc12207119"/>
      <w:r>
        <w:lastRenderedPageBreak/>
        <w:t>Smoke</w:t>
      </w:r>
      <w:bookmarkEnd w:id="28"/>
      <w:r>
        <w:t>-free places</w:t>
      </w:r>
      <w:bookmarkEnd w:id="29"/>
    </w:p>
    <w:p w:rsidR="00B953EC" w:rsidRDefault="009A51AE" w:rsidP="009A51AE">
      <w:r>
        <w:t xml:space="preserve">Although </w:t>
      </w:r>
      <w:r w:rsidR="00B953EC">
        <w:t>smoke-free environments are provided in health-care facilities, educational facilities, universities</w:t>
      </w:r>
      <w:r>
        <w:t>,</w:t>
      </w:r>
      <w:r w:rsidR="00B953EC">
        <w:t xml:space="preserve"> and government facilities, no compliance with the requirements of the FCTC has been achieved with regard to </w:t>
      </w:r>
      <w:r w:rsidR="00B953EC" w:rsidRPr="00B953EC">
        <w:t>public transport</w:t>
      </w:r>
      <w:r w:rsidR="00B953EC">
        <w:t xml:space="preserve">, </w:t>
      </w:r>
      <w:r w:rsidR="00B953EC" w:rsidRPr="00B953EC">
        <w:t>indoor offices and workplaces</w:t>
      </w:r>
      <w:r w:rsidR="00B953EC">
        <w:t xml:space="preserve"> as well as restaurants, cafés, pubs and bars</w:t>
      </w:r>
      <w:r>
        <w:t>.</w:t>
      </w:r>
      <w:r w:rsidR="004A1C25">
        <w:t>.</w:t>
      </w:r>
    </w:p>
    <w:p w:rsidR="004A1C25" w:rsidRDefault="009A51AE" w:rsidP="00502EF5">
      <w:pPr>
        <w:pStyle w:val="3"/>
      </w:pPr>
      <w:bookmarkStart w:id="30" w:name="_Toc12207120"/>
      <w:r>
        <w:t>Smoking cessation</w:t>
      </w:r>
      <w:bookmarkEnd w:id="30"/>
    </w:p>
    <w:p w:rsidR="004A1C25" w:rsidRDefault="004A1C25" w:rsidP="009A51AE">
      <w:r>
        <w:t xml:space="preserve">As reported </w:t>
      </w:r>
      <w:r w:rsidR="008A4F57">
        <w:fldChar w:fldCharType="begin"/>
      </w:r>
      <w:r w:rsidR="009A51AE">
        <w:instrText xml:space="preserve"> ADDIN EN.CITE &lt;EndNote&gt;&lt;Cite&gt;&lt;Year&gt;2015&lt;/Year&gt;&lt;RecNum&gt;4687&lt;/RecNum&gt;&lt;DisplayText&gt;[4]&lt;/DisplayText&gt;&lt;record&gt;&lt;rec-number&gt;4687&lt;/rec-number&gt;&lt;foreign-keys&gt;&lt;key app="EN" db-id="ep9zdt9a8tdpsseaptvpd555505tfr02pr2e" timestamp="1494501650"&gt;4687&lt;/key&gt;&lt;/foreign-keys&gt;&lt;ref-type name="Web Page"&gt;12&lt;/ref-type&gt;&lt;contributors&gt;&lt;/contributors&gt;&lt;titles&gt;&lt;title&gt;WHO Report on the Global Tobacco Epidemic, Country profile: Montenegro&lt;/title&gt;&lt;/titles&gt;&lt;dates&gt;&lt;year&gt;2015&lt;/year&gt;&lt;/dates&gt;&lt;publisher&gt;World Health Organization&lt;/publisher&gt;&lt;urls&gt;&lt;related-urls&gt;&lt;url&gt;http://www.who.int/tobacco/surveillance/policy/country_profile/mne.pdf&lt;/url&gt;&lt;/related-urls&gt;&lt;/urls&gt;&lt;/record&gt;&lt;/Cite&gt;&lt;/EndNote&gt;</w:instrText>
      </w:r>
      <w:r w:rsidR="008A4F57">
        <w:fldChar w:fldCharType="separate"/>
      </w:r>
      <w:r w:rsidR="009A51AE">
        <w:rPr>
          <w:noProof/>
        </w:rPr>
        <w:t>[4]</w:t>
      </w:r>
      <w:r w:rsidR="008A4F57">
        <w:fldChar w:fldCharType="end"/>
      </w:r>
      <w:r>
        <w:t xml:space="preserve">, </w:t>
      </w:r>
      <w:r w:rsidR="009A51AE">
        <w:t>al</w:t>
      </w:r>
      <w:r>
        <w:t>though smoking cessation support is covered by the national/federal health insurance or the national health service, none of the smoking cessation medicines are legally sold in the country.</w:t>
      </w:r>
    </w:p>
    <w:p w:rsidR="004A1C25" w:rsidRDefault="009A51AE" w:rsidP="009A51AE">
      <w:pPr>
        <w:pStyle w:val="3"/>
      </w:pPr>
      <w:bookmarkStart w:id="31" w:name="_Toc482360292"/>
      <w:bookmarkStart w:id="32" w:name="_Toc12207121"/>
      <w:r>
        <w:t>Health warnings</w:t>
      </w:r>
      <w:bookmarkEnd w:id="32"/>
      <w:r>
        <w:t xml:space="preserve"> </w:t>
      </w:r>
      <w:bookmarkEnd w:id="31"/>
    </w:p>
    <w:p w:rsidR="00FE5FAA" w:rsidRDefault="004A1C25" w:rsidP="009A51AE">
      <w:r>
        <w:t xml:space="preserve">Health warnings written in Montenegrin language cover 30% of the front and 40% of the </w:t>
      </w:r>
      <w:r w:rsidR="00CF5E1B">
        <w:t xml:space="preserve">back side. According to the EU Directive </w:t>
      </w:r>
      <w:r w:rsidR="008A5385">
        <w:t>2001/</w:t>
      </w:r>
      <w:r w:rsidR="00CF5E1B">
        <w:t>37, tobacco packs are bearing information on t</w:t>
      </w:r>
      <w:r w:rsidR="00FE5FAA">
        <w:t>he content of tar and nicotine</w:t>
      </w:r>
      <w:r w:rsidR="00CF5E1B">
        <w:t>.</w:t>
      </w:r>
      <w:bookmarkStart w:id="33" w:name="_Toc482360293"/>
    </w:p>
    <w:p w:rsidR="00CF5E1B" w:rsidRDefault="009A51AE" w:rsidP="00FE5FAA">
      <w:pPr>
        <w:pStyle w:val="3"/>
      </w:pPr>
      <w:bookmarkStart w:id="34" w:name="_Toc12207122"/>
      <w:r>
        <w:t xml:space="preserve">Tobacco </w:t>
      </w:r>
      <w:r w:rsidR="00CF5E1B">
        <w:t>advertising, promotion</w:t>
      </w:r>
      <w:r>
        <w:t>,</w:t>
      </w:r>
      <w:r w:rsidR="00CF5E1B">
        <w:t xml:space="preserve"> and </w:t>
      </w:r>
      <w:r w:rsidR="00FF0F2C">
        <w:t>sponsorship</w:t>
      </w:r>
      <w:bookmarkEnd w:id="33"/>
      <w:bookmarkEnd w:id="34"/>
    </w:p>
    <w:p w:rsidR="00212F8E" w:rsidRDefault="00FF0F2C" w:rsidP="0074547D">
      <w:r>
        <w:t xml:space="preserve">While most of the FCTC and MPOWER requirements are reported to be met, as reported </w:t>
      </w:r>
      <w:r w:rsidR="008A4F57">
        <w:fldChar w:fldCharType="begin"/>
      </w:r>
      <w:r w:rsidR="009A51AE">
        <w:instrText xml:space="preserve"> ADDIN EN.CITE &lt;EndNote&gt;&lt;Cite&gt;&lt;Year&gt;2015&lt;/Year&gt;&lt;RecNum&gt;4687&lt;/RecNum&gt;&lt;DisplayText&gt;[4]&lt;/DisplayText&gt;&lt;record&gt;&lt;rec-number&gt;4687&lt;/rec-number&gt;&lt;foreign-keys&gt;&lt;key app="EN" db-id="ep9zdt9a8tdpsseaptvpd555505tfr02pr2e" timestamp="1494501650"&gt;4687&lt;/key&gt;&lt;/foreign-keys&gt;&lt;ref-type name="Web Page"&gt;12&lt;/ref-type&gt;&lt;contributors&gt;&lt;/contributors&gt;&lt;titles&gt;&lt;title&gt;WHO Report on the Global Tobacco Epidemic, Country profile: Montenegro&lt;/title&gt;&lt;/titles&gt;&lt;dates&gt;&lt;year&gt;2015&lt;/year&gt;&lt;/dates&gt;&lt;publisher&gt;World Health Organization&lt;/publisher&gt;&lt;urls&gt;&lt;related-urls&gt;&lt;url&gt;http://www.who.int/tobacco/surveillance/policy/country_profile/mne.pdf&lt;/url&gt;&lt;/related-urls&gt;&lt;/urls&gt;&lt;/record&gt;&lt;/Cite&gt;&lt;/EndNote&gt;</w:instrText>
      </w:r>
      <w:r w:rsidR="008A4F57">
        <w:fldChar w:fldCharType="separate"/>
      </w:r>
      <w:r w:rsidR="009A51AE">
        <w:rPr>
          <w:noProof/>
        </w:rPr>
        <w:t>[4]</w:t>
      </w:r>
      <w:r w:rsidR="008A4F57">
        <w:fldChar w:fldCharType="end"/>
      </w:r>
      <w:r>
        <w:t xml:space="preserve">, Montenegro did not achieve the ban of direct tobacco advertising </w:t>
      </w:r>
      <w:r w:rsidRPr="00FF0F2C">
        <w:t>at point of sale</w:t>
      </w:r>
      <w:r>
        <w:t xml:space="preserve">, and did not ban </w:t>
      </w:r>
      <w:r w:rsidRPr="00FF0F2C">
        <w:t>appearance of tobacco products in TV and/or films</w:t>
      </w:r>
      <w:r>
        <w:t xml:space="preserve">. Additionally, based </w:t>
      </w:r>
      <w:r w:rsidR="00212F8E">
        <w:t xml:space="preserve">on the Global Youth Tobacco Survey conducted in 2003-2004 </w:t>
      </w:r>
      <w:r w:rsidR="008A4F57">
        <w:fldChar w:fldCharType="begin"/>
      </w:r>
      <w:r w:rsidR="009A51AE">
        <w:instrText xml:space="preserve"> ADDIN EN.CITE &lt;EndNote&gt;&lt;Cite&gt;&lt;Author&gt;Baska&lt;/Author&gt;&lt;Year&gt;2009&lt;/Year&gt;&lt;RecNum&gt;4683&lt;/RecNum&gt;&lt;DisplayText&gt;[8]&lt;/DisplayText&gt;&lt;record&gt;&lt;rec-number&gt;4683&lt;/rec-number&gt;&lt;foreign-keys&gt;&lt;key app="EN" db-id="ep9zdt9a8tdpsseaptvpd555505tfr02pr2e" timestamp="1494143358"&gt;4683&lt;/key&gt;&lt;/foreign-keys&gt;&lt;ref-type name="Journal Article"&gt;17&lt;/ref-type&gt;&lt;contributors&gt;&lt;authors&gt;&lt;author&gt;Baska, T.&lt;/author&gt;&lt;author&gt;Warren, C. W.&lt;/author&gt;&lt;author&gt;Baskova, M.&lt;/author&gt;&lt;author&gt;Jones, N. R.&lt;/author&gt;&lt;/authors&gt;&lt;/contributors&gt;&lt;auth-address&gt;Department of Epidemiology, Institute of Public Health, Jessenius Faculty of Medicine, Comenius University, Sklabinska 26, 037 53 Martin, Slovakia. baska@jfmed.uniba.sk&lt;/auth-address&gt;&lt;titles&gt;&lt;title&gt;Prevalence of youth cigarette smoking and selected social factors in 25 European countries: findings from the Global Youth Tobacco Survey&lt;/title&gt;&lt;secondary-title&gt;Int J Public Health&lt;/secondary-title&gt;&lt;alt-title&gt;International journal of public health&lt;/alt-title&gt;&lt;/titles&gt;&lt;periodical&gt;&lt;full-title&gt;Int J Public Health&lt;/full-title&gt;&lt;/periodical&gt;&lt;alt-periodical&gt;&lt;full-title&gt;International Journal of Public Health&lt;/full-title&gt;&lt;/alt-periodical&gt;&lt;pages&gt;439-45&lt;/pages&gt;&lt;volume&gt;54&lt;/volume&gt;&lt;number&gt;6&lt;/number&gt;&lt;edition&gt;2009/08/15&lt;/edition&gt;&lt;keywords&gt;&lt;keyword&gt;Adolescent&lt;/keyword&gt;&lt;keyword&gt;Advertising as Topic&lt;/keyword&gt;&lt;keyword&gt;Europe/epidemiology&lt;/keyword&gt;&lt;keyword&gt;Female&lt;/keyword&gt;&lt;keyword&gt;Health Surveys&lt;/keyword&gt;&lt;keyword&gt;Humans&lt;/keyword&gt;&lt;keyword&gt;Male&lt;/keyword&gt;&lt;keyword&gt;Smoking/*epidemiology&lt;/keyword&gt;&lt;keyword&gt;*Social Environment&lt;/keyword&gt;&lt;keyword&gt;Tobacco Smoke Pollution&lt;/keyword&gt;&lt;/keywords&gt;&lt;dates&gt;&lt;year&gt;2009&lt;/year&gt;&lt;/dates&gt;&lt;isbn&gt;1661-8556&lt;/isbn&gt;&lt;accession-num&gt;19680601&lt;/accession-num&gt;&lt;urls&gt;&lt;related-urls&gt;&lt;url&gt;http://link.springer.com/article/10.1007%2Fs00038-009-0051-9&lt;/url&gt;&lt;/related-urls&gt;&lt;/urls&gt;&lt;electronic-resource-num&gt;10.1007/s00038-009-0051-9&lt;/electronic-resource-num&gt;&lt;remote-database-provider&gt;NLM&lt;/remote-database-provider&gt;&lt;language&gt;eng&lt;/language&gt;&lt;/record&gt;&lt;/Cite&gt;&lt;/EndNote&gt;</w:instrText>
      </w:r>
      <w:r w:rsidR="008A4F57">
        <w:fldChar w:fldCharType="separate"/>
      </w:r>
      <w:r w:rsidR="009A51AE">
        <w:rPr>
          <w:noProof/>
        </w:rPr>
        <w:t>[8]</w:t>
      </w:r>
      <w:r w:rsidR="008A4F57">
        <w:fldChar w:fldCharType="end"/>
      </w:r>
      <w:r w:rsidR="00212F8E">
        <w:t xml:space="preserve">, </w:t>
      </w:r>
      <w:r w:rsidR="00212F8E" w:rsidRPr="00E71FD8">
        <w:t>Montenegro</w:t>
      </w:r>
      <w:r w:rsidR="0074547D">
        <w:t>,</w:t>
      </w:r>
      <w:r w:rsidR="00212F8E">
        <w:t xml:space="preserve"> along with Poland and Serbia</w:t>
      </w:r>
      <w:r w:rsidR="0074547D">
        <w:t>,</w:t>
      </w:r>
      <w:r w:rsidR="00212F8E">
        <w:t xml:space="preserve"> was mentioned among the countries with </w:t>
      </w:r>
      <w:r w:rsidR="0074547D">
        <w:t xml:space="preserve">more than </w:t>
      </w:r>
      <w:r w:rsidR="00212F8E">
        <w:t xml:space="preserve">20% </w:t>
      </w:r>
      <w:r w:rsidR="0074547D">
        <w:t xml:space="preserve">of </w:t>
      </w:r>
      <w:r w:rsidR="00212F8E">
        <w:t xml:space="preserve">adolescents reporting to have been offered free cigarettes. </w:t>
      </w:r>
    </w:p>
    <w:p w:rsidR="00E56EE4" w:rsidRDefault="00E71FD8" w:rsidP="009A51AE">
      <w:r>
        <w:t xml:space="preserve">Based on the Global Youth Tobacco Survey data </w:t>
      </w:r>
      <w:r w:rsidR="008A4F57">
        <w:fldChar w:fldCharType="begin">
          <w:fldData xml:space="preserve">PEVuZE5vdGU+PENpdGU+PEF1dGhvcj5EJmFwb3M7QW5nZWxvPC9BdXRob3I+PFllYXI+MjAxNjwv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</w:fldData>
        </w:fldChar>
      </w:r>
      <w:r w:rsidR="009A51AE">
        <w:instrText xml:space="preserve"> ADDIN EN.CITE </w:instrText>
      </w:r>
      <w:r w:rsidR="008A4F57">
        <w:fldChar w:fldCharType="begin">
          <w:fldData xml:space="preserve">PEVuZE5vdGU+PENpdGU+PEF1dGhvcj5EJmFwb3M7QW5nZWxvPC9BdXRob3I+PFllYXI+MjAxNjwv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</w:fldData>
        </w:fldChar>
      </w:r>
      <w:r w:rsidR="009A51AE">
        <w:instrText xml:space="preserve"> ADDIN EN.CITE.DATA </w:instrText>
      </w:r>
      <w:r w:rsidR="008A4F57">
        <w:fldChar w:fldCharType="end"/>
      </w:r>
      <w:r w:rsidR="008A4F57">
        <w:fldChar w:fldCharType="separate"/>
      </w:r>
      <w:r w:rsidR="009A51AE">
        <w:rPr>
          <w:noProof/>
        </w:rPr>
        <w:t>[10]</w:t>
      </w:r>
      <w:r w:rsidR="008A4F57">
        <w:fldChar w:fldCharType="end"/>
      </w:r>
      <w:r>
        <w:t xml:space="preserve">, </w:t>
      </w:r>
      <w:r w:rsidRPr="00E71FD8">
        <w:t>Montenegro</w:t>
      </w:r>
      <w:r>
        <w:t xml:space="preserve"> was mentioned among the countries with very high access of adolescent smokers to purchasing cigarettes in retail outlets: </w:t>
      </w:r>
      <w:r w:rsidRPr="00E71FD8">
        <w:t>95.1% of current cigarette smokers aged 13-15 years</w:t>
      </w:r>
      <w:r>
        <w:t xml:space="preserve"> </w:t>
      </w:r>
      <w:r w:rsidRPr="00E71FD8">
        <w:t>reported purchasing cigarettes from a retail outlet such as a store, street vendor, or kiosk during the past 30 days</w:t>
      </w:r>
      <w:r w:rsidR="00E56EE4">
        <w:t xml:space="preserve">. Purchasing cigarettes in packs was reported by </w:t>
      </w:r>
      <w:r w:rsidR="00E56EE4" w:rsidRPr="009D24AD">
        <w:t>85.4</w:t>
      </w:r>
      <w:r w:rsidR="00E56EE4">
        <w:t>% </w:t>
      </w:r>
      <w:r w:rsidR="00E56EE4" w:rsidRPr="009D24AD">
        <w:t>(67.1–94.4)</w:t>
      </w:r>
      <w:r w:rsidR="00E56EE4">
        <w:t xml:space="preserve"> and in single cigarettes by </w:t>
      </w:r>
      <w:r w:rsidR="00E56EE4" w:rsidRPr="009D24AD">
        <w:t>5.5 (1.9–14.9)</w:t>
      </w:r>
      <w:r w:rsidR="00E56EE4">
        <w:t>.</w:t>
      </w:r>
    </w:p>
    <w:p w:rsidR="009D397D" w:rsidRPr="00343381" w:rsidRDefault="009D397D" w:rsidP="00FE5FAA">
      <w:pPr>
        <w:pStyle w:val="2"/>
      </w:pPr>
      <w:bookmarkStart w:id="35" w:name="_Toc482360294"/>
      <w:bookmarkStart w:id="36" w:name="_Toc12207123"/>
      <w:r w:rsidRPr="00343381">
        <w:t>Tobacco taxation policy</w:t>
      </w:r>
      <w:bookmarkEnd w:id="36"/>
      <w:r w:rsidRPr="00343381">
        <w:t xml:space="preserve"> </w:t>
      </w:r>
      <w:bookmarkEnd w:id="35"/>
    </w:p>
    <w:p w:rsidR="009D397D" w:rsidRPr="00343381" w:rsidRDefault="009D397D" w:rsidP="00502EF5">
      <w:pPr>
        <w:pStyle w:val="4"/>
      </w:pPr>
      <w:bookmarkStart w:id="37" w:name="_Toc482360295"/>
      <w:r w:rsidRPr="00343381">
        <w:t>Data sources</w:t>
      </w:r>
      <w:bookmarkEnd w:id="37"/>
    </w:p>
    <w:p w:rsidR="009D397D" w:rsidRPr="00343381" w:rsidRDefault="009D397D" w:rsidP="0074547D">
      <w:r w:rsidRPr="00343381">
        <w:t>Data on tobacco excise rates and the weighted average prices were taken from the official documents published on various Montenegrin sites. Data on consumer price</w:t>
      </w:r>
      <w:r w:rsidR="0074547D">
        <w:t>s</w:t>
      </w:r>
      <w:r w:rsidRPr="00343381">
        <w:t xml:space="preserve"> and other indices were taken from the website of the </w:t>
      </w:r>
      <w:r w:rsidR="0074547D" w:rsidRPr="00343381">
        <w:t xml:space="preserve">Montenegro </w:t>
      </w:r>
      <w:r w:rsidRPr="00343381">
        <w:t>Statistical Office (</w:t>
      </w:r>
      <w:r w:rsidRPr="002762AB">
        <w:t>http://monstat.org/eng/index.php</w:t>
      </w:r>
      <w:r w:rsidRPr="00343381">
        <w:t xml:space="preserve"> ). Data on tobacco revenues and some other indices were taken from the country FCTC reports and media reports. Data on retail prices of cigarette brands were taken from official price </w:t>
      </w:r>
      <w:r w:rsidRPr="009B6FA3">
        <w:t>announcements.</w:t>
      </w:r>
    </w:p>
    <w:p w:rsidR="009D397D" w:rsidRPr="00343381" w:rsidRDefault="009D397D" w:rsidP="009F6CF2">
      <w:pPr>
        <w:pStyle w:val="3"/>
      </w:pPr>
      <w:bookmarkStart w:id="38" w:name="_Toc482360296"/>
      <w:bookmarkStart w:id="39" w:name="_Toc12207124"/>
      <w:r w:rsidRPr="00343381">
        <w:t>Tobacco taxation changes in 2009–201</w:t>
      </w:r>
      <w:bookmarkEnd w:id="38"/>
      <w:r w:rsidR="00FE5FAA">
        <w:t>9</w:t>
      </w:r>
      <w:bookmarkEnd w:id="39"/>
    </w:p>
    <w:p w:rsidR="009D397D" w:rsidRDefault="009D397D">
      <w:r w:rsidRPr="00343381">
        <w:t xml:space="preserve">Montenegro has </w:t>
      </w:r>
      <w:r w:rsidR="0074547D">
        <w:t xml:space="preserve">a </w:t>
      </w:r>
      <w:r w:rsidRPr="00343381">
        <w:t xml:space="preserve">mixed excise </w:t>
      </w:r>
      <w:r w:rsidR="0074547D">
        <w:t>system</w:t>
      </w:r>
      <w:r w:rsidR="0074547D" w:rsidRPr="00343381">
        <w:t xml:space="preserve"> </w:t>
      </w:r>
      <w:r w:rsidRPr="00343381">
        <w:t>that includes both a specific tax component and an ad valorem tax component. From 2009, tobacco excise rates for cigarettes in Montenegro were changed almost every year (</w:t>
      </w:r>
      <w:r w:rsidR="008A4F57">
        <w:fldChar w:fldCharType="begin"/>
      </w:r>
      <w:r w:rsidR="00A73F0D">
        <w:instrText xml:space="preserve"> REF _Ref482282343 \h </w:instrText>
      </w:r>
      <w:r w:rsidR="008A4F57">
        <w:fldChar w:fldCharType="separate"/>
      </w:r>
      <w:r w:rsidR="00A73F0D">
        <w:t xml:space="preserve">Table </w:t>
      </w:r>
      <w:r w:rsidR="00A73F0D">
        <w:rPr>
          <w:noProof/>
        </w:rPr>
        <w:t>2</w:t>
      </w:r>
      <w:r w:rsidR="008A4F57">
        <w:fldChar w:fldCharType="end"/>
      </w:r>
      <w:r w:rsidRPr="00343381">
        <w:t>).</w:t>
      </w:r>
    </w:p>
    <w:p w:rsidR="0074547D" w:rsidRDefault="0074547D" w:rsidP="0074547D"/>
    <w:p w:rsidR="0074547D" w:rsidRDefault="0074547D" w:rsidP="0074547D">
      <w:pPr>
        <w:sectPr w:rsidR="0074547D" w:rsidSect="000D16A7">
          <w:headerReference w:type="default" r:id="rId10"/>
          <w:footerReference w:type="default" r:id="rId11"/>
          <w:pgSz w:w="12240" w:h="15840"/>
          <w:pgMar w:top="1134" w:right="850" w:bottom="1134" w:left="1701" w:header="708" w:footer="708" w:gutter="0"/>
          <w:cols w:space="708"/>
          <w:titlePg/>
          <w:docGrid w:linePitch="360"/>
        </w:sectPr>
      </w:pPr>
    </w:p>
    <w:p w:rsidR="009D397D" w:rsidRPr="00343381" w:rsidRDefault="00A73F0D" w:rsidP="00502EF5">
      <w:pPr>
        <w:pStyle w:val="af"/>
      </w:pPr>
      <w:bookmarkStart w:id="40" w:name="_Ref482282343"/>
      <w:r>
        <w:lastRenderedPageBreak/>
        <w:t xml:space="preserve">Table </w:t>
      </w:r>
      <w:r w:rsidR="008A4F57">
        <w:fldChar w:fldCharType="begin"/>
      </w:r>
      <w:r w:rsidR="009B50F6">
        <w:instrText xml:space="preserve"> SEQ Table \* ARABIC </w:instrText>
      </w:r>
      <w:r w:rsidR="008A4F57">
        <w:fldChar w:fldCharType="separate"/>
      </w:r>
      <w:r w:rsidR="00FF5642">
        <w:rPr>
          <w:noProof/>
        </w:rPr>
        <w:t>2</w:t>
      </w:r>
      <w:r w:rsidR="008A4F57">
        <w:rPr>
          <w:noProof/>
        </w:rPr>
        <w:fldChar w:fldCharType="end"/>
      </w:r>
      <w:bookmarkEnd w:id="40"/>
      <w:r w:rsidR="009D397D" w:rsidRPr="00343381">
        <w:t>. Tobacco excise taxes in Montenegro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4"/>
        <w:gridCol w:w="782"/>
        <w:gridCol w:w="678"/>
        <w:gridCol w:w="668"/>
        <w:gridCol w:w="668"/>
        <w:gridCol w:w="668"/>
        <w:gridCol w:w="695"/>
        <w:gridCol w:w="707"/>
        <w:gridCol w:w="707"/>
        <w:gridCol w:w="680"/>
        <w:gridCol w:w="680"/>
        <w:gridCol w:w="680"/>
        <w:gridCol w:w="680"/>
        <w:gridCol w:w="680"/>
        <w:gridCol w:w="680"/>
        <w:gridCol w:w="680"/>
        <w:gridCol w:w="680"/>
        <w:gridCol w:w="677"/>
        <w:gridCol w:w="657"/>
        <w:gridCol w:w="657"/>
      </w:tblGrid>
      <w:tr w:rsidR="00CE6AD9" w:rsidRPr="009B50F6" w:rsidTr="00D36F98">
        <w:trPr>
          <w:trHeight w:val="300"/>
        </w:trPr>
        <w:tc>
          <w:tcPr>
            <w:tcW w:w="603" w:type="pct"/>
            <w:shd w:val="clear" w:color="auto" w:fill="auto"/>
            <w:noWrap/>
            <w:vAlign w:val="bottom"/>
            <w:hideMark/>
          </w:tcPr>
          <w:p w:rsidR="00CE6AD9" w:rsidRPr="00502EF5" w:rsidRDefault="00CE6AD9" w:rsidP="0074547D">
            <w:pPr>
              <w:spacing w:before="0" w:after="0"/>
              <w:rPr>
                <w:rFonts w:eastAsia="Times New Roman"/>
              </w:rPr>
            </w:pPr>
            <w:r w:rsidRPr="00502EF5">
              <w:rPr>
                <w:rFonts w:eastAsia="Times New Roman"/>
              </w:rPr>
              <w:t>The date, when new excise was effective:</w:t>
            </w:r>
          </w:p>
        </w:tc>
        <w:tc>
          <w:tcPr>
            <w:tcW w:w="264" w:type="pct"/>
            <w:shd w:val="clear" w:color="auto" w:fill="auto"/>
            <w:noWrap/>
            <w:vAlign w:val="center"/>
            <w:hideMark/>
          </w:tcPr>
          <w:p w:rsidR="00CE6AD9" w:rsidRPr="002762AB" w:rsidRDefault="00CE6AD9" w:rsidP="0074547D">
            <w:pPr>
              <w:spacing w:before="0" w:after="0"/>
              <w:rPr>
                <w:rFonts w:eastAsia="Times New Roman"/>
                <w:sz w:val="20"/>
                <w:szCs w:val="20"/>
              </w:rPr>
            </w:pPr>
            <w:r w:rsidRPr="002762AB">
              <w:rPr>
                <w:rFonts w:eastAsia="Times New Roman"/>
                <w:sz w:val="20"/>
                <w:szCs w:val="20"/>
              </w:rPr>
              <w:t>2008</w:t>
            </w:r>
          </w:p>
        </w:tc>
        <w:tc>
          <w:tcPr>
            <w:tcW w:w="229" w:type="pct"/>
            <w:shd w:val="clear" w:color="auto" w:fill="auto"/>
            <w:noWrap/>
            <w:vAlign w:val="center"/>
            <w:hideMark/>
          </w:tcPr>
          <w:p w:rsidR="00CE6AD9" w:rsidRPr="002762AB" w:rsidRDefault="00CE6AD9" w:rsidP="0074547D">
            <w:pPr>
              <w:spacing w:before="0" w:after="0"/>
              <w:rPr>
                <w:rFonts w:eastAsia="Times New Roman"/>
                <w:sz w:val="20"/>
                <w:szCs w:val="20"/>
              </w:rPr>
            </w:pPr>
            <w:r w:rsidRPr="002762AB">
              <w:rPr>
                <w:rFonts w:eastAsia="Times New Roman"/>
                <w:sz w:val="20"/>
                <w:szCs w:val="20"/>
              </w:rPr>
              <w:t>1 Oct 2009</w:t>
            </w:r>
          </w:p>
        </w:tc>
        <w:tc>
          <w:tcPr>
            <w:tcW w:w="226" w:type="pct"/>
            <w:shd w:val="clear" w:color="auto" w:fill="auto"/>
            <w:noWrap/>
            <w:vAlign w:val="center"/>
            <w:hideMark/>
          </w:tcPr>
          <w:p w:rsidR="00CE6AD9" w:rsidRPr="002762AB" w:rsidRDefault="00CE6AD9" w:rsidP="0074547D">
            <w:pPr>
              <w:spacing w:before="0" w:after="0"/>
              <w:rPr>
                <w:rFonts w:eastAsia="Times New Roman"/>
                <w:sz w:val="20"/>
                <w:szCs w:val="20"/>
              </w:rPr>
            </w:pPr>
            <w:r w:rsidRPr="002762AB">
              <w:rPr>
                <w:rFonts w:eastAsia="Times New Roman"/>
                <w:sz w:val="20"/>
                <w:szCs w:val="20"/>
              </w:rPr>
              <w:t>1 Jan 2011</w:t>
            </w:r>
          </w:p>
        </w:tc>
        <w:tc>
          <w:tcPr>
            <w:tcW w:w="226" w:type="pct"/>
            <w:shd w:val="clear" w:color="auto" w:fill="auto"/>
            <w:noWrap/>
            <w:vAlign w:val="center"/>
            <w:hideMark/>
          </w:tcPr>
          <w:p w:rsidR="00CE6AD9" w:rsidRPr="002762AB" w:rsidRDefault="00CE6AD9" w:rsidP="0074547D">
            <w:pPr>
              <w:spacing w:before="0" w:after="0"/>
              <w:rPr>
                <w:rFonts w:eastAsia="Times New Roman"/>
                <w:sz w:val="20"/>
                <w:szCs w:val="20"/>
              </w:rPr>
            </w:pPr>
            <w:r w:rsidRPr="002762AB">
              <w:rPr>
                <w:rFonts w:eastAsia="Times New Roman"/>
                <w:sz w:val="20"/>
                <w:szCs w:val="20"/>
              </w:rPr>
              <w:t>1 Jan 2012</w:t>
            </w:r>
          </w:p>
        </w:tc>
        <w:tc>
          <w:tcPr>
            <w:tcW w:w="226" w:type="pct"/>
            <w:shd w:val="clear" w:color="auto" w:fill="auto"/>
            <w:noWrap/>
            <w:vAlign w:val="center"/>
            <w:hideMark/>
          </w:tcPr>
          <w:p w:rsidR="00CE6AD9" w:rsidRPr="002762AB" w:rsidRDefault="00CE6AD9" w:rsidP="0074547D">
            <w:pPr>
              <w:spacing w:before="0" w:after="0"/>
              <w:rPr>
                <w:rFonts w:eastAsia="Times New Roman"/>
                <w:sz w:val="20"/>
                <w:szCs w:val="20"/>
              </w:rPr>
            </w:pPr>
            <w:r w:rsidRPr="002762AB">
              <w:rPr>
                <w:rFonts w:eastAsia="Times New Roman"/>
                <w:sz w:val="20"/>
                <w:szCs w:val="20"/>
              </w:rPr>
              <w:t>1 Jan 2013</w:t>
            </w:r>
          </w:p>
        </w:tc>
        <w:tc>
          <w:tcPr>
            <w:tcW w:w="235" w:type="pct"/>
            <w:shd w:val="clear" w:color="auto" w:fill="auto"/>
            <w:noWrap/>
            <w:vAlign w:val="center"/>
            <w:hideMark/>
          </w:tcPr>
          <w:p w:rsidR="00CE6AD9" w:rsidRPr="002762AB" w:rsidRDefault="00CE6AD9" w:rsidP="0074547D">
            <w:pPr>
              <w:spacing w:before="0" w:after="0"/>
              <w:rPr>
                <w:rFonts w:eastAsia="Times New Roman"/>
                <w:sz w:val="20"/>
                <w:szCs w:val="20"/>
              </w:rPr>
            </w:pPr>
            <w:r w:rsidRPr="002762AB">
              <w:rPr>
                <w:rFonts w:eastAsia="Times New Roman"/>
                <w:sz w:val="20"/>
                <w:szCs w:val="20"/>
              </w:rPr>
              <w:t>1 Nov 2014</w:t>
            </w:r>
          </w:p>
        </w:tc>
        <w:tc>
          <w:tcPr>
            <w:tcW w:w="239" w:type="pct"/>
            <w:shd w:val="clear" w:color="auto" w:fill="auto"/>
            <w:noWrap/>
            <w:vAlign w:val="center"/>
            <w:hideMark/>
          </w:tcPr>
          <w:p w:rsidR="00CE6AD9" w:rsidRPr="002762AB" w:rsidRDefault="00CE6AD9" w:rsidP="0074547D">
            <w:pPr>
              <w:spacing w:before="0" w:after="0"/>
              <w:rPr>
                <w:rFonts w:eastAsia="Times New Roman"/>
                <w:sz w:val="20"/>
                <w:szCs w:val="20"/>
              </w:rPr>
            </w:pPr>
            <w:r w:rsidRPr="002762AB">
              <w:rPr>
                <w:rFonts w:eastAsia="Times New Roman"/>
                <w:sz w:val="20"/>
                <w:szCs w:val="20"/>
              </w:rPr>
              <w:t>1 Apr 2015</w:t>
            </w:r>
          </w:p>
        </w:tc>
        <w:tc>
          <w:tcPr>
            <w:tcW w:w="239" w:type="pct"/>
            <w:shd w:val="clear" w:color="auto" w:fill="auto"/>
            <w:noWrap/>
            <w:vAlign w:val="center"/>
            <w:hideMark/>
          </w:tcPr>
          <w:p w:rsidR="00CE6AD9" w:rsidRPr="002762AB" w:rsidRDefault="00CE6AD9" w:rsidP="0074547D">
            <w:pPr>
              <w:spacing w:before="0" w:after="0"/>
              <w:rPr>
                <w:rFonts w:eastAsia="Times New Roman"/>
                <w:sz w:val="20"/>
                <w:szCs w:val="20"/>
              </w:rPr>
            </w:pPr>
            <w:r w:rsidRPr="002762AB">
              <w:rPr>
                <w:rFonts w:eastAsia="Times New Roman"/>
                <w:sz w:val="20"/>
                <w:szCs w:val="20"/>
              </w:rPr>
              <w:t>1 Apr 2016</w:t>
            </w:r>
          </w:p>
        </w:tc>
        <w:tc>
          <w:tcPr>
            <w:tcW w:w="230" w:type="pct"/>
            <w:shd w:val="clear" w:color="auto" w:fill="auto"/>
            <w:noWrap/>
            <w:vAlign w:val="center"/>
            <w:hideMark/>
          </w:tcPr>
          <w:p w:rsidR="00CE6AD9" w:rsidRPr="002762AB" w:rsidRDefault="00CE6AD9" w:rsidP="0074547D">
            <w:pPr>
              <w:spacing w:before="0" w:after="0"/>
              <w:rPr>
                <w:rFonts w:eastAsia="Times New Roman"/>
                <w:sz w:val="20"/>
                <w:szCs w:val="20"/>
              </w:rPr>
            </w:pPr>
            <w:r w:rsidRPr="002762AB">
              <w:rPr>
                <w:rFonts w:eastAsia="Times New Roman"/>
                <w:sz w:val="20"/>
                <w:szCs w:val="20"/>
              </w:rPr>
              <w:t>1 Apr 2017</w:t>
            </w:r>
          </w:p>
        </w:tc>
        <w:tc>
          <w:tcPr>
            <w:tcW w:w="230" w:type="pct"/>
            <w:shd w:val="clear" w:color="auto" w:fill="auto"/>
            <w:noWrap/>
            <w:vAlign w:val="center"/>
            <w:hideMark/>
          </w:tcPr>
          <w:p w:rsidR="00CE6AD9" w:rsidRPr="002762AB" w:rsidRDefault="00CE6AD9" w:rsidP="0074547D">
            <w:pPr>
              <w:spacing w:before="0" w:after="0"/>
              <w:rPr>
                <w:rFonts w:eastAsia="Times New Roman"/>
                <w:sz w:val="20"/>
                <w:szCs w:val="20"/>
              </w:rPr>
            </w:pPr>
            <w:r w:rsidRPr="002762AB">
              <w:rPr>
                <w:rFonts w:eastAsia="Times New Roman"/>
                <w:sz w:val="20"/>
                <w:szCs w:val="20"/>
              </w:rPr>
              <w:t>1 Aug 2017</w:t>
            </w:r>
          </w:p>
        </w:tc>
        <w:tc>
          <w:tcPr>
            <w:tcW w:w="230" w:type="pct"/>
            <w:vAlign w:val="center"/>
          </w:tcPr>
          <w:p w:rsidR="00CE6AD9" w:rsidRPr="002762AB" w:rsidRDefault="00CE6AD9" w:rsidP="0074547D">
            <w:pPr>
              <w:spacing w:before="0" w:after="0"/>
              <w:rPr>
                <w:rFonts w:eastAsia="Times New Roman"/>
                <w:sz w:val="20"/>
                <w:szCs w:val="20"/>
              </w:rPr>
            </w:pPr>
            <w:r w:rsidRPr="002762AB">
              <w:rPr>
                <w:rFonts w:eastAsia="Times New Roman"/>
                <w:sz w:val="20"/>
                <w:szCs w:val="20"/>
              </w:rPr>
              <w:t>1 Jan 2018</w:t>
            </w:r>
          </w:p>
        </w:tc>
        <w:tc>
          <w:tcPr>
            <w:tcW w:w="230" w:type="pct"/>
            <w:vAlign w:val="center"/>
          </w:tcPr>
          <w:p w:rsidR="00CE6AD9" w:rsidRPr="002762AB" w:rsidRDefault="00CE6AD9" w:rsidP="0074547D">
            <w:pPr>
              <w:spacing w:before="0" w:after="0"/>
              <w:rPr>
                <w:rFonts w:eastAsia="Times New Roman"/>
                <w:sz w:val="20"/>
                <w:szCs w:val="20"/>
              </w:rPr>
            </w:pPr>
            <w:r w:rsidRPr="002762AB">
              <w:rPr>
                <w:rFonts w:eastAsia="Times New Roman"/>
                <w:sz w:val="20"/>
                <w:szCs w:val="20"/>
              </w:rPr>
              <w:t>1 Sep 2018</w:t>
            </w:r>
          </w:p>
        </w:tc>
        <w:tc>
          <w:tcPr>
            <w:tcW w:w="230" w:type="pct"/>
            <w:vAlign w:val="center"/>
          </w:tcPr>
          <w:p w:rsidR="00CE6AD9" w:rsidRPr="002762AB" w:rsidRDefault="00CE6AD9" w:rsidP="0074547D">
            <w:pPr>
              <w:spacing w:before="0" w:after="0"/>
              <w:rPr>
                <w:rFonts w:eastAsia="Times New Roman"/>
                <w:sz w:val="20"/>
                <w:szCs w:val="20"/>
              </w:rPr>
            </w:pPr>
            <w:r w:rsidRPr="002762AB">
              <w:rPr>
                <w:rFonts w:eastAsia="Times New Roman"/>
                <w:sz w:val="20"/>
                <w:szCs w:val="20"/>
              </w:rPr>
              <w:t>1 Jan 2019</w:t>
            </w:r>
          </w:p>
        </w:tc>
        <w:tc>
          <w:tcPr>
            <w:tcW w:w="230" w:type="pct"/>
            <w:vAlign w:val="center"/>
          </w:tcPr>
          <w:p w:rsidR="00CE6AD9" w:rsidRPr="002762AB" w:rsidRDefault="00CE6AD9" w:rsidP="0074547D">
            <w:pPr>
              <w:spacing w:before="0" w:after="0"/>
              <w:rPr>
                <w:rFonts w:eastAsia="Times New Roman"/>
                <w:sz w:val="20"/>
                <w:szCs w:val="20"/>
              </w:rPr>
            </w:pPr>
            <w:r w:rsidRPr="002762AB">
              <w:rPr>
                <w:rFonts w:eastAsia="Times New Roman"/>
                <w:sz w:val="20"/>
                <w:szCs w:val="20"/>
              </w:rPr>
              <w:t>1 Jan 2020</w:t>
            </w:r>
          </w:p>
        </w:tc>
        <w:tc>
          <w:tcPr>
            <w:tcW w:w="230" w:type="pct"/>
            <w:vAlign w:val="center"/>
          </w:tcPr>
          <w:p w:rsidR="00CE6AD9" w:rsidRPr="002762AB" w:rsidRDefault="00CE6AD9" w:rsidP="0074547D">
            <w:pPr>
              <w:spacing w:before="0" w:after="0"/>
              <w:rPr>
                <w:rFonts w:eastAsia="Times New Roman"/>
                <w:sz w:val="20"/>
                <w:szCs w:val="20"/>
              </w:rPr>
            </w:pPr>
            <w:r w:rsidRPr="002762AB">
              <w:rPr>
                <w:rFonts w:eastAsia="Times New Roman"/>
                <w:sz w:val="20"/>
                <w:szCs w:val="20"/>
              </w:rPr>
              <w:t>1 Jan 2021</w:t>
            </w:r>
          </w:p>
        </w:tc>
        <w:tc>
          <w:tcPr>
            <w:tcW w:w="230" w:type="pct"/>
            <w:vAlign w:val="center"/>
          </w:tcPr>
          <w:p w:rsidR="00CE6AD9" w:rsidRPr="002762AB" w:rsidRDefault="00CE6AD9" w:rsidP="0074547D">
            <w:pPr>
              <w:spacing w:before="0" w:after="0"/>
              <w:rPr>
                <w:rFonts w:eastAsia="Times New Roman"/>
                <w:sz w:val="20"/>
                <w:szCs w:val="20"/>
              </w:rPr>
            </w:pPr>
            <w:r w:rsidRPr="002762AB">
              <w:rPr>
                <w:rFonts w:eastAsia="Times New Roman"/>
                <w:sz w:val="20"/>
                <w:szCs w:val="20"/>
              </w:rPr>
              <w:t>1 Jan 2022</w:t>
            </w:r>
          </w:p>
        </w:tc>
        <w:tc>
          <w:tcPr>
            <w:tcW w:w="229" w:type="pct"/>
            <w:vAlign w:val="center"/>
          </w:tcPr>
          <w:p w:rsidR="00CE6AD9" w:rsidRPr="002762AB" w:rsidRDefault="00CE6AD9" w:rsidP="0074547D">
            <w:pPr>
              <w:spacing w:before="0" w:after="0"/>
              <w:rPr>
                <w:rFonts w:eastAsia="Times New Roman"/>
                <w:sz w:val="20"/>
                <w:szCs w:val="20"/>
              </w:rPr>
            </w:pPr>
            <w:r w:rsidRPr="002762AB">
              <w:rPr>
                <w:rFonts w:eastAsia="Times New Roman"/>
                <w:sz w:val="20"/>
                <w:szCs w:val="20"/>
              </w:rPr>
              <w:t>1 Jan 2023</w:t>
            </w:r>
          </w:p>
        </w:tc>
        <w:tc>
          <w:tcPr>
            <w:tcW w:w="222" w:type="pct"/>
            <w:vAlign w:val="center"/>
          </w:tcPr>
          <w:p w:rsidR="00CE6AD9" w:rsidRPr="002762AB" w:rsidRDefault="00CE6AD9" w:rsidP="0074547D">
            <w:pPr>
              <w:spacing w:before="0" w:after="0"/>
              <w:rPr>
                <w:rFonts w:eastAsia="Times New Roman"/>
                <w:sz w:val="20"/>
                <w:szCs w:val="20"/>
              </w:rPr>
            </w:pPr>
            <w:r w:rsidRPr="002762AB">
              <w:rPr>
                <w:rFonts w:eastAsia="Times New Roman"/>
                <w:sz w:val="20"/>
                <w:szCs w:val="20"/>
              </w:rPr>
              <w:t>1 Jan 2024</w:t>
            </w:r>
          </w:p>
        </w:tc>
        <w:tc>
          <w:tcPr>
            <w:tcW w:w="222" w:type="pct"/>
            <w:vAlign w:val="center"/>
          </w:tcPr>
          <w:p w:rsidR="00CE6AD9" w:rsidRPr="002762AB" w:rsidRDefault="00CE6AD9" w:rsidP="0074547D">
            <w:pPr>
              <w:spacing w:before="0" w:after="0"/>
              <w:rPr>
                <w:rFonts w:eastAsia="Times New Roman"/>
                <w:sz w:val="20"/>
                <w:szCs w:val="20"/>
              </w:rPr>
            </w:pPr>
            <w:r w:rsidRPr="002762AB">
              <w:rPr>
                <w:rFonts w:eastAsia="Times New Roman"/>
                <w:sz w:val="20"/>
                <w:szCs w:val="20"/>
              </w:rPr>
              <w:t>1 Jan 2025</w:t>
            </w:r>
          </w:p>
        </w:tc>
      </w:tr>
      <w:tr w:rsidR="00CE6AD9" w:rsidRPr="009B50F6" w:rsidTr="00D36F98">
        <w:trPr>
          <w:trHeight w:val="300"/>
        </w:trPr>
        <w:tc>
          <w:tcPr>
            <w:tcW w:w="603" w:type="pct"/>
            <w:shd w:val="clear" w:color="auto" w:fill="auto"/>
            <w:noWrap/>
            <w:vAlign w:val="bottom"/>
            <w:hideMark/>
          </w:tcPr>
          <w:p w:rsidR="00CE6AD9" w:rsidRPr="00502EF5" w:rsidRDefault="00CE6AD9" w:rsidP="0074547D">
            <w:pPr>
              <w:spacing w:before="0" w:after="0"/>
              <w:rPr>
                <w:rFonts w:eastAsia="Times New Roman"/>
              </w:rPr>
            </w:pPr>
            <w:r w:rsidRPr="00502EF5">
              <w:rPr>
                <w:rFonts w:eastAsia="Times New Roman"/>
              </w:rPr>
              <w:t>Cigarettes:</w:t>
            </w:r>
          </w:p>
        </w:tc>
        <w:tc>
          <w:tcPr>
            <w:tcW w:w="264" w:type="pct"/>
            <w:shd w:val="clear" w:color="auto" w:fill="auto"/>
            <w:noWrap/>
            <w:vAlign w:val="center"/>
            <w:hideMark/>
          </w:tcPr>
          <w:p w:rsidR="00CE6AD9" w:rsidRPr="00502EF5" w:rsidRDefault="00CE6AD9" w:rsidP="0074547D">
            <w:pPr>
              <w:spacing w:before="0" w:after="0"/>
              <w:rPr>
                <w:rFonts w:eastAsia="Times New Roman"/>
              </w:rPr>
            </w:pPr>
          </w:p>
        </w:tc>
        <w:tc>
          <w:tcPr>
            <w:tcW w:w="229" w:type="pct"/>
            <w:shd w:val="clear" w:color="auto" w:fill="auto"/>
            <w:noWrap/>
            <w:vAlign w:val="center"/>
            <w:hideMark/>
          </w:tcPr>
          <w:p w:rsidR="00CE6AD9" w:rsidRPr="00502EF5" w:rsidRDefault="00CE6AD9" w:rsidP="0074547D">
            <w:pPr>
              <w:spacing w:before="0" w:after="0"/>
              <w:rPr>
                <w:rFonts w:eastAsia="Times New Roman"/>
              </w:rPr>
            </w:pPr>
          </w:p>
        </w:tc>
        <w:tc>
          <w:tcPr>
            <w:tcW w:w="226" w:type="pct"/>
            <w:shd w:val="clear" w:color="auto" w:fill="auto"/>
            <w:noWrap/>
            <w:vAlign w:val="center"/>
            <w:hideMark/>
          </w:tcPr>
          <w:p w:rsidR="00CE6AD9" w:rsidRPr="00502EF5" w:rsidRDefault="00CE6AD9" w:rsidP="0074547D">
            <w:pPr>
              <w:spacing w:before="0" w:after="0"/>
              <w:rPr>
                <w:rFonts w:eastAsia="Times New Roman"/>
              </w:rPr>
            </w:pPr>
          </w:p>
        </w:tc>
        <w:tc>
          <w:tcPr>
            <w:tcW w:w="226" w:type="pct"/>
            <w:shd w:val="clear" w:color="auto" w:fill="auto"/>
            <w:noWrap/>
            <w:vAlign w:val="center"/>
            <w:hideMark/>
          </w:tcPr>
          <w:p w:rsidR="00CE6AD9" w:rsidRPr="00502EF5" w:rsidRDefault="00CE6AD9" w:rsidP="0074547D">
            <w:pPr>
              <w:spacing w:before="0" w:after="0"/>
              <w:rPr>
                <w:rFonts w:eastAsia="Times New Roman"/>
              </w:rPr>
            </w:pPr>
          </w:p>
        </w:tc>
        <w:tc>
          <w:tcPr>
            <w:tcW w:w="226" w:type="pct"/>
            <w:shd w:val="clear" w:color="auto" w:fill="auto"/>
            <w:noWrap/>
            <w:vAlign w:val="center"/>
            <w:hideMark/>
          </w:tcPr>
          <w:p w:rsidR="00CE6AD9" w:rsidRPr="00502EF5" w:rsidRDefault="00CE6AD9" w:rsidP="0074547D">
            <w:pPr>
              <w:spacing w:before="0" w:after="0"/>
              <w:rPr>
                <w:rFonts w:eastAsia="Times New Roman"/>
              </w:rPr>
            </w:pPr>
          </w:p>
        </w:tc>
        <w:tc>
          <w:tcPr>
            <w:tcW w:w="235" w:type="pct"/>
            <w:shd w:val="clear" w:color="auto" w:fill="auto"/>
            <w:noWrap/>
            <w:vAlign w:val="center"/>
            <w:hideMark/>
          </w:tcPr>
          <w:p w:rsidR="00CE6AD9" w:rsidRPr="00502EF5" w:rsidRDefault="00CE6AD9" w:rsidP="0074547D">
            <w:pPr>
              <w:spacing w:before="0" w:after="0"/>
              <w:rPr>
                <w:rFonts w:eastAsia="Times New Roman"/>
              </w:rPr>
            </w:pPr>
          </w:p>
        </w:tc>
        <w:tc>
          <w:tcPr>
            <w:tcW w:w="239" w:type="pct"/>
            <w:shd w:val="clear" w:color="auto" w:fill="auto"/>
            <w:noWrap/>
            <w:vAlign w:val="center"/>
            <w:hideMark/>
          </w:tcPr>
          <w:p w:rsidR="00CE6AD9" w:rsidRPr="00502EF5" w:rsidRDefault="00CE6AD9" w:rsidP="0074547D">
            <w:pPr>
              <w:spacing w:before="0" w:after="0"/>
              <w:rPr>
                <w:rFonts w:eastAsia="Times New Roman"/>
              </w:rPr>
            </w:pPr>
          </w:p>
        </w:tc>
        <w:tc>
          <w:tcPr>
            <w:tcW w:w="239" w:type="pct"/>
            <w:shd w:val="clear" w:color="auto" w:fill="auto"/>
            <w:noWrap/>
            <w:vAlign w:val="center"/>
            <w:hideMark/>
          </w:tcPr>
          <w:p w:rsidR="00CE6AD9" w:rsidRPr="00502EF5" w:rsidRDefault="00CE6AD9" w:rsidP="0074547D">
            <w:pPr>
              <w:spacing w:before="0" w:after="0"/>
              <w:rPr>
                <w:rFonts w:eastAsia="Times New Roman"/>
              </w:rPr>
            </w:pPr>
          </w:p>
        </w:tc>
        <w:tc>
          <w:tcPr>
            <w:tcW w:w="230" w:type="pct"/>
            <w:shd w:val="clear" w:color="auto" w:fill="auto"/>
            <w:noWrap/>
            <w:vAlign w:val="center"/>
            <w:hideMark/>
          </w:tcPr>
          <w:p w:rsidR="00CE6AD9" w:rsidRPr="00502EF5" w:rsidRDefault="00CE6AD9" w:rsidP="0074547D">
            <w:pPr>
              <w:spacing w:before="0" w:after="0"/>
              <w:rPr>
                <w:rFonts w:eastAsia="Times New Roman"/>
              </w:rPr>
            </w:pPr>
          </w:p>
        </w:tc>
        <w:tc>
          <w:tcPr>
            <w:tcW w:w="230" w:type="pct"/>
            <w:shd w:val="clear" w:color="auto" w:fill="auto"/>
            <w:noWrap/>
            <w:vAlign w:val="center"/>
            <w:hideMark/>
          </w:tcPr>
          <w:p w:rsidR="00CE6AD9" w:rsidRPr="00502EF5" w:rsidRDefault="00CE6AD9" w:rsidP="0074547D">
            <w:pPr>
              <w:spacing w:before="0" w:after="0"/>
              <w:rPr>
                <w:rFonts w:eastAsia="Times New Roman"/>
              </w:rPr>
            </w:pPr>
          </w:p>
        </w:tc>
        <w:tc>
          <w:tcPr>
            <w:tcW w:w="230" w:type="pct"/>
            <w:vAlign w:val="center"/>
          </w:tcPr>
          <w:p w:rsidR="00CE6AD9" w:rsidRPr="00502EF5" w:rsidRDefault="00CE6AD9" w:rsidP="0074547D">
            <w:pPr>
              <w:spacing w:before="0" w:after="0"/>
              <w:rPr>
                <w:rFonts w:eastAsia="Times New Roman"/>
              </w:rPr>
            </w:pPr>
          </w:p>
        </w:tc>
        <w:tc>
          <w:tcPr>
            <w:tcW w:w="230" w:type="pct"/>
            <w:vAlign w:val="center"/>
          </w:tcPr>
          <w:p w:rsidR="00CE6AD9" w:rsidRPr="00502EF5" w:rsidRDefault="00CE6AD9" w:rsidP="0074547D">
            <w:pPr>
              <w:spacing w:before="0" w:after="0"/>
              <w:rPr>
                <w:rFonts w:eastAsia="Times New Roman"/>
              </w:rPr>
            </w:pPr>
          </w:p>
        </w:tc>
        <w:tc>
          <w:tcPr>
            <w:tcW w:w="230" w:type="pct"/>
            <w:vAlign w:val="center"/>
          </w:tcPr>
          <w:p w:rsidR="00CE6AD9" w:rsidRPr="00502EF5" w:rsidRDefault="00CE6AD9" w:rsidP="0074547D">
            <w:pPr>
              <w:spacing w:before="0" w:after="0"/>
              <w:rPr>
                <w:rFonts w:eastAsia="Times New Roman"/>
              </w:rPr>
            </w:pPr>
          </w:p>
        </w:tc>
        <w:tc>
          <w:tcPr>
            <w:tcW w:w="230" w:type="pct"/>
            <w:vAlign w:val="center"/>
          </w:tcPr>
          <w:p w:rsidR="00CE6AD9" w:rsidRPr="00502EF5" w:rsidRDefault="00CE6AD9" w:rsidP="0074547D">
            <w:pPr>
              <w:spacing w:before="0" w:after="0"/>
              <w:rPr>
                <w:rFonts w:eastAsia="Times New Roman"/>
              </w:rPr>
            </w:pPr>
          </w:p>
        </w:tc>
        <w:tc>
          <w:tcPr>
            <w:tcW w:w="230" w:type="pct"/>
            <w:vAlign w:val="center"/>
          </w:tcPr>
          <w:p w:rsidR="00CE6AD9" w:rsidRPr="00502EF5" w:rsidRDefault="00CE6AD9" w:rsidP="0074547D">
            <w:pPr>
              <w:spacing w:before="0" w:after="0"/>
              <w:rPr>
                <w:rFonts w:eastAsia="Times New Roman"/>
              </w:rPr>
            </w:pPr>
          </w:p>
        </w:tc>
        <w:tc>
          <w:tcPr>
            <w:tcW w:w="230" w:type="pct"/>
            <w:vAlign w:val="center"/>
          </w:tcPr>
          <w:p w:rsidR="00CE6AD9" w:rsidRPr="00502EF5" w:rsidRDefault="00CE6AD9" w:rsidP="0074547D">
            <w:pPr>
              <w:spacing w:before="0" w:after="0"/>
              <w:rPr>
                <w:rFonts w:eastAsia="Times New Roman"/>
              </w:rPr>
            </w:pPr>
          </w:p>
        </w:tc>
        <w:tc>
          <w:tcPr>
            <w:tcW w:w="229" w:type="pct"/>
            <w:vAlign w:val="center"/>
          </w:tcPr>
          <w:p w:rsidR="00CE6AD9" w:rsidRPr="00502EF5" w:rsidRDefault="00CE6AD9" w:rsidP="0074547D">
            <w:pPr>
              <w:spacing w:before="0" w:after="0"/>
              <w:rPr>
                <w:rFonts w:eastAsia="Times New Roman"/>
              </w:rPr>
            </w:pPr>
          </w:p>
        </w:tc>
        <w:tc>
          <w:tcPr>
            <w:tcW w:w="222" w:type="pct"/>
            <w:vAlign w:val="center"/>
          </w:tcPr>
          <w:p w:rsidR="00CE6AD9" w:rsidRPr="00502EF5" w:rsidRDefault="00CE6AD9" w:rsidP="0074547D">
            <w:pPr>
              <w:spacing w:before="0" w:after="0"/>
              <w:rPr>
                <w:rFonts w:eastAsia="Times New Roman"/>
              </w:rPr>
            </w:pPr>
          </w:p>
        </w:tc>
        <w:tc>
          <w:tcPr>
            <w:tcW w:w="222" w:type="pct"/>
            <w:vAlign w:val="center"/>
          </w:tcPr>
          <w:p w:rsidR="00CE6AD9" w:rsidRPr="00502EF5" w:rsidRDefault="00CE6AD9" w:rsidP="0074547D">
            <w:pPr>
              <w:spacing w:before="0" w:after="0"/>
              <w:rPr>
                <w:rFonts w:eastAsia="Times New Roman"/>
              </w:rPr>
            </w:pPr>
          </w:p>
        </w:tc>
      </w:tr>
      <w:tr w:rsidR="00CE6AD9" w:rsidRPr="009B50F6" w:rsidTr="00D36F98">
        <w:trPr>
          <w:trHeight w:val="300"/>
        </w:trPr>
        <w:tc>
          <w:tcPr>
            <w:tcW w:w="603" w:type="pct"/>
            <w:shd w:val="clear" w:color="auto" w:fill="auto"/>
            <w:noWrap/>
            <w:vAlign w:val="bottom"/>
            <w:hideMark/>
          </w:tcPr>
          <w:p w:rsidR="00CE6AD9" w:rsidRPr="00502EF5" w:rsidRDefault="00CE6AD9" w:rsidP="0074547D">
            <w:pPr>
              <w:spacing w:before="0" w:after="0"/>
              <w:rPr>
                <w:rFonts w:eastAsia="Times New Roman"/>
              </w:rPr>
            </w:pPr>
            <w:r w:rsidRPr="00502EF5">
              <w:rPr>
                <w:rFonts w:eastAsia="Times New Roman"/>
              </w:rPr>
              <w:t xml:space="preserve">Specific excise, </w:t>
            </w:r>
          </w:p>
          <w:p w:rsidR="00CE6AD9" w:rsidRPr="00502EF5" w:rsidRDefault="00CE6AD9" w:rsidP="0074547D">
            <w:pPr>
              <w:spacing w:before="0" w:after="0"/>
              <w:rPr>
                <w:rFonts w:eastAsia="Times New Roman"/>
              </w:rPr>
            </w:pPr>
            <w:r w:rsidRPr="00502EF5">
              <w:rPr>
                <w:rFonts w:eastAsia="Times New Roman"/>
              </w:rPr>
              <w:t xml:space="preserve">euro per 1000 </w:t>
            </w:r>
          </w:p>
        </w:tc>
        <w:tc>
          <w:tcPr>
            <w:tcW w:w="264"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3</w:t>
            </w:r>
          </w:p>
        </w:tc>
        <w:tc>
          <w:tcPr>
            <w:tcW w:w="229"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5</w:t>
            </w:r>
          </w:p>
        </w:tc>
        <w:tc>
          <w:tcPr>
            <w:tcW w:w="226"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10</w:t>
            </w:r>
          </w:p>
        </w:tc>
        <w:tc>
          <w:tcPr>
            <w:tcW w:w="226"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15</w:t>
            </w:r>
          </w:p>
        </w:tc>
        <w:tc>
          <w:tcPr>
            <w:tcW w:w="226"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17,5</w:t>
            </w:r>
          </w:p>
        </w:tc>
        <w:tc>
          <w:tcPr>
            <w:tcW w:w="235"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19</w:t>
            </w:r>
          </w:p>
        </w:tc>
        <w:tc>
          <w:tcPr>
            <w:tcW w:w="239"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20</w:t>
            </w:r>
          </w:p>
        </w:tc>
        <w:tc>
          <w:tcPr>
            <w:tcW w:w="239"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22</w:t>
            </w:r>
          </w:p>
        </w:tc>
        <w:tc>
          <w:tcPr>
            <w:tcW w:w="230"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24</w:t>
            </w:r>
          </w:p>
        </w:tc>
        <w:tc>
          <w:tcPr>
            <w:tcW w:w="230"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30</w:t>
            </w:r>
          </w:p>
        </w:tc>
        <w:tc>
          <w:tcPr>
            <w:tcW w:w="230" w:type="pct"/>
            <w:vAlign w:val="center"/>
          </w:tcPr>
          <w:p w:rsidR="00CE6AD9" w:rsidRPr="00502EF5" w:rsidRDefault="00CE6AD9" w:rsidP="0074547D">
            <w:pPr>
              <w:spacing w:before="0" w:after="0"/>
              <w:rPr>
                <w:rFonts w:eastAsia="Times New Roman"/>
              </w:rPr>
            </w:pPr>
            <w:r w:rsidRPr="00502EF5">
              <w:rPr>
                <w:rFonts w:eastAsia="Times New Roman"/>
              </w:rPr>
              <w:t>40</w:t>
            </w:r>
          </w:p>
        </w:tc>
        <w:tc>
          <w:tcPr>
            <w:tcW w:w="230" w:type="pct"/>
            <w:vAlign w:val="center"/>
          </w:tcPr>
          <w:p w:rsidR="00CE6AD9" w:rsidRPr="00502EF5" w:rsidRDefault="00CE6AD9" w:rsidP="0074547D">
            <w:pPr>
              <w:spacing w:before="0" w:after="0"/>
              <w:rPr>
                <w:rFonts w:eastAsia="Times New Roman"/>
              </w:rPr>
            </w:pPr>
            <w:r w:rsidRPr="00502EF5">
              <w:rPr>
                <w:rFonts w:eastAsia="Times New Roman"/>
              </w:rPr>
              <w:t>30</w:t>
            </w:r>
          </w:p>
        </w:tc>
        <w:tc>
          <w:tcPr>
            <w:tcW w:w="230" w:type="pct"/>
            <w:vAlign w:val="center"/>
          </w:tcPr>
          <w:p w:rsidR="00CE6AD9" w:rsidRPr="00502EF5" w:rsidRDefault="00CE6AD9" w:rsidP="0074547D">
            <w:pPr>
              <w:spacing w:before="0" w:after="0"/>
              <w:rPr>
                <w:rFonts w:eastAsia="Times New Roman"/>
              </w:rPr>
            </w:pPr>
            <w:r w:rsidRPr="00502EF5">
              <w:rPr>
                <w:rFonts w:eastAsia="Times New Roman"/>
              </w:rPr>
              <w:t>30</w:t>
            </w:r>
          </w:p>
        </w:tc>
        <w:tc>
          <w:tcPr>
            <w:tcW w:w="230" w:type="pct"/>
            <w:vAlign w:val="center"/>
          </w:tcPr>
          <w:p w:rsidR="00CE6AD9" w:rsidRPr="00502EF5" w:rsidRDefault="00CE6AD9" w:rsidP="0074547D">
            <w:pPr>
              <w:spacing w:before="0" w:after="0"/>
              <w:rPr>
                <w:rFonts w:eastAsia="Times New Roman"/>
              </w:rPr>
            </w:pPr>
            <w:r w:rsidRPr="00502EF5">
              <w:rPr>
                <w:rFonts w:eastAsia="Times New Roman"/>
              </w:rPr>
              <w:t>33,5</w:t>
            </w:r>
          </w:p>
        </w:tc>
        <w:tc>
          <w:tcPr>
            <w:tcW w:w="230" w:type="pct"/>
            <w:vAlign w:val="center"/>
          </w:tcPr>
          <w:p w:rsidR="00CE6AD9" w:rsidRPr="00502EF5" w:rsidRDefault="00CE6AD9" w:rsidP="0074547D">
            <w:pPr>
              <w:spacing w:before="0" w:after="0"/>
              <w:rPr>
                <w:rFonts w:eastAsia="Times New Roman"/>
              </w:rPr>
            </w:pPr>
            <w:r w:rsidRPr="00502EF5">
              <w:rPr>
                <w:rFonts w:eastAsia="Times New Roman"/>
              </w:rPr>
              <w:t>37</w:t>
            </w:r>
          </w:p>
        </w:tc>
        <w:tc>
          <w:tcPr>
            <w:tcW w:w="230" w:type="pct"/>
            <w:vAlign w:val="center"/>
          </w:tcPr>
          <w:p w:rsidR="00CE6AD9" w:rsidRPr="00502EF5" w:rsidRDefault="00CE6AD9" w:rsidP="0074547D">
            <w:pPr>
              <w:spacing w:before="0" w:after="0"/>
              <w:rPr>
                <w:rFonts w:eastAsia="Times New Roman"/>
              </w:rPr>
            </w:pPr>
            <w:r w:rsidRPr="00502EF5">
              <w:rPr>
                <w:rFonts w:eastAsia="Times New Roman"/>
              </w:rPr>
              <w:t>40,5</w:t>
            </w:r>
          </w:p>
        </w:tc>
        <w:tc>
          <w:tcPr>
            <w:tcW w:w="229" w:type="pct"/>
            <w:vAlign w:val="center"/>
          </w:tcPr>
          <w:p w:rsidR="00CE6AD9" w:rsidRPr="00502EF5" w:rsidRDefault="00CE6AD9" w:rsidP="0074547D">
            <w:pPr>
              <w:spacing w:before="0" w:after="0"/>
              <w:rPr>
                <w:rFonts w:eastAsia="Times New Roman"/>
              </w:rPr>
            </w:pPr>
            <w:r w:rsidRPr="00502EF5">
              <w:rPr>
                <w:rFonts w:eastAsia="Times New Roman"/>
              </w:rPr>
              <w:t>44</w:t>
            </w:r>
          </w:p>
        </w:tc>
        <w:tc>
          <w:tcPr>
            <w:tcW w:w="222" w:type="pct"/>
            <w:vAlign w:val="center"/>
          </w:tcPr>
          <w:p w:rsidR="00CE6AD9" w:rsidRPr="00502EF5" w:rsidRDefault="00CE6AD9" w:rsidP="0074547D">
            <w:pPr>
              <w:spacing w:before="0" w:after="0"/>
              <w:rPr>
                <w:rFonts w:eastAsia="Times New Roman"/>
              </w:rPr>
            </w:pPr>
            <w:r w:rsidRPr="00502EF5">
              <w:rPr>
                <w:rFonts w:eastAsia="Times New Roman"/>
              </w:rPr>
              <w:t>47,5</w:t>
            </w:r>
          </w:p>
        </w:tc>
        <w:tc>
          <w:tcPr>
            <w:tcW w:w="222" w:type="pct"/>
            <w:vAlign w:val="center"/>
          </w:tcPr>
          <w:p w:rsidR="00CE6AD9" w:rsidRPr="00502EF5" w:rsidRDefault="00CE6AD9" w:rsidP="0074547D">
            <w:pPr>
              <w:spacing w:before="0" w:after="0"/>
              <w:rPr>
                <w:rFonts w:eastAsia="Times New Roman"/>
              </w:rPr>
            </w:pPr>
            <w:r w:rsidRPr="00502EF5">
              <w:rPr>
                <w:rFonts w:eastAsia="Times New Roman"/>
              </w:rPr>
              <w:t>51</w:t>
            </w:r>
          </w:p>
        </w:tc>
      </w:tr>
      <w:tr w:rsidR="00CE6AD9" w:rsidRPr="009B50F6" w:rsidTr="00D36F98">
        <w:trPr>
          <w:trHeight w:val="300"/>
        </w:trPr>
        <w:tc>
          <w:tcPr>
            <w:tcW w:w="603" w:type="pct"/>
            <w:shd w:val="clear" w:color="auto" w:fill="auto"/>
            <w:noWrap/>
            <w:vAlign w:val="bottom"/>
            <w:hideMark/>
          </w:tcPr>
          <w:p w:rsidR="00CE6AD9" w:rsidRPr="00502EF5" w:rsidRDefault="00CE6AD9" w:rsidP="0074547D">
            <w:pPr>
              <w:spacing w:before="0" w:after="0"/>
              <w:rPr>
                <w:rFonts w:eastAsia="Times New Roman"/>
              </w:rPr>
            </w:pPr>
            <w:r w:rsidRPr="00502EF5">
              <w:rPr>
                <w:rFonts w:eastAsia="Times New Roman"/>
              </w:rPr>
              <w:t>Ad valorem excise,%</w:t>
            </w:r>
          </w:p>
        </w:tc>
        <w:tc>
          <w:tcPr>
            <w:tcW w:w="264"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30</w:t>
            </w:r>
          </w:p>
        </w:tc>
        <w:tc>
          <w:tcPr>
            <w:tcW w:w="229"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35</w:t>
            </w:r>
          </w:p>
        </w:tc>
        <w:tc>
          <w:tcPr>
            <w:tcW w:w="226"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37</w:t>
            </w:r>
          </w:p>
        </w:tc>
        <w:tc>
          <w:tcPr>
            <w:tcW w:w="226"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36</w:t>
            </w:r>
          </w:p>
        </w:tc>
        <w:tc>
          <w:tcPr>
            <w:tcW w:w="226"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35</w:t>
            </w:r>
          </w:p>
        </w:tc>
        <w:tc>
          <w:tcPr>
            <w:tcW w:w="235"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35</w:t>
            </w:r>
          </w:p>
        </w:tc>
        <w:tc>
          <w:tcPr>
            <w:tcW w:w="239"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34</w:t>
            </w:r>
          </w:p>
        </w:tc>
        <w:tc>
          <w:tcPr>
            <w:tcW w:w="239"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33</w:t>
            </w:r>
          </w:p>
        </w:tc>
        <w:tc>
          <w:tcPr>
            <w:tcW w:w="230"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32</w:t>
            </w:r>
          </w:p>
        </w:tc>
        <w:tc>
          <w:tcPr>
            <w:tcW w:w="230"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32</w:t>
            </w:r>
          </w:p>
        </w:tc>
        <w:tc>
          <w:tcPr>
            <w:tcW w:w="230" w:type="pct"/>
            <w:vAlign w:val="center"/>
          </w:tcPr>
          <w:p w:rsidR="00CE6AD9" w:rsidRPr="00502EF5" w:rsidRDefault="00CE6AD9" w:rsidP="0074547D">
            <w:pPr>
              <w:spacing w:before="0" w:after="0"/>
              <w:rPr>
                <w:rFonts w:eastAsia="Times New Roman"/>
              </w:rPr>
            </w:pPr>
            <w:r w:rsidRPr="00502EF5">
              <w:rPr>
                <w:rFonts w:eastAsia="Times New Roman"/>
              </w:rPr>
              <w:t>32</w:t>
            </w:r>
          </w:p>
        </w:tc>
        <w:tc>
          <w:tcPr>
            <w:tcW w:w="230" w:type="pct"/>
            <w:vAlign w:val="center"/>
          </w:tcPr>
          <w:p w:rsidR="00CE6AD9" w:rsidRPr="00502EF5" w:rsidRDefault="00CE6AD9" w:rsidP="0074547D">
            <w:pPr>
              <w:spacing w:before="0" w:after="0"/>
              <w:rPr>
                <w:rFonts w:eastAsia="Times New Roman"/>
              </w:rPr>
            </w:pPr>
            <w:r w:rsidRPr="00502EF5">
              <w:rPr>
                <w:rFonts w:eastAsia="Times New Roman"/>
              </w:rPr>
              <w:t>32</w:t>
            </w:r>
          </w:p>
        </w:tc>
        <w:tc>
          <w:tcPr>
            <w:tcW w:w="230" w:type="pct"/>
            <w:vAlign w:val="center"/>
          </w:tcPr>
          <w:p w:rsidR="00CE6AD9" w:rsidRPr="00502EF5" w:rsidRDefault="00CE6AD9" w:rsidP="0074547D">
            <w:pPr>
              <w:spacing w:before="0" w:after="0"/>
              <w:rPr>
                <w:rFonts w:eastAsia="Times New Roman"/>
              </w:rPr>
            </w:pPr>
            <w:r w:rsidRPr="00502EF5">
              <w:rPr>
                <w:rFonts w:eastAsia="Times New Roman"/>
              </w:rPr>
              <w:t>32</w:t>
            </w:r>
          </w:p>
        </w:tc>
        <w:tc>
          <w:tcPr>
            <w:tcW w:w="230" w:type="pct"/>
            <w:vAlign w:val="center"/>
          </w:tcPr>
          <w:p w:rsidR="00CE6AD9" w:rsidRPr="00502EF5" w:rsidRDefault="00CE6AD9" w:rsidP="0074547D">
            <w:pPr>
              <w:spacing w:before="0" w:after="0"/>
              <w:rPr>
                <w:rFonts w:eastAsia="Times New Roman"/>
              </w:rPr>
            </w:pPr>
            <w:r w:rsidRPr="00502EF5">
              <w:rPr>
                <w:rFonts w:eastAsia="Times New Roman"/>
              </w:rPr>
              <w:t>30,5</w:t>
            </w:r>
          </w:p>
        </w:tc>
        <w:tc>
          <w:tcPr>
            <w:tcW w:w="230" w:type="pct"/>
            <w:vAlign w:val="center"/>
          </w:tcPr>
          <w:p w:rsidR="00CE6AD9" w:rsidRPr="00502EF5" w:rsidRDefault="00CE6AD9" w:rsidP="0074547D">
            <w:pPr>
              <w:spacing w:before="0" w:after="0"/>
              <w:rPr>
                <w:rFonts w:eastAsia="Times New Roman"/>
              </w:rPr>
            </w:pPr>
            <w:r w:rsidRPr="00502EF5">
              <w:rPr>
                <w:rFonts w:eastAsia="Times New Roman"/>
              </w:rPr>
              <w:t>29</w:t>
            </w:r>
          </w:p>
        </w:tc>
        <w:tc>
          <w:tcPr>
            <w:tcW w:w="230" w:type="pct"/>
            <w:vAlign w:val="center"/>
          </w:tcPr>
          <w:p w:rsidR="00CE6AD9" w:rsidRPr="00502EF5" w:rsidRDefault="00CE6AD9" w:rsidP="0074547D">
            <w:pPr>
              <w:spacing w:before="0" w:after="0"/>
              <w:rPr>
                <w:rFonts w:eastAsia="Times New Roman"/>
              </w:rPr>
            </w:pPr>
            <w:r w:rsidRPr="00502EF5">
              <w:rPr>
                <w:rFonts w:eastAsia="Times New Roman"/>
              </w:rPr>
              <w:t>27,5</w:t>
            </w:r>
          </w:p>
        </w:tc>
        <w:tc>
          <w:tcPr>
            <w:tcW w:w="229" w:type="pct"/>
            <w:vAlign w:val="center"/>
          </w:tcPr>
          <w:p w:rsidR="00CE6AD9" w:rsidRPr="00502EF5" w:rsidRDefault="00CE6AD9" w:rsidP="0074547D">
            <w:pPr>
              <w:spacing w:before="0" w:after="0"/>
              <w:rPr>
                <w:rFonts w:eastAsia="Times New Roman"/>
              </w:rPr>
            </w:pPr>
            <w:r w:rsidRPr="00502EF5">
              <w:rPr>
                <w:rFonts w:eastAsia="Times New Roman"/>
              </w:rPr>
              <w:t>26</w:t>
            </w:r>
          </w:p>
        </w:tc>
        <w:tc>
          <w:tcPr>
            <w:tcW w:w="222" w:type="pct"/>
            <w:vAlign w:val="center"/>
          </w:tcPr>
          <w:p w:rsidR="00CE6AD9" w:rsidRPr="00502EF5" w:rsidRDefault="00CE6AD9" w:rsidP="0074547D">
            <w:pPr>
              <w:spacing w:before="0" w:after="0"/>
              <w:rPr>
                <w:rFonts w:eastAsia="Times New Roman"/>
              </w:rPr>
            </w:pPr>
            <w:r w:rsidRPr="00502EF5">
              <w:rPr>
                <w:rFonts w:eastAsia="Times New Roman"/>
              </w:rPr>
              <w:t>24,5</w:t>
            </w:r>
          </w:p>
        </w:tc>
        <w:tc>
          <w:tcPr>
            <w:tcW w:w="222" w:type="pct"/>
            <w:vAlign w:val="center"/>
          </w:tcPr>
          <w:p w:rsidR="00CE6AD9" w:rsidRPr="00502EF5" w:rsidRDefault="00CE6AD9" w:rsidP="0074547D">
            <w:pPr>
              <w:spacing w:before="0" w:after="0"/>
              <w:rPr>
                <w:rFonts w:eastAsia="Times New Roman"/>
              </w:rPr>
            </w:pPr>
            <w:r w:rsidRPr="00502EF5">
              <w:rPr>
                <w:rFonts w:eastAsia="Times New Roman"/>
              </w:rPr>
              <w:t>23</w:t>
            </w:r>
          </w:p>
        </w:tc>
      </w:tr>
      <w:tr w:rsidR="00CE6AD9" w:rsidRPr="009B50F6" w:rsidTr="00D36F98">
        <w:trPr>
          <w:trHeight w:val="300"/>
        </w:trPr>
        <w:tc>
          <w:tcPr>
            <w:tcW w:w="603" w:type="pct"/>
            <w:shd w:val="clear" w:color="auto" w:fill="auto"/>
            <w:noWrap/>
            <w:vAlign w:val="bottom"/>
            <w:hideMark/>
          </w:tcPr>
          <w:p w:rsidR="00CE6AD9" w:rsidRPr="00502EF5" w:rsidRDefault="00CE6AD9" w:rsidP="0074547D">
            <w:pPr>
              <w:spacing w:before="0" w:after="0"/>
              <w:rPr>
                <w:rFonts w:eastAsia="Times New Roman"/>
              </w:rPr>
            </w:pPr>
            <w:r w:rsidRPr="00502EF5">
              <w:rPr>
                <w:rFonts w:eastAsia="Times New Roman"/>
                <w:b/>
              </w:rPr>
              <w:t xml:space="preserve">WAP </w:t>
            </w:r>
            <w:r w:rsidRPr="00502EF5">
              <w:rPr>
                <w:rFonts w:eastAsia="Times New Roman"/>
              </w:rPr>
              <w:t>(</w:t>
            </w:r>
            <w:r w:rsidRPr="00502EF5">
              <w:rPr>
                <w:rFonts w:eastAsia="Times New Roman"/>
                <w:i/>
              </w:rPr>
              <w:t>MPPC price</w:t>
            </w:r>
            <w:r w:rsidRPr="00502EF5">
              <w:rPr>
                <w:rFonts w:eastAsia="Times New Roman"/>
              </w:rPr>
              <w:t>), euro per pack of 20 cigarettes</w:t>
            </w:r>
          </w:p>
        </w:tc>
        <w:tc>
          <w:tcPr>
            <w:tcW w:w="264" w:type="pct"/>
            <w:shd w:val="clear" w:color="auto" w:fill="auto"/>
            <w:noWrap/>
            <w:vAlign w:val="center"/>
          </w:tcPr>
          <w:p w:rsidR="00CE6AD9" w:rsidRPr="00502EF5" w:rsidRDefault="00CE6AD9" w:rsidP="0074547D">
            <w:pPr>
              <w:spacing w:before="0" w:after="0"/>
              <w:rPr>
                <w:rFonts w:eastAsia="Times New Roman"/>
              </w:rPr>
            </w:pPr>
          </w:p>
        </w:tc>
        <w:tc>
          <w:tcPr>
            <w:tcW w:w="229"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0,6</w:t>
            </w:r>
          </w:p>
        </w:tc>
        <w:tc>
          <w:tcPr>
            <w:tcW w:w="226" w:type="pct"/>
            <w:shd w:val="clear" w:color="auto" w:fill="auto"/>
            <w:noWrap/>
            <w:vAlign w:val="center"/>
            <w:hideMark/>
          </w:tcPr>
          <w:p w:rsidR="00CE6AD9" w:rsidRPr="00502EF5" w:rsidRDefault="00CE6AD9" w:rsidP="0074547D">
            <w:pPr>
              <w:spacing w:before="0" w:after="0"/>
              <w:rPr>
                <w:rFonts w:eastAsia="Times New Roman"/>
                <w:color w:val="0070C0"/>
              </w:rPr>
            </w:pPr>
            <w:r w:rsidRPr="00502EF5">
              <w:rPr>
                <w:rFonts w:eastAsia="Times New Roman"/>
              </w:rPr>
              <w:t>0,6</w:t>
            </w:r>
          </w:p>
        </w:tc>
        <w:tc>
          <w:tcPr>
            <w:tcW w:w="226"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1</w:t>
            </w:r>
          </w:p>
        </w:tc>
        <w:tc>
          <w:tcPr>
            <w:tcW w:w="226"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1,2</w:t>
            </w:r>
          </w:p>
        </w:tc>
        <w:tc>
          <w:tcPr>
            <w:tcW w:w="235"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1,55</w:t>
            </w:r>
          </w:p>
        </w:tc>
        <w:tc>
          <w:tcPr>
            <w:tcW w:w="239"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1,7</w:t>
            </w:r>
          </w:p>
        </w:tc>
        <w:tc>
          <w:tcPr>
            <w:tcW w:w="239"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1,8</w:t>
            </w:r>
          </w:p>
        </w:tc>
        <w:tc>
          <w:tcPr>
            <w:tcW w:w="230"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1,9</w:t>
            </w:r>
          </w:p>
        </w:tc>
        <w:tc>
          <w:tcPr>
            <w:tcW w:w="230" w:type="pct"/>
            <w:shd w:val="clear" w:color="auto" w:fill="auto"/>
            <w:noWrap/>
            <w:vAlign w:val="center"/>
            <w:hideMark/>
          </w:tcPr>
          <w:p w:rsidR="00CE6AD9" w:rsidRPr="00502EF5" w:rsidRDefault="00987689" w:rsidP="0074547D">
            <w:pPr>
              <w:spacing w:before="0" w:after="0"/>
              <w:rPr>
                <w:rFonts w:eastAsia="Times New Roman"/>
              </w:rPr>
            </w:pPr>
            <w:r w:rsidRPr="00502EF5">
              <w:rPr>
                <w:rFonts w:eastAsia="Times New Roman"/>
              </w:rPr>
              <w:t>1,9</w:t>
            </w:r>
          </w:p>
        </w:tc>
        <w:tc>
          <w:tcPr>
            <w:tcW w:w="230" w:type="pct"/>
            <w:vAlign w:val="center"/>
          </w:tcPr>
          <w:p w:rsidR="00CE6AD9" w:rsidRPr="00502EF5" w:rsidRDefault="00CE6AD9" w:rsidP="0074547D">
            <w:pPr>
              <w:spacing w:before="0" w:after="0"/>
              <w:rPr>
                <w:rFonts w:eastAsia="Times New Roman"/>
              </w:rPr>
            </w:pPr>
            <w:r w:rsidRPr="00502EF5">
              <w:rPr>
                <w:rFonts w:eastAsia="Times New Roman"/>
              </w:rPr>
              <w:t>2,1</w:t>
            </w:r>
          </w:p>
        </w:tc>
        <w:tc>
          <w:tcPr>
            <w:tcW w:w="230" w:type="pct"/>
            <w:vAlign w:val="center"/>
          </w:tcPr>
          <w:p w:rsidR="00CE6AD9" w:rsidRPr="00502EF5" w:rsidRDefault="00CE6AD9" w:rsidP="0074547D">
            <w:pPr>
              <w:spacing w:before="0" w:after="0"/>
              <w:rPr>
                <w:rFonts w:eastAsia="Times New Roman"/>
              </w:rPr>
            </w:pPr>
            <w:r w:rsidRPr="00502EF5">
              <w:rPr>
                <w:rFonts w:eastAsia="Times New Roman"/>
              </w:rPr>
              <w:t>2,1</w:t>
            </w:r>
          </w:p>
        </w:tc>
        <w:tc>
          <w:tcPr>
            <w:tcW w:w="230" w:type="pct"/>
            <w:vAlign w:val="center"/>
          </w:tcPr>
          <w:p w:rsidR="00CE6AD9" w:rsidRPr="00502EF5" w:rsidRDefault="00987689" w:rsidP="0074547D">
            <w:pPr>
              <w:spacing w:before="0" w:after="0"/>
              <w:rPr>
                <w:rFonts w:eastAsia="Times New Roman"/>
              </w:rPr>
            </w:pPr>
            <w:r w:rsidRPr="00502EF5">
              <w:rPr>
                <w:rFonts w:eastAsia="Times New Roman"/>
              </w:rPr>
              <w:t>2,1</w:t>
            </w:r>
          </w:p>
        </w:tc>
        <w:tc>
          <w:tcPr>
            <w:tcW w:w="230" w:type="pct"/>
            <w:vAlign w:val="center"/>
          </w:tcPr>
          <w:p w:rsidR="00CE6AD9" w:rsidRPr="00502EF5" w:rsidRDefault="00CE6AD9" w:rsidP="0074547D">
            <w:pPr>
              <w:spacing w:before="0" w:after="0"/>
              <w:rPr>
                <w:rFonts w:eastAsia="Times New Roman"/>
              </w:rPr>
            </w:pPr>
          </w:p>
        </w:tc>
        <w:tc>
          <w:tcPr>
            <w:tcW w:w="230" w:type="pct"/>
            <w:vAlign w:val="center"/>
          </w:tcPr>
          <w:p w:rsidR="00CE6AD9" w:rsidRPr="00502EF5" w:rsidRDefault="00CE6AD9" w:rsidP="0074547D">
            <w:pPr>
              <w:spacing w:before="0" w:after="0"/>
              <w:rPr>
                <w:rFonts w:eastAsia="Times New Roman"/>
              </w:rPr>
            </w:pPr>
          </w:p>
        </w:tc>
        <w:tc>
          <w:tcPr>
            <w:tcW w:w="230" w:type="pct"/>
            <w:vAlign w:val="center"/>
          </w:tcPr>
          <w:p w:rsidR="00CE6AD9" w:rsidRPr="00502EF5" w:rsidRDefault="00CE6AD9" w:rsidP="0074547D">
            <w:pPr>
              <w:spacing w:before="0" w:after="0"/>
              <w:rPr>
                <w:rFonts w:eastAsia="Times New Roman"/>
              </w:rPr>
            </w:pPr>
          </w:p>
        </w:tc>
        <w:tc>
          <w:tcPr>
            <w:tcW w:w="229" w:type="pct"/>
            <w:vAlign w:val="center"/>
          </w:tcPr>
          <w:p w:rsidR="00CE6AD9" w:rsidRPr="00502EF5" w:rsidRDefault="00CE6AD9" w:rsidP="0074547D">
            <w:pPr>
              <w:spacing w:before="0" w:after="0"/>
              <w:rPr>
                <w:rFonts w:eastAsia="Times New Roman"/>
              </w:rPr>
            </w:pPr>
          </w:p>
        </w:tc>
        <w:tc>
          <w:tcPr>
            <w:tcW w:w="222" w:type="pct"/>
            <w:vAlign w:val="center"/>
          </w:tcPr>
          <w:p w:rsidR="00CE6AD9" w:rsidRPr="00502EF5" w:rsidRDefault="00CE6AD9" w:rsidP="0074547D">
            <w:pPr>
              <w:spacing w:before="0" w:after="0"/>
              <w:rPr>
                <w:rFonts w:eastAsia="Times New Roman"/>
              </w:rPr>
            </w:pPr>
          </w:p>
        </w:tc>
        <w:tc>
          <w:tcPr>
            <w:tcW w:w="222" w:type="pct"/>
            <w:vAlign w:val="center"/>
          </w:tcPr>
          <w:p w:rsidR="00CE6AD9" w:rsidRPr="00502EF5" w:rsidRDefault="00CE6AD9" w:rsidP="0074547D">
            <w:pPr>
              <w:spacing w:before="0" w:after="0"/>
              <w:rPr>
                <w:rFonts w:eastAsia="Times New Roman"/>
              </w:rPr>
            </w:pPr>
          </w:p>
        </w:tc>
      </w:tr>
      <w:tr w:rsidR="00CE6AD9" w:rsidRPr="009B50F6" w:rsidTr="00D36F98">
        <w:trPr>
          <w:trHeight w:val="300"/>
        </w:trPr>
        <w:tc>
          <w:tcPr>
            <w:tcW w:w="603" w:type="pct"/>
            <w:shd w:val="clear" w:color="auto" w:fill="auto"/>
            <w:noWrap/>
            <w:vAlign w:val="bottom"/>
            <w:hideMark/>
          </w:tcPr>
          <w:p w:rsidR="00CE6AD9" w:rsidRPr="00502EF5" w:rsidRDefault="00CE6AD9" w:rsidP="0074547D">
            <w:pPr>
              <w:spacing w:before="0" w:after="0"/>
              <w:rPr>
                <w:rFonts w:eastAsia="Times New Roman"/>
              </w:rPr>
            </w:pPr>
            <w:r w:rsidRPr="00502EF5">
              <w:rPr>
                <w:rFonts w:eastAsia="Times New Roman"/>
              </w:rPr>
              <w:t xml:space="preserve">Calculated minimum specific excise, </w:t>
            </w:r>
          </w:p>
          <w:p w:rsidR="00CE6AD9" w:rsidRPr="00502EF5" w:rsidRDefault="00CE6AD9" w:rsidP="0074547D">
            <w:pPr>
              <w:spacing w:before="0" w:after="0"/>
              <w:rPr>
                <w:rFonts w:eastAsia="Times New Roman"/>
                <w:b/>
              </w:rPr>
            </w:pPr>
            <w:r w:rsidRPr="00502EF5">
              <w:rPr>
                <w:rFonts w:eastAsia="Times New Roman"/>
              </w:rPr>
              <w:t>euro per pack</w:t>
            </w:r>
          </w:p>
        </w:tc>
        <w:tc>
          <w:tcPr>
            <w:tcW w:w="264" w:type="pct"/>
            <w:shd w:val="clear" w:color="auto" w:fill="auto"/>
            <w:noWrap/>
            <w:vAlign w:val="center"/>
          </w:tcPr>
          <w:p w:rsidR="00CE6AD9" w:rsidRPr="00502EF5" w:rsidRDefault="00CE6AD9" w:rsidP="0074547D">
            <w:pPr>
              <w:spacing w:before="0" w:after="0"/>
              <w:rPr>
                <w:rFonts w:eastAsia="Times New Roman"/>
              </w:rPr>
            </w:pPr>
          </w:p>
        </w:tc>
        <w:tc>
          <w:tcPr>
            <w:tcW w:w="229"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0,31</w:t>
            </w:r>
          </w:p>
        </w:tc>
        <w:tc>
          <w:tcPr>
            <w:tcW w:w="226"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0,42</w:t>
            </w:r>
          </w:p>
        </w:tc>
        <w:tc>
          <w:tcPr>
            <w:tcW w:w="226"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0,66</w:t>
            </w:r>
          </w:p>
        </w:tc>
        <w:tc>
          <w:tcPr>
            <w:tcW w:w="226"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0,77</w:t>
            </w:r>
          </w:p>
        </w:tc>
        <w:tc>
          <w:tcPr>
            <w:tcW w:w="235"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0,92</w:t>
            </w:r>
          </w:p>
        </w:tc>
        <w:tc>
          <w:tcPr>
            <w:tcW w:w="239"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0,98</w:t>
            </w:r>
          </w:p>
        </w:tc>
        <w:tc>
          <w:tcPr>
            <w:tcW w:w="239"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1,03</w:t>
            </w:r>
          </w:p>
        </w:tc>
        <w:tc>
          <w:tcPr>
            <w:tcW w:w="230"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1,09</w:t>
            </w:r>
          </w:p>
        </w:tc>
        <w:tc>
          <w:tcPr>
            <w:tcW w:w="230" w:type="pct"/>
            <w:shd w:val="clear" w:color="auto" w:fill="auto"/>
            <w:noWrap/>
            <w:vAlign w:val="center"/>
            <w:hideMark/>
          </w:tcPr>
          <w:p w:rsidR="00CE6AD9" w:rsidRPr="00502EF5" w:rsidRDefault="00987689" w:rsidP="0074547D">
            <w:pPr>
              <w:spacing w:before="0" w:after="0"/>
              <w:rPr>
                <w:rFonts w:eastAsia="Times New Roman"/>
              </w:rPr>
            </w:pPr>
            <w:r w:rsidRPr="00502EF5">
              <w:rPr>
                <w:rFonts w:eastAsia="Times New Roman"/>
              </w:rPr>
              <w:t>1,21</w:t>
            </w:r>
          </w:p>
        </w:tc>
        <w:tc>
          <w:tcPr>
            <w:tcW w:w="230" w:type="pct"/>
            <w:vAlign w:val="center"/>
          </w:tcPr>
          <w:p w:rsidR="00CE6AD9" w:rsidRPr="00502EF5" w:rsidRDefault="00CE6AD9" w:rsidP="0074547D">
            <w:pPr>
              <w:spacing w:before="0" w:after="0"/>
              <w:rPr>
                <w:rFonts w:eastAsia="Times New Roman"/>
              </w:rPr>
            </w:pPr>
            <w:r w:rsidRPr="00502EF5">
              <w:rPr>
                <w:rFonts w:eastAsia="Times New Roman"/>
              </w:rPr>
              <w:t>1,</w:t>
            </w:r>
            <w:r w:rsidR="00987689" w:rsidRPr="00502EF5">
              <w:rPr>
                <w:rFonts w:eastAsia="Times New Roman"/>
              </w:rPr>
              <w:t>47</w:t>
            </w:r>
          </w:p>
        </w:tc>
        <w:tc>
          <w:tcPr>
            <w:tcW w:w="230" w:type="pct"/>
            <w:vAlign w:val="center"/>
          </w:tcPr>
          <w:p w:rsidR="00CE6AD9" w:rsidRPr="00502EF5" w:rsidRDefault="00CE6AD9" w:rsidP="0074547D">
            <w:pPr>
              <w:spacing w:before="0" w:after="0"/>
              <w:rPr>
                <w:rFonts w:eastAsia="Times New Roman"/>
              </w:rPr>
            </w:pPr>
            <w:r w:rsidRPr="00502EF5">
              <w:rPr>
                <w:rFonts w:eastAsia="Times New Roman"/>
              </w:rPr>
              <w:t>1,</w:t>
            </w:r>
            <w:r w:rsidR="00987689" w:rsidRPr="00502EF5">
              <w:rPr>
                <w:rFonts w:eastAsia="Times New Roman"/>
              </w:rPr>
              <w:t>27</w:t>
            </w:r>
          </w:p>
        </w:tc>
        <w:tc>
          <w:tcPr>
            <w:tcW w:w="230" w:type="pct"/>
            <w:vAlign w:val="center"/>
          </w:tcPr>
          <w:p w:rsidR="00CE6AD9" w:rsidRPr="00502EF5" w:rsidRDefault="00987689" w:rsidP="0074547D">
            <w:pPr>
              <w:spacing w:before="0" w:after="0"/>
              <w:rPr>
                <w:rFonts w:eastAsia="Times New Roman"/>
              </w:rPr>
            </w:pPr>
            <w:r w:rsidRPr="00502EF5">
              <w:rPr>
                <w:rFonts w:eastAsia="Times New Roman"/>
              </w:rPr>
              <w:t>1,27</w:t>
            </w:r>
          </w:p>
        </w:tc>
        <w:tc>
          <w:tcPr>
            <w:tcW w:w="230" w:type="pct"/>
            <w:vAlign w:val="center"/>
          </w:tcPr>
          <w:p w:rsidR="00CE6AD9" w:rsidRPr="00502EF5" w:rsidRDefault="00CE6AD9" w:rsidP="0074547D">
            <w:pPr>
              <w:spacing w:before="0" w:after="0"/>
              <w:rPr>
                <w:rFonts w:eastAsia="Times New Roman"/>
              </w:rPr>
            </w:pPr>
          </w:p>
        </w:tc>
        <w:tc>
          <w:tcPr>
            <w:tcW w:w="230" w:type="pct"/>
            <w:vAlign w:val="center"/>
          </w:tcPr>
          <w:p w:rsidR="00CE6AD9" w:rsidRPr="00502EF5" w:rsidRDefault="00CE6AD9" w:rsidP="0074547D">
            <w:pPr>
              <w:spacing w:before="0" w:after="0"/>
              <w:rPr>
                <w:rFonts w:eastAsia="Times New Roman"/>
              </w:rPr>
            </w:pPr>
          </w:p>
        </w:tc>
        <w:tc>
          <w:tcPr>
            <w:tcW w:w="230" w:type="pct"/>
            <w:vAlign w:val="center"/>
          </w:tcPr>
          <w:p w:rsidR="00CE6AD9" w:rsidRPr="00502EF5" w:rsidRDefault="00CE6AD9" w:rsidP="0074547D">
            <w:pPr>
              <w:spacing w:before="0" w:after="0"/>
              <w:rPr>
                <w:rFonts w:eastAsia="Times New Roman"/>
              </w:rPr>
            </w:pPr>
          </w:p>
        </w:tc>
        <w:tc>
          <w:tcPr>
            <w:tcW w:w="229" w:type="pct"/>
            <w:vAlign w:val="center"/>
          </w:tcPr>
          <w:p w:rsidR="00CE6AD9" w:rsidRPr="00502EF5" w:rsidRDefault="00CE6AD9" w:rsidP="0074547D">
            <w:pPr>
              <w:spacing w:before="0" w:after="0"/>
              <w:rPr>
                <w:rFonts w:eastAsia="Times New Roman"/>
              </w:rPr>
            </w:pPr>
          </w:p>
        </w:tc>
        <w:tc>
          <w:tcPr>
            <w:tcW w:w="222" w:type="pct"/>
            <w:vAlign w:val="center"/>
          </w:tcPr>
          <w:p w:rsidR="00CE6AD9" w:rsidRPr="00502EF5" w:rsidRDefault="00CE6AD9" w:rsidP="0074547D">
            <w:pPr>
              <w:spacing w:before="0" w:after="0"/>
              <w:rPr>
                <w:rFonts w:eastAsia="Times New Roman"/>
              </w:rPr>
            </w:pPr>
          </w:p>
        </w:tc>
        <w:tc>
          <w:tcPr>
            <w:tcW w:w="222" w:type="pct"/>
            <w:vAlign w:val="center"/>
          </w:tcPr>
          <w:p w:rsidR="00CE6AD9" w:rsidRPr="00502EF5" w:rsidRDefault="00CE6AD9" w:rsidP="0074547D">
            <w:pPr>
              <w:spacing w:before="0" w:after="0"/>
              <w:rPr>
                <w:rFonts w:eastAsia="Times New Roman"/>
              </w:rPr>
            </w:pPr>
          </w:p>
        </w:tc>
      </w:tr>
      <w:tr w:rsidR="00CE6AD9" w:rsidRPr="009B50F6" w:rsidTr="00D36F98">
        <w:trPr>
          <w:trHeight w:val="300"/>
        </w:trPr>
        <w:tc>
          <w:tcPr>
            <w:tcW w:w="603" w:type="pct"/>
            <w:shd w:val="clear" w:color="auto" w:fill="auto"/>
            <w:noWrap/>
            <w:vAlign w:val="bottom"/>
            <w:hideMark/>
          </w:tcPr>
          <w:p w:rsidR="00CE6AD9" w:rsidRPr="00502EF5" w:rsidRDefault="00CE6AD9" w:rsidP="0074547D">
            <w:pPr>
              <w:spacing w:before="0" w:after="0"/>
              <w:rPr>
                <w:rFonts w:eastAsia="Times New Roman"/>
              </w:rPr>
            </w:pPr>
            <w:r w:rsidRPr="00502EF5">
              <w:rPr>
                <w:rFonts w:eastAsia="Times New Roman"/>
              </w:rPr>
              <w:t>Increase of the minimum specific excise, %</w:t>
            </w:r>
          </w:p>
        </w:tc>
        <w:tc>
          <w:tcPr>
            <w:tcW w:w="264" w:type="pct"/>
            <w:shd w:val="clear" w:color="auto" w:fill="auto"/>
            <w:noWrap/>
            <w:vAlign w:val="center"/>
          </w:tcPr>
          <w:p w:rsidR="00CE6AD9" w:rsidRPr="00502EF5" w:rsidRDefault="00CE6AD9" w:rsidP="0074547D">
            <w:pPr>
              <w:spacing w:before="0" w:after="0"/>
              <w:rPr>
                <w:rFonts w:eastAsia="Times New Roman"/>
              </w:rPr>
            </w:pPr>
          </w:p>
        </w:tc>
        <w:tc>
          <w:tcPr>
            <w:tcW w:w="229" w:type="pct"/>
            <w:shd w:val="clear" w:color="auto" w:fill="auto"/>
            <w:noWrap/>
            <w:vAlign w:val="center"/>
            <w:hideMark/>
          </w:tcPr>
          <w:p w:rsidR="00CE6AD9" w:rsidRPr="00502EF5" w:rsidRDefault="00CE6AD9" w:rsidP="0074547D">
            <w:pPr>
              <w:spacing w:before="0" w:after="0"/>
              <w:rPr>
                <w:rFonts w:eastAsia="Times New Roman"/>
              </w:rPr>
            </w:pPr>
          </w:p>
        </w:tc>
        <w:tc>
          <w:tcPr>
            <w:tcW w:w="226"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36</w:t>
            </w:r>
          </w:p>
        </w:tc>
        <w:tc>
          <w:tcPr>
            <w:tcW w:w="226"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56</w:t>
            </w:r>
          </w:p>
        </w:tc>
        <w:tc>
          <w:tcPr>
            <w:tcW w:w="226"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17</w:t>
            </w:r>
          </w:p>
        </w:tc>
        <w:tc>
          <w:tcPr>
            <w:tcW w:w="235"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20</w:t>
            </w:r>
          </w:p>
        </w:tc>
        <w:tc>
          <w:tcPr>
            <w:tcW w:w="239"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6</w:t>
            </w:r>
          </w:p>
        </w:tc>
        <w:tc>
          <w:tcPr>
            <w:tcW w:w="239"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6</w:t>
            </w:r>
          </w:p>
        </w:tc>
        <w:tc>
          <w:tcPr>
            <w:tcW w:w="230" w:type="pct"/>
            <w:shd w:val="clear" w:color="auto" w:fill="auto"/>
            <w:noWrap/>
            <w:vAlign w:val="center"/>
            <w:hideMark/>
          </w:tcPr>
          <w:p w:rsidR="00CE6AD9" w:rsidRPr="00502EF5" w:rsidRDefault="00CE6AD9" w:rsidP="0074547D">
            <w:pPr>
              <w:spacing w:before="0" w:after="0"/>
              <w:rPr>
                <w:rFonts w:eastAsia="Times New Roman"/>
              </w:rPr>
            </w:pPr>
            <w:r w:rsidRPr="00502EF5">
              <w:rPr>
                <w:rFonts w:eastAsia="Times New Roman"/>
              </w:rPr>
              <w:t>5</w:t>
            </w:r>
          </w:p>
        </w:tc>
        <w:tc>
          <w:tcPr>
            <w:tcW w:w="230" w:type="pct"/>
            <w:shd w:val="clear" w:color="auto" w:fill="auto"/>
            <w:noWrap/>
            <w:vAlign w:val="center"/>
            <w:hideMark/>
          </w:tcPr>
          <w:p w:rsidR="00CE6AD9" w:rsidRPr="00502EF5" w:rsidRDefault="00987689" w:rsidP="0074547D">
            <w:pPr>
              <w:spacing w:before="0" w:after="0"/>
              <w:rPr>
                <w:rFonts w:eastAsia="Times New Roman"/>
              </w:rPr>
            </w:pPr>
            <w:r w:rsidRPr="00502EF5">
              <w:rPr>
                <w:rFonts w:eastAsia="Times New Roman"/>
              </w:rPr>
              <w:t>11</w:t>
            </w:r>
          </w:p>
        </w:tc>
        <w:tc>
          <w:tcPr>
            <w:tcW w:w="230" w:type="pct"/>
            <w:vAlign w:val="center"/>
          </w:tcPr>
          <w:p w:rsidR="00CE6AD9" w:rsidRPr="00502EF5" w:rsidRDefault="00987689" w:rsidP="0074547D">
            <w:pPr>
              <w:spacing w:before="0" w:after="0"/>
              <w:rPr>
                <w:rFonts w:eastAsia="Times New Roman"/>
              </w:rPr>
            </w:pPr>
            <w:r w:rsidRPr="00502EF5">
              <w:rPr>
                <w:rFonts w:eastAsia="Times New Roman"/>
              </w:rPr>
              <w:t>22</w:t>
            </w:r>
          </w:p>
        </w:tc>
        <w:tc>
          <w:tcPr>
            <w:tcW w:w="230" w:type="pct"/>
            <w:vAlign w:val="center"/>
          </w:tcPr>
          <w:p w:rsidR="00CE6AD9" w:rsidRPr="00502EF5" w:rsidRDefault="00987689" w:rsidP="0074547D">
            <w:pPr>
              <w:spacing w:before="0" w:after="0"/>
              <w:rPr>
                <w:rFonts w:eastAsia="Times New Roman"/>
              </w:rPr>
            </w:pPr>
            <w:r w:rsidRPr="00502EF5">
              <w:rPr>
                <w:rFonts w:eastAsia="Times New Roman"/>
              </w:rPr>
              <w:t>-14</w:t>
            </w:r>
          </w:p>
        </w:tc>
        <w:tc>
          <w:tcPr>
            <w:tcW w:w="230" w:type="pct"/>
            <w:vAlign w:val="center"/>
          </w:tcPr>
          <w:p w:rsidR="00CE6AD9" w:rsidRPr="00502EF5" w:rsidRDefault="00987689" w:rsidP="0074547D">
            <w:pPr>
              <w:spacing w:before="0" w:after="0"/>
              <w:rPr>
                <w:rFonts w:eastAsia="Times New Roman"/>
              </w:rPr>
            </w:pPr>
            <w:r w:rsidRPr="00502EF5">
              <w:rPr>
                <w:rFonts w:eastAsia="Times New Roman"/>
              </w:rPr>
              <w:t>0</w:t>
            </w:r>
          </w:p>
        </w:tc>
        <w:tc>
          <w:tcPr>
            <w:tcW w:w="230" w:type="pct"/>
            <w:vAlign w:val="center"/>
          </w:tcPr>
          <w:p w:rsidR="00CE6AD9" w:rsidRPr="00502EF5" w:rsidRDefault="00CE6AD9" w:rsidP="0074547D">
            <w:pPr>
              <w:spacing w:before="0" w:after="0"/>
              <w:rPr>
                <w:rFonts w:eastAsia="Times New Roman"/>
              </w:rPr>
            </w:pPr>
          </w:p>
        </w:tc>
        <w:tc>
          <w:tcPr>
            <w:tcW w:w="230" w:type="pct"/>
            <w:vAlign w:val="center"/>
          </w:tcPr>
          <w:p w:rsidR="00CE6AD9" w:rsidRPr="00502EF5" w:rsidRDefault="00CE6AD9" w:rsidP="0074547D">
            <w:pPr>
              <w:spacing w:before="0" w:after="0"/>
              <w:rPr>
                <w:rFonts w:eastAsia="Times New Roman"/>
              </w:rPr>
            </w:pPr>
          </w:p>
        </w:tc>
        <w:tc>
          <w:tcPr>
            <w:tcW w:w="230" w:type="pct"/>
            <w:vAlign w:val="center"/>
          </w:tcPr>
          <w:p w:rsidR="00CE6AD9" w:rsidRPr="00502EF5" w:rsidRDefault="00CE6AD9" w:rsidP="0074547D">
            <w:pPr>
              <w:spacing w:before="0" w:after="0"/>
              <w:rPr>
                <w:rFonts w:eastAsia="Times New Roman"/>
              </w:rPr>
            </w:pPr>
          </w:p>
        </w:tc>
        <w:tc>
          <w:tcPr>
            <w:tcW w:w="229" w:type="pct"/>
            <w:vAlign w:val="center"/>
          </w:tcPr>
          <w:p w:rsidR="00CE6AD9" w:rsidRPr="00502EF5" w:rsidRDefault="00CE6AD9" w:rsidP="0074547D">
            <w:pPr>
              <w:spacing w:before="0" w:after="0"/>
              <w:rPr>
                <w:rFonts w:eastAsia="Times New Roman"/>
              </w:rPr>
            </w:pPr>
          </w:p>
        </w:tc>
        <w:tc>
          <w:tcPr>
            <w:tcW w:w="222" w:type="pct"/>
            <w:vAlign w:val="center"/>
          </w:tcPr>
          <w:p w:rsidR="00CE6AD9" w:rsidRPr="00502EF5" w:rsidRDefault="00CE6AD9" w:rsidP="0074547D">
            <w:pPr>
              <w:spacing w:before="0" w:after="0"/>
              <w:rPr>
                <w:rFonts w:eastAsia="Times New Roman"/>
              </w:rPr>
            </w:pPr>
          </w:p>
        </w:tc>
        <w:tc>
          <w:tcPr>
            <w:tcW w:w="222" w:type="pct"/>
            <w:vAlign w:val="center"/>
          </w:tcPr>
          <w:p w:rsidR="00CE6AD9" w:rsidRPr="00502EF5" w:rsidRDefault="00CE6AD9" w:rsidP="0074547D">
            <w:pPr>
              <w:spacing w:before="0" w:after="0"/>
              <w:rPr>
                <w:rFonts w:eastAsia="Times New Roman"/>
              </w:rPr>
            </w:pPr>
          </w:p>
        </w:tc>
      </w:tr>
      <w:tr w:rsidR="00D36F98" w:rsidRPr="009B50F6" w:rsidTr="00D36F98">
        <w:trPr>
          <w:trHeight w:val="360"/>
        </w:trPr>
        <w:tc>
          <w:tcPr>
            <w:tcW w:w="603" w:type="pct"/>
            <w:shd w:val="clear" w:color="auto" w:fill="auto"/>
            <w:noWrap/>
            <w:vAlign w:val="bottom"/>
            <w:hideMark/>
          </w:tcPr>
          <w:p w:rsidR="00D36F98" w:rsidRPr="00502EF5" w:rsidRDefault="00D36F98" w:rsidP="0074547D">
            <w:pPr>
              <w:spacing w:before="0" w:after="0"/>
              <w:rPr>
                <w:rFonts w:eastAsia="Times New Roman"/>
              </w:rPr>
            </w:pPr>
            <w:r w:rsidRPr="00502EF5">
              <w:rPr>
                <w:rFonts w:eastAsia="Times New Roman"/>
              </w:rPr>
              <w:t>Fine cut tobacco, euro per 1 kg</w:t>
            </w:r>
          </w:p>
        </w:tc>
        <w:tc>
          <w:tcPr>
            <w:tcW w:w="264" w:type="pct"/>
            <w:shd w:val="clear" w:color="auto" w:fill="auto"/>
            <w:noWrap/>
            <w:vAlign w:val="center"/>
          </w:tcPr>
          <w:p w:rsidR="00D36F98" w:rsidRPr="00502EF5" w:rsidRDefault="00D36F98" w:rsidP="0074547D">
            <w:pPr>
              <w:spacing w:before="0" w:after="0"/>
              <w:rPr>
                <w:rFonts w:eastAsia="Times New Roman"/>
              </w:rPr>
            </w:pPr>
            <w:r w:rsidRPr="00502EF5">
              <w:rPr>
                <w:rFonts w:eastAsia="Times New Roman"/>
              </w:rPr>
              <w:t>20</w:t>
            </w:r>
          </w:p>
        </w:tc>
        <w:tc>
          <w:tcPr>
            <w:tcW w:w="229" w:type="pct"/>
            <w:shd w:val="clear" w:color="auto" w:fill="auto"/>
            <w:noWrap/>
            <w:vAlign w:val="center"/>
            <w:hideMark/>
          </w:tcPr>
          <w:p w:rsidR="00D36F98" w:rsidRPr="00502EF5" w:rsidRDefault="00D36F98" w:rsidP="0074547D">
            <w:pPr>
              <w:spacing w:before="0" w:after="0"/>
              <w:rPr>
                <w:rFonts w:eastAsia="Times New Roman"/>
              </w:rPr>
            </w:pPr>
            <w:r w:rsidRPr="00502EF5">
              <w:rPr>
                <w:rFonts w:eastAsia="Times New Roman"/>
              </w:rPr>
              <w:t>32</w:t>
            </w:r>
          </w:p>
        </w:tc>
        <w:tc>
          <w:tcPr>
            <w:tcW w:w="226" w:type="pct"/>
            <w:shd w:val="clear" w:color="auto" w:fill="auto"/>
            <w:noWrap/>
            <w:vAlign w:val="center"/>
            <w:hideMark/>
          </w:tcPr>
          <w:p w:rsidR="00D36F98" w:rsidRPr="00502EF5" w:rsidRDefault="00D36F98" w:rsidP="0074547D">
            <w:pPr>
              <w:spacing w:before="0" w:after="0"/>
              <w:rPr>
                <w:rFonts w:eastAsia="Times New Roman"/>
              </w:rPr>
            </w:pPr>
            <w:r w:rsidRPr="00502EF5">
              <w:rPr>
                <w:rFonts w:eastAsia="Times New Roman"/>
              </w:rPr>
              <w:t>40</w:t>
            </w:r>
          </w:p>
        </w:tc>
        <w:tc>
          <w:tcPr>
            <w:tcW w:w="226" w:type="pct"/>
            <w:shd w:val="clear" w:color="auto" w:fill="auto"/>
            <w:noWrap/>
            <w:vAlign w:val="center"/>
            <w:hideMark/>
          </w:tcPr>
          <w:p w:rsidR="00D36F98" w:rsidRPr="00502EF5" w:rsidRDefault="00D36F98" w:rsidP="0074547D">
            <w:pPr>
              <w:spacing w:before="0" w:after="0"/>
              <w:rPr>
                <w:rFonts w:eastAsia="Times New Roman"/>
              </w:rPr>
            </w:pPr>
            <w:r w:rsidRPr="00502EF5">
              <w:rPr>
                <w:rFonts w:eastAsia="Times New Roman"/>
              </w:rPr>
              <w:t>40</w:t>
            </w:r>
          </w:p>
        </w:tc>
        <w:tc>
          <w:tcPr>
            <w:tcW w:w="226" w:type="pct"/>
            <w:shd w:val="clear" w:color="auto" w:fill="auto"/>
            <w:noWrap/>
            <w:vAlign w:val="center"/>
            <w:hideMark/>
          </w:tcPr>
          <w:p w:rsidR="00D36F98" w:rsidRPr="00502EF5" w:rsidRDefault="00D36F98" w:rsidP="0074547D">
            <w:pPr>
              <w:spacing w:before="0" w:after="0"/>
              <w:rPr>
                <w:rFonts w:eastAsia="Times New Roman"/>
              </w:rPr>
            </w:pPr>
            <w:r w:rsidRPr="00502EF5">
              <w:rPr>
                <w:rFonts w:eastAsia="Times New Roman"/>
              </w:rPr>
              <w:t>40</w:t>
            </w:r>
          </w:p>
        </w:tc>
        <w:tc>
          <w:tcPr>
            <w:tcW w:w="235" w:type="pct"/>
            <w:shd w:val="clear" w:color="auto" w:fill="auto"/>
            <w:noWrap/>
            <w:vAlign w:val="center"/>
            <w:hideMark/>
          </w:tcPr>
          <w:p w:rsidR="00D36F98" w:rsidRPr="00502EF5" w:rsidRDefault="00D36F98" w:rsidP="0074547D">
            <w:pPr>
              <w:spacing w:before="0" w:after="0"/>
              <w:rPr>
                <w:rFonts w:eastAsia="Times New Roman"/>
              </w:rPr>
            </w:pPr>
            <w:r w:rsidRPr="00502EF5">
              <w:rPr>
                <w:rFonts w:eastAsia="Times New Roman"/>
              </w:rPr>
              <w:t>25</w:t>
            </w:r>
          </w:p>
        </w:tc>
        <w:tc>
          <w:tcPr>
            <w:tcW w:w="239" w:type="pct"/>
            <w:shd w:val="clear" w:color="auto" w:fill="auto"/>
            <w:noWrap/>
            <w:vAlign w:val="center"/>
            <w:hideMark/>
          </w:tcPr>
          <w:p w:rsidR="00D36F98" w:rsidRPr="00502EF5" w:rsidRDefault="00D36F98" w:rsidP="0074547D">
            <w:pPr>
              <w:spacing w:before="0" w:after="0"/>
              <w:rPr>
                <w:rFonts w:eastAsia="Times New Roman"/>
              </w:rPr>
            </w:pPr>
            <w:r w:rsidRPr="00502EF5">
              <w:rPr>
                <w:rFonts w:eastAsia="Times New Roman"/>
              </w:rPr>
              <w:t>25</w:t>
            </w:r>
          </w:p>
        </w:tc>
        <w:tc>
          <w:tcPr>
            <w:tcW w:w="239" w:type="pct"/>
            <w:shd w:val="clear" w:color="auto" w:fill="auto"/>
            <w:noWrap/>
            <w:vAlign w:val="center"/>
            <w:hideMark/>
          </w:tcPr>
          <w:p w:rsidR="00D36F98" w:rsidRPr="00502EF5" w:rsidRDefault="00D36F98" w:rsidP="0074547D">
            <w:pPr>
              <w:spacing w:before="0" w:after="0"/>
              <w:rPr>
                <w:rFonts w:eastAsia="Times New Roman"/>
              </w:rPr>
            </w:pPr>
            <w:r w:rsidRPr="00502EF5">
              <w:rPr>
                <w:rFonts w:eastAsia="Times New Roman"/>
              </w:rPr>
              <w:t>25</w:t>
            </w:r>
          </w:p>
        </w:tc>
        <w:tc>
          <w:tcPr>
            <w:tcW w:w="230" w:type="pct"/>
            <w:shd w:val="clear" w:color="auto" w:fill="auto"/>
            <w:noWrap/>
            <w:vAlign w:val="center"/>
            <w:hideMark/>
          </w:tcPr>
          <w:p w:rsidR="00D36F98" w:rsidRPr="00502EF5" w:rsidRDefault="00D36F98" w:rsidP="0074547D">
            <w:pPr>
              <w:spacing w:before="0" w:after="0"/>
              <w:rPr>
                <w:rFonts w:eastAsia="Times New Roman"/>
              </w:rPr>
            </w:pPr>
            <w:r w:rsidRPr="00502EF5">
              <w:rPr>
                <w:rFonts w:eastAsia="Times New Roman"/>
              </w:rPr>
              <w:t>25</w:t>
            </w:r>
          </w:p>
        </w:tc>
        <w:tc>
          <w:tcPr>
            <w:tcW w:w="230" w:type="pct"/>
            <w:shd w:val="clear" w:color="auto" w:fill="auto"/>
            <w:noWrap/>
            <w:vAlign w:val="center"/>
            <w:hideMark/>
          </w:tcPr>
          <w:p w:rsidR="00D36F98" w:rsidRPr="00502EF5" w:rsidRDefault="00D36F98" w:rsidP="0074547D">
            <w:pPr>
              <w:spacing w:before="0" w:after="0"/>
              <w:rPr>
                <w:rFonts w:eastAsia="Times New Roman"/>
              </w:rPr>
            </w:pPr>
            <w:r w:rsidRPr="00502EF5">
              <w:rPr>
                <w:rFonts w:eastAsia="Times New Roman"/>
              </w:rPr>
              <w:t>54</w:t>
            </w:r>
          </w:p>
        </w:tc>
        <w:tc>
          <w:tcPr>
            <w:tcW w:w="230" w:type="pct"/>
            <w:vAlign w:val="center"/>
          </w:tcPr>
          <w:p w:rsidR="00D36F98" w:rsidRPr="00502EF5" w:rsidRDefault="00D36F98" w:rsidP="0074547D">
            <w:pPr>
              <w:spacing w:before="0" w:after="0"/>
              <w:rPr>
                <w:rFonts w:eastAsia="Times New Roman"/>
              </w:rPr>
            </w:pPr>
            <w:r w:rsidRPr="00502EF5">
              <w:rPr>
                <w:rFonts w:eastAsia="Times New Roman"/>
              </w:rPr>
              <w:t>54</w:t>
            </w:r>
          </w:p>
        </w:tc>
        <w:tc>
          <w:tcPr>
            <w:tcW w:w="230" w:type="pct"/>
            <w:vAlign w:val="center"/>
          </w:tcPr>
          <w:p w:rsidR="00D36F98" w:rsidRPr="00502EF5" w:rsidRDefault="00D36F98" w:rsidP="0074547D">
            <w:pPr>
              <w:spacing w:before="0" w:after="0"/>
              <w:rPr>
                <w:rFonts w:eastAsia="Times New Roman"/>
              </w:rPr>
            </w:pPr>
            <w:r w:rsidRPr="00502EF5">
              <w:rPr>
                <w:rFonts w:eastAsia="Times New Roman"/>
              </w:rPr>
              <w:t>30</w:t>
            </w:r>
          </w:p>
        </w:tc>
        <w:tc>
          <w:tcPr>
            <w:tcW w:w="230" w:type="pct"/>
            <w:vAlign w:val="center"/>
          </w:tcPr>
          <w:p w:rsidR="00D36F98" w:rsidRPr="00502EF5" w:rsidRDefault="00D36F98" w:rsidP="0074547D">
            <w:pPr>
              <w:spacing w:before="0" w:after="0"/>
              <w:rPr>
                <w:rFonts w:eastAsia="Times New Roman"/>
              </w:rPr>
            </w:pPr>
            <w:r w:rsidRPr="00502EF5">
              <w:rPr>
                <w:rFonts w:eastAsia="Times New Roman"/>
              </w:rPr>
              <w:t>35</w:t>
            </w:r>
          </w:p>
        </w:tc>
        <w:tc>
          <w:tcPr>
            <w:tcW w:w="230" w:type="pct"/>
            <w:vAlign w:val="center"/>
          </w:tcPr>
          <w:p w:rsidR="00D36F98" w:rsidRPr="00502EF5" w:rsidRDefault="00D36F98" w:rsidP="0074547D">
            <w:pPr>
              <w:spacing w:before="0" w:after="0"/>
              <w:rPr>
                <w:rFonts w:eastAsia="Times New Roman"/>
              </w:rPr>
            </w:pPr>
            <w:r w:rsidRPr="00502EF5">
              <w:rPr>
                <w:rFonts w:eastAsia="Times New Roman"/>
              </w:rPr>
              <w:t>40</w:t>
            </w:r>
          </w:p>
        </w:tc>
        <w:tc>
          <w:tcPr>
            <w:tcW w:w="230" w:type="pct"/>
            <w:vAlign w:val="center"/>
          </w:tcPr>
          <w:p w:rsidR="00D36F98" w:rsidRPr="00502EF5" w:rsidRDefault="00D36F98" w:rsidP="0074547D">
            <w:pPr>
              <w:spacing w:before="0" w:after="0"/>
              <w:rPr>
                <w:rFonts w:eastAsia="Times New Roman"/>
              </w:rPr>
            </w:pPr>
            <w:r w:rsidRPr="00502EF5">
              <w:rPr>
                <w:rFonts w:eastAsia="Times New Roman"/>
              </w:rPr>
              <w:t>45</w:t>
            </w:r>
          </w:p>
        </w:tc>
        <w:tc>
          <w:tcPr>
            <w:tcW w:w="230" w:type="pct"/>
            <w:vAlign w:val="center"/>
          </w:tcPr>
          <w:p w:rsidR="00D36F98" w:rsidRPr="00502EF5" w:rsidRDefault="00D36F98" w:rsidP="0074547D">
            <w:pPr>
              <w:spacing w:before="0" w:after="0"/>
              <w:rPr>
                <w:rFonts w:eastAsia="Times New Roman"/>
              </w:rPr>
            </w:pPr>
            <w:r w:rsidRPr="00502EF5">
              <w:rPr>
                <w:rFonts w:eastAsia="Times New Roman"/>
              </w:rPr>
              <w:t>50</w:t>
            </w:r>
          </w:p>
        </w:tc>
        <w:tc>
          <w:tcPr>
            <w:tcW w:w="229" w:type="pct"/>
            <w:vAlign w:val="center"/>
          </w:tcPr>
          <w:p w:rsidR="00D36F98" w:rsidRPr="00502EF5" w:rsidRDefault="00D36F98" w:rsidP="0074547D">
            <w:pPr>
              <w:spacing w:before="0" w:after="0"/>
              <w:rPr>
                <w:rFonts w:eastAsia="Times New Roman"/>
              </w:rPr>
            </w:pPr>
            <w:r w:rsidRPr="00502EF5">
              <w:rPr>
                <w:rFonts w:eastAsia="Times New Roman"/>
              </w:rPr>
              <w:t>55</w:t>
            </w:r>
          </w:p>
        </w:tc>
        <w:tc>
          <w:tcPr>
            <w:tcW w:w="222" w:type="pct"/>
            <w:vAlign w:val="center"/>
          </w:tcPr>
          <w:p w:rsidR="00D36F98" w:rsidRPr="00502EF5" w:rsidRDefault="00987689" w:rsidP="0074547D">
            <w:pPr>
              <w:spacing w:before="0" w:after="0"/>
              <w:rPr>
                <w:rFonts w:eastAsia="Times New Roman"/>
              </w:rPr>
            </w:pPr>
            <w:r w:rsidRPr="00502EF5">
              <w:rPr>
                <w:rFonts w:eastAsia="Times New Roman"/>
              </w:rPr>
              <w:t>60</w:t>
            </w:r>
          </w:p>
        </w:tc>
        <w:tc>
          <w:tcPr>
            <w:tcW w:w="222" w:type="pct"/>
            <w:vAlign w:val="center"/>
          </w:tcPr>
          <w:p w:rsidR="00D36F98" w:rsidRPr="00502EF5" w:rsidRDefault="00D36F98" w:rsidP="0074547D">
            <w:pPr>
              <w:spacing w:before="0" w:after="0"/>
              <w:rPr>
                <w:rFonts w:eastAsia="Times New Roman"/>
              </w:rPr>
            </w:pPr>
          </w:p>
        </w:tc>
      </w:tr>
      <w:tr w:rsidR="00987689" w:rsidRPr="009B50F6" w:rsidTr="00D36F98">
        <w:trPr>
          <w:trHeight w:val="360"/>
        </w:trPr>
        <w:tc>
          <w:tcPr>
            <w:tcW w:w="603" w:type="pct"/>
            <w:shd w:val="clear" w:color="auto" w:fill="auto"/>
            <w:noWrap/>
            <w:vAlign w:val="bottom"/>
            <w:hideMark/>
          </w:tcPr>
          <w:p w:rsidR="00987689" w:rsidRPr="00502EF5" w:rsidRDefault="00987689" w:rsidP="0074547D">
            <w:pPr>
              <w:spacing w:before="0" w:after="0"/>
              <w:rPr>
                <w:rFonts w:eastAsia="Times New Roman"/>
              </w:rPr>
            </w:pPr>
            <w:r w:rsidRPr="00502EF5">
              <w:rPr>
                <w:rFonts w:eastAsia="Times New Roman"/>
              </w:rPr>
              <w:t>Cigars, euro per 1 kg</w:t>
            </w:r>
          </w:p>
        </w:tc>
        <w:tc>
          <w:tcPr>
            <w:tcW w:w="264" w:type="pct"/>
            <w:shd w:val="clear" w:color="auto" w:fill="auto"/>
            <w:noWrap/>
            <w:vAlign w:val="center"/>
          </w:tcPr>
          <w:p w:rsidR="00987689" w:rsidRPr="00502EF5" w:rsidRDefault="00987689" w:rsidP="0074547D">
            <w:pPr>
              <w:spacing w:before="0" w:after="0"/>
              <w:rPr>
                <w:rFonts w:eastAsia="Times New Roman"/>
              </w:rPr>
            </w:pPr>
            <w:r w:rsidRPr="00502EF5">
              <w:rPr>
                <w:rFonts w:eastAsia="Times New Roman"/>
              </w:rPr>
              <w:t>10</w:t>
            </w:r>
          </w:p>
        </w:tc>
        <w:tc>
          <w:tcPr>
            <w:tcW w:w="229" w:type="pct"/>
            <w:shd w:val="clear" w:color="auto" w:fill="auto"/>
            <w:noWrap/>
            <w:vAlign w:val="center"/>
            <w:hideMark/>
          </w:tcPr>
          <w:p w:rsidR="00987689" w:rsidRPr="00502EF5" w:rsidRDefault="00987689" w:rsidP="0074547D">
            <w:pPr>
              <w:spacing w:before="0" w:after="0"/>
              <w:rPr>
                <w:rFonts w:eastAsia="Times New Roman"/>
              </w:rPr>
            </w:pPr>
            <w:r w:rsidRPr="00502EF5">
              <w:rPr>
                <w:rFonts w:eastAsia="Times New Roman"/>
              </w:rPr>
              <w:t>11</w:t>
            </w:r>
          </w:p>
        </w:tc>
        <w:tc>
          <w:tcPr>
            <w:tcW w:w="226" w:type="pct"/>
            <w:shd w:val="clear" w:color="auto" w:fill="auto"/>
            <w:noWrap/>
            <w:vAlign w:val="center"/>
            <w:hideMark/>
          </w:tcPr>
          <w:p w:rsidR="00987689" w:rsidRPr="00502EF5" w:rsidRDefault="00987689" w:rsidP="0074547D">
            <w:pPr>
              <w:spacing w:before="0" w:after="0"/>
              <w:rPr>
                <w:rFonts w:eastAsia="Times New Roman"/>
              </w:rPr>
            </w:pPr>
            <w:r w:rsidRPr="00502EF5">
              <w:rPr>
                <w:rFonts w:eastAsia="Times New Roman"/>
              </w:rPr>
              <w:t>25</w:t>
            </w:r>
          </w:p>
        </w:tc>
        <w:tc>
          <w:tcPr>
            <w:tcW w:w="226" w:type="pct"/>
            <w:shd w:val="clear" w:color="auto" w:fill="auto"/>
            <w:noWrap/>
            <w:vAlign w:val="center"/>
            <w:hideMark/>
          </w:tcPr>
          <w:p w:rsidR="00987689" w:rsidRPr="00502EF5" w:rsidRDefault="00987689" w:rsidP="0074547D">
            <w:pPr>
              <w:spacing w:before="0" w:after="0"/>
              <w:rPr>
                <w:rFonts w:eastAsia="Times New Roman"/>
              </w:rPr>
            </w:pPr>
            <w:r w:rsidRPr="00502EF5">
              <w:rPr>
                <w:rFonts w:eastAsia="Times New Roman"/>
              </w:rPr>
              <w:t>25</w:t>
            </w:r>
          </w:p>
        </w:tc>
        <w:tc>
          <w:tcPr>
            <w:tcW w:w="226" w:type="pct"/>
            <w:shd w:val="clear" w:color="auto" w:fill="auto"/>
            <w:noWrap/>
            <w:vAlign w:val="center"/>
            <w:hideMark/>
          </w:tcPr>
          <w:p w:rsidR="00987689" w:rsidRPr="00502EF5" w:rsidRDefault="00987689" w:rsidP="0074547D">
            <w:pPr>
              <w:spacing w:before="0" w:after="0"/>
              <w:rPr>
                <w:rFonts w:eastAsia="Times New Roman"/>
              </w:rPr>
            </w:pPr>
            <w:r w:rsidRPr="00502EF5">
              <w:rPr>
                <w:rFonts w:eastAsia="Times New Roman"/>
              </w:rPr>
              <w:t>25</w:t>
            </w:r>
          </w:p>
        </w:tc>
        <w:tc>
          <w:tcPr>
            <w:tcW w:w="235" w:type="pct"/>
            <w:shd w:val="clear" w:color="auto" w:fill="auto"/>
            <w:noWrap/>
            <w:vAlign w:val="center"/>
            <w:hideMark/>
          </w:tcPr>
          <w:p w:rsidR="00987689" w:rsidRPr="00502EF5" w:rsidRDefault="00987689" w:rsidP="0074547D">
            <w:pPr>
              <w:spacing w:before="0" w:after="0"/>
              <w:rPr>
                <w:rFonts w:eastAsia="Times New Roman"/>
              </w:rPr>
            </w:pPr>
            <w:r w:rsidRPr="00502EF5">
              <w:rPr>
                <w:rFonts w:eastAsia="Times New Roman"/>
              </w:rPr>
              <w:t>25</w:t>
            </w:r>
          </w:p>
        </w:tc>
        <w:tc>
          <w:tcPr>
            <w:tcW w:w="239" w:type="pct"/>
            <w:shd w:val="clear" w:color="auto" w:fill="auto"/>
            <w:noWrap/>
            <w:vAlign w:val="center"/>
            <w:hideMark/>
          </w:tcPr>
          <w:p w:rsidR="00987689" w:rsidRPr="00502EF5" w:rsidRDefault="00987689" w:rsidP="0074547D">
            <w:pPr>
              <w:spacing w:before="0" w:after="0"/>
              <w:rPr>
                <w:rFonts w:eastAsia="Times New Roman"/>
              </w:rPr>
            </w:pPr>
            <w:r w:rsidRPr="00502EF5">
              <w:rPr>
                <w:rFonts w:eastAsia="Times New Roman"/>
              </w:rPr>
              <w:t>25</w:t>
            </w:r>
          </w:p>
        </w:tc>
        <w:tc>
          <w:tcPr>
            <w:tcW w:w="239" w:type="pct"/>
            <w:shd w:val="clear" w:color="auto" w:fill="auto"/>
            <w:noWrap/>
            <w:vAlign w:val="center"/>
            <w:hideMark/>
          </w:tcPr>
          <w:p w:rsidR="00987689" w:rsidRPr="00502EF5" w:rsidRDefault="00987689" w:rsidP="0074547D">
            <w:pPr>
              <w:spacing w:before="0" w:after="0"/>
              <w:rPr>
                <w:rFonts w:eastAsia="Times New Roman"/>
              </w:rPr>
            </w:pPr>
            <w:r w:rsidRPr="00502EF5">
              <w:rPr>
                <w:rFonts w:eastAsia="Times New Roman"/>
              </w:rPr>
              <w:t>25</w:t>
            </w:r>
          </w:p>
        </w:tc>
        <w:tc>
          <w:tcPr>
            <w:tcW w:w="230" w:type="pct"/>
            <w:shd w:val="clear" w:color="auto" w:fill="auto"/>
            <w:noWrap/>
            <w:vAlign w:val="center"/>
            <w:hideMark/>
          </w:tcPr>
          <w:p w:rsidR="00987689" w:rsidRPr="00502EF5" w:rsidRDefault="00987689" w:rsidP="0074547D">
            <w:pPr>
              <w:spacing w:before="0" w:after="0"/>
              <w:rPr>
                <w:rFonts w:eastAsia="Times New Roman"/>
              </w:rPr>
            </w:pPr>
            <w:r w:rsidRPr="00502EF5">
              <w:rPr>
                <w:rFonts w:eastAsia="Times New Roman"/>
              </w:rPr>
              <w:t>25</w:t>
            </w:r>
          </w:p>
        </w:tc>
        <w:tc>
          <w:tcPr>
            <w:tcW w:w="230" w:type="pct"/>
            <w:shd w:val="clear" w:color="auto" w:fill="auto"/>
            <w:noWrap/>
            <w:vAlign w:val="center"/>
            <w:hideMark/>
          </w:tcPr>
          <w:p w:rsidR="00987689" w:rsidRPr="00502EF5" w:rsidRDefault="00987689" w:rsidP="0074547D">
            <w:pPr>
              <w:spacing w:before="0" w:after="0"/>
              <w:rPr>
                <w:rFonts w:eastAsia="Times New Roman"/>
              </w:rPr>
            </w:pPr>
            <w:r w:rsidRPr="00502EF5">
              <w:rPr>
                <w:rFonts w:eastAsia="Times New Roman"/>
              </w:rPr>
              <w:t>25</w:t>
            </w:r>
          </w:p>
        </w:tc>
        <w:tc>
          <w:tcPr>
            <w:tcW w:w="230" w:type="pct"/>
            <w:vAlign w:val="center"/>
          </w:tcPr>
          <w:p w:rsidR="00987689" w:rsidRPr="00502EF5" w:rsidRDefault="00987689" w:rsidP="0074547D">
            <w:pPr>
              <w:spacing w:before="0" w:after="0"/>
              <w:rPr>
                <w:rFonts w:eastAsia="Times New Roman"/>
              </w:rPr>
            </w:pPr>
            <w:r w:rsidRPr="00502EF5">
              <w:rPr>
                <w:rFonts w:eastAsia="Times New Roman"/>
              </w:rPr>
              <w:t>25</w:t>
            </w:r>
          </w:p>
        </w:tc>
        <w:tc>
          <w:tcPr>
            <w:tcW w:w="230" w:type="pct"/>
            <w:vAlign w:val="center"/>
          </w:tcPr>
          <w:p w:rsidR="00987689" w:rsidRPr="00502EF5" w:rsidRDefault="00987689" w:rsidP="0074547D">
            <w:pPr>
              <w:spacing w:before="0" w:after="0"/>
              <w:rPr>
                <w:rFonts w:eastAsia="Times New Roman"/>
              </w:rPr>
            </w:pPr>
            <w:r w:rsidRPr="00502EF5">
              <w:rPr>
                <w:rFonts w:eastAsia="Times New Roman"/>
              </w:rPr>
              <w:t>25</w:t>
            </w:r>
          </w:p>
        </w:tc>
        <w:tc>
          <w:tcPr>
            <w:tcW w:w="230" w:type="pct"/>
            <w:vAlign w:val="center"/>
          </w:tcPr>
          <w:p w:rsidR="00987689" w:rsidRPr="00502EF5" w:rsidRDefault="00987689" w:rsidP="0074547D">
            <w:pPr>
              <w:spacing w:before="0" w:after="0"/>
              <w:rPr>
                <w:rFonts w:eastAsia="Times New Roman"/>
              </w:rPr>
            </w:pPr>
            <w:r w:rsidRPr="00502EF5">
              <w:rPr>
                <w:rFonts w:eastAsia="Times New Roman"/>
              </w:rPr>
              <w:t>25</w:t>
            </w:r>
          </w:p>
        </w:tc>
        <w:tc>
          <w:tcPr>
            <w:tcW w:w="230" w:type="pct"/>
            <w:vAlign w:val="center"/>
          </w:tcPr>
          <w:p w:rsidR="00987689" w:rsidRPr="00502EF5" w:rsidRDefault="00987689" w:rsidP="0074547D">
            <w:pPr>
              <w:spacing w:before="0" w:after="0"/>
              <w:rPr>
                <w:rFonts w:eastAsia="Times New Roman"/>
              </w:rPr>
            </w:pPr>
            <w:r w:rsidRPr="00502EF5">
              <w:rPr>
                <w:rFonts w:eastAsia="Times New Roman"/>
              </w:rPr>
              <w:t>25</w:t>
            </w:r>
          </w:p>
        </w:tc>
        <w:tc>
          <w:tcPr>
            <w:tcW w:w="230" w:type="pct"/>
            <w:vAlign w:val="center"/>
          </w:tcPr>
          <w:p w:rsidR="00987689" w:rsidRPr="00502EF5" w:rsidRDefault="00987689" w:rsidP="0074547D">
            <w:pPr>
              <w:spacing w:before="0" w:after="0"/>
              <w:rPr>
                <w:rFonts w:eastAsia="Times New Roman"/>
              </w:rPr>
            </w:pPr>
            <w:r w:rsidRPr="00502EF5">
              <w:rPr>
                <w:rFonts w:eastAsia="Times New Roman"/>
              </w:rPr>
              <w:t>25</w:t>
            </w:r>
          </w:p>
        </w:tc>
        <w:tc>
          <w:tcPr>
            <w:tcW w:w="230" w:type="pct"/>
            <w:vAlign w:val="center"/>
          </w:tcPr>
          <w:p w:rsidR="00987689" w:rsidRPr="00502EF5" w:rsidRDefault="00987689" w:rsidP="0074547D">
            <w:pPr>
              <w:spacing w:before="0" w:after="0"/>
              <w:rPr>
                <w:rFonts w:eastAsia="Times New Roman"/>
              </w:rPr>
            </w:pPr>
            <w:r w:rsidRPr="00502EF5">
              <w:rPr>
                <w:rFonts w:eastAsia="Times New Roman"/>
              </w:rPr>
              <w:t>25</w:t>
            </w:r>
          </w:p>
        </w:tc>
        <w:tc>
          <w:tcPr>
            <w:tcW w:w="229" w:type="pct"/>
            <w:vAlign w:val="center"/>
          </w:tcPr>
          <w:p w:rsidR="00987689" w:rsidRPr="00502EF5" w:rsidRDefault="00987689" w:rsidP="0074547D">
            <w:pPr>
              <w:spacing w:before="0" w:after="0"/>
              <w:rPr>
                <w:rFonts w:eastAsia="Times New Roman"/>
              </w:rPr>
            </w:pPr>
            <w:r w:rsidRPr="00502EF5">
              <w:rPr>
                <w:rFonts w:eastAsia="Times New Roman"/>
              </w:rPr>
              <w:t>25</w:t>
            </w:r>
          </w:p>
        </w:tc>
        <w:tc>
          <w:tcPr>
            <w:tcW w:w="222" w:type="pct"/>
            <w:vAlign w:val="center"/>
          </w:tcPr>
          <w:p w:rsidR="00987689" w:rsidRPr="00502EF5" w:rsidRDefault="00987689" w:rsidP="0074547D">
            <w:pPr>
              <w:spacing w:before="0" w:after="0"/>
              <w:rPr>
                <w:rFonts w:eastAsia="Times New Roman"/>
              </w:rPr>
            </w:pPr>
            <w:r w:rsidRPr="00502EF5">
              <w:rPr>
                <w:rFonts w:eastAsia="Times New Roman"/>
              </w:rPr>
              <w:t>25</w:t>
            </w:r>
          </w:p>
        </w:tc>
        <w:tc>
          <w:tcPr>
            <w:tcW w:w="222" w:type="pct"/>
          </w:tcPr>
          <w:p w:rsidR="00987689" w:rsidRPr="00502EF5" w:rsidRDefault="00987689" w:rsidP="0074547D">
            <w:pPr>
              <w:spacing w:before="0" w:after="0"/>
              <w:rPr>
                <w:rFonts w:eastAsia="Times New Roman"/>
              </w:rPr>
            </w:pPr>
          </w:p>
        </w:tc>
      </w:tr>
      <w:tr w:rsidR="00987689" w:rsidRPr="009B50F6" w:rsidTr="00D36F98">
        <w:trPr>
          <w:trHeight w:val="360"/>
        </w:trPr>
        <w:tc>
          <w:tcPr>
            <w:tcW w:w="603" w:type="pct"/>
            <w:shd w:val="clear" w:color="auto" w:fill="auto"/>
            <w:noWrap/>
            <w:vAlign w:val="bottom"/>
            <w:hideMark/>
          </w:tcPr>
          <w:p w:rsidR="00987689" w:rsidRPr="00502EF5" w:rsidRDefault="00987689" w:rsidP="0074547D">
            <w:pPr>
              <w:spacing w:before="0" w:after="0"/>
              <w:rPr>
                <w:rFonts w:eastAsia="Times New Roman"/>
              </w:rPr>
            </w:pPr>
            <w:r w:rsidRPr="00502EF5">
              <w:rPr>
                <w:rFonts w:eastAsia="Times New Roman"/>
              </w:rPr>
              <w:t xml:space="preserve">Other tobacco, </w:t>
            </w:r>
          </w:p>
          <w:p w:rsidR="00987689" w:rsidRPr="00502EF5" w:rsidRDefault="00987689" w:rsidP="0074547D">
            <w:pPr>
              <w:spacing w:before="0" w:after="0"/>
              <w:rPr>
                <w:rFonts w:eastAsia="Times New Roman"/>
              </w:rPr>
            </w:pPr>
            <w:r w:rsidRPr="00502EF5">
              <w:rPr>
                <w:rFonts w:eastAsia="Times New Roman"/>
              </w:rPr>
              <w:t>euro per 1 kg</w:t>
            </w:r>
          </w:p>
        </w:tc>
        <w:tc>
          <w:tcPr>
            <w:tcW w:w="264" w:type="pct"/>
            <w:shd w:val="clear" w:color="auto" w:fill="auto"/>
            <w:noWrap/>
            <w:vAlign w:val="center"/>
          </w:tcPr>
          <w:p w:rsidR="00987689" w:rsidRPr="00502EF5" w:rsidRDefault="00987689" w:rsidP="0074547D">
            <w:pPr>
              <w:spacing w:before="0" w:after="0"/>
              <w:rPr>
                <w:rFonts w:eastAsia="Times New Roman"/>
              </w:rPr>
            </w:pPr>
            <w:r w:rsidRPr="00502EF5">
              <w:rPr>
                <w:rFonts w:eastAsia="Times New Roman"/>
              </w:rPr>
              <w:t>15</w:t>
            </w:r>
          </w:p>
        </w:tc>
        <w:tc>
          <w:tcPr>
            <w:tcW w:w="229" w:type="pct"/>
            <w:shd w:val="clear" w:color="auto" w:fill="auto"/>
            <w:noWrap/>
            <w:vAlign w:val="center"/>
            <w:hideMark/>
          </w:tcPr>
          <w:p w:rsidR="00987689" w:rsidRPr="00502EF5" w:rsidRDefault="00987689" w:rsidP="0074547D">
            <w:pPr>
              <w:spacing w:before="0" w:after="0"/>
              <w:rPr>
                <w:rFonts w:eastAsia="Times New Roman"/>
              </w:rPr>
            </w:pPr>
            <w:r w:rsidRPr="00502EF5">
              <w:rPr>
                <w:rFonts w:eastAsia="Times New Roman"/>
              </w:rPr>
              <w:t>20</w:t>
            </w:r>
          </w:p>
        </w:tc>
        <w:tc>
          <w:tcPr>
            <w:tcW w:w="226" w:type="pct"/>
            <w:shd w:val="clear" w:color="auto" w:fill="auto"/>
            <w:noWrap/>
            <w:vAlign w:val="center"/>
            <w:hideMark/>
          </w:tcPr>
          <w:p w:rsidR="00987689" w:rsidRPr="00502EF5" w:rsidRDefault="00987689" w:rsidP="0074547D">
            <w:pPr>
              <w:spacing w:before="0" w:after="0"/>
              <w:rPr>
                <w:rFonts w:eastAsia="Times New Roman"/>
              </w:rPr>
            </w:pPr>
            <w:r w:rsidRPr="00502EF5">
              <w:rPr>
                <w:rFonts w:eastAsia="Times New Roman"/>
              </w:rPr>
              <w:t>25</w:t>
            </w:r>
          </w:p>
        </w:tc>
        <w:tc>
          <w:tcPr>
            <w:tcW w:w="226" w:type="pct"/>
            <w:shd w:val="clear" w:color="auto" w:fill="auto"/>
            <w:noWrap/>
            <w:vAlign w:val="center"/>
            <w:hideMark/>
          </w:tcPr>
          <w:p w:rsidR="00987689" w:rsidRPr="00502EF5" w:rsidRDefault="00987689" w:rsidP="0074547D">
            <w:pPr>
              <w:spacing w:before="0" w:after="0"/>
              <w:rPr>
                <w:rFonts w:eastAsia="Times New Roman"/>
              </w:rPr>
            </w:pPr>
            <w:r w:rsidRPr="00502EF5">
              <w:rPr>
                <w:rFonts w:eastAsia="Times New Roman"/>
              </w:rPr>
              <w:t>25</w:t>
            </w:r>
          </w:p>
        </w:tc>
        <w:tc>
          <w:tcPr>
            <w:tcW w:w="226" w:type="pct"/>
            <w:shd w:val="clear" w:color="auto" w:fill="auto"/>
            <w:noWrap/>
            <w:vAlign w:val="center"/>
            <w:hideMark/>
          </w:tcPr>
          <w:p w:rsidR="00987689" w:rsidRPr="00502EF5" w:rsidRDefault="00987689" w:rsidP="0074547D">
            <w:pPr>
              <w:spacing w:before="0" w:after="0"/>
              <w:rPr>
                <w:rFonts w:eastAsia="Times New Roman"/>
              </w:rPr>
            </w:pPr>
            <w:r w:rsidRPr="00502EF5">
              <w:rPr>
                <w:rFonts w:eastAsia="Times New Roman"/>
              </w:rPr>
              <w:t>25</w:t>
            </w:r>
          </w:p>
        </w:tc>
        <w:tc>
          <w:tcPr>
            <w:tcW w:w="235" w:type="pct"/>
            <w:shd w:val="clear" w:color="auto" w:fill="auto"/>
            <w:noWrap/>
            <w:vAlign w:val="center"/>
            <w:hideMark/>
          </w:tcPr>
          <w:p w:rsidR="00987689" w:rsidRPr="00502EF5" w:rsidRDefault="00987689" w:rsidP="0074547D">
            <w:pPr>
              <w:spacing w:before="0" w:after="0"/>
              <w:rPr>
                <w:rFonts w:eastAsia="Times New Roman"/>
              </w:rPr>
            </w:pPr>
            <w:r w:rsidRPr="00502EF5">
              <w:rPr>
                <w:rFonts w:eastAsia="Times New Roman"/>
              </w:rPr>
              <w:t>25</w:t>
            </w:r>
          </w:p>
        </w:tc>
        <w:tc>
          <w:tcPr>
            <w:tcW w:w="239" w:type="pct"/>
            <w:shd w:val="clear" w:color="auto" w:fill="auto"/>
            <w:noWrap/>
            <w:vAlign w:val="center"/>
            <w:hideMark/>
          </w:tcPr>
          <w:p w:rsidR="00987689" w:rsidRPr="00502EF5" w:rsidRDefault="00987689" w:rsidP="0074547D">
            <w:pPr>
              <w:spacing w:before="0" w:after="0"/>
              <w:rPr>
                <w:rFonts w:eastAsia="Times New Roman"/>
              </w:rPr>
            </w:pPr>
            <w:r w:rsidRPr="00502EF5">
              <w:rPr>
                <w:rFonts w:eastAsia="Times New Roman"/>
              </w:rPr>
              <w:t>25</w:t>
            </w:r>
          </w:p>
        </w:tc>
        <w:tc>
          <w:tcPr>
            <w:tcW w:w="239" w:type="pct"/>
            <w:shd w:val="clear" w:color="auto" w:fill="auto"/>
            <w:noWrap/>
            <w:vAlign w:val="center"/>
            <w:hideMark/>
          </w:tcPr>
          <w:p w:rsidR="00987689" w:rsidRPr="00502EF5" w:rsidRDefault="00987689" w:rsidP="0074547D">
            <w:pPr>
              <w:spacing w:before="0" w:after="0"/>
              <w:rPr>
                <w:rFonts w:eastAsia="Times New Roman"/>
              </w:rPr>
            </w:pPr>
            <w:r w:rsidRPr="00502EF5">
              <w:rPr>
                <w:rFonts w:eastAsia="Times New Roman"/>
              </w:rPr>
              <w:t>25</w:t>
            </w:r>
          </w:p>
        </w:tc>
        <w:tc>
          <w:tcPr>
            <w:tcW w:w="230" w:type="pct"/>
            <w:shd w:val="clear" w:color="auto" w:fill="auto"/>
            <w:noWrap/>
            <w:vAlign w:val="center"/>
            <w:hideMark/>
          </w:tcPr>
          <w:p w:rsidR="00987689" w:rsidRPr="00502EF5" w:rsidRDefault="00987689" w:rsidP="0074547D">
            <w:pPr>
              <w:spacing w:before="0" w:after="0"/>
              <w:rPr>
                <w:rFonts w:eastAsia="Times New Roman"/>
              </w:rPr>
            </w:pPr>
            <w:r w:rsidRPr="00502EF5">
              <w:rPr>
                <w:rFonts w:eastAsia="Times New Roman"/>
              </w:rPr>
              <w:t>25</w:t>
            </w:r>
          </w:p>
        </w:tc>
        <w:tc>
          <w:tcPr>
            <w:tcW w:w="230" w:type="pct"/>
            <w:shd w:val="clear" w:color="auto" w:fill="auto"/>
            <w:noWrap/>
            <w:vAlign w:val="center"/>
            <w:hideMark/>
          </w:tcPr>
          <w:p w:rsidR="00987689" w:rsidRPr="00502EF5" w:rsidRDefault="00987689" w:rsidP="0074547D">
            <w:pPr>
              <w:spacing w:before="0" w:after="0"/>
              <w:rPr>
                <w:rFonts w:eastAsia="Times New Roman"/>
              </w:rPr>
            </w:pPr>
            <w:r w:rsidRPr="00502EF5">
              <w:rPr>
                <w:rFonts w:eastAsia="Times New Roman"/>
              </w:rPr>
              <w:t>25</w:t>
            </w:r>
          </w:p>
        </w:tc>
        <w:tc>
          <w:tcPr>
            <w:tcW w:w="230" w:type="pct"/>
            <w:vAlign w:val="center"/>
          </w:tcPr>
          <w:p w:rsidR="00987689" w:rsidRPr="00502EF5" w:rsidRDefault="00987689" w:rsidP="0074547D">
            <w:pPr>
              <w:spacing w:before="0" w:after="0"/>
              <w:rPr>
                <w:rFonts w:eastAsia="Times New Roman"/>
              </w:rPr>
            </w:pPr>
            <w:r w:rsidRPr="00502EF5">
              <w:rPr>
                <w:rFonts w:eastAsia="Times New Roman"/>
              </w:rPr>
              <w:t>25</w:t>
            </w:r>
          </w:p>
        </w:tc>
        <w:tc>
          <w:tcPr>
            <w:tcW w:w="230" w:type="pct"/>
            <w:vAlign w:val="center"/>
          </w:tcPr>
          <w:p w:rsidR="00987689" w:rsidRPr="00502EF5" w:rsidRDefault="00987689" w:rsidP="0074547D">
            <w:pPr>
              <w:spacing w:before="0" w:after="0"/>
              <w:rPr>
                <w:rFonts w:eastAsia="Times New Roman"/>
              </w:rPr>
            </w:pPr>
            <w:r w:rsidRPr="00502EF5">
              <w:rPr>
                <w:rFonts w:eastAsia="Times New Roman"/>
              </w:rPr>
              <w:t>25</w:t>
            </w:r>
          </w:p>
        </w:tc>
        <w:tc>
          <w:tcPr>
            <w:tcW w:w="230" w:type="pct"/>
            <w:vAlign w:val="center"/>
          </w:tcPr>
          <w:p w:rsidR="00987689" w:rsidRPr="00502EF5" w:rsidRDefault="00987689" w:rsidP="0074547D">
            <w:pPr>
              <w:spacing w:before="0" w:after="0"/>
              <w:rPr>
                <w:rFonts w:eastAsia="Times New Roman"/>
              </w:rPr>
            </w:pPr>
            <w:r w:rsidRPr="00502EF5">
              <w:rPr>
                <w:rFonts w:eastAsia="Times New Roman"/>
              </w:rPr>
              <w:t>25</w:t>
            </w:r>
          </w:p>
        </w:tc>
        <w:tc>
          <w:tcPr>
            <w:tcW w:w="230" w:type="pct"/>
            <w:vAlign w:val="center"/>
          </w:tcPr>
          <w:p w:rsidR="00987689" w:rsidRPr="00502EF5" w:rsidRDefault="00987689" w:rsidP="0074547D">
            <w:pPr>
              <w:spacing w:before="0" w:after="0"/>
              <w:rPr>
                <w:rFonts w:eastAsia="Times New Roman"/>
              </w:rPr>
            </w:pPr>
            <w:r w:rsidRPr="00502EF5">
              <w:rPr>
                <w:rFonts w:eastAsia="Times New Roman"/>
              </w:rPr>
              <w:t>25</w:t>
            </w:r>
          </w:p>
        </w:tc>
        <w:tc>
          <w:tcPr>
            <w:tcW w:w="230" w:type="pct"/>
            <w:vAlign w:val="center"/>
          </w:tcPr>
          <w:p w:rsidR="00987689" w:rsidRPr="00502EF5" w:rsidRDefault="00987689" w:rsidP="0074547D">
            <w:pPr>
              <w:spacing w:before="0" w:after="0"/>
              <w:rPr>
                <w:rFonts w:eastAsia="Times New Roman"/>
              </w:rPr>
            </w:pPr>
            <w:r w:rsidRPr="00502EF5">
              <w:rPr>
                <w:rFonts w:eastAsia="Times New Roman"/>
              </w:rPr>
              <w:t>25</w:t>
            </w:r>
          </w:p>
        </w:tc>
        <w:tc>
          <w:tcPr>
            <w:tcW w:w="230" w:type="pct"/>
            <w:vAlign w:val="center"/>
          </w:tcPr>
          <w:p w:rsidR="00987689" w:rsidRPr="00502EF5" w:rsidRDefault="00987689" w:rsidP="0074547D">
            <w:pPr>
              <w:spacing w:before="0" w:after="0"/>
              <w:rPr>
                <w:rFonts w:eastAsia="Times New Roman"/>
              </w:rPr>
            </w:pPr>
            <w:r w:rsidRPr="00502EF5">
              <w:rPr>
                <w:rFonts w:eastAsia="Times New Roman"/>
              </w:rPr>
              <w:t>25</w:t>
            </w:r>
          </w:p>
        </w:tc>
        <w:tc>
          <w:tcPr>
            <w:tcW w:w="229" w:type="pct"/>
            <w:vAlign w:val="center"/>
          </w:tcPr>
          <w:p w:rsidR="00987689" w:rsidRPr="00502EF5" w:rsidRDefault="00987689" w:rsidP="0074547D">
            <w:pPr>
              <w:spacing w:before="0" w:after="0"/>
              <w:rPr>
                <w:rFonts w:eastAsia="Times New Roman"/>
              </w:rPr>
            </w:pPr>
            <w:r w:rsidRPr="00502EF5">
              <w:rPr>
                <w:rFonts w:eastAsia="Times New Roman"/>
              </w:rPr>
              <w:t>25</w:t>
            </w:r>
          </w:p>
        </w:tc>
        <w:tc>
          <w:tcPr>
            <w:tcW w:w="222" w:type="pct"/>
            <w:vAlign w:val="center"/>
          </w:tcPr>
          <w:p w:rsidR="00987689" w:rsidRPr="00502EF5" w:rsidRDefault="00987689" w:rsidP="0074547D">
            <w:pPr>
              <w:spacing w:before="0" w:after="0"/>
              <w:rPr>
                <w:rFonts w:eastAsia="Times New Roman"/>
              </w:rPr>
            </w:pPr>
            <w:r w:rsidRPr="00502EF5">
              <w:rPr>
                <w:rFonts w:eastAsia="Times New Roman"/>
              </w:rPr>
              <w:t>25</w:t>
            </w:r>
          </w:p>
        </w:tc>
        <w:tc>
          <w:tcPr>
            <w:tcW w:w="222" w:type="pct"/>
          </w:tcPr>
          <w:p w:rsidR="00987689" w:rsidRPr="00502EF5" w:rsidRDefault="00987689" w:rsidP="0074547D">
            <w:pPr>
              <w:spacing w:before="0" w:after="0"/>
              <w:rPr>
                <w:rFonts w:eastAsia="Times New Roman"/>
              </w:rPr>
            </w:pPr>
          </w:p>
        </w:tc>
      </w:tr>
    </w:tbl>
    <w:p w:rsidR="0074547D" w:rsidRDefault="0074547D" w:rsidP="0074547D">
      <w:pPr>
        <w:spacing w:before="0" w:after="0"/>
        <w:rPr>
          <w:highlight w:val="yellow"/>
        </w:rPr>
      </w:pPr>
    </w:p>
    <w:p w:rsidR="0074547D" w:rsidRDefault="0074547D" w:rsidP="00502EF5">
      <w:pPr>
        <w:rPr>
          <w:highlight w:val="yellow"/>
        </w:rPr>
        <w:sectPr w:rsidR="0074547D" w:rsidSect="0074547D">
          <w:pgSz w:w="16840" w:h="11907" w:orient="landscape" w:code="9"/>
          <w:pgMar w:top="1701" w:right="1134" w:bottom="851" w:left="1134" w:header="709" w:footer="709" w:gutter="0"/>
          <w:cols w:space="708"/>
          <w:titlePg/>
          <w:docGrid w:linePitch="360"/>
        </w:sectPr>
      </w:pPr>
    </w:p>
    <w:p w:rsidR="009F6CF2" w:rsidRPr="009F6CF2" w:rsidRDefault="009F6CF2" w:rsidP="009F6CF2">
      <w:r w:rsidRPr="009F6CF2">
        <w:lastRenderedPageBreak/>
        <w:t>In 2009-2012, the excise increases were rather high, but then the rates of increases were slowed down. In 2014, some amendments to the Law on Excise Taxes were adopted. They set that in 2014-2019, the specific cigarette excise would be annually increased by 2 euro per 1000 cigarettes, while ad valorem excise would be annually decreased by one percentage point.</w:t>
      </w:r>
    </w:p>
    <w:p w:rsidR="009F6CF2" w:rsidRPr="009F6CF2" w:rsidRDefault="009F6CF2" w:rsidP="009F6CF2">
      <w:r w:rsidRPr="009F6CF2">
        <w:t>In July 2017, the new amendments to the Law on Excise Taxes were adopted (Law 050/17 of 31.07.2017</w:t>
      </w:r>
      <w:r w:rsidRPr="009F6CF2">
        <w:rPr>
          <w:rStyle w:val="a8"/>
        </w:rPr>
        <w:footnoteReference w:id="5"/>
      </w:r>
      <w:r w:rsidRPr="009F6CF2">
        <w:t>), and the specific excise rates for cigarettes were set much higher: 30 euro per 1000 cigarettes from August 1, 2017, 40 euro from January, 2018 and 50 from January, 2019, while the ad valorem excise was kept at 32% for all those years.</w:t>
      </w:r>
    </w:p>
    <w:p w:rsidR="009F6CF2" w:rsidRPr="009F6CF2" w:rsidRDefault="009F6CF2" w:rsidP="009F6CF2">
      <w:r w:rsidRPr="009F6CF2">
        <w:t>However, one year later, another amendment (Law 055/15 of 1.08.2018</w:t>
      </w:r>
      <w:r w:rsidRPr="009F6CF2">
        <w:rPr>
          <w:rStyle w:val="a8"/>
        </w:rPr>
        <w:footnoteReference w:id="6"/>
      </w:r>
      <w:r w:rsidRPr="009F6CF2">
        <w:t>) was adopted, which substantially reduced specific excise rate: from 40 euro to 30 euro per 1000 cigarettes. It was also set that there would be no changes in cigarette excise rates in 2019 and then, specific excise rate would be annually increased by 3.5 euro per 1000 cigarettes, while ad valorem excise will be annually decreased by 1.5 percentage point (</w:t>
      </w:r>
      <w:r w:rsidR="002762AB">
        <w:fldChar w:fldCharType="begin"/>
      </w:r>
      <w:r w:rsidR="002762AB">
        <w:instrText xml:space="preserve"> REF _Ref482282343 \h  \* MERGEFORMAT </w:instrText>
      </w:r>
      <w:r w:rsidR="002762AB">
        <w:fldChar w:fldCharType="separate"/>
      </w:r>
      <w:r w:rsidRPr="009F6CF2">
        <w:t>Table 2</w:t>
      </w:r>
      <w:r w:rsidR="002762AB">
        <w:fldChar w:fldCharType="end"/>
      </w:r>
      <w:r w:rsidRPr="009F6CF2">
        <w:t>).</w:t>
      </w:r>
    </w:p>
    <w:p w:rsidR="009F6CF2" w:rsidRPr="009F6CF2" w:rsidRDefault="009F6CF2" w:rsidP="009F6CF2">
      <w:r w:rsidRPr="009F6CF2">
        <w:t>Article 50b of the Law on Excise taxes sets the minimum specific excise tax, which is paid when the sum of specific plus ad valorem excise is lower than the minimum excise. The minimum specific excise is set equal to 100% of the total excise tax (specific and ad-valorem) for cigarettes of the weighted average retail selling price (WAP). The Ministry of Finance is obliged to publish the weighted average retail selling prices (before February 2014 – the price of the most popular price category cigarettes), that are used as a base for calculating the minimum specific excise rate for the specified periods of time.</w:t>
      </w:r>
    </w:p>
    <w:p w:rsidR="009F6CF2" w:rsidRPr="009F6CF2" w:rsidRDefault="009F6CF2" w:rsidP="009F6CF2">
      <w:r w:rsidRPr="009F6CF2">
        <w:t>The increase in the minimum specific excise rate was very large in 2011 and 2012 (36-56%), but in 2013 and 2014, the increase was slowed down (17-20%) and in 2015-2017, it was rather small (5-6%). Two excise increases of August 2017 and January 2018 increased the minimum excise by 35%, but then it was reduced by 14% in September 2018.</w:t>
      </w:r>
    </w:p>
    <w:p w:rsidR="007826B6" w:rsidRDefault="009F6CF2" w:rsidP="009F6CF2">
      <w:r w:rsidRPr="009F6CF2">
        <w:t>The excise tax rate for the fine-cut tobacco was increased from 32 euro to 40 euro per 1 kg in 2011, but in 2014, it was decreased to 25 euro per 1 kg. From August 2017, the rate was increased to 54 euro per 1 kg, but from September 2018, it was reduced again to 30 euro. In 2019-2024, excise rate for fine-cut tobacco will annually increase by 5 euro per 1 kg.</w:t>
      </w:r>
      <w:r w:rsidR="007826B6">
        <w:t xml:space="preserve">  </w:t>
      </w:r>
    </w:p>
    <w:p w:rsidR="009F6CF2" w:rsidRDefault="009F6CF2" w:rsidP="009F6CF2">
      <w:r w:rsidRPr="009F6CF2">
        <w:t>The excise tax rate for cigars and other tobacco was increased to 25 euro per 1 kg in 2011 and did not change since.</w:t>
      </w:r>
    </w:p>
    <w:p w:rsidR="00706756" w:rsidRPr="009F6CF2" w:rsidRDefault="00706756" w:rsidP="00FF5642">
      <w:r w:rsidRPr="009F6CF2">
        <w:t>From August 2017</w:t>
      </w:r>
      <w:r w:rsidR="00D80211" w:rsidRPr="009F6CF2">
        <w:t>,</w:t>
      </w:r>
      <w:r w:rsidRPr="009F6CF2">
        <w:t xml:space="preserve"> the excise for liquids for electronic cigarettes is 0.9 euro per 1 ml (Article </w:t>
      </w:r>
      <w:r w:rsidR="00FE5FAA" w:rsidRPr="009F6CF2">
        <w:t>49b of the Law on Excise Taxes), which is higher than in most other countries which set such taxes</w:t>
      </w:r>
      <w:r w:rsidR="003C098A" w:rsidRPr="009F6CF2">
        <w:t xml:space="preserve"> </w:t>
      </w:r>
      <w:r w:rsidR="008A4F57" w:rsidRPr="009F6CF2">
        <w:fldChar w:fldCharType="begin"/>
      </w:r>
      <w:r w:rsidR="00D80211" w:rsidRPr="009F6CF2">
        <w:instrText xml:space="preserve"> ADDIN EN.CITE &lt;EndNote&gt;&lt;Cite&gt;&lt;Author&gt;WBG Global Tobacco Control Program Team&lt;/Author&gt;&lt;Year&gt;2019&lt;/Year&gt;&lt;RecNum&gt;5748&lt;/RecNum&gt;&lt;DisplayText&gt;[15]&lt;/DisplayText&gt;&lt;record&gt;&lt;rec-number&gt;5748&lt;/rec-number&gt;&lt;foreign-keys&gt;&lt;key app="EN" db-id="ep9zdt9a8tdpsseaptvpd555505tfr02pr2e" timestamp="1559915970"&gt;5748&lt;/key&gt;&lt;/foreign-keys&gt;&lt;ref-type name="Web Page"&gt;12&lt;/ref-type&gt;&lt;contributors&gt;&lt;authors&gt;&lt;author&gt;WBG Global Tobacco Control Program Team,&lt;/author&gt;&lt;/authors&gt;&lt;/contributors&gt;&lt;titles&gt;&lt;title&gt;E-cigarettes: use and taxation&lt;/title&gt;&lt;/titles&gt;&lt;dates&gt;&lt;year&gt;2019&lt;/year&gt;&lt;/dates&gt;&lt;urls&gt;&lt;related-urls&gt;&lt;url&gt;http://documents.worldbank.org/curated/en/356561555100066200/pdf/E-Cigarettes-Use-</w:instrText>
      </w:r>
      <w:r w:rsidR="00D80211" w:rsidRPr="009F6CF2">
        <w:rPr>
          <w:cs/>
        </w:rPr>
        <w:instrText>‎</w:instrText>
      </w:r>
      <w:r w:rsidR="00D80211" w:rsidRPr="009F6CF2">
        <w:instrText>and-Taxation.pdf&lt;/url&gt;&lt;/related-urls&gt;&lt;/urls&gt;&lt;/record&gt;&lt;/Cite&gt;&lt;/EndNote&gt;</w:instrText>
      </w:r>
      <w:r w:rsidR="008A4F57" w:rsidRPr="009F6CF2">
        <w:fldChar w:fldCharType="separate"/>
      </w:r>
      <w:r w:rsidR="00D80211" w:rsidRPr="009F6CF2">
        <w:rPr>
          <w:noProof/>
        </w:rPr>
        <w:t>[15]</w:t>
      </w:r>
      <w:r w:rsidR="008A4F57" w:rsidRPr="009F6CF2">
        <w:fldChar w:fldCharType="end"/>
      </w:r>
      <w:r w:rsidR="00FE5FAA" w:rsidRPr="009F6CF2">
        <w:t xml:space="preserve">. However, some internet shops in Montenegro sell such liquids for </w:t>
      </w:r>
      <w:r w:rsidR="00FF5642" w:rsidRPr="009F6CF2">
        <w:t xml:space="preserve">a </w:t>
      </w:r>
      <w:r w:rsidR="00FE5FAA" w:rsidRPr="009F6CF2">
        <w:t>price which is below the excise rate</w:t>
      </w:r>
      <w:r w:rsidR="00D80211" w:rsidRPr="009F6CF2">
        <w:t xml:space="preserve">. So, </w:t>
      </w:r>
      <w:r w:rsidR="00FE5FAA" w:rsidRPr="009F6CF2">
        <w:t xml:space="preserve">the enforcement of such taxation should be </w:t>
      </w:r>
      <w:r w:rsidR="00FF5642" w:rsidRPr="009F6CF2">
        <w:t>strengthened</w:t>
      </w:r>
      <w:r w:rsidR="00FE5FAA" w:rsidRPr="009F6CF2">
        <w:t xml:space="preserve">. </w:t>
      </w:r>
    </w:p>
    <w:p w:rsidR="000851B4" w:rsidRPr="009F6CF2" w:rsidRDefault="000851B4" w:rsidP="00FF5642">
      <w:r w:rsidRPr="009F6CF2">
        <w:lastRenderedPageBreak/>
        <w:t xml:space="preserve">Montenegro introduced VAT in April 2003. VAT rate in Montenegro was increased from 17% to 19% starting from July 1, 2013. From  January </w:t>
      </w:r>
      <w:r w:rsidR="00FF5642" w:rsidRPr="009F6CF2">
        <w:t xml:space="preserve">1, </w:t>
      </w:r>
      <w:r w:rsidRPr="009F6CF2">
        <w:t>2018</w:t>
      </w:r>
      <w:r w:rsidR="00FF5642" w:rsidRPr="009F6CF2">
        <w:t>,</w:t>
      </w:r>
      <w:r w:rsidRPr="009F6CF2">
        <w:t xml:space="preserve"> the VAT rate increased from 19% to 21%.</w:t>
      </w:r>
    </w:p>
    <w:p w:rsidR="003C098A" w:rsidRPr="009F6CF2" w:rsidRDefault="003C098A" w:rsidP="002762AB">
      <w:pPr>
        <w:pStyle w:val="3"/>
      </w:pPr>
      <w:bookmarkStart w:id="41" w:name="_Toc12207125"/>
      <w:r w:rsidRPr="009F6CF2">
        <w:t>Cigarette taxes and prices in the neighboring countries</w:t>
      </w:r>
      <w:bookmarkEnd w:id="41"/>
    </w:p>
    <w:p w:rsidR="000D16A7" w:rsidRDefault="009D397D">
      <w:pPr>
        <w:rPr>
          <w:color w:val="4F81BD" w:themeColor="accent1"/>
          <w:sz w:val="18"/>
          <w:szCs w:val="18"/>
        </w:rPr>
      </w:pPr>
      <w:r w:rsidRPr="009F6CF2">
        <w:t>Tobacco excise rates in the neighboring countries (effective in May 201</w:t>
      </w:r>
      <w:r w:rsidR="000851B4" w:rsidRPr="009F6CF2">
        <w:t>9</w:t>
      </w:r>
      <w:r w:rsidRPr="009F6CF2">
        <w:t xml:space="preserve">) are presented in </w:t>
      </w:r>
      <w:r w:rsidR="002762AB">
        <w:fldChar w:fldCharType="begin"/>
      </w:r>
      <w:r w:rsidR="002762AB">
        <w:instrText xml:space="preserve"> REF _Ref12176958 \h  \* MERGEFORMAT </w:instrText>
      </w:r>
      <w:r w:rsidR="002762AB">
        <w:fldChar w:fldCharType="separate"/>
      </w:r>
      <w:r w:rsidR="00FF5642" w:rsidRPr="009F6CF2">
        <w:t>Table 3</w:t>
      </w:r>
      <w:r w:rsidR="002762AB">
        <w:fldChar w:fldCharType="end"/>
      </w:r>
      <w:r w:rsidRPr="009F6CF2">
        <w:t>.</w:t>
      </w:r>
      <w:bookmarkStart w:id="42" w:name="_Ref482282417"/>
    </w:p>
    <w:p w:rsidR="000D16A7" w:rsidRDefault="00A73F0D">
      <w:pPr>
        <w:pStyle w:val="af"/>
      </w:pPr>
      <w:bookmarkStart w:id="43" w:name="_Ref12176958"/>
      <w:r>
        <w:t xml:space="preserve">Table </w:t>
      </w:r>
      <w:r w:rsidR="008A4F57">
        <w:fldChar w:fldCharType="begin"/>
      </w:r>
      <w:r w:rsidR="009B50F6">
        <w:instrText xml:space="preserve"> SEQ Table \* ARABIC </w:instrText>
      </w:r>
      <w:r w:rsidR="008A4F57">
        <w:fldChar w:fldCharType="separate"/>
      </w:r>
      <w:r w:rsidR="00FF5642">
        <w:rPr>
          <w:noProof/>
        </w:rPr>
        <w:t>3</w:t>
      </w:r>
      <w:r w:rsidR="008A4F57">
        <w:rPr>
          <w:noProof/>
        </w:rPr>
        <w:fldChar w:fldCharType="end"/>
      </w:r>
      <w:bookmarkEnd w:id="42"/>
      <w:bookmarkEnd w:id="43"/>
      <w:r w:rsidR="009D397D" w:rsidRPr="00343381">
        <w:t xml:space="preserve">. Tobacco excise taxes in Montenegro, Albania, </w:t>
      </w:r>
      <w:r>
        <w:t xml:space="preserve">Croatia, </w:t>
      </w:r>
      <w:r w:rsidR="009D397D" w:rsidRPr="00343381">
        <w:t>Serbia, Bos</w:t>
      </w:r>
      <w:r>
        <w:t>nia and Herzegovina in May 201</w:t>
      </w:r>
      <w:r w:rsidR="000851B4">
        <w:t>9</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002"/>
        <w:gridCol w:w="649"/>
        <w:gridCol w:w="992"/>
        <w:gridCol w:w="709"/>
        <w:gridCol w:w="883"/>
        <w:gridCol w:w="676"/>
        <w:gridCol w:w="1423"/>
        <w:gridCol w:w="674"/>
        <w:gridCol w:w="987"/>
      </w:tblGrid>
      <w:tr w:rsidR="000851B4" w:rsidRPr="000378EB" w:rsidTr="00447435">
        <w:trPr>
          <w:trHeight w:val="300"/>
        </w:trPr>
        <w:tc>
          <w:tcPr>
            <w:tcW w:w="1483" w:type="dxa"/>
            <w:tcBorders>
              <w:top w:val="single" w:sz="4" w:space="0" w:color="auto"/>
              <w:left w:val="single" w:sz="4" w:space="0" w:color="auto"/>
              <w:bottom w:val="single" w:sz="4" w:space="0" w:color="auto"/>
              <w:right w:val="single" w:sz="4" w:space="0" w:color="auto"/>
            </w:tcBorders>
            <w:noWrap/>
            <w:vAlign w:val="bottom"/>
            <w:hideMark/>
          </w:tcPr>
          <w:p w:rsidR="000851B4" w:rsidRPr="000378EB" w:rsidRDefault="000851B4">
            <w:pPr>
              <w:rPr>
                <w:rFonts w:cs="Times New Roman"/>
                <w:sz w:val="20"/>
                <w:szCs w:val="20"/>
              </w:rPr>
            </w:pPr>
          </w:p>
        </w:tc>
        <w:tc>
          <w:tcPr>
            <w:tcW w:w="1651" w:type="dxa"/>
            <w:gridSpan w:val="2"/>
            <w:tcBorders>
              <w:top w:val="single" w:sz="4" w:space="0" w:color="auto"/>
              <w:left w:val="single" w:sz="4" w:space="0" w:color="auto"/>
              <w:bottom w:val="single" w:sz="4" w:space="0" w:color="auto"/>
              <w:right w:val="single" w:sz="4" w:space="0" w:color="auto"/>
            </w:tcBorders>
            <w:noWrap/>
            <w:vAlign w:val="bottom"/>
            <w:hideMark/>
          </w:tcPr>
          <w:p w:rsidR="000851B4" w:rsidRPr="000378EB" w:rsidRDefault="000851B4">
            <w:pPr>
              <w:spacing w:after="0" w:line="240" w:lineRule="auto"/>
              <w:rPr>
                <w:rFonts w:ascii="Calibri" w:eastAsia="Times New Roman" w:hAnsi="Calibri" w:cs="Times New Roman"/>
                <w:color w:val="000000"/>
                <w:sz w:val="20"/>
                <w:szCs w:val="20"/>
              </w:rPr>
            </w:pPr>
            <w:r w:rsidRPr="000378EB">
              <w:rPr>
                <w:rFonts w:ascii="Calibri" w:eastAsia="Times New Roman" w:hAnsi="Calibri" w:cs="Times New Roman"/>
                <w:color w:val="000000"/>
                <w:sz w:val="20"/>
                <w:szCs w:val="20"/>
              </w:rPr>
              <w:t>Specific excise per 1000 cigarettes</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851B4" w:rsidRPr="000378EB" w:rsidRDefault="000851B4">
            <w:pPr>
              <w:spacing w:after="0" w:line="240" w:lineRule="auto"/>
              <w:rPr>
                <w:rFonts w:ascii="Calibri" w:eastAsia="Times New Roman" w:hAnsi="Calibri" w:cs="Times New Roman"/>
                <w:color w:val="000000"/>
                <w:sz w:val="20"/>
                <w:szCs w:val="20"/>
              </w:rPr>
            </w:pPr>
            <w:r w:rsidRPr="000378EB">
              <w:rPr>
                <w:rFonts w:ascii="Calibri" w:eastAsia="Times New Roman" w:hAnsi="Calibri" w:cs="Times New Roman"/>
                <w:color w:val="000000"/>
                <w:sz w:val="20"/>
                <w:szCs w:val="20"/>
              </w:rPr>
              <w:t>Minimum specific excise per 1000 cigarettes</w:t>
            </w:r>
          </w:p>
        </w:tc>
        <w:tc>
          <w:tcPr>
            <w:tcW w:w="883" w:type="dxa"/>
            <w:tcBorders>
              <w:top w:val="single" w:sz="4" w:space="0" w:color="auto"/>
              <w:left w:val="single" w:sz="4" w:space="0" w:color="auto"/>
              <w:bottom w:val="single" w:sz="4" w:space="0" w:color="auto"/>
              <w:right w:val="single" w:sz="4" w:space="0" w:color="auto"/>
            </w:tcBorders>
            <w:noWrap/>
            <w:vAlign w:val="bottom"/>
            <w:hideMark/>
          </w:tcPr>
          <w:p w:rsidR="000851B4" w:rsidRPr="000378EB" w:rsidRDefault="000851B4">
            <w:pPr>
              <w:spacing w:after="0" w:line="240" w:lineRule="auto"/>
              <w:rPr>
                <w:rFonts w:ascii="Calibri" w:eastAsia="Times New Roman" w:hAnsi="Calibri" w:cs="Times New Roman"/>
                <w:color w:val="000000"/>
                <w:sz w:val="20"/>
                <w:szCs w:val="20"/>
              </w:rPr>
            </w:pPr>
            <w:r w:rsidRPr="000378EB">
              <w:rPr>
                <w:rFonts w:ascii="Calibri" w:eastAsia="Times New Roman" w:hAnsi="Calibri" w:cs="Times New Roman"/>
                <w:color w:val="000000"/>
                <w:sz w:val="20"/>
                <w:szCs w:val="20"/>
              </w:rPr>
              <w:t xml:space="preserve">Ad valorem excise, </w:t>
            </w:r>
          </w:p>
        </w:tc>
        <w:tc>
          <w:tcPr>
            <w:tcW w:w="676" w:type="dxa"/>
            <w:tcBorders>
              <w:top w:val="single" w:sz="4" w:space="0" w:color="auto"/>
              <w:left w:val="single" w:sz="4" w:space="0" w:color="auto"/>
              <w:bottom w:val="single" w:sz="4" w:space="0" w:color="auto"/>
              <w:right w:val="single" w:sz="4" w:space="0" w:color="auto"/>
            </w:tcBorders>
          </w:tcPr>
          <w:p w:rsidR="000851B4" w:rsidRPr="000378EB" w:rsidRDefault="000851B4">
            <w:pPr>
              <w:spacing w:after="0" w:line="240" w:lineRule="auto"/>
              <w:rPr>
                <w:rFonts w:ascii="Calibri" w:eastAsia="Times New Roman" w:hAnsi="Calibri" w:cs="Times New Roman"/>
                <w:color w:val="000000"/>
                <w:sz w:val="20"/>
                <w:szCs w:val="20"/>
              </w:rPr>
            </w:pPr>
            <w:r w:rsidRPr="000378EB">
              <w:rPr>
                <w:rFonts w:ascii="Calibri" w:eastAsia="Times New Roman" w:hAnsi="Calibri" w:cs="Times New Roman"/>
                <w:color w:val="000000"/>
                <w:sz w:val="20"/>
                <w:szCs w:val="20"/>
              </w:rPr>
              <w:t>VAT</w:t>
            </w:r>
          </w:p>
        </w:tc>
        <w:tc>
          <w:tcPr>
            <w:tcW w:w="2097" w:type="dxa"/>
            <w:gridSpan w:val="2"/>
            <w:tcBorders>
              <w:top w:val="single" w:sz="4" w:space="0" w:color="auto"/>
              <w:left w:val="single" w:sz="4" w:space="0" w:color="auto"/>
              <w:bottom w:val="single" w:sz="4" w:space="0" w:color="auto"/>
              <w:right w:val="single" w:sz="4" w:space="0" w:color="auto"/>
            </w:tcBorders>
            <w:noWrap/>
            <w:vAlign w:val="bottom"/>
            <w:hideMark/>
          </w:tcPr>
          <w:p w:rsidR="000851B4" w:rsidRPr="000378EB" w:rsidRDefault="000851B4">
            <w:pPr>
              <w:spacing w:after="0" w:line="240" w:lineRule="auto"/>
              <w:rPr>
                <w:rFonts w:ascii="Calibri" w:eastAsia="Times New Roman" w:hAnsi="Calibri" w:cs="Times New Roman"/>
                <w:color w:val="000000"/>
                <w:sz w:val="20"/>
                <w:szCs w:val="20"/>
              </w:rPr>
            </w:pPr>
            <w:r w:rsidRPr="000378EB">
              <w:rPr>
                <w:rFonts w:ascii="Calibri" w:eastAsia="Times New Roman" w:hAnsi="Calibri" w:cs="Times New Roman"/>
                <w:color w:val="000000"/>
                <w:sz w:val="20"/>
                <w:szCs w:val="20"/>
              </w:rPr>
              <w:t>Weighted average price (WAP) per pack of 20 cigarettes</w:t>
            </w:r>
          </w:p>
        </w:tc>
        <w:tc>
          <w:tcPr>
            <w:tcW w:w="987" w:type="dxa"/>
            <w:tcBorders>
              <w:top w:val="single" w:sz="4" w:space="0" w:color="auto"/>
              <w:left w:val="single" w:sz="4" w:space="0" w:color="auto"/>
              <w:bottom w:val="single" w:sz="4" w:space="0" w:color="auto"/>
              <w:right w:val="single" w:sz="4" w:space="0" w:color="auto"/>
            </w:tcBorders>
          </w:tcPr>
          <w:p w:rsidR="000851B4" w:rsidRPr="000378EB" w:rsidRDefault="000851B4">
            <w:pPr>
              <w:spacing w:after="0" w:line="240" w:lineRule="auto"/>
              <w:rPr>
                <w:rFonts w:ascii="Calibri" w:eastAsia="Times New Roman" w:hAnsi="Calibri" w:cs="Times New Roman"/>
                <w:color w:val="000000"/>
                <w:sz w:val="20"/>
                <w:szCs w:val="20"/>
              </w:rPr>
            </w:pPr>
            <w:r w:rsidRPr="000378EB">
              <w:rPr>
                <w:rFonts w:ascii="Calibri" w:eastAsia="Times New Roman" w:hAnsi="Calibri" w:cs="Times New Roman"/>
                <w:color w:val="000000"/>
                <w:sz w:val="20"/>
                <w:szCs w:val="20"/>
              </w:rPr>
              <w:t>Total tax (VAT + excise)</w:t>
            </w:r>
          </w:p>
        </w:tc>
      </w:tr>
      <w:tr w:rsidR="000851B4" w:rsidRPr="000378EB" w:rsidTr="00447435">
        <w:trPr>
          <w:trHeight w:val="300"/>
        </w:trPr>
        <w:tc>
          <w:tcPr>
            <w:tcW w:w="1483" w:type="dxa"/>
            <w:tcBorders>
              <w:top w:val="single" w:sz="4" w:space="0" w:color="auto"/>
              <w:left w:val="single" w:sz="4" w:space="0" w:color="auto"/>
              <w:bottom w:val="single" w:sz="4" w:space="0" w:color="auto"/>
              <w:right w:val="single" w:sz="4" w:space="0" w:color="auto"/>
            </w:tcBorders>
            <w:noWrap/>
            <w:vAlign w:val="bottom"/>
            <w:hideMark/>
          </w:tcPr>
          <w:p w:rsidR="000851B4" w:rsidRPr="000378EB" w:rsidRDefault="000851B4" w:rsidP="00797235">
            <w:pPr>
              <w:spacing w:after="0"/>
              <w:rPr>
                <w:rFonts w:cs="Times New Roman"/>
                <w:sz w:val="20"/>
                <w:szCs w:val="20"/>
              </w:rPr>
            </w:pPr>
          </w:p>
        </w:tc>
        <w:tc>
          <w:tcPr>
            <w:tcW w:w="1002" w:type="dxa"/>
            <w:tcBorders>
              <w:top w:val="single" w:sz="4" w:space="0" w:color="auto"/>
              <w:left w:val="single" w:sz="4" w:space="0" w:color="auto"/>
              <w:bottom w:val="single" w:sz="4" w:space="0" w:color="auto"/>
              <w:right w:val="single" w:sz="4" w:space="0" w:color="auto"/>
            </w:tcBorders>
            <w:noWrap/>
            <w:vAlign w:val="bottom"/>
            <w:hideMark/>
          </w:tcPr>
          <w:p w:rsidR="000851B4" w:rsidRPr="000378EB" w:rsidRDefault="000851B4" w:rsidP="00797235">
            <w:pPr>
              <w:spacing w:after="0" w:line="240" w:lineRule="auto"/>
              <w:rPr>
                <w:rFonts w:ascii="Calibri" w:eastAsia="Times New Roman" w:hAnsi="Calibri" w:cs="Times New Roman"/>
                <w:color w:val="000000"/>
                <w:sz w:val="20"/>
                <w:szCs w:val="20"/>
              </w:rPr>
            </w:pPr>
            <w:r w:rsidRPr="000378EB">
              <w:rPr>
                <w:rFonts w:ascii="Calibri" w:eastAsia="Times New Roman" w:hAnsi="Calibri" w:cs="Times New Roman"/>
                <w:color w:val="000000"/>
                <w:sz w:val="20"/>
                <w:szCs w:val="20"/>
              </w:rPr>
              <w:t>local currency</w:t>
            </w:r>
          </w:p>
        </w:tc>
        <w:tc>
          <w:tcPr>
            <w:tcW w:w="649" w:type="dxa"/>
            <w:tcBorders>
              <w:top w:val="single" w:sz="4" w:space="0" w:color="auto"/>
              <w:left w:val="single" w:sz="4" w:space="0" w:color="auto"/>
              <w:bottom w:val="single" w:sz="4" w:space="0" w:color="auto"/>
              <w:right w:val="single" w:sz="4" w:space="0" w:color="auto"/>
            </w:tcBorders>
            <w:noWrap/>
            <w:vAlign w:val="bottom"/>
            <w:hideMark/>
          </w:tcPr>
          <w:p w:rsidR="000851B4" w:rsidRPr="000378EB" w:rsidRDefault="000851B4" w:rsidP="00797235">
            <w:pPr>
              <w:spacing w:after="0" w:line="240" w:lineRule="auto"/>
              <w:rPr>
                <w:rFonts w:ascii="Calibri" w:eastAsia="Times New Roman" w:hAnsi="Calibri" w:cs="Times New Roman"/>
                <w:b/>
                <w:color w:val="000000"/>
                <w:sz w:val="20"/>
                <w:szCs w:val="20"/>
              </w:rPr>
            </w:pPr>
            <w:r w:rsidRPr="000378EB">
              <w:rPr>
                <w:rFonts w:ascii="Calibri" w:eastAsia="Times New Roman" w:hAnsi="Calibri" w:cs="Times New Roman"/>
                <w:b/>
                <w:color w:val="000000"/>
                <w:sz w:val="20"/>
                <w:szCs w:val="20"/>
              </w:rPr>
              <w:t>euro</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851B4" w:rsidRPr="000378EB" w:rsidRDefault="000851B4" w:rsidP="00797235">
            <w:pPr>
              <w:spacing w:after="0" w:line="240" w:lineRule="auto"/>
              <w:rPr>
                <w:rFonts w:ascii="Calibri" w:eastAsia="Times New Roman" w:hAnsi="Calibri" w:cs="Times New Roman"/>
                <w:color w:val="000000"/>
                <w:sz w:val="20"/>
                <w:szCs w:val="20"/>
              </w:rPr>
            </w:pPr>
            <w:r w:rsidRPr="000378EB">
              <w:rPr>
                <w:rFonts w:ascii="Calibri" w:eastAsia="Times New Roman" w:hAnsi="Calibri" w:cs="Times New Roman"/>
                <w:color w:val="000000"/>
                <w:sz w:val="20"/>
                <w:szCs w:val="20"/>
              </w:rPr>
              <w:t>local currency</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0851B4" w:rsidRPr="000378EB" w:rsidRDefault="000851B4">
            <w:pPr>
              <w:spacing w:after="0" w:line="240" w:lineRule="auto"/>
              <w:rPr>
                <w:rFonts w:ascii="Calibri" w:eastAsia="Times New Roman" w:hAnsi="Calibri" w:cs="Times New Roman"/>
                <w:b/>
                <w:color w:val="000000"/>
                <w:sz w:val="20"/>
                <w:szCs w:val="20"/>
              </w:rPr>
            </w:pPr>
            <w:r w:rsidRPr="000378EB">
              <w:rPr>
                <w:rFonts w:ascii="Calibri" w:eastAsia="Times New Roman" w:hAnsi="Calibri" w:cs="Times New Roman"/>
                <w:b/>
                <w:color w:val="000000"/>
                <w:sz w:val="20"/>
                <w:szCs w:val="20"/>
              </w:rPr>
              <w:t>euro</w:t>
            </w:r>
          </w:p>
        </w:tc>
        <w:tc>
          <w:tcPr>
            <w:tcW w:w="883" w:type="dxa"/>
            <w:tcBorders>
              <w:top w:val="single" w:sz="4" w:space="0" w:color="auto"/>
              <w:left w:val="single" w:sz="4" w:space="0" w:color="auto"/>
              <w:bottom w:val="single" w:sz="4" w:space="0" w:color="auto"/>
              <w:right w:val="single" w:sz="4" w:space="0" w:color="auto"/>
            </w:tcBorders>
            <w:noWrap/>
            <w:vAlign w:val="bottom"/>
            <w:hideMark/>
          </w:tcPr>
          <w:p w:rsidR="000851B4" w:rsidRPr="000378EB" w:rsidRDefault="000851B4">
            <w:pPr>
              <w:spacing w:after="0" w:line="240" w:lineRule="auto"/>
              <w:rPr>
                <w:rFonts w:ascii="Calibri" w:eastAsia="Times New Roman" w:hAnsi="Calibri" w:cs="Times New Roman"/>
                <w:color w:val="000000"/>
                <w:sz w:val="20"/>
                <w:szCs w:val="20"/>
              </w:rPr>
            </w:pPr>
            <w:r w:rsidRPr="000378EB">
              <w:rPr>
                <w:rFonts w:ascii="Calibri" w:eastAsia="Times New Roman" w:hAnsi="Calibri" w:cs="Times New Roman"/>
                <w:color w:val="000000"/>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0851B4" w:rsidRPr="000378EB" w:rsidRDefault="000851B4">
            <w:pPr>
              <w:spacing w:after="0" w:line="240" w:lineRule="auto"/>
              <w:rPr>
                <w:rFonts w:ascii="Calibri" w:eastAsia="Times New Roman" w:hAnsi="Calibri" w:cs="Times New Roman"/>
                <w:color w:val="000000"/>
                <w:sz w:val="20"/>
                <w:szCs w:val="20"/>
              </w:rPr>
            </w:pPr>
            <w:r w:rsidRPr="000378EB">
              <w:rPr>
                <w:rFonts w:ascii="Calibri" w:eastAsia="Times New Roman" w:hAnsi="Calibri" w:cs="Times New Roman"/>
                <w:color w:val="000000"/>
                <w:sz w:val="20"/>
                <w:szCs w:val="20"/>
              </w:rPr>
              <w:t>%</w:t>
            </w:r>
          </w:p>
        </w:tc>
        <w:tc>
          <w:tcPr>
            <w:tcW w:w="1423" w:type="dxa"/>
            <w:tcBorders>
              <w:top w:val="single" w:sz="4" w:space="0" w:color="auto"/>
              <w:left w:val="single" w:sz="4" w:space="0" w:color="auto"/>
              <w:bottom w:val="single" w:sz="4" w:space="0" w:color="auto"/>
              <w:right w:val="single" w:sz="4" w:space="0" w:color="auto"/>
            </w:tcBorders>
            <w:noWrap/>
            <w:vAlign w:val="bottom"/>
            <w:hideMark/>
          </w:tcPr>
          <w:p w:rsidR="000851B4" w:rsidRPr="000378EB" w:rsidRDefault="000851B4">
            <w:pPr>
              <w:spacing w:after="0" w:line="240" w:lineRule="auto"/>
              <w:rPr>
                <w:rFonts w:ascii="Calibri" w:eastAsia="Times New Roman" w:hAnsi="Calibri" w:cs="Times New Roman"/>
                <w:color w:val="000000"/>
                <w:sz w:val="20"/>
                <w:szCs w:val="20"/>
              </w:rPr>
            </w:pPr>
            <w:r w:rsidRPr="000378EB">
              <w:rPr>
                <w:rFonts w:ascii="Calibri" w:eastAsia="Times New Roman" w:hAnsi="Calibri" w:cs="Times New Roman"/>
                <w:color w:val="000000"/>
                <w:sz w:val="20"/>
                <w:szCs w:val="20"/>
              </w:rPr>
              <w:t>local currency</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0851B4" w:rsidRPr="000378EB" w:rsidRDefault="000851B4">
            <w:pPr>
              <w:spacing w:after="0" w:line="240" w:lineRule="auto"/>
              <w:rPr>
                <w:rFonts w:ascii="Calibri" w:eastAsia="Times New Roman" w:hAnsi="Calibri" w:cs="Times New Roman"/>
                <w:b/>
                <w:color w:val="000000"/>
                <w:sz w:val="20"/>
                <w:szCs w:val="20"/>
              </w:rPr>
            </w:pPr>
            <w:r w:rsidRPr="000378EB">
              <w:rPr>
                <w:rFonts w:ascii="Calibri" w:eastAsia="Times New Roman" w:hAnsi="Calibri" w:cs="Times New Roman"/>
                <w:b/>
                <w:color w:val="000000"/>
                <w:sz w:val="20"/>
                <w:szCs w:val="20"/>
              </w:rPr>
              <w:t>euro</w:t>
            </w:r>
          </w:p>
        </w:tc>
        <w:tc>
          <w:tcPr>
            <w:tcW w:w="987" w:type="dxa"/>
            <w:tcBorders>
              <w:top w:val="single" w:sz="4" w:space="0" w:color="auto"/>
              <w:left w:val="single" w:sz="4" w:space="0" w:color="auto"/>
              <w:bottom w:val="single" w:sz="4" w:space="0" w:color="auto"/>
              <w:right w:val="single" w:sz="4" w:space="0" w:color="auto"/>
            </w:tcBorders>
          </w:tcPr>
          <w:p w:rsidR="000851B4" w:rsidRPr="000378EB" w:rsidRDefault="000851B4">
            <w:pPr>
              <w:spacing w:after="0" w:line="240" w:lineRule="auto"/>
              <w:rPr>
                <w:rFonts w:ascii="Calibri" w:eastAsia="Times New Roman" w:hAnsi="Calibri" w:cs="Times New Roman"/>
                <w:color w:val="000000"/>
                <w:sz w:val="20"/>
                <w:szCs w:val="20"/>
              </w:rPr>
            </w:pPr>
            <w:r w:rsidRPr="000378EB">
              <w:rPr>
                <w:rFonts w:ascii="Calibri" w:eastAsia="Times New Roman" w:hAnsi="Calibri" w:cs="Times New Roman"/>
                <w:color w:val="000000"/>
                <w:sz w:val="20"/>
                <w:szCs w:val="20"/>
              </w:rPr>
              <w:t xml:space="preserve">% in </w:t>
            </w:r>
            <w:r>
              <w:rPr>
                <w:rFonts w:ascii="Calibri" w:eastAsia="Times New Roman" w:hAnsi="Calibri" w:cs="Times New Roman"/>
                <w:color w:val="000000"/>
                <w:sz w:val="20"/>
                <w:szCs w:val="20"/>
              </w:rPr>
              <w:t xml:space="preserve">the </w:t>
            </w:r>
            <w:r w:rsidRPr="000378EB">
              <w:rPr>
                <w:rFonts w:ascii="Calibri" w:eastAsia="Times New Roman" w:hAnsi="Calibri" w:cs="Times New Roman"/>
                <w:color w:val="000000"/>
                <w:sz w:val="20"/>
                <w:szCs w:val="20"/>
              </w:rPr>
              <w:t>final price</w:t>
            </w:r>
          </w:p>
        </w:tc>
      </w:tr>
      <w:tr w:rsidR="000851B4" w:rsidRPr="000851B4" w:rsidTr="00447435">
        <w:trPr>
          <w:trHeight w:val="300"/>
        </w:trPr>
        <w:tc>
          <w:tcPr>
            <w:tcW w:w="1483" w:type="dxa"/>
            <w:tcBorders>
              <w:top w:val="single" w:sz="4" w:space="0" w:color="auto"/>
              <w:left w:val="single" w:sz="4" w:space="0" w:color="auto"/>
              <w:bottom w:val="single" w:sz="4" w:space="0" w:color="auto"/>
              <w:right w:val="single" w:sz="4" w:space="0" w:color="auto"/>
            </w:tcBorders>
            <w:noWrap/>
            <w:vAlign w:val="bottom"/>
            <w:hideMark/>
          </w:tcPr>
          <w:p w:rsidR="000851B4" w:rsidRPr="000851B4" w:rsidRDefault="000851B4" w:rsidP="00797235">
            <w:pPr>
              <w:spacing w:after="0" w:line="240" w:lineRule="auto"/>
              <w:rPr>
                <w:rFonts w:ascii="Calibri" w:eastAsia="Times New Roman" w:hAnsi="Calibri" w:cs="Times New Roman"/>
                <w:b/>
                <w:color w:val="000000"/>
                <w:sz w:val="20"/>
                <w:szCs w:val="20"/>
              </w:rPr>
            </w:pPr>
            <w:r w:rsidRPr="000851B4">
              <w:rPr>
                <w:rFonts w:ascii="Calibri" w:eastAsia="Times New Roman" w:hAnsi="Calibri" w:cs="Times New Roman"/>
                <w:b/>
                <w:color w:val="000000"/>
                <w:sz w:val="20"/>
                <w:szCs w:val="20"/>
              </w:rPr>
              <w:t>Montenegro</w:t>
            </w:r>
            <w:r w:rsidRPr="000851B4">
              <w:rPr>
                <w:rStyle w:val="a8"/>
                <w:rFonts w:eastAsia="Times New Roman" w:cs="Times New Roman"/>
                <w:b/>
                <w:color w:val="000000"/>
                <w:sz w:val="20"/>
                <w:szCs w:val="20"/>
              </w:rPr>
              <w:footnoteReference w:id="7"/>
            </w:r>
          </w:p>
        </w:tc>
        <w:tc>
          <w:tcPr>
            <w:tcW w:w="1002" w:type="dxa"/>
            <w:tcBorders>
              <w:top w:val="single" w:sz="4" w:space="0" w:color="auto"/>
              <w:left w:val="single" w:sz="4" w:space="0" w:color="auto"/>
              <w:bottom w:val="single" w:sz="4" w:space="0" w:color="auto"/>
              <w:right w:val="single" w:sz="4" w:space="0" w:color="auto"/>
            </w:tcBorders>
            <w:noWrap/>
            <w:vAlign w:val="bottom"/>
            <w:hideMark/>
          </w:tcPr>
          <w:p w:rsidR="000851B4" w:rsidRPr="000851B4" w:rsidRDefault="000851B4" w:rsidP="00797235">
            <w:pPr>
              <w:spacing w:after="0" w:line="240" w:lineRule="auto"/>
              <w:rPr>
                <w:rFonts w:ascii="Calibri" w:hAnsi="Calibri"/>
                <w:b/>
                <w:color w:val="000000"/>
              </w:rPr>
            </w:pPr>
            <w:r w:rsidRPr="000851B4">
              <w:rPr>
                <w:rFonts w:ascii="Calibri" w:hAnsi="Calibri"/>
                <w:b/>
                <w:color w:val="000000"/>
              </w:rPr>
              <w:t>na</w:t>
            </w:r>
          </w:p>
        </w:tc>
        <w:tc>
          <w:tcPr>
            <w:tcW w:w="649" w:type="dxa"/>
            <w:tcBorders>
              <w:top w:val="single" w:sz="4" w:space="0" w:color="auto"/>
              <w:left w:val="single" w:sz="4" w:space="0" w:color="auto"/>
              <w:bottom w:val="single" w:sz="4" w:space="0" w:color="auto"/>
              <w:right w:val="single" w:sz="4" w:space="0" w:color="auto"/>
            </w:tcBorders>
            <w:noWrap/>
            <w:vAlign w:val="bottom"/>
            <w:hideMark/>
          </w:tcPr>
          <w:p w:rsidR="000851B4" w:rsidRPr="000851B4" w:rsidRDefault="000851B4" w:rsidP="00797235">
            <w:pPr>
              <w:spacing w:after="0" w:line="240" w:lineRule="auto"/>
              <w:jc w:val="right"/>
              <w:rPr>
                <w:rFonts w:ascii="Calibri" w:hAnsi="Calibri"/>
                <w:b/>
                <w:color w:val="000000"/>
              </w:rPr>
            </w:pPr>
            <w:r w:rsidRPr="000851B4">
              <w:rPr>
                <w:rFonts w:ascii="Calibri" w:hAnsi="Calibri"/>
                <w:b/>
                <w:color w:val="000000"/>
              </w:rPr>
              <w:t>30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851B4" w:rsidRPr="000851B4" w:rsidRDefault="000851B4" w:rsidP="00797235">
            <w:pPr>
              <w:spacing w:after="0" w:line="240" w:lineRule="auto"/>
              <w:rPr>
                <w:rFonts w:ascii="Calibri" w:hAnsi="Calibri"/>
                <w:b/>
                <w:color w:val="000000"/>
              </w:rPr>
            </w:pPr>
            <w:r w:rsidRPr="000851B4">
              <w:rPr>
                <w:rFonts w:ascii="Calibri" w:hAnsi="Calibri"/>
                <w:b/>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0851B4" w:rsidRPr="000851B4" w:rsidRDefault="009122BE">
            <w:pPr>
              <w:spacing w:after="0" w:line="240" w:lineRule="auto"/>
              <w:jc w:val="right"/>
              <w:rPr>
                <w:rFonts w:ascii="Calibri" w:hAnsi="Calibri"/>
                <w:b/>
                <w:color w:val="000000"/>
              </w:rPr>
            </w:pPr>
            <w:r>
              <w:rPr>
                <w:rFonts w:ascii="Calibri" w:hAnsi="Calibri"/>
                <w:b/>
                <w:color w:val="000000"/>
              </w:rPr>
              <w:t>63</w:t>
            </w:r>
            <w:r w:rsidR="000851B4" w:rsidRPr="000851B4">
              <w:rPr>
                <w:rFonts w:ascii="Calibri" w:hAnsi="Calibri"/>
                <w:b/>
                <w:color w:val="000000"/>
              </w:rPr>
              <w:t>,</w:t>
            </w:r>
            <w:r>
              <w:rPr>
                <w:rFonts w:ascii="Calibri" w:hAnsi="Calibri"/>
                <w:b/>
                <w:color w:val="000000"/>
              </w:rPr>
              <w:t>6</w:t>
            </w:r>
          </w:p>
        </w:tc>
        <w:tc>
          <w:tcPr>
            <w:tcW w:w="883" w:type="dxa"/>
            <w:tcBorders>
              <w:top w:val="single" w:sz="4" w:space="0" w:color="auto"/>
              <w:left w:val="single" w:sz="4" w:space="0" w:color="auto"/>
              <w:bottom w:val="single" w:sz="4" w:space="0" w:color="auto"/>
              <w:right w:val="single" w:sz="4" w:space="0" w:color="auto"/>
            </w:tcBorders>
            <w:noWrap/>
            <w:vAlign w:val="bottom"/>
            <w:hideMark/>
          </w:tcPr>
          <w:p w:rsidR="000851B4" w:rsidRPr="000851B4" w:rsidRDefault="000851B4">
            <w:pPr>
              <w:spacing w:after="0" w:line="240" w:lineRule="auto"/>
              <w:jc w:val="right"/>
              <w:rPr>
                <w:rFonts w:ascii="Calibri" w:hAnsi="Calibri"/>
                <w:b/>
                <w:color w:val="000000"/>
              </w:rPr>
            </w:pPr>
            <w:r w:rsidRPr="000851B4">
              <w:rPr>
                <w:rFonts w:ascii="Calibri" w:hAnsi="Calibri"/>
                <w:b/>
                <w:color w:val="000000"/>
              </w:rPr>
              <w:t>32</w:t>
            </w:r>
          </w:p>
        </w:tc>
        <w:tc>
          <w:tcPr>
            <w:tcW w:w="676" w:type="dxa"/>
            <w:tcBorders>
              <w:top w:val="single" w:sz="4" w:space="0" w:color="auto"/>
              <w:left w:val="single" w:sz="4" w:space="0" w:color="auto"/>
              <w:bottom w:val="single" w:sz="4" w:space="0" w:color="auto"/>
              <w:right w:val="single" w:sz="4" w:space="0" w:color="auto"/>
            </w:tcBorders>
            <w:vAlign w:val="bottom"/>
          </w:tcPr>
          <w:p w:rsidR="000851B4" w:rsidRPr="000851B4" w:rsidRDefault="00570169">
            <w:pPr>
              <w:spacing w:after="0" w:line="240" w:lineRule="auto"/>
              <w:jc w:val="right"/>
              <w:rPr>
                <w:rFonts w:ascii="Calibri" w:hAnsi="Calibri"/>
                <w:b/>
                <w:color w:val="000000"/>
              </w:rPr>
            </w:pPr>
            <w:r>
              <w:rPr>
                <w:rFonts w:ascii="Calibri" w:hAnsi="Calibri"/>
                <w:b/>
                <w:color w:val="000000"/>
              </w:rPr>
              <w:t>2</w:t>
            </w:r>
            <w:r w:rsidR="000851B4" w:rsidRPr="000851B4">
              <w:rPr>
                <w:rFonts w:ascii="Calibri" w:hAnsi="Calibri"/>
                <w:b/>
                <w:color w:val="000000"/>
              </w:rPr>
              <w:t>1</w:t>
            </w:r>
          </w:p>
        </w:tc>
        <w:tc>
          <w:tcPr>
            <w:tcW w:w="1423" w:type="dxa"/>
            <w:tcBorders>
              <w:top w:val="single" w:sz="4" w:space="0" w:color="auto"/>
              <w:left w:val="single" w:sz="4" w:space="0" w:color="auto"/>
              <w:bottom w:val="single" w:sz="4" w:space="0" w:color="auto"/>
              <w:right w:val="single" w:sz="4" w:space="0" w:color="auto"/>
            </w:tcBorders>
            <w:noWrap/>
            <w:vAlign w:val="bottom"/>
            <w:hideMark/>
          </w:tcPr>
          <w:p w:rsidR="000851B4" w:rsidRPr="000851B4" w:rsidRDefault="00570169">
            <w:pPr>
              <w:spacing w:after="0" w:line="240" w:lineRule="auto"/>
              <w:jc w:val="right"/>
              <w:rPr>
                <w:rFonts w:ascii="Calibri" w:hAnsi="Calibri"/>
                <w:b/>
                <w:color w:val="000000"/>
              </w:rPr>
            </w:pPr>
            <w:r>
              <w:rPr>
                <w:rFonts w:ascii="Calibri" w:hAnsi="Calibri"/>
                <w:b/>
                <w:color w:val="000000"/>
              </w:rPr>
              <w:t>2,1</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0851B4" w:rsidRPr="000851B4" w:rsidRDefault="000851B4">
            <w:pPr>
              <w:spacing w:after="0" w:line="240" w:lineRule="auto"/>
              <w:jc w:val="right"/>
              <w:rPr>
                <w:rFonts w:ascii="Calibri" w:hAnsi="Calibri"/>
                <w:b/>
                <w:color w:val="000000"/>
              </w:rPr>
            </w:pPr>
            <w:r w:rsidRPr="000851B4">
              <w:rPr>
                <w:rFonts w:ascii="Calibri" w:hAnsi="Calibri"/>
                <w:b/>
                <w:color w:val="000000"/>
              </w:rPr>
              <w:t>2,</w:t>
            </w:r>
            <w:r w:rsidR="00570169">
              <w:rPr>
                <w:rFonts w:ascii="Calibri" w:hAnsi="Calibri"/>
                <w:b/>
                <w:color w:val="000000"/>
              </w:rPr>
              <w:t>1</w:t>
            </w:r>
            <w:r w:rsidRPr="000851B4">
              <w:rPr>
                <w:rFonts w:ascii="Calibri" w:hAnsi="Calibri"/>
                <w:b/>
                <w:color w:val="000000"/>
              </w:rPr>
              <w:t>0</w:t>
            </w:r>
          </w:p>
        </w:tc>
        <w:tc>
          <w:tcPr>
            <w:tcW w:w="987" w:type="dxa"/>
            <w:tcBorders>
              <w:top w:val="single" w:sz="4" w:space="0" w:color="auto"/>
              <w:left w:val="single" w:sz="4" w:space="0" w:color="auto"/>
              <w:bottom w:val="single" w:sz="4" w:space="0" w:color="auto"/>
              <w:right w:val="single" w:sz="4" w:space="0" w:color="auto"/>
            </w:tcBorders>
            <w:vAlign w:val="bottom"/>
          </w:tcPr>
          <w:p w:rsidR="000851B4" w:rsidRPr="000851B4" w:rsidRDefault="000851B4">
            <w:pPr>
              <w:spacing w:after="0" w:line="240" w:lineRule="auto"/>
              <w:jc w:val="right"/>
              <w:rPr>
                <w:rFonts w:ascii="Calibri" w:hAnsi="Calibri"/>
                <w:b/>
                <w:color w:val="000000"/>
              </w:rPr>
            </w:pPr>
            <w:r w:rsidRPr="000851B4">
              <w:rPr>
                <w:rFonts w:ascii="Calibri" w:hAnsi="Calibri"/>
                <w:b/>
                <w:color w:val="000000"/>
              </w:rPr>
              <w:t>7</w:t>
            </w:r>
            <w:r w:rsidR="009122BE">
              <w:rPr>
                <w:rFonts w:ascii="Calibri" w:hAnsi="Calibri"/>
                <w:b/>
                <w:color w:val="000000"/>
              </w:rPr>
              <w:t>7</w:t>
            </w:r>
            <w:r w:rsidRPr="000851B4">
              <w:rPr>
                <w:rFonts w:ascii="Calibri" w:hAnsi="Calibri"/>
                <w:b/>
                <w:color w:val="000000"/>
              </w:rPr>
              <w:t>,</w:t>
            </w:r>
            <w:r w:rsidR="009122BE">
              <w:rPr>
                <w:rFonts w:ascii="Calibri" w:hAnsi="Calibri"/>
                <w:b/>
                <w:color w:val="000000"/>
              </w:rPr>
              <w:t>9</w:t>
            </w:r>
          </w:p>
        </w:tc>
      </w:tr>
      <w:tr w:rsidR="000851B4" w:rsidRPr="000378EB" w:rsidTr="00447435">
        <w:trPr>
          <w:trHeight w:val="300"/>
        </w:trPr>
        <w:tc>
          <w:tcPr>
            <w:tcW w:w="1483" w:type="dxa"/>
            <w:tcBorders>
              <w:top w:val="single" w:sz="4" w:space="0" w:color="auto"/>
              <w:left w:val="single" w:sz="4" w:space="0" w:color="auto"/>
              <w:bottom w:val="single" w:sz="4" w:space="0" w:color="auto"/>
              <w:right w:val="single" w:sz="4" w:space="0" w:color="auto"/>
            </w:tcBorders>
            <w:noWrap/>
            <w:vAlign w:val="bottom"/>
          </w:tcPr>
          <w:p w:rsidR="000851B4" w:rsidRDefault="000851B4" w:rsidP="0079723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Albania</w:t>
            </w:r>
            <w:r>
              <w:rPr>
                <w:rStyle w:val="a8"/>
                <w:rFonts w:ascii="Calibri" w:eastAsia="Times New Roman" w:hAnsi="Calibri" w:cs="Times New Roman"/>
                <w:color w:val="000000"/>
                <w:sz w:val="20"/>
                <w:szCs w:val="20"/>
              </w:rPr>
              <w:footnoteReference w:id="8"/>
            </w:r>
          </w:p>
        </w:tc>
        <w:tc>
          <w:tcPr>
            <w:tcW w:w="1002" w:type="dxa"/>
            <w:tcBorders>
              <w:top w:val="single" w:sz="4" w:space="0" w:color="auto"/>
              <w:left w:val="single" w:sz="4" w:space="0" w:color="auto"/>
              <w:bottom w:val="single" w:sz="4" w:space="0" w:color="auto"/>
              <w:right w:val="single" w:sz="4" w:space="0" w:color="auto"/>
            </w:tcBorders>
            <w:noWrap/>
            <w:vAlign w:val="bottom"/>
          </w:tcPr>
          <w:p w:rsidR="000851B4" w:rsidRDefault="00570169" w:rsidP="00797235">
            <w:pPr>
              <w:spacing w:after="0" w:line="240" w:lineRule="auto"/>
              <w:jc w:val="right"/>
              <w:rPr>
                <w:rFonts w:ascii="Calibri" w:hAnsi="Calibri"/>
                <w:color w:val="000000"/>
              </w:rPr>
            </w:pPr>
            <w:r>
              <w:rPr>
                <w:rFonts w:ascii="Calibri" w:hAnsi="Calibri"/>
                <w:color w:val="000000"/>
              </w:rPr>
              <w:t>6000</w:t>
            </w:r>
          </w:p>
        </w:tc>
        <w:tc>
          <w:tcPr>
            <w:tcW w:w="649" w:type="dxa"/>
            <w:tcBorders>
              <w:top w:val="single" w:sz="4" w:space="0" w:color="auto"/>
              <w:left w:val="single" w:sz="4" w:space="0" w:color="auto"/>
              <w:bottom w:val="single" w:sz="4" w:space="0" w:color="auto"/>
              <w:right w:val="single" w:sz="4" w:space="0" w:color="auto"/>
            </w:tcBorders>
            <w:noWrap/>
            <w:vAlign w:val="bottom"/>
          </w:tcPr>
          <w:p w:rsidR="000851B4" w:rsidRDefault="00570169" w:rsidP="00797235">
            <w:pPr>
              <w:spacing w:after="0" w:line="240" w:lineRule="auto"/>
              <w:jc w:val="right"/>
              <w:rPr>
                <w:rFonts w:ascii="Calibri" w:hAnsi="Calibri"/>
                <w:color w:val="000000"/>
              </w:rPr>
            </w:pPr>
            <w:r>
              <w:rPr>
                <w:rFonts w:ascii="Calibri" w:hAnsi="Calibri"/>
                <w:color w:val="000000"/>
              </w:rPr>
              <w:t>48</w:t>
            </w:r>
          </w:p>
        </w:tc>
        <w:tc>
          <w:tcPr>
            <w:tcW w:w="992" w:type="dxa"/>
            <w:tcBorders>
              <w:top w:val="single" w:sz="4" w:space="0" w:color="auto"/>
              <w:left w:val="single" w:sz="4" w:space="0" w:color="auto"/>
              <w:bottom w:val="single" w:sz="4" w:space="0" w:color="auto"/>
              <w:right w:val="single" w:sz="4" w:space="0" w:color="auto"/>
            </w:tcBorders>
            <w:noWrap/>
            <w:vAlign w:val="bottom"/>
          </w:tcPr>
          <w:p w:rsidR="000851B4" w:rsidRDefault="00570169" w:rsidP="00797235">
            <w:pPr>
              <w:spacing w:after="0" w:line="240" w:lineRule="auto"/>
              <w:jc w:val="right"/>
              <w:rPr>
                <w:rFonts w:ascii="Calibri" w:hAnsi="Calibri"/>
                <w:color w:val="000000"/>
              </w:rPr>
            </w:pPr>
            <w:r>
              <w:rPr>
                <w:rFonts w:ascii="Calibri" w:hAnsi="Calibri"/>
                <w:color w:val="000000"/>
              </w:rPr>
              <w:t>6000</w:t>
            </w:r>
          </w:p>
        </w:tc>
        <w:tc>
          <w:tcPr>
            <w:tcW w:w="709" w:type="dxa"/>
            <w:tcBorders>
              <w:top w:val="single" w:sz="4" w:space="0" w:color="auto"/>
              <w:left w:val="single" w:sz="4" w:space="0" w:color="auto"/>
              <w:bottom w:val="single" w:sz="4" w:space="0" w:color="auto"/>
              <w:right w:val="single" w:sz="4" w:space="0" w:color="auto"/>
            </w:tcBorders>
            <w:noWrap/>
            <w:vAlign w:val="bottom"/>
          </w:tcPr>
          <w:p w:rsidR="000851B4" w:rsidRDefault="00570169">
            <w:pPr>
              <w:spacing w:after="0" w:line="240" w:lineRule="auto"/>
              <w:jc w:val="right"/>
              <w:rPr>
                <w:rFonts w:ascii="Calibri" w:hAnsi="Calibri"/>
                <w:color w:val="000000"/>
              </w:rPr>
            </w:pPr>
            <w:r>
              <w:rPr>
                <w:rFonts w:ascii="Calibri" w:hAnsi="Calibri"/>
                <w:color w:val="000000"/>
              </w:rPr>
              <w:t>48</w:t>
            </w:r>
          </w:p>
        </w:tc>
        <w:tc>
          <w:tcPr>
            <w:tcW w:w="883" w:type="dxa"/>
            <w:tcBorders>
              <w:top w:val="single" w:sz="4" w:space="0" w:color="auto"/>
              <w:left w:val="single" w:sz="4" w:space="0" w:color="auto"/>
              <w:bottom w:val="single" w:sz="4" w:space="0" w:color="auto"/>
              <w:right w:val="single" w:sz="4" w:space="0" w:color="auto"/>
            </w:tcBorders>
            <w:noWrap/>
            <w:vAlign w:val="bottom"/>
          </w:tcPr>
          <w:p w:rsidR="000851B4" w:rsidRDefault="00570169">
            <w:pPr>
              <w:spacing w:after="0" w:line="240" w:lineRule="auto"/>
              <w:jc w:val="right"/>
              <w:rPr>
                <w:rFonts w:ascii="Calibri" w:hAnsi="Calibri"/>
                <w:color w:val="000000"/>
              </w:rPr>
            </w:pPr>
            <w:r>
              <w:rPr>
                <w:rFonts w:ascii="Calibri" w:hAnsi="Calibri"/>
                <w:color w:val="000000"/>
              </w:rPr>
              <w:t>na</w:t>
            </w:r>
          </w:p>
        </w:tc>
        <w:tc>
          <w:tcPr>
            <w:tcW w:w="676" w:type="dxa"/>
            <w:tcBorders>
              <w:top w:val="single" w:sz="4" w:space="0" w:color="auto"/>
              <w:left w:val="single" w:sz="4" w:space="0" w:color="auto"/>
              <w:bottom w:val="single" w:sz="4" w:space="0" w:color="auto"/>
              <w:right w:val="single" w:sz="4" w:space="0" w:color="auto"/>
            </w:tcBorders>
            <w:vAlign w:val="bottom"/>
          </w:tcPr>
          <w:p w:rsidR="000851B4" w:rsidRDefault="00570169">
            <w:pPr>
              <w:spacing w:after="0" w:line="240" w:lineRule="auto"/>
              <w:jc w:val="right"/>
              <w:rPr>
                <w:rFonts w:ascii="Calibri" w:hAnsi="Calibri"/>
                <w:color w:val="000000"/>
              </w:rPr>
            </w:pPr>
            <w:r>
              <w:rPr>
                <w:rFonts w:ascii="Calibri" w:hAnsi="Calibri"/>
                <w:color w:val="000000"/>
              </w:rPr>
              <w:t>20</w:t>
            </w:r>
          </w:p>
        </w:tc>
        <w:tc>
          <w:tcPr>
            <w:tcW w:w="1423" w:type="dxa"/>
            <w:tcBorders>
              <w:top w:val="single" w:sz="4" w:space="0" w:color="auto"/>
              <w:left w:val="single" w:sz="4" w:space="0" w:color="auto"/>
              <w:bottom w:val="single" w:sz="4" w:space="0" w:color="auto"/>
              <w:right w:val="single" w:sz="4" w:space="0" w:color="auto"/>
            </w:tcBorders>
            <w:noWrap/>
            <w:vAlign w:val="bottom"/>
          </w:tcPr>
          <w:p w:rsidR="000851B4" w:rsidRDefault="00570169">
            <w:pPr>
              <w:spacing w:after="0" w:line="240" w:lineRule="auto"/>
              <w:jc w:val="right"/>
              <w:rPr>
                <w:rFonts w:ascii="Calibri" w:hAnsi="Calibri"/>
                <w:color w:val="000000"/>
              </w:rPr>
            </w:pPr>
            <w:r>
              <w:rPr>
                <w:rFonts w:ascii="Calibri" w:hAnsi="Calibri"/>
                <w:color w:val="000000"/>
              </w:rPr>
              <w:t>250</w:t>
            </w:r>
          </w:p>
        </w:tc>
        <w:tc>
          <w:tcPr>
            <w:tcW w:w="674" w:type="dxa"/>
            <w:tcBorders>
              <w:top w:val="single" w:sz="4" w:space="0" w:color="auto"/>
              <w:left w:val="single" w:sz="4" w:space="0" w:color="auto"/>
              <w:bottom w:val="single" w:sz="4" w:space="0" w:color="auto"/>
              <w:right w:val="single" w:sz="4" w:space="0" w:color="auto"/>
            </w:tcBorders>
            <w:noWrap/>
            <w:vAlign w:val="bottom"/>
          </w:tcPr>
          <w:p w:rsidR="000851B4" w:rsidRDefault="00570169">
            <w:pPr>
              <w:spacing w:after="0" w:line="240" w:lineRule="auto"/>
              <w:jc w:val="right"/>
              <w:rPr>
                <w:rFonts w:ascii="Calibri" w:hAnsi="Calibri"/>
                <w:color w:val="000000"/>
              </w:rPr>
            </w:pPr>
            <w:r>
              <w:rPr>
                <w:rFonts w:ascii="Calibri" w:hAnsi="Calibri"/>
                <w:color w:val="000000"/>
              </w:rPr>
              <w:t>2,00</w:t>
            </w:r>
          </w:p>
        </w:tc>
        <w:tc>
          <w:tcPr>
            <w:tcW w:w="987" w:type="dxa"/>
            <w:tcBorders>
              <w:top w:val="single" w:sz="4" w:space="0" w:color="auto"/>
              <w:left w:val="single" w:sz="4" w:space="0" w:color="auto"/>
              <w:bottom w:val="single" w:sz="4" w:space="0" w:color="auto"/>
              <w:right w:val="single" w:sz="4" w:space="0" w:color="auto"/>
            </w:tcBorders>
            <w:vAlign w:val="bottom"/>
          </w:tcPr>
          <w:p w:rsidR="000851B4" w:rsidRDefault="00570169">
            <w:pPr>
              <w:spacing w:after="0" w:line="240" w:lineRule="auto"/>
              <w:jc w:val="right"/>
              <w:rPr>
                <w:rFonts w:ascii="Calibri" w:hAnsi="Calibri"/>
                <w:color w:val="000000"/>
              </w:rPr>
            </w:pPr>
            <w:r>
              <w:rPr>
                <w:rFonts w:ascii="Calibri" w:hAnsi="Calibri"/>
                <w:color w:val="000000"/>
              </w:rPr>
              <w:t>64,7</w:t>
            </w:r>
          </w:p>
        </w:tc>
      </w:tr>
      <w:tr w:rsidR="000851B4" w:rsidRPr="000378EB" w:rsidTr="00447435">
        <w:trPr>
          <w:trHeight w:val="300"/>
        </w:trPr>
        <w:tc>
          <w:tcPr>
            <w:tcW w:w="1483" w:type="dxa"/>
            <w:tcBorders>
              <w:top w:val="single" w:sz="4" w:space="0" w:color="auto"/>
              <w:left w:val="single" w:sz="4" w:space="0" w:color="auto"/>
              <w:bottom w:val="single" w:sz="4" w:space="0" w:color="auto"/>
              <w:right w:val="single" w:sz="4" w:space="0" w:color="auto"/>
            </w:tcBorders>
            <w:noWrap/>
            <w:vAlign w:val="bottom"/>
            <w:hideMark/>
          </w:tcPr>
          <w:p w:rsidR="000851B4" w:rsidRPr="000378EB" w:rsidRDefault="000851B4" w:rsidP="00797235">
            <w:pPr>
              <w:spacing w:after="0" w:line="240" w:lineRule="auto"/>
              <w:rPr>
                <w:rFonts w:ascii="Calibri" w:eastAsia="Times New Roman" w:hAnsi="Calibri" w:cs="Times New Roman"/>
                <w:color w:val="000000"/>
                <w:sz w:val="20"/>
                <w:szCs w:val="20"/>
              </w:rPr>
            </w:pPr>
            <w:r w:rsidRPr="000378EB">
              <w:rPr>
                <w:rFonts w:ascii="Calibri" w:eastAsia="Times New Roman" w:hAnsi="Calibri" w:cs="Times New Roman"/>
                <w:color w:val="000000"/>
                <w:sz w:val="20"/>
                <w:szCs w:val="20"/>
              </w:rPr>
              <w:t xml:space="preserve">Bosnia and </w:t>
            </w:r>
            <w:r w:rsidR="00FF5642" w:rsidRPr="000378EB">
              <w:rPr>
                <w:rFonts w:ascii="Calibri" w:eastAsia="Times New Roman" w:hAnsi="Calibri" w:cs="Times New Roman"/>
                <w:color w:val="000000"/>
                <w:sz w:val="20"/>
                <w:szCs w:val="20"/>
              </w:rPr>
              <w:t>Herzegovina</w:t>
            </w:r>
            <w:r w:rsidRPr="000378EB">
              <w:rPr>
                <w:rStyle w:val="a8"/>
                <w:rFonts w:eastAsia="Times New Roman" w:cs="Times New Roman"/>
                <w:color w:val="000000"/>
                <w:sz w:val="20"/>
                <w:szCs w:val="20"/>
              </w:rPr>
              <w:footnoteReference w:id="9"/>
            </w:r>
          </w:p>
        </w:tc>
        <w:tc>
          <w:tcPr>
            <w:tcW w:w="1002"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rsidP="00797235">
            <w:pPr>
              <w:spacing w:after="0" w:line="240" w:lineRule="auto"/>
              <w:jc w:val="right"/>
              <w:rPr>
                <w:rFonts w:ascii="Calibri" w:hAnsi="Calibri"/>
                <w:color w:val="000000"/>
              </w:rPr>
            </w:pPr>
            <w:r>
              <w:rPr>
                <w:rFonts w:ascii="Calibri" w:hAnsi="Calibri"/>
                <w:color w:val="000000"/>
              </w:rPr>
              <w:t>82,5</w:t>
            </w:r>
          </w:p>
        </w:tc>
        <w:tc>
          <w:tcPr>
            <w:tcW w:w="649"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rsidP="00797235">
            <w:pPr>
              <w:spacing w:after="0" w:line="240" w:lineRule="auto"/>
              <w:jc w:val="right"/>
              <w:rPr>
                <w:rFonts w:ascii="Calibri" w:hAnsi="Calibri"/>
                <w:color w:val="000000"/>
              </w:rPr>
            </w:pPr>
            <w:r>
              <w:rPr>
                <w:rFonts w:ascii="Calibri" w:hAnsi="Calibri"/>
                <w:color w:val="000000"/>
              </w:rPr>
              <w:t>42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rsidP="00797235">
            <w:pPr>
              <w:spacing w:after="0" w:line="240" w:lineRule="auto"/>
              <w:jc w:val="right"/>
              <w:rPr>
                <w:rFonts w:ascii="Calibri" w:hAnsi="Calibri"/>
                <w:color w:val="000000"/>
              </w:rPr>
            </w:pPr>
            <w:r>
              <w:rPr>
                <w:rFonts w:ascii="Calibri" w:hAnsi="Calibri"/>
                <w:color w:val="000000"/>
              </w:rPr>
              <w:t>143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pPr>
              <w:spacing w:after="0" w:line="240" w:lineRule="auto"/>
              <w:jc w:val="right"/>
              <w:rPr>
                <w:rFonts w:ascii="Calibri" w:hAnsi="Calibri"/>
                <w:color w:val="000000"/>
              </w:rPr>
            </w:pPr>
            <w:r>
              <w:rPr>
                <w:rFonts w:ascii="Calibri" w:hAnsi="Calibri"/>
                <w:color w:val="000000"/>
              </w:rPr>
              <w:t>73</w:t>
            </w:r>
          </w:p>
        </w:tc>
        <w:tc>
          <w:tcPr>
            <w:tcW w:w="883"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pPr>
              <w:spacing w:after="0" w:line="240" w:lineRule="auto"/>
              <w:jc w:val="right"/>
              <w:rPr>
                <w:rFonts w:ascii="Calibri" w:hAnsi="Calibri"/>
                <w:color w:val="000000"/>
              </w:rPr>
            </w:pPr>
            <w:r>
              <w:rPr>
                <w:rFonts w:ascii="Calibri" w:hAnsi="Calibri"/>
                <w:color w:val="000000"/>
              </w:rPr>
              <w:t>42</w:t>
            </w:r>
          </w:p>
        </w:tc>
        <w:tc>
          <w:tcPr>
            <w:tcW w:w="676" w:type="dxa"/>
            <w:tcBorders>
              <w:top w:val="single" w:sz="4" w:space="0" w:color="auto"/>
              <w:left w:val="single" w:sz="4" w:space="0" w:color="auto"/>
              <w:bottom w:val="single" w:sz="4" w:space="0" w:color="auto"/>
              <w:right w:val="single" w:sz="4" w:space="0" w:color="auto"/>
            </w:tcBorders>
            <w:vAlign w:val="bottom"/>
          </w:tcPr>
          <w:p w:rsidR="000851B4" w:rsidRDefault="000851B4">
            <w:pPr>
              <w:spacing w:after="0" w:line="240" w:lineRule="auto"/>
              <w:jc w:val="right"/>
              <w:rPr>
                <w:rFonts w:ascii="Calibri" w:hAnsi="Calibri"/>
                <w:color w:val="000000"/>
              </w:rPr>
            </w:pPr>
            <w:r>
              <w:rPr>
                <w:rFonts w:ascii="Calibri" w:hAnsi="Calibri"/>
                <w:color w:val="000000"/>
              </w:rPr>
              <w:t>17</w:t>
            </w:r>
          </w:p>
        </w:tc>
        <w:tc>
          <w:tcPr>
            <w:tcW w:w="1423"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pPr>
              <w:spacing w:after="0" w:line="240" w:lineRule="auto"/>
              <w:jc w:val="right"/>
              <w:rPr>
                <w:rFonts w:ascii="Calibri" w:hAnsi="Calibri"/>
                <w:color w:val="000000"/>
              </w:rPr>
            </w:pPr>
            <w:r>
              <w:rPr>
                <w:rFonts w:ascii="Calibri" w:hAnsi="Calibri"/>
                <w:color w:val="000000"/>
              </w:rPr>
              <w:t>5,2</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pPr>
              <w:spacing w:after="0" w:line="240" w:lineRule="auto"/>
              <w:jc w:val="right"/>
              <w:rPr>
                <w:rFonts w:ascii="Calibri" w:hAnsi="Calibri"/>
                <w:color w:val="000000"/>
              </w:rPr>
            </w:pPr>
            <w:r>
              <w:rPr>
                <w:rFonts w:ascii="Calibri" w:hAnsi="Calibri"/>
                <w:color w:val="000000"/>
              </w:rPr>
              <w:t>2,65</w:t>
            </w:r>
          </w:p>
        </w:tc>
        <w:tc>
          <w:tcPr>
            <w:tcW w:w="987" w:type="dxa"/>
            <w:tcBorders>
              <w:top w:val="single" w:sz="4" w:space="0" w:color="auto"/>
              <w:left w:val="single" w:sz="4" w:space="0" w:color="auto"/>
              <w:bottom w:val="single" w:sz="4" w:space="0" w:color="auto"/>
              <w:right w:val="single" w:sz="4" w:space="0" w:color="auto"/>
            </w:tcBorders>
            <w:vAlign w:val="bottom"/>
          </w:tcPr>
          <w:p w:rsidR="000851B4" w:rsidRDefault="000851B4">
            <w:pPr>
              <w:spacing w:after="0" w:line="240" w:lineRule="auto"/>
              <w:jc w:val="right"/>
              <w:rPr>
                <w:rFonts w:ascii="Calibri" w:hAnsi="Calibri"/>
                <w:color w:val="000000"/>
              </w:rPr>
            </w:pPr>
            <w:r>
              <w:rPr>
                <w:rFonts w:ascii="Calibri" w:hAnsi="Calibri"/>
                <w:color w:val="000000"/>
              </w:rPr>
              <w:t>88,3</w:t>
            </w:r>
          </w:p>
        </w:tc>
      </w:tr>
      <w:tr w:rsidR="000851B4" w:rsidRPr="000851B4" w:rsidTr="00447435">
        <w:trPr>
          <w:trHeight w:val="300"/>
        </w:trPr>
        <w:tc>
          <w:tcPr>
            <w:tcW w:w="1483" w:type="dxa"/>
            <w:tcBorders>
              <w:top w:val="single" w:sz="4" w:space="0" w:color="auto"/>
              <w:left w:val="single" w:sz="4" w:space="0" w:color="auto"/>
              <w:bottom w:val="single" w:sz="4" w:space="0" w:color="auto"/>
              <w:right w:val="single" w:sz="4" w:space="0" w:color="auto"/>
            </w:tcBorders>
            <w:noWrap/>
            <w:vAlign w:val="bottom"/>
            <w:hideMark/>
          </w:tcPr>
          <w:p w:rsidR="000851B4" w:rsidRPr="000851B4" w:rsidRDefault="000851B4" w:rsidP="00797235">
            <w:pPr>
              <w:spacing w:after="0" w:line="240" w:lineRule="auto"/>
              <w:rPr>
                <w:rFonts w:ascii="Calibri" w:eastAsia="Times New Roman" w:hAnsi="Calibri" w:cs="Times New Roman"/>
                <w:bCs/>
                <w:color w:val="000000"/>
                <w:sz w:val="20"/>
                <w:szCs w:val="20"/>
              </w:rPr>
            </w:pPr>
            <w:r w:rsidRPr="000851B4">
              <w:rPr>
                <w:rFonts w:ascii="Calibri" w:eastAsia="Times New Roman" w:hAnsi="Calibri" w:cs="Times New Roman"/>
                <w:bCs/>
                <w:color w:val="000000"/>
                <w:sz w:val="20"/>
                <w:szCs w:val="20"/>
              </w:rPr>
              <w:t>Serbia</w:t>
            </w:r>
            <w:r w:rsidRPr="000851B4">
              <w:rPr>
                <w:rStyle w:val="a8"/>
                <w:rFonts w:eastAsia="Times New Roman" w:cs="Times New Roman"/>
                <w:bCs/>
                <w:color w:val="000000"/>
                <w:sz w:val="20"/>
                <w:szCs w:val="20"/>
              </w:rPr>
              <w:footnoteReference w:id="10"/>
            </w:r>
            <w:r w:rsidRPr="000851B4">
              <w:rPr>
                <w:rFonts w:ascii="Calibri" w:eastAsia="Times New Roman" w:hAnsi="Calibri" w:cs="Times New Roman"/>
                <w:bCs/>
                <w:color w:val="000000"/>
                <w:sz w:val="20"/>
                <w:szCs w:val="20"/>
              </w:rPr>
              <w:t xml:space="preserve"> </w:t>
            </w:r>
            <w:r w:rsidRPr="000851B4">
              <w:rPr>
                <w:rStyle w:val="a8"/>
                <w:rFonts w:eastAsia="Times New Roman" w:cs="Times New Roman"/>
                <w:bCs/>
                <w:color w:val="000000"/>
                <w:sz w:val="20"/>
                <w:szCs w:val="20"/>
              </w:rPr>
              <w:footnoteReference w:id="11"/>
            </w:r>
          </w:p>
        </w:tc>
        <w:tc>
          <w:tcPr>
            <w:tcW w:w="1002" w:type="dxa"/>
            <w:tcBorders>
              <w:top w:val="single" w:sz="4" w:space="0" w:color="auto"/>
              <w:left w:val="single" w:sz="4" w:space="0" w:color="auto"/>
              <w:bottom w:val="single" w:sz="4" w:space="0" w:color="auto"/>
              <w:right w:val="single" w:sz="4" w:space="0" w:color="auto"/>
            </w:tcBorders>
            <w:noWrap/>
            <w:vAlign w:val="bottom"/>
            <w:hideMark/>
          </w:tcPr>
          <w:p w:rsidR="000851B4" w:rsidRPr="000851B4" w:rsidRDefault="000851B4" w:rsidP="00797235">
            <w:pPr>
              <w:spacing w:after="0" w:line="240" w:lineRule="auto"/>
              <w:jc w:val="right"/>
              <w:rPr>
                <w:rFonts w:ascii="Calibri" w:hAnsi="Calibri"/>
                <w:bCs/>
                <w:color w:val="000000"/>
              </w:rPr>
            </w:pPr>
            <w:r w:rsidRPr="000851B4">
              <w:rPr>
                <w:rFonts w:ascii="Calibri" w:hAnsi="Calibri"/>
                <w:bCs/>
                <w:color w:val="000000"/>
              </w:rPr>
              <w:t>3535</w:t>
            </w:r>
          </w:p>
        </w:tc>
        <w:tc>
          <w:tcPr>
            <w:tcW w:w="649" w:type="dxa"/>
            <w:tcBorders>
              <w:top w:val="single" w:sz="4" w:space="0" w:color="auto"/>
              <w:left w:val="single" w:sz="4" w:space="0" w:color="auto"/>
              <w:bottom w:val="single" w:sz="4" w:space="0" w:color="auto"/>
              <w:right w:val="single" w:sz="4" w:space="0" w:color="auto"/>
            </w:tcBorders>
            <w:noWrap/>
            <w:vAlign w:val="bottom"/>
            <w:hideMark/>
          </w:tcPr>
          <w:p w:rsidR="000851B4" w:rsidRPr="000851B4" w:rsidRDefault="000851B4" w:rsidP="00797235">
            <w:pPr>
              <w:spacing w:after="0" w:line="240" w:lineRule="auto"/>
              <w:jc w:val="right"/>
              <w:rPr>
                <w:rFonts w:ascii="Calibri" w:hAnsi="Calibri"/>
                <w:bCs/>
                <w:color w:val="000000"/>
              </w:rPr>
            </w:pPr>
            <w:r w:rsidRPr="000851B4">
              <w:rPr>
                <w:rFonts w:ascii="Calibri" w:hAnsi="Calibri"/>
                <w:bCs/>
                <w:color w:val="000000"/>
              </w:rPr>
              <w:t>30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851B4" w:rsidRPr="000851B4" w:rsidRDefault="000851B4" w:rsidP="00797235">
            <w:pPr>
              <w:spacing w:after="0" w:line="240" w:lineRule="auto"/>
              <w:jc w:val="right"/>
              <w:rPr>
                <w:rFonts w:ascii="Calibri" w:hAnsi="Calibri"/>
                <w:bCs/>
                <w:color w:val="000000"/>
              </w:rPr>
            </w:pPr>
            <w:r w:rsidRPr="000851B4">
              <w:rPr>
                <w:rFonts w:ascii="Calibri" w:hAnsi="Calibri"/>
                <w:bCs/>
                <w:color w:val="000000"/>
              </w:rPr>
              <w:t>7762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0851B4" w:rsidRPr="000851B4" w:rsidRDefault="000851B4">
            <w:pPr>
              <w:spacing w:after="0" w:line="240" w:lineRule="auto"/>
              <w:jc w:val="right"/>
              <w:rPr>
                <w:rFonts w:ascii="Calibri" w:hAnsi="Calibri"/>
                <w:bCs/>
                <w:color w:val="000000"/>
              </w:rPr>
            </w:pPr>
            <w:r w:rsidRPr="000851B4">
              <w:rPr>
                <w:rFonts w:ascii="Calibri" w:hAnsi="Calibri"/>
                <w:bCs/>
                <w:color w:val="000000"/>
              </w:rPr>
              <w:t>66</w:t>
            </w:r>
          </w:p>
        </w:tc>
        <w:tc>
          <w:tcPr>
            <w:tcW w:w="883" w:type="dxa"/>
            <w:tcBorders>
              <w:top w:val="single" w:sz="4" w:space="0" w:color="auto"/>
              <w:left w:val="single" w:sz="4" w:space="0" w:color="auto"/>
              <w:bottom w:val="single" w:sz="4" w:space="0" w:color="auto"/>
              <w:right w:val="single" w:sz="4" w:space="0" w:color="auto"/>
            </w:tcBorders>
            <w:noWrap/>
            <w:vAlign w:val="bottom"/>
            <w:hideMark/>
          </w:tcPr>
          <w:p w:rsidR="000851B4" w:rsidRPr="000851B4" w:rsidRDefault="000851B4">
            <w:pPr>
              <w:spacing w:after="0" w:line="240" w:lineRule="auto"/>
              <w:jc w:val="right"/>
              <w:rPr>
                <w:rFonts w:ascii="Calibri" w:hAnsi="Calibri"/>
                <w:bCs/>
                <w:color w:val="000000"/>
              </w:rPr>
            </w:pPr>
            <w:r w:rsidRPr="000851B4">
              <w:rPr>
                <w:rFonts w:ascii="Calibri" w:hAnsi="Calibri"/>
                <w:bCs/>
                <w:color w:val="000000"/>
              </w:rPr>
              <w:t>33</w:t>
            </w:r>
          </w:p>
        </w:tc>
        <w:tc>
          <w:tcPr>
            <w:tcW w:w="676" w:type="dxa"/>
            <w:tcBorders>
              <w:top w:val="single" w:sz="4" w:space="0" w:color="auto"/>
              <w:left w:val="single" w:sz="4" w:space="0" w:color="auto"/>
              <w:bottom w:val="single" w:sz="4" w:space="0" w:color="auto"/>
              <w:right w:val="single" w:sz="4" w:space="0" w:color="auto"/>
            </w:tcBorders>
            <w:vAlign w:val="bottom"/>
          </w:tcPr>
          <w:p w:rsidR="000851B4" w:rsidRPr="000851B4" w:rsidRDefault="000851B4">
            <w:pPr>
              <w:spacing w:after="0" w:line="240" w:lineRule="auto"/>
              <w:jc w:val="right"/>
              <w:rPr>
                <w:rFonts w:ascii="Calibri" w:hAnsi="Calibri"/>
                <w:bCs/>
                <w:color w:val="000000"/>
              </w:rPr>
            </w:pPr>
            <w:r w:rsidRPr="000851B4">
              <w:rPr>
                <w:rFonts w:ascii="Calibri" w:hAnsi="Calibri"/>
                <w:bCs/>
                <w:color w:val="000000"/>
              </w:rPr>
              <w:t>20</w:t>
            </w:r>
          </w:p>
        </w:tc>
        <w:tc>
          <w:tcPr>
            <w:tcW w:w="1423" w:type="dxa"/>
            <w:tcBorders>
              <w:top w:val="single" w:sz="4" w:space="0" w:color="auto"/>
              <w:left w:val="single" w:sz="4" w:space="0" w:color="auto"/>
              <w:bottom w:val="single" w:sz="4" w:space="0" w:color="auto"/>
              <w:right w:val="single" w:sz="4" w:space="0" w:color="auto"/>
            </w:tcBorders>
            <w:noWrap/>
            <w:vAlign w:val="bottom"/>
            <w:hideMark/>
          </w:tcPr>
          <w:p w:rsidR="000851B4" w:rsidRPr="000851B4" w:rsidRDefault="000851B4">
            <w:pPr>
              <w:spacing w:after="0" w:line="240" w:lineRule="auto"/>
              <w:jc w:val="right"/>
              <w:rPr>
                <w:rFonts w:ascii="Calibri" w:hAnsi="Calibri"/>
                <w:bCs/>
                <w:color w:val="000000"/>
              </w:rPr>
            </w:pPr>
            <w:r w:rsidRPr="000851B4">
              <w:rPr>
                <w:rFonts w:ascii="Calibri" w:hAnsi="Calibri"/>
                <w:bCs/>
                <w:color w:val="000000"/>
              </w:rPr>
              <w:t>256,16</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0851B4" w:rsidRPr="000851B4" w:rsidRDefault="000851B4">
            <w:pPr>
              <w:spacing w:after="0" w:line="240" w:lineRule="auto"/>
              <w:jc w:val="right"/>
              <w:rPr>
                <w:rFonts w:ascii="Calibri" w:hAnsi="Calibri"/>
                <w:bCs/>
                <w:color w:val="000000"/>
              </w:rPr>
            </w:pPr>
            <w:r w:rsidRPr="000851B4">
              <w:rPr>
                <w:rFonts w:ascii="Calibri" w:hAnsi="Calibri"/>
                <w:bCs/>
                <w:color w:val="000000"/>
              </w:rPr>
              <w:t>2,17</w:t>
            </w:r>
          </w:p>
        </w:tc>
        <w:tc>
          <w:tcPr>
            <w:tcW w:w="987" w:type="dxa"/>
            <w:tcBorders>
              <w:top w:val="single" w:sz="4" w:space="0" w:color="auto"/>
              <w:left w:val="single" w:sz="4" w:space="0" w:color="auto"/>
              <w:bottom w:val="single" w:sz="4" w:space="0" w:color="auto"/>
              <w:right w:val="single" w:sz="4" w:space="0" w:color="auto"/>
            </w:tcBorders>
            <w:vAlign w:val="bottom"/>
          </w:tcPr>
          <w:p w:rsidR="000851B4" w:rsidRPr="000851B4" w:rsidRDefault="000851B4">
            <w:pPr>
              <w:spacing w:after="0" w:line="240" w:lineRule="auto"/>
              <w:jc w:val="right"/>
              <w:rPr>
                <w:rFonts w:ascii="Calibri" w:hAnsi="Calibri"/>
                <w:color w:val="000000"/>
              </w:rPr>
            </w:pPr>
            <w:r w:rsidRPr="000851B4">
              <w:rPr>
                <w:rFonts w:ascii="Calibri" w:hAnsi="Calibri"/>
                <w:color w:val="000000"/>
              </w:rPr>
              <w:t>77,3</w:t>
            </w:r>
          </w:p>
        </w:tc>
      </w:tr>
      <w:tr w:rsidR="000851B4" w:rsidRPr="000378EB" w:rsidTr="00447435">
        <w:trPr>
          <w:trHeight w:val="300"/>
        </w:trPr>
        <w:tc>
          <w:tcPr>
            <w:tcW w:w="1483" w:type="dxa"/>
            <w:tcBorders>
              <w:top w:val="single" w:sz="4" w:space="0" w:color="auto"/>
              <w:left w:val="single" w:sz="4" w:space="0" w:color="auto"/>
              <w:bottom w:val="single" w:sz="4" w:space="0" w:color="auto"/>
              <w:right w:val="single" w:sz="4" w:space="0" w:color="auto"/>
            </w:tcBorders>
            <w:noWrap/>
            <w:vAlign w:val="bottom"/>
            <w:hideMark/>
          </w:tcPr>
          <w:p w:rsidR="000851B4" w:rsidRPr="000378EB" w:rsidRDefault="000851B4" w:rsidP="00797235">
            <w:pPr>
              <w:spacing w:after="0" w:line="240" w:lineRule="auto"/>
              <w:rPr>
                <w:rFonts w:ascii="Calibri" w:eastAsia="Times New Roman" w:hAnsi="Calibri" w:cs="Times New Roman"/>
                <w:color w:val="000000"/>
                <w:sz w:val="20"/>
                <w:szCs w:val="20"/>
              </w:rPr>
            </w:pPr>
            <w:r w:rsidRPr="000378EB">
              <w:rPr>
                <w:rFonts w:ascii="Calibri" w:eastAsia="Times New Roman" w:hAnsi="Calibri" w:cs="Times New Roman"/>
                <w:color w:val="000000"/>
                <w:sz w:val="20"/>
                <w:szCs w:val="20"/>
              </w:rPr>
              <w:t>Croatia</w:t>
            </w:r>
            <w:r>
              <w:rPr>
                <w:rStyle w:val="a8"/>
                <w:rFonts w:ascii="Calibri" w:eastAsia="Times New Roman" w:hAnsi="Calibri" w:cs="Times New Roman"/>
                <w:color w:val="000000"/>
                <w:sz w:val="20"/>
                <w:szCs w:val="20"/>
              </w:rPr>
              <w:footnoteReference w:id="12"/>
            </w:r>
          </w:p>
        </w:tc>
        <w:tc>
          <w:tcPr>
            <w:tcW w:w="1002"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rsidP="00797235">
            <w:pPr>
              <w:spacing w:after="0" w:line="240" w:lineRule="auto"/>
              <w:jc w:val="right"/>
              <w:rPr>
                <w:rFonts w:ascii="Calibri" w:hAnsi="Calibri"/>
                <w:color w:val="000000"/>
              </w:rPr>
            </w:pPr>
            <w:r>
              <w:rPr>
                <w:rFonts w:ascii="Calibri" w:hAnsi="Calibri"/>
                <w:color w:val="000000"/>
              </w:rPr>
              <w:t>335</w:t>
            </w:r>
          </w:p>
        </w:tc>
        <w:tc>
          <w:tcPr>
            <w:tcW w:w="649"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rsidP="00797235">
            <w:pPr>
              <w:spacing w:after="0" w:line="240" w:lineRule="auto"/>
              <w:jc w:val="right"/>
              <w:rPr>
                <w:rFonts w:ascii="Calibri" w:hAnsi="Calibri"/>
                <w:color w:val="000000"/>
              </w:rPr>
            </w:pPr>
            <w:r>
              <w:rPr>
                <w:rFonts w:ascii="Calibri" w:hAnsi="Calibri"/>
                <w:color w:val="000000"/>
              </w:rPr>
              <w:t>41</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rsidP="00797235">
            <w:pPr>
              <w:spacing w:after="0" w:line="240" w:lineRule="auto"/>
              <w:jc w:val="right"/>
              <w:rPr>
                <w:rFonts w:ascii="Calibri" w:hAnsi="Calibri"/>
                <w:color w:val="000000"/>
              </w:rPr>
            </w:pPr>
            <w:r>
              <w:rPr>
                <w:rFonts w:ascii="Calibri" w:hAnsi="Calibri"/>
                <w:color w:val="000000"/>
              </w:rPr>
              <w:t>755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pPr>
              <w:spacing w:after="0" w:line="240" w:lineRule="auto"/>
              <w:jc w:val="right"/>
              <w:rPr>
                <w:rFonts w:ascii="Calibri" w:hAnsi="Calibri"/>
                <w:color w:val="000000"/>
              </w:rPr>
            </w:pPr>
            <w:r>
              <w:rPr>
                <w:rFonts w:ascii="Calibri" w:hAnsi="Calibri"/>
                <w:color w:val="000000"/>
              </w:rPr>
              <w:t>102</w:t>
            </w:r>
          </w:p>
        </w:tc>
        <w:tc>
          <w:tcPr>
            <w:tcW w:w="883"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pPr>
              <w:spacing w:after="0" w:line="240" w:lineRule="auto"/>
              <w:jc w:val="right"/>
              <w:rPr>
                <w:rFonts w:ascii="Calibri" w:hAnsi="Calibri"/>
                <w:color w:val="000000"/>
              </w:rPr>
            </w:pPr>
            <w:r>
              <w:rPr>
                <w:rFonts w:ascii="Calibri" w:hAnsi="Calibri"/>
                <w:color w:val="000000"/>
              </w:rPr>
              <w:t>34</w:t>
            </w:r>
          </w:p>
        </w:tc>
        <w:tc>
          <w:tcPr>
            <w:tcW w:w="676" w:type="dxa"/>
            <w:tcBorders>
              <w:top w:val="single" w:sz="4" w:space="0" w:color="auto"/>
              <w:left w:val="single" w:sz="4" w:space="0" w:color="auto"/>
              <w:bottom w:val="single" w:sz="4" w:space="0" w:color="auto"/>
              <w:right w:val="single" w:sz="4" w:space="0" w:color="auto"/>
            </w:tcBorders>
            <w:vAlign w:val="bottom"/>
          </w:tcPr>
          <w:p w:rsidR="000851B4" w:rsidRDefault="000851B4">
            <w:pPr>
              <w:spacing w:after="0" w:line="240" w:lineRule="auto"/>
              <w:jc w:val="right"/>
              <w:rPr>
                <w:rFonts w:ascii="Calibri" w:hAnsi="Calibri"/>
                <w:color w:val="000000"/>
              </w:rPr>
            </w:pPr>
            <w:r>
              <w:rPr>
                <w:rFonts w:ascii="Calibri" w:hAnsi="Calibri"/>
                <w:color w:val="000000"/>
              </w:rPr>
              <w:t>24</w:t>
            </w:r>
          </w:p>
        </w:tc>
        <w:tc>
          <w:tcPr>
            <w:tcW w:w="1423"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pPr>
              <w:spacing w:after="0" w:line="240" w:lineRule="auto"/>
              <w:jc w:val="right"/>
              <w:rPr>
                <w:rFonts w:ascii="Calibri" w:hAnsi="Calibri"/>
                <w:color w:val="000000"/>
              </w:rPr>
            </w:pPr>
            <w:r>
              <w:rPr>
                <w:rFonts w:ascii="Calibri" w:hAnsi="Calibri"/>
                <w:color w:val="000000"/>
              </w:rPr>
              <w:t>24,88</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pPr>
              <w:spacing w:after="0" w:line="240" w:lineRule="auto"/>
              <w:jc w:val="right"/>
              <w:rPr>
                <w:rFonts w:ascii="Calibri" w:hAnsi="Calibri"/>
                <w:color w:val="000000"/>
              </w:rPr>
            </w:pPr>
            <w:r>
              <w:rPr>
                <w:rFonts w:ascii="Calibri" w:hAnsi="Calibri"/>
                <w:color w:val="000000"/>
              </w:rPr>
              <w:t>3,35</w:t>
            </w:r>
          </w:p>
        </w:tc>
        <w:tc>
          <w:tcPr>
            <w:tcW w:w="987" w:type="dxa"/>
            <w:tcBorders>
              <w:top w:val="single" w:sz="4" w:space="0" w:color="auto"/>
              <w:left w:val="single" w:sz="4" w:space="0" w:color="auto"/>
              <w:bottom w:val="single" w:sz="4" w:space="0" w:color="auto"/>
              <w:right w:val="single" w:sz="4" w:space="0" w:color="auto"/>
            </w:tcBorders>
            <w:vAlign w:val="bottom"/>
          </w:tcPr>
          <w:p w:rsidR="000851B4" w:rsidRDefault="000851B4">
            <w:pPr>
              <w:spacing w:after="0" w:line="240" w:lineRule="auto"/>
              <w:jc w:val="right"/>
              <w:rPr>
                <w:rFonts w:ascii="Calibri" w:hAnsi="Calibri"/>
                <w:color w:val="000000"/>
              </w:rPr>
            </w:pPr>
            <w:r>
              <w:rPr>
                <w:rFonts w:ascii="Calibri" w:hAnsi="Calibri"/>
                <w:color w:val="000000"/>
              </w:rPr>
              <w:t>80,2</w:t>
            </w:r>
          </w:p>
        </w:tc>
      </w:tr>
      <w:tr w:rsidR="000851B4" w:rsidRPr="000378EB" w:rsidTr="00447435">
        <w:trPr>
          <w:trHeight w:val="300"/>
        </w:trPr>
        <w:tc>
          <w:tcPr>
            <w:tcW w:w="1483" w:type="dxa"/>
            <w:tcBorders>
              <w:top w:val="single" w:sz="4" w:space="0" w:color="auto"/>
              <w:left w:val="single" w:sz="4" w:space="0" w:color="auto"/>
              <w:bottom w:val="single" w:sz="4" w:space="0" w:color="auto"/>
              <w:right w:val="single" w:sz="4" w:space="0" w:color="auto"/>
            </w:tcBorders>
            <w:noWrap/>
            <w:vAlign w:val="bottom"/>
            <w:hideMark/>
          </w:tcPr>
          <w:p w:rsidR="000851B4" w:rsidRPr="000378EB" w:rsidRDefault="000851B4" w:rsidP="00797235">
            <w:pPr>
              <w:spacing w:after="0" w:line="240" w:lineRule="auto"/>
              <w:rPr>
                <w:rFonts w:ascii="Calibri" w:eastAsia="Times New Roman" w:hAnsi="Calibri" w:cs="Times New Roman"/>
                <w:color w:val="000000"/>
                <w:sz w:val="20"/>
                <w:szCs w:val="20"/>
              </w:rPr>
            </w:pPr>
            <w:r w:rsidRPr="000378EB">
              <w:rPr>
                <w:rFonts w:ascii="Calibri" w:eastAsia="Times New Roman" w:hAnsi="Calibri" w:cs="Times New Roman"/>
                <w:color w:val="000000"/>
                <w:sz w:val="20"/>
                <w:szCs w:val="20"/>
              </w:rPr>
              <w:t>Slovenia</w:t>
            </w:r>
            <w:r>
              <w:rPr>
                <w:rStyle w:val="a8"/>
                <w:rFonts w:ascii="Calibri" w:eastAsia="Times New Roman" w:hAnsi="Calibri" w:cs="Times New Roman"/>
                <w:color w:val="000000"/>
                <w:sz w:val="20"/>
                <w:szCs w:val="20"/>
              </w:rPr>
              <w:footnoteReference w:id="13"/>
            </w:r>
          </w:p>
        </w:tc>
        <w:tc>
          <w:tcPr>
            <w:tcW w:w="1002"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rsidP="00797235">
            <w:pPr>
              <w:spacing w:after="0" w:line="240" w:lineRule="auto"/>
              <w:rPr>
                <w:rFonts w:ascii="Calibri" w:hAnsi="Calibri"/>
                <w:color w:val="000000"/>
              </w:rPr>
            </w:pPr>
            <w:r>
              <w:rPr>
                <w:rFonts w:ascii="Calibri" w:hAnsi="Calibri"/>
                <w:color w:val="000000"/>
              </w:rPr>
              <w:t>na</w:t>
            </w:r>
          </w:p>
        </w:tc>
        <w:tc>
          <w:tcPr>
            <w:tcW w:w="649"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rsidP="00797235">
            <w:pPr>
              <w:spacing w:after="0" w:line="240" w:lineRule="auto"/>
              <w:jc w:val="right"/>
              <w:rPr>
                <w:rFonts w:ascii="Calibri" w:hAnsi="Calibri"/>
                <w:color w:val="000000"/>
              </w:rPr>
            </w:pPr>
            <w:r>
              <w:rPr>
                <w:rFonts w:ascii="Calibri" w:hAnsi="Calibri"/>
                <w:color w:val="000000"/>
              </w:rPr>
              <w:t>71</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rsidP="00797235">
            <w:pPr>
              <w:spacing w:after="0" w:line="240" w:lineRule="auto"/>
              <w:rPr>
                <w:rFonts w:ascii="Calibri" w:hAnsi="Calibri"/>
                <w:color w:val="000000"/>
              </w:rPr>
            </w:pPr>
            <w:r>
              <w:rPr>
                <w:rFonts w:ascii="Calibri" w:hAnsi="Calibri"/>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pPr>
              <w:spacing w:after="0" w:line="240" w:lineRule="auto"/>
              <w:jc w:val="right"/>
              <w:rPr>
                <w:rFonts w:ascii="Calibri" w:hAnsi="Calibri"/>
                <w:color w:val="000000"/>
              </w:rPr>
            </w:pPr>
            <w:r>
              <w:rPr>
                <w:rFonts w:ascii="Calibri" w:hAnsi="Calibri"/>
                <w:color w:val="000000"/>
              </w:rPr>
              <w:t>111</w:t>
            </w:r>
          </w:p>
        </w:tc>
        <w:tc>
          <w:tcPr>
            <w:tcW w:w="883"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pPr>
              <w:spacing w:after="0" w:line="240" w:lineRule="auto"/>
              <w:jc w:val="right"/>
              <w:rPr>
                <w:rFonts w:ascii="Calibri" w:hAnsi="Calibri"/>
                <w:color w:val="000000"/>
              </w:rPr>
            </w:pPr>
            <w:r>
              <w:rPr>
                <w:rFonts w:ascii="Calibri" w:hAnsi="Calibri"/>
                <w:color w:val="000000"/>
              </w:rPr>
              <w:t>23</w:t>
            </w:r>
          </w:p>
        </w:tc>
        <w:tc>
          <w:tcPr>
            <w:tcW w:w="676" w:type="dxa"/>
            <w:tcBorders>
              <w:top w:val="single" w:sz="4" w:space="0" w:color="auto"/>
              <w:left w:val="single" w:sz="4" w:space="0" w:color="auto"/>
              <w:bottom w:val="single" w:sz="4" w:space="0" w:color="auto"/>
              <w:right w:val="single" w:sz="4" w:space="0" w:color="auto"/>
            </w:tcBorders>
            <w:vAlign w:val="bottom"/>
          </w:tcPr>
          <w:p w:rsidR="000851B4" w:rsidRDefault="000851B4">
            <w:pPr>
              <w:spacing w:after="0" w:line="240" w:lineRule="auto"/>
              <w:jc w:val="right"/>
              <w:rPr>
                <w:rFonts w:ascii="Calibri" w:hAnsi="Calibri"/>
                <w:color w:val="000000"/>
              </w:rPr>
            </w:pPr>
            <w:r>
              <w:rPr>
                <w:rFonts w:ascii="Calibri" w:hAnsi="Calibri"/>
                <w:color w:val="000000"/>
              </w:rPr>
              <w:t>22</w:t>
            </w:r>
          </w:p>
        </w:tc>
        <w:tc>
          <w:tcPr>
            <w:tcW w:w="1423"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pPr>
              <w:spacing w:after="0" w:line="240" w:lineRule="auto"/>
              <w:jc w:val="right"/>
              <w:rPr>
                <w:rFonts w:ascii="Calibri" w:hAnsi="Calibri"/>
                <w:color w:val="000000"/>
              </w:rPr>
            </w:pPr>
            <w:r>
              <w:rPr>
                <w:rFonts w:ascii="Calibri" w:hAnsi="Calibri"/>
                <w:color w:val="000000"/>
              </w:rPr>
              <w:t>3,51</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0851B4" w:rsidRDefault="000851B4">
            <w:pPr>
              <w:spacing w:after="0" w:line="240" w:lineRule="auto"/>
              <w:jc w:val="right"/>
              <w:rPr>
                <w:rFonts w:ascii="Calibri" w:hAnsi="Calibri"/>
                <w:color w:val="000000"/>
              </w:rPr>
            </w:pPr>
            <w:r>
              <w:rPr>
                <w:rFonts w:ascii="Calibri" w:hAnsi="Calibri"/>
                <w:color w:val="000000"/>
              </w:rPr>
              <w:t>3,51</w:t>
            </w:r>
          </w:p>
        </w:tc>
        <w:tc>
          <w:tcPr>
            <w:tcW w:w="987" w:type="dxa"/>
            <w:tcBorders>
              <w:top w:val="single" w:sz="4" w:space="0" w:color="auto"/>
              <w:left w:val="single" w:sz="4" w:space="0" w:color="auto"/>
              <w:bottom w:val="single" w:sz="4" w:space="0" w:color="auto"/>
              <w:right w:val="single" w:sz="4" w:space="0" w:color="auto"/>
            </w:tcBorders>
            <w:vAlign w:val="bottom"/>
          </w:tcPr>
          <w:p w:rsidR="000851B4" w:rsidRDefault="000851B4">
            <w:pPr>
              <w:spacing w:after="0" w:line="240" w:lineRule="auto"/>
              <w:jc w:val="right"/>
              <w:rPr>
                <w:rFonts w:ascii="Calibri" w:hAnsi="Calibri"/>
                <w:color w:val="000000"/>
              </w:rPr>
            </w:pPr>
            <w:r>
              <w:rPr>
                <w:rFonts w:ascii="Calibri" w:hAnsi="Calibri"/>
                <w:color w:val="000000"/>
              </w:rPr>
              <w:t>81,3</w:t>
            </w:r>
          </w:p>
        </w:tc>
      </w:tr>
    </w:tbl>
    <w:p w:rsidR="000851B4" w:rsidRDefault="000851B4" w:rsidP="00797235">
      <w:pPr>
        <w:rPr>
          <w:rFonts w:ascii="Calibri" w:hAnsi="Calibri" w:cs="Arial"/>
          <w:b/>
          <w:i/>
          <w:color w:val="222222"/>
          <w:sz w:val="18"/>
          <w:szCs w:val="18"/>
          <w:shd w:val="clear" w:color="auto" w:fill="FFFFFF"/>
        </w:rPr>
      </w:pPr>
      <w:r>
        <w:rPr>
          <w:rFonts w:ascii="Calibri" w:hAnsi="Calibri" w:cs="Arial"/>
          <w:i/>
          <w:color w:val="222222"/>
          <w:sz w:val="18"/>
          <w:szCs w:val="18"/>
          <w:shd w:val="clear" w:color="auto" w:fill="FFFFFF"/>
        </w:rPr>
        <w:t xml:space="preserve">*As there are no official weighted average cigarette prices in </w:t>
      </w:r>
      <w:r w:rsidR="009122BE">
        <w:rPr>
          <w:rFonts w:ascii="Calibri" w:hAnsi="Calibri" w:cs="Arial"/>
          <w:i/>
          <w:color w:val="222222"/>
          <w:sz w:val="18"/>
          <w:szCs w:val="18"/>
          <w:shd w:val="clear" w:color="auto" w:fill="FFFFFF"/>
        </w:rPr>
        <w:t xml:space="preserve">Albania, </w:t>
      </w:r>
      <w:r w:rsidR="00FF5642">
        <w:rPr>
          <w:rFonts w:ascii="Calibri" w:hAnsi="Calibri" w:cs="Arial"/>
          <w:i/>
          <w:color w:val="222222"/>
          <w:sz w:val="18"/>
          <w:szCs w:val="18"/>
          <w:shd w:val="clear" w:color="auto" w:fill="FFFFFF"/>
        </w:rPr>
        <w:t xml:space="preserve">and </w:t>
      </w:r>
      <w:r>
        <w:rPr>
          <w:rFonts w:ascii="Calibri" w:eastAsia="Times New Roman" w:hAnsi="Calibri" w:cs="Times New Roman"/>
          <w:i/>
          <w:color w:val="000000"/>
          <w:sz w:val="18"/>
          <w:szCs w:val="18"/>
        </w:rPr>
        <w:t>Bosnia</w:t>
      </w:r>
      <w:r w:rsidR="00FF5642">
        <w:rPr>
          <w:rFonts w:ascii="Calibri" w:eastAsia="Times New Roman" w:hAnsi="Calibri" w:cs="Times New Roman"/>
          <w:i/>
          <w:color w:val="000000"/>
          <w:sz w:val="18"/>
          <w:szCs w:val="18"/>
        </w:rPr>
        <w:t>-</w:t>
      </w:r>
      <w:r>
        <w:rPr>
          <w:rFonts w:ascii="Calibri" w:eastAsia="Times New Roman" w:hAnsi="Calibri" w:cs="Times New Roman"/>
          <w:i/>
          <w:color w:val="000000"/>
          <w:sz w:val="18"/>
          <w:szCs w:val="18"/>
        </w:rPr>
        <w:t>and</w:t>
      </w:r>
      <w:r w:rsidR="00FF5642">
        <w:rPr>
          <w:rFonts w:ascii="Calibri" w:eastAsia="Times New Roman" w:hAnsi="Calibri" w:cs="Times New Roman"/>
          <w:i/>
          <w:color w:val="000000"/>
          <w:sz w:val="18"/>
          <w:szCs w:val="18"/>
        </w:rPr>
        <w:t>-</w:t>
      </w:r>
      <w:r>
        <w:rPr>
          <w:rFonts w:ascii="Calibri" w:eastAsia="Times New Roman" w:hAnsi="Calibri" w:cs="Times New Roman"/>
          <w:i/>
          <w:color w:val="000000"/>
          <w:sz w:val="18"/>
          <w:szCs w:val="18"/>
        </w:rPr>
        <w:t>Herzegovina,</w:t>
      </w:r>
      <w:r>
        <w:rPr>
          <w:rFonts w:ascii="Calibri" w:hAnsi="Calibri" w:cs="Arial"/>
          <w:i/>
          <w:color w:val="222222"/>
          <w:sz w:val="18"/>
          <w:szCs w:val="18"/>
          <w:shd w:val="clear" w:color="auto" w:fill="FFFFFF"/>
        </w:rPr>
        <w:t xml:space="preserve"> the </w:t>
      </w:r>
      <w:r>
        <w:rPr>
          <w:rFonts w:ascii="Calibri" w:eastAsia="Times New Roman" w:hAnsi="Calibri" w:cs="Times New Roman"/>
          <w:i/>
          <w:color w:val="000000"/>
          <w:sz w:val="18"/>
          <w:szCs w:val="18"/>
        </w:rPr>
        <w:t xml:space="preserve">price of Winston were used in place of the </w:t>
      </w:r>
      <w:r>
        <w:rPr>
          <w:rFonts w:ascii="Calibri" w:hAnsi="Calibri" w:cs="Arial"/>
          <w:i/>
          <w:color w:val="222222"/>
          <w:sz w:val="18"/>
          <w:szCs w:val="18"/>
          <w:shd w:val="clear" w:color="auto" w:fill="FFFFFF"/>
        </w:rPr>
        <w:t>WAP</w:t>
      </w:r>
      <w:r>
        <w:rPr>
          <w:rFonts w:ascii="Calibri" w:eastAsia="Times New Roman" w:hAnsi="Calibri" w:cs="Times New Roman"/>
          <w:i/>
          <w:color w:val="000000"/>
          <w:sz w:val="18"/>
          <w:szCs w:val="18"/>
        </w:rPr>
        <w:t>.</w:t>
      </w:r>
    </w:p>
    <w:p w:rsidR="009D397D" w:rsidRPr="00343381" w:rsidRDefault="009122BE" w:rsidP="00797235">
      <w:r>
        <w:t>In 2019</w:t>
      </w:r>
      <w:r w:rsidR="00FF5642">
        <w:t>,</w:t>
      </w:r>
      <w:r>
        <w:t xml:space="preserve"> </w:t>
      </w:r>
      <w:r w:rsidR="009D397D" w:rsidRPr="00343381">
        <w:t xml:space="preserve">the </w:t>
      </w:r>
      <w:r>
        <w:t xml:space="preserve">cigarette prices and </w:t>
      </w:r>
      <w:r w:rsidR="009D397D" w:rsidRPr="00343381">
        <w:t xml:space="preserve">excise rates for cigarettes in Montenegro </w:t>
      </w:r>
      <w:r>
        <w:t xml:space="preserve">were </w:t>
      </w:r>
      <w:r w:rsidR="009D397D" w:rsidRPr="00343381">
        <w:t xml:space="preserve">close to </w:t>
      </w:r>
      <w:r w:rsidR="009D397D">
        <w:t xml:space="preserve">those in </w:t>
      </w:r>
      <w:r w:rsidR="009D397D" w:rsidRPr="00343381">
        <w:t xml:space="preserve">Serbia, higher than in Albania but lower than in </w:t>
      </w:r>
      <w:r>
        <w:t xml:space="preserve">Slovenia, </w:t>
      </w:r>
      <w:r w:rsidR="009D397D">
        <w:t xml:space="preserve">Croatia and </w:t>
      </w:r>
      <w:r w:rsidR="009D397D" w:rsidRPr="00343381">
        <w:rPr>
          <w:rFonts w:ascii="Calibri" w:eastAsia="Times New Roman" w:hAnsi="Calibri" w:cs="Times New Roman"/>
          <w:color w:val="000000"/>
        </w:rPr>
        <w:t>Bosnia</w:t>
      </w:r>
      <w:r w:rsidR="00FF5642">
        <w:rPr>
          <w:rFonts w:ascii="Calibri" w:eastAsia="Times New Roman" w:hAnsi="Calibri" w:cs="Times New Roman"/>
          <w:color w:val="000000"/>
        </w:rPr>
        <w:t>-</w:t>
      </w:r>
      <w:r w:rsidR="00FF5642" w:rsidRPr="00343381">
        <w:t>and</w:t>
      </w:r>
      <w:r w:rsidR="00FF5642">
        <w:t>-</w:t>
      </w:r>
      <w:r w:rsidR="009D397D" w:rsidRPr="00343381">
        <w:t xml:space="preserve">Herzegovina. The minimum excise rate for the WAP cigarettes in Montenegro is </w:t>
      </w:r>
      <w:r>
        <w:t>6</w:t>
      </w:r>
      <w:r w:rsidR="009D397D" w:rsidRPr="00343381">
        <w:t xml:space="preserve">4 euro for the 1000 WAP cigarettes, which is much lower </w:t>
      </w:r>
      <w:r w:rsidR="009D397D">
        <w:t xml:space="preserve">than </w:t>
      </w:r>
      <w:r w:rsidR="009D397D" w:rsidRPr="00343381">
        <w:t>the minimum EU level (90 euro).</w:t>
      </w:r>
    </w:p>
    <w:p w:rsidR="009D397D" w:rsidRPr="00343381" w:rsidRDefault="009D397D" w:rsidP="002762AB">
      <w:pPr>
        <w:pStyle w:val="2"/>
      </w:pPr>
      <w:bookmarkStart w:id="44" w:name="_Toc463019730"/>
      <w:bookmarkStart w:id="45" w:name="_Toc482360297"/>
      <w:bookmarkStart w:id="46" w:name="_Toc12207126"/>
      <w:r w:rsidRPr="00343381">
        <w:lastRenderedPageBreak/>
        <w:t>Cigarette prices</w:t>
      </w:r>
      <w:bookmarkEnd w:id="44"/>
      <w:bookmarkEnd w:id="45"/>
      <w:bookmarkEnd w:id="46"/>
    </w:p>
    <w:p w:rsidR="009D397D" w:rsidRDefault="009D397D">
      <w:r w:rsidRPr="00343381">
        <w:t>Cigarette consumer price growth was above inflation since 2011 (</w:t>
      </w:r>
      <w:r w:rsidR="008A4F57">
        <w:fldChar w:fldCharType="begin"/>
      </w:r>
      <w:r w:rsidR="000D16A7">
        <w:instrText xml:space="preserve"> REF _Ref482282476 \h </w:instrText>
      </w:r>
      <w:r w:rsidR="008A4F57">
        <w:fldChar w:fldCharType="separate"/>
      </w:r>
      <w:r w:rsidR="00FF5642">
        <w:t xml:space="preserve">Figure </w:t>
      </w:r>
      <w:r w:rsidR="00FF5642">
        <w:rPr>
          <w:noProof/>
        </w:rPr>
        <w:t>1</w:t>
      </w:r>
      <w:r w:rsidR="008A4F57">
        <w:fldChar w:fldCharType="end"/>
      </w:r>
      <w:r w:rsidRPr="00343381">
        <w:t>). However, only in 2011</w:t>
      </w:r>
      <w:r w:rsidR="0094414F">
        <w:t>-2013</w:t>
      </w:r>
      <w:r w:rsidRPr="00343381">
        <w:t xml:space="preserve"> and 201</w:t>
      </w:r>
      <w:r w:rsidR="0094414F">
        <w:t>7</w:t>
      </w:r>
      <w:r w:rsidR="00BA077F">
        <w:t>,</w:t>
      </w:r>
      <w:r w:rsidRPr="00343381">
        <w:t xml:space="preserve"> consumer price index (CPI) for cigarettes substantially exceeded CPI for all items.</w:t>
      </w:r>
    </w:p>
    <w:p w:rsidR="009D397D" w:rsidRPr="00343381" w:rsidRDefault="00A73F0D">
      <w:pPr>
        <w:pStyle w:val="af"/>
      </w:pPr>
      <w:bookmarkStart w:id="47" w:name="_Ref482282476"/>
      <w:r>
        <w:t xml:space="preserve">Figure </w:t>
      </w:r>
      <w:r w:rsidR="008A4F57">
        <w:fldChar w:fldCharType="begin"/>
      </w:r>
      <w:r w:rsidR="009B50F6">
        <w:instrText xml:space="preserve"> SEQ Figure \* ARABIC </w:instrText>
      </w:r>
      <w:r w:rsidR="008A4F57">
        <w:fldChar w:fldCharType="separate"/>
      </w:r>
      <w:r w:rsidR="00FF5642">
        <w:rPr>
          <w:noProof/>
        </w:rPr>
        <w:t>1</w:t>
      </w:r>
      <w:r w:rsidR="008A4F57">
        <w:rPr>
          <w:noProof/>
        </w:rPr>
        <w:fldChar w:fldCharType="end"/>
      </w:r>
      <w:bookmarkEnd w:id="47"/>
      <w:r w:rsidR="009D397D" w:rsidRPr="00A73F0D">
        <w:t>.</w:t>
      </w:r>
      <w:r w:rsidR="009D397D" w:rsidRPr="00343381">
        <w:t xml:space="preserve"> Consumer Price Index (CPI) for all items and tobacco products in </w:t>
      </w:r>
      <w:r w:rsidR="009D397D">
        <w:t xml:space="preserve">Montenegro </w:t>
      </w:r>
      <w:r w:rsidR="009D397D" w:rsidRPr="00343381">
        <w:t>in December 2010-201</w:t>
      </w:r>
      <w:r w:rsidR="009122BE">
        <w:t>8</w:t>
      </w:r>
      <w:r w:rsidR="009D397D" w:rsidRPr="00343381">
        <w:t xml:space="preserve"> (December previous year = 100).</w:t>
      </w:r>
      <w:r w:rsidR="00556D53">
        <w:t> </w:t>
      </w:r>
    </w:p>
    <w:p w:rsidR="009D397D" w:rsidRPr="00343381" w:rsidRDefault="009122BE">
      <w:r>
        <w:rPr>
          <w:noProof/>
          <w:lang w:eastAsia="en-US"/>
        </w:rPr>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397D" w:rsidRPr="00343381" w:rsidRDefault="009D397D">
      <w:r w:rsidRPr="00343381">
        <w:t>From January 2010 to January 2014</w:t>
      </w:r>
      <w:r w:rsidR="00BA077F">
        <w:t>,</w:t>
      </w:r>
      <w:r w:rsidRPr="00343381">
        <w:t xml:space="preserve"> the Ministry of Finance published the price of the most popular price category (MPPC) cigarettes, which increased from 0.6 euro to 1.3 euro</w:t>
      </w:r>
      <w:r w:rsidR="00BA077F">
        <w:t>,</w:t>
      </w:r>
      <w:r w:rsidRPr="00343381">
        <w:t xml:space="preserve"> or by 117% in four years.</w:t>
      </w:r>
    </w:p>
    <w:p w:rsidR="009D397D" w:rsidRPr="00343381" w:rsidRDefault="009D397D">
      <w:r w:rsidRPr="00343381">
        <w:t>Since February 2014</w:t>
      </w:r>
      <w:r w:rsidR="00BA077F">
        <w:t>,</w:t>
      </w:r>
      <w:r w:rsidRPr="00343381">
        <w:t xml:space="preserve"> the Ministry of Finance </w:t>
      </w:r>
      <w:r>
        <w:t xml:space="preserve">has been </w:t>
      </w:r>
      <w:r w:rsidRPr="00343381">
        <w:t>calculat</w:t>
      </w:r>
      <w:r>
        <w:t>ing</w:t>
      </w:r>
      <w:r w:rsidRPr="00343381">
        <w:t xml:space="preserve"> and publish</w:t>
      </w:r>
      <w:r>
        <w:t>ing</w:t>
      </w:r>
      <w:r w:rsidRPr="00343381">
        <w:t xml:space="preserve"> weighted average price (WAP) for cigarettes (see </w:t>
      </w:r>
      <w:r w:rsidR="008A4F57">
        <w:fldChar w:fldCharType="begin"/>
      </w:r>
      <w:r w:rsidR="00A73F0D">
        <w:instrText xml:space="preserve"> REF _Ref482282343 \h </w:instrText>
      </w:r>
      <w:r w:rsidR="008A4F57">
        <w:fldChar w:fldCharType="separate"/>
      </w:r>
      <w:r w:rsidR="00A73F0D">
        <w:t xml:space="preserve">Table </w:t>
      </w:r>
      <w:r w:rsidR="00A73F0D">
        <w:rPr>
          <w:noProof/>
        </w:rPr>
        <w:t>2</w:t>
      </w:r>
      <w:r w:rsidR="008A4F57">
        <w:fldChar w:fldCharType="end"/>
      </w:r>
      <w:r w:rsidRPr="00343381">
        <w:t>). In 2014-2017</w:t>
      </w:r>
      <w:r>
        <w:t>,</w:t>
      </w:r>
      <w:r w:rsidRPr="00343381">
        <w:t xml:space="preserve"> the WAP for 20-cigarette pack increased from 1.55 euro to 1.9 euro</w:t>
      </w:r>
      <w:r w:rsidR="00BA077F">
        <w:t>,</w:t>
      </w:r>
      <w:r w:rsidRPr="00343381">
        <w:t xml:space="preserve"> or by 23% in three years.</w:t>
      </w:r>
      <w:r w:rsidR="009122BE">
        <w:t xml:space="preserve"> T</w:t>
      </w:r>
      <w:r w:rsidR="002B1C30">
        <w:t>he WAP for 2018 was set</w:t>
      </w:r>
      <w:r w:rsidR="002B1C30">
        <w:rPr>
          <w:rStyle w:val="a8"/>
        </w:rPr>
        <w:footnoteReference w:id="14"/>
      </w:r>
      <w:r w:rsidR="002B1C30">
        <w:t xml:space="preserve"> at 2.1 euro per pack. In March 2019</w:t>
      </w:r>
      <w:r w:rsidR="00BA077F">
        <w:t>,</w:t>
      </w:r>
      <w:r w:rsidR="002B1C30">
        <w:t xml:space="preserve"> t</w:t>
      </w:r>
      <w:r w:rsidR="002B1C30" w:rsidRPr="002B1C30">
        <w:t xml:space="preserve">he Government </w:t>
      </w:r>
      <w:r w:rsidR="002B1C30">
        <w:t>decided “</w:t>
      </w:r>
      <w:r w:rsidR="002B1C30" w:rsidRPr="002B1C30">
        <w:rPr>
          <w:i/>
        </w:rPr>
        <w:t>In order to ensure the stability of the cigarette market, as well as to preserve budget revenues on this basis</w:t>
      </w:r>
      <w:r w:rsidR="002B1C30">
        <w:rPr>
          <w:i/>
        </w:rPr>
        <w:t>”</w:t>
      </w:r>
      <w:r w:rsidR="002B1C30" w:rsidRPr="002B1C30">
        <w:t xml:space="preserve"> to maintain the average weighted retail price of cigarettes from</w:t>
      </w:r>
      <w:r w:rsidR="002B1C30">
        <w:t xml:space="preserve"> 2018 </w:t>
      </w:r>
      <w:r w:rsidR="00BA077F">
        <w:t xml:space="preserve">in </w:t>
      </w:r>
      <w:r w:rsidR="002B1C30">
        <w:t>2019 (EUR 2.10 per pack)</w:t>
      </w:r>
      <w:r w:rsidR="00C22A75">
        <w:rPr>
          <w:rStyle w:val="a8"/>
        </w:rPr>
        <w:footnoteReference w:id="15"/>
      </w:r>
      <w:r w:rsidR="002B1C30">
        <w:t>, while the actual average price was already higher.</w:t>
      </w:r>
    </w:p>
    <w:p w:rsidR="009D397D" w:rsidRPr="00343381" w:rsidRDefault="009D397D">
      <w:r w:rsidRPr="00343381">
        <w:t>In 2009-2011</w:t>
      </w:r>
      <w:r>
        <w:t>,</w:t>
      </w:r>
      <w:r w:rsidRPr="00343381">
        <w:t xml:space="preserve"> </w:t>
      </w:r>
      <w:r w:rsidR="00BA077F">
        <w:t xml:space="preserve">the </w:t>
      </w:r>
      <w:r w:rsidRPr="00343381">
        <w:t xml:space="preserve">specific excise rate was increased 3-fold (see </w:t>
      </w:r>
      <w:r w:rsidR="008A4F57">
        <w:fldChar w:fldCharType="begin"/>
      </w:r>
      <w:r w:rsidR="00A73F0D">
        <w:instrText xml:space="preserve"> REF _Ref482282343 \h </w:instrText>
      </w:r>
      <w:r w:rsidR="008A4F57">
        <w:fldChar w:fldCharType="separate"/>
      </w:r>
      <w:r w:rsidR="00A73F0D">
        <w:t xml:space="preserve">Table </w:t>
      </w:r>
      <w:r w:rsidR="00A73F0D">
        <w:rPr>
          <w:noProof/>
        </w:rPr>
        <w:t>2</w:t>
      </w:r>
      <w:r w:rsidR="008A4F57">
        <w:fldChar w:fldCharType="end"/>
      </w:r>
      <w:r w:rsidRPr="00343381">
        <w:t xml:space="preserve">), while </w:t>
      </w:r>
      <w:r w:rsidR="00BA077F">
        <w:t xml:space="preserve">the </w:t>
      </w:r>
      <w:r w:rsidRPr="00343381">
        <w:t xml:space="preserve">ad valorem rate slightly decreased. Such changes mainly </w:t>
      </w:r>
      <w:r w:rsidR="00BA077F">
        <w:t>result</w:t>
      </w:r>
      <w:r w:rsidR="00BA077F" w:rsidRPr="00343381">
        <w:t xml:space="preserve">ed </w:t>
      </w:r>
      <w:r w:rsidR="00BA077F">
        <w:t xml:space="preserve">in </w:t>
      </w:r>
      <w:r w:rsidRPr="00343381">
        <w:t>price increase of cheap brands. According to the FCTC country reports</w:t>
      </w:r>
      <w:r w:rsidRPr="00343381">
        <w:rPr>
          <w:rStyle w:val="a8"/>
        </w:rPr>
        <w:footnoteReference w:id="16"/>
      </w:r>
      <w:r w:rsidRPr="00343381">
        <w:t xml:space="preserve">, </w:t>
      </w:r>
      <w:r w:rsidR="00BA077F">
        <w:t xml:space="preserve">the </w:t>
      </w:r>
      <w:r w:rsidRPr="00343381">
        <w:t xml:space="preserve">price of domestic brand </w:t>
      </w:r>
      <w:r>
        <w:t>'</w:t>
      </w:r>
      <w:r w:rsidRPr="00343381">
        <w:t>Lovcen</w:t>
      </w:r>
      <w:r>
        <w:t>'</w:t>
      </w:r>
      <w:r w:rsidRPr="00343381">
        <w:t xml:space="preserve"> increased from 0.55 euro per pack of 20 cigarettes in 2010 to 1.1 euro in 2013 and 1.3 euro in 2015. </w:t>
      </w:r>
      <w:r w:rsidR="00BA077F">
        <w:t>The p</w:t>
      </w:r>
      <w:r w:rsidR="00BA077F" w:rsidRPr="00343381">
        <w:t xml:space="preserve">rice </w:t>
      </w:r>
      <w:r w:rsidRPr="00343381">
        <w:t xml:space="preserve">of brand </w:t>
      </w:r>
      <w:r>
        <w:t>'</w:t>
      </w:r>
      <w:r w:rsidRPr="00343381">
        <w:t>Drina</w:t>
      </w:r>
      <w:r>
        <w:t>'</w:t>
      </w:r>
      <w:r w:rsidRPr="00343381">
        <w:t xml:space="preserve">, imported from Bosnia and Herzegovina, was 0.7 </w:t>
      </w:r>
      <w:r>
        <w:t xml:space="preserve">euro </w:t>
      </w:r>
      <w:r w:rsidRPr="00343381">
        <w:t>per pack in 2010</w:t>
      </w:r>
      <w:r w:rsidR="00BA077F">
        <w:t>,</w:t>
      </w:r>
      <w:r w:rsidR="00BA077F" w:rsidRPr="00343381">
        <w:t xml:space="preserve"> </w:t>
      </w:r>
      <w:r w:rsidRPr="00343381">
        <w:t>1.3 in 2013</w:t>
      </w:r>
      <w:r w:rsidR="00BA077F">
        <w:t>,</w:t>
      </w:r>
      <w:r w:rsidRPr="00343381">
        <w:t xml:space="preserve"> and 1.4 in 2015. </w:t>
      </w:r>
      <w:r w:rsidR="00BA077F">
        <w:t>The p</w:t>
      </w:r>
      <w:r w:rsidRPr="00343381">
        <w:t>rice of Marlboro increased from 1.5 euro per</w:t>
      </w:r>
      <w:r w:rsidR="00FE5FAA">
        <w:t xml:space="preserve"> pack in 2008 to 2 euro in 2011, 2</w:t>
      </w:r>
      <w:r w:rsidR="00BA077F">
        <w:t>.</w:t>
      </w:r>
      <w:r w:rsidR="00FE5FAA">
        <w:t>2 euro in 2012, 2.4 euro in 2013</w:t>
      </w:r>
      <w:r w:rsidR="00BA077F">
        <w:t>,</w:t>
      </w:r>
      <w:r w:rsidR="00FE5FAA">
        <w:t xml:space="preserve"> and 2.6 euro in 2015.</w:t>
      </w:r>
    </w:p>
    <w:p w:rsidR="00515162" w:rsidRDefault="009D397D">
      <w:r w:rsidRPr="00343381">
        <w:lastRenderedPageBreak/>
        <w:t>In July 2016</w:t>
      </w:r>
      <w:r>
        <w:t>,</w:t>
      </w:r>
      <w:r w:rsidRPr="00343381">
        <w:t xml:space="preserve"> the cheapest brand (York) had price 1.5 euro per pack of 20 cigarettes. Other popular brands (Drina, Ronhill, Viceroy) had prices 1.6-1.7 euro per pack. Marlboro </w:t>
      </w:r>
      <w:r>
        <w:t xml:space="preserve">was sold for </w:t>
      </w:r>
      <w:r w:rsidRPr="00343381">
        <w:t>2.7 euro per pack.</w:t>
      </w:r>
      <w:r w:rsidR="00515162">
        <w:t xml:space="preserve"> </w:t>
      </w:r>
    </w:p>
    <w:p w:rsidR="00556D53" w:rsidRPr="009F6CF2" w:rsidRDefault="00F177EF">
      <w:r w:rsidRPr="009F6CF2">
        <w:t>The Statistical Office of Montenegro publishes monthly data on price changes</w:t>
      </w:r>
      <w:r w:rsidRPr="009F6CF2">
        <w:rPr>
          <w:rStyle w:val="a8"/>
        </w:rPr>
        <w:footnoteReference w:id="17"/>
      </w:r>
      <w:r w:rsidRPr="009F6CF2">
        <w:t xml:space="preserve">. </w:t>
      </w:r>
      <w:r w:rsidR="00854721" w:rsidRPr="009F6CF2">
        <w:t xml:space="preserve">According to these </w:t>
      </w:r>
      <w:r w:rsidRPr="009F6CF2">
        <w:t>report</w:t>
      </w:r>
      <w:r w:rsidR="00854721" w:rsidRPr="009F6CF2">
        <w:t xml:space="preserve">s, </w:t>
      </w:r>
      <w:r w:rsidRPr="009F6CF2">
        <w:t xml:space="preserve">cigarette prices changed only in very few months </w:t>
      </w:r>
      <w:r w:rsidR="00854721" w:rsidRPr="009F6CF2">
        <w:t xml:space="preserve">in </w:t>
      </w:r>
      <w:r w:rsidRPr="009F6CF2">
        <w:t xml:space="preserve">2015-2018, each time after the excise change. </w:t>
      </w:r>
      <w:r w:rsidR="00675208" w:rsidRPr="009F6CF2">
        <w:t xml:space="preserve">Prices of cigarettes </w:t>
      </w:r>
      <w:r w:rsidRPr="009F6CF2">
        <w:t>increased by 3.6% in April 2015, by 3.3% in April 2016, by 4.6% in April 2017, by 16% in August 2017</w:t>
      </w:r>
      <w:r w:rsidR="00675208" w:rsidRPr="009F6CF2">
        <w:t>,</w:t>
      </w:r>
      <w:r w:rsidRPr="009F6CF2">
        <w:t xml:space="preserve"> and by 17.7% in January 2018</w:t>
      </w:r>
      <w:r w:rsidR="00675208" w:rsidRPr="009F6CF2">
        <w:t>,</w:t>
      </w:r>
      <w:r w:rsidRPr="009F6CF2">
        <w:t xml:space="preserve"> and then </w:t>
      </w:r>
      <w:r w:rsidR="00675208" w:rsidRPr="009F6CF2">
        <w:t xml:space="preserve">the prices </w:t>
      </w:r>
      <w:r w:rsidRPr="009F6CF2">
        <w:t>decreased by 9.8% in September 2018.</w:t>
      </w:r>
    </w:p>
    <w:p w:rsidR="00447435" w:rsidRPr="009F6CF2" w:rsidRDefault="00447435">
      <w:r w:rsidRPr="009F6CF2">
        <w:t>In January 2015</w:t>
      </w:r>
      <w:r w:rsidR="00675208" w:rsidRPr="009F6CF2">
        <w:t>,</w:t>
      </w:r>
      <w:r w:rsidRPr="009F6CF2">
        <w:t xml:space="preserve"> t</w:t>
      </w:r>
      <w:r w:rsidR="00F177EF" w:rsidRPr="009F6CF2">
        <w:t>he weighted average price</w:t>
      </w:r>
      <w:r w:rsidRPr="009F6CF2">
        <w:t xml:space="preserve"> was defined </w:t>
      </w:r>
      <w:r w:rsidR="00675208" w:rsidRPr="009F6CF2">
        <w:t xml:space="preserve">to be </w:t>
      </w:r>
      <w:r w:rsidRPr="009F6CF2">
        <w:t xml:space="preserve">1.7 euro per pack of 20 cigarettes. We used this price as </w:t>
      </w:r>
      <w:r w:rsidR="00675208" w:rsidRPr="009F6CF2">
        <w:t xml:space="preserve">the basis to </w:t>
      </w:r>
      <w:r w:rsidRPr="009F6CF2">
        <w:t xml:space="preserve">calculate average prices in line with the </w:t>
      </w:r>
      <w:r w:rsidR="00675208" w:rsidRPr="009F6CF2">
        <w:t xml:space="preserve">official information on cigarette price increases </w:t>
      </w:r>
      <w:r w:rsidRPr="009F6CF2">
        <w:t xml:space="preserve">presented above </w:t>
      </w:r>
      <w:r w:rsidR="00675208" w:rsidRPr="009F6CF2">
        <w:t xml:space="preserve">and </w:t>
      </w:r>
      <w:r w:rsidRPr="009F6CF2">
        <w:t xml:space="preserve">to estimate </w:t>
      </w:r>
      <w:r w:rsidR="00675208" w:rsidRPr="009F6CF2">
        <w:t xml:space="preserve">the </w:t>
      </w:r>
      <w:r w:rsidRPr="009F6CF2">
        <w:t>trends in cigarette price components</w:t>
      </w:r>
      <w:r w:rsidR="00675208" w:rsidRPr="009F6CF2">
        <w:t xml:space="preserve">. Official levels of </w:t>
      </w:r>
      <w:r w:rsidR="003C11CB" w:rsidRPr="009F6CF2">
        <w:t xml:space="preserve">tax rates </w:t>
      </w:r>
      <w:r w:rsidR="00675208" w:rsidRPr="009F6CF2">
        <w:t xml:space="preserve">presented in </w:t>
      </w:r>
      <w:r w:rsidR="002762AB">
        <w:fldChar w:fldCharType="begin"/>
      </w:r>
      <w:r w:rsidR="002762AB">
        <w:instrText xml:space="preserve"> REF _Ref482282343 \h  \* MERGEFORMAT </w:instrText>
      </w:r>
      <w:r w:rsidR="002762AB">
        <w:fldChar w:fldCharType="separate"/>
      </w:r>
      <w:r w:rsidR="00FF5642" w:rsidRPr="009F6CF2">
        <w:t>Table 2</w:t>
      </w:r>
      <w:r w:rsidR="002762AB">
        <w:fldChar w:fldCharType="end"/>
      </w:r>
      <w:r w:rsidR="00675208" w:rsidRPr="009F6CF2">
        <w:t xml:space="preserve"> were used for these calculations</w:t>
      </w:r>
      <w:r w:rsidRPr="009F6CF2">
        <w:t>.</w:t>
      </w:r>
    </w:p>
    <w:p w:rsidR="00447435" w:rsidRPr="009F6CF2" w:rsidRDefault="00FF5642">
      <w:pPr>
        <w:pStyle w:val="af"/>
      </w:pPr>
      <w:bookmarkStart w:id="48" w:name="_Ref12177660"/>
      <w:r w:rsidRPr="009F6CF2">
        <w:t xml:space="preserve">Table </w:t>
      </w:r>
      <w:r w:rsidR="008A4F57" w:rsidRPr="009F6CF2">
        <w:fldChar w:fldCharType="begin"/>
      </w:r>
      <w:r w:rsidRPr="009F6CF2">
        <w:instrText xml:space="preserve"> SEQ Table \* ARABIC </w:instrText>
      </w:r>
      <w:r w:rsidR="008A4F57" w:rsidRPr="009F6CF2">
        <w:fldChar w:fldCharType="separate"/>
      </w:r>
      <w:r w:rsidRPr="009F6CF2">
        <w:rPr>
          <w:noProof/>
        </w:rPr>
        <w:t>4</w:t>
      </w:r>
      <w:r w:rsidR="008A4F57" w:rsidRPr="009F6CF2">
        <w:fldChar w:fldCharType="end"/>
      </w:r>
      <w:bookmarkEnd w:id="48"/>
      <w:r w:rsidR="00447435" w:rsidRPr="009F6CF2">
        <w:t>. Average cigarette prices and price components</w:t>
      </w:r>
      <w:r w:rsidR="00C1689B" w:rsidRPr="009F6CF2">
        <w:t xml:space="preserve"> in 2015-2018</w:t>
      </w:r>
      <w:r w:rsidR="00447435" w:rsidRPr="009F6CF2">
        <w:t>, Euro per pack of 20 cigarettes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204"/>
        <w:gridCol w:w="1204"/>
        <w:gridCol w:w="1325"/>
        <w:gridCol w:w="1084"/>
        <w:gridCol w:w="1086"/>
        <w:gridCol w:w="1086"/>
        <w:gridCol w:w="1080"/>
      </w:tblGrid>
      <w:tr w:rsidR="00447435" w:rsidRPr="009F6CF2" w:rsidTr="003C11CB">
        <w:trPr>
          <w:trHeight w:val="300"/>
        </w:trPr>
        <w:tc>
          <w:tcPr>
            <w:tcW w:w="927" w:type="pct"/>
            <w:shd w:val="clear" w:color="auto" w:fill="auto"/>
            <w:noWrap/>
            <w:vAlign w:val="bottom"/>
            <w:hideMark/>
          </w:tcPr>
          <w:p w:rsidR="00447435" w:rsidRPr="009F6CF2" w:rsidRDefault="00447435">
            <w:pPr>
              <w:spacing w:before="0" w:after="0" w:line="240" w:lineRule="auto"/>
              <w:rPr>
                <w:rFonts w:ascii="Calibri" w:eastAsia="Times New Roman" w:hAnsi="Calibri" w:cs="Times New Roman"/>
                <w:color w:val="000000"/>
                <w:lang w:eastAsia="en-US"/>
              </w:rPr>
            </w:pPr>
          </w:p>
        </w:tc>
        <w:tc>
          <w:tcPr>
            <w:tcW w:w="608" w:type="pct"/>
            <w:shd w:val="clear" w:color="auto" w:fill="auto"/>
            <w:noWrap/>
            <w:vAlign w:val="bottom"/>
            <w:hideMark/>
          </w:tcPr>
          <w:p w:rsidR="00447435" w:rsidRPr="009F6CF2" w:rsidRDefault="00447435">
            <w:pPr>
              <w:spacing w:before="0" w:after="0" w:line="240" w:lineRule="auto"/>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Jan 2015</w:t>
            </w:r>
          </w:p>
        </w:tc>
        <w:tc>
          <w:tcPr>
            <w:tcW w:w="608" w:type="pct"/>
            <w:shd w:val="clear" w:color="auto" w:fill="auto"/>
            <w:noWrap/>
            <w:vAlign w:val="bottom"/>
            <w:hideMark/>
          </w:tcPr>
          <w:p w:rsidR="00447435" w:rsidRPr="009F6CF2" w:rsidRDefault="00447435">
            <w:pPr>
              <w:spacing w:before="0" w:after="0" w:line="240" w:lineRule="auto"/>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Apr 2015</w:t>
            </w:r>
          </w:p>
        </w:tc>
        <w:tc>
          <w:tcPr>
            <w:tcW w:w="669" w:type="pct"/>
            <w:shd w:val="clear" w:color="auto" w:fill="auto"/>
            <w:noWrap/>
            <w:vAlign w:val="bottom"/>
            <w:hideMark/>
          </w:tcPr>
          <w:p w:rsidR="00447435" w:rsidRPr="009F6CF2" w:rsidRDefault="00447435">
            <w:pPr>
              <w:spacing w:before="0" w:after="0" w:line="240" w:lineRule="auto"/>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Apr 2016</w:t>
            </w:r>
          </w:p>
        </w:tc>
        <w:tc>
          <w:tcPr>
            <w:tcW w:w="547" w:type="pct"/>
            <w:shd w:val="clear" w:color="auto" w:fill="auto"/>
            <w:noWrap/>
            <w:vAlign w:val="bottom"/>
            <w:hideMark/>
          </w:tcPr>
          <w:p w:rsidR="00447435" w:rsidRPr="009F6CF2" w:rsidRDefault="00447435">
            <w:pPr>
              <w:spacing w:before="0" w:after="0" w:line="240" w:lineRule="auto"/>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Apr 2017</w:t>
            </w:r>
          </w:p>
        </w:tc>
        <w:tc>
          <w:tcPr>
            <w:tcW w:w="548" w:type="pct"/>
            <w:shd w:val="clear" w:color="auto" w:fill="auto"/>
            <w:noWrap/>
            <w:vAlign w:val="bottom"/>
            <w:hideMark/>
          </w:tcPr>
          <w:p w:rsidR="00447435" w:rsidRPr="009F6CF2" w:rsidRDefault="00447435">
            <w:pPr>
              <w:spacing w:before="0" w:after="0" w:line="240" w:lineRule="auto"/>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Aug 2017</w:t>
            </w:r>
          </w:p>
        </w:tc>
        <w:tc>
          <w:tcPr>
            <w:tcW w:w="548" w:type="pct"/>
            <w:shd w:val="clear" w:color="auto" w:fill="auto"/>
            <w:noWrap/>
            <w:vAlign w:val="bottom"/>
            <w:hideMark/>
          </w:tcPr>
          <w:p w:rsidR="00447435" w:rsidRPr="009F6CF2" w:rsidRDefault="00447435">
            <w:pPr>
              <w:spacing w:before="0" w:after="0" w:line="240" w:lineRule="auto"/>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Jan 2018</w:t>
            </w:r>
          </w:p>
        </w:tc>
        <w:tc>
          <w:tcPr>
            <w:tcW w:w="545" w:type="pct"/>
            <w:shd w:val="clear" w:color="auto" w:fill="auto"/>
            <w:noWrap/>
            <w:vAlign w:val="bottom"/>
            <w:hideMark/>
          </w:tcPr>
          <w:p w:rsidR="00447435" w:rsidRPr="009F6CF2" w:rsidRDefault="00447435">
            <w:pPr>
              <w:spacing w:before="0" w:after="0" w:line="240" w:lineRule="auto"/>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Sep 2018</w:t>
            </w:r>
          </w:p>
        </w:tc>
      </w:tr>
      <w:tr w:rsidR="00447435" w:rsidRPr="009F6CF2" w:rsidTr="003C11CB">
        <w:trPr>
          <w:trHeight w:val="300"/>
        </w:trPr>
        <w:tc>
          <w:tcPr>
            <w:tcW w:w="927" w:type="pct"/>
            <w:shd w:val="clear" w:color="auto" w:fill="auto"/>
            <w:noWrap/>
            <w:vAlign w:val="bottom"/>
            <w:hideMark/>
          </w:tcPr>
          <w:p w:rsidR="00447435" w:rsidRPr="009F6CF2" w:rsidRDefault="00447435" w:rsidP="00797235">
            <w:pPr>
              <w:spacing w:before="0" w:after="0" w:line="240" w:lineRule="auto"/>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Price</w:t>
            </w:r>
          </w:p>
        </w:tc>
        <w:tc>
          <w:tcPr>
            <w:tcW w:w="608" w:type="pct"/>
            <w:shd w:val="clear" w:color="auto" w:fill="auto"/>
            <w:noWrap/>
            <w:vAlign w:val="bottom"/>
            <w:hideMark/>
          </w:tcPr>
          <w:p w:rsidR="00447435" w:rsidRPr="009F6CF2" w:rsidRDefault="00447435" w:rsidP="007972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1,70</w:t>
            </w:r>
          </w:p>
        </w:tc>
        <w:tc>
          <w:tcPr>
            <w:tcW w:w="608" w:type="pct"/>
            <w:shd w:val="clear" w:color="auto" w:fill="auto"/>
            <w:noWrap/>
            <w:vAlign w:val="bottom"/>
            <w:hideMark/>
          </w:tcPr>
          <w:p w:rsidR="00447435" w:rsidRPr="009F6CF2" w:rsidRDefault="00447435" w:rsidP="007972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1,76</w:t>
            </w:r>
          </w:p>
        </w:tc>
        <w:tc>
          <w:tcPr>
            <w:tcW w:w="669"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1,82</w:t>
            </w:r>
          </w:p>
        </w:tc>
        <w:tc>
          <w:tcPr>
            <w:tcW w:w="547"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1,90</w:t>
            </w:r>
          </w:p>
        </w:tc>
        <w:tc>
          <w:tcPr>
            <w:tcW w:w="548"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2,21</w:t>
            </w:r>
          </w:p>
        </w:tc>
        <w:tc>
          <w:tcPr>
            <w:tcW w:w="548"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2,60</w:t>
            </w:r>
          </w:p>
        </w:tc>
        <w:tc>
          <w:tcPr>
            <w:tcW w:w="545"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2,34</w:t>
            </w:r>
          </w:p>
        </w:tc>
      </w:tr>
      <w:tr w:rsidR="00447435" w:rsidRPr="009F6CF2" w:rsidTr="003C11CB">
        <w:trPr>
          <w:trHeight w:val="300"/>
        </w:trPr>
        <w:tc>
          <w:tcPr>
            <w:tcW w:w="927" w:type="pct"/>
            <w:shd w:val="clear" w:color="auto" w:fill="auto"/>
            <w:noWrap/>
            <w:vAlign w:val="bottom"/>
            <w:hideMark/>
          </w:tcPr>
          <w:p w:rsidR="00447435" w:rsidRPr="009F6CF2" w:rsidRDefault="00447435" w:rsidP="00797235">
            <w:pPr>
              <w:spacing w:before="0" w:after="0" w:line="240" w:lineRule="auto"/>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 xml:space="preserve">Specific excise </w:t>
            </w:r>
          </w:p>
        </w:tc>
        <w:tc>
          <w:tcPr>
            <w:tcW w:w="608" w:type="pct"/>
            <w:shd w:val="clear" w:color="auto" w:fill="auto"/>
            <w:noWrap/>
            <w:vAlign w:val="bottom"/>
            <w:hideMark/>
          </w:tcPr>
          <w:p w:rsidR="00447435" w:rsidRPr="009F6CF2" w:rsidRDefault="00447435" w:rsidP="007972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0,38</w:t>
            </w:r>
          </w:p>
        </w:tc>
        <w:tc>
          <w:tcPr>
            <w:tcW w:w="608" w:type="pct"/>
            <w:shd w:val="clear" w:color="auto" w:fill="auto"/>
            <w:noWrap/>
            <w:vAlign w:val="bottom"/>
            <w:hideMark/>
          </w:tcPr>
          <w:p w:rsidR="00447435" w:rsidRPr="009F6CF2" w:rsidRDefault="00447435" w:rsidP="007972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0,40</w:t>
            </w:r>
          </w:p>
        </w:tc>
        <w:tc>
          <w:tcPr>
            <w:tcW w:w="669"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0,44</w:t>
            </w:r>
          </w:p>
        </w:tc>
        <w:tc>
          <w:tcPr>
            <w:tcW w:w="547"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0,48</w:t>
            </w:r>
          </w:p>
        </w:tc>
        <w:tc>
          <w:tcPr>
            <w:tcW w:w="548"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0,60</w:t>
            </w:r>
          </w:p>
        </w:tc>
        <w:tc>
          <w:tcPr>
            <w:tcW w:w="548"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0,80</w:t>
            </w:r>
          </w:p>
        </w:tc>
        <w:tc>
          <w:tcPr>
            <w:tcW w:w="545"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0,60</w:t>
            </w:r>
          </w:p>
        </w:tc>
      </w:tr>
      <w:tr w:rsidR="00447435" w:rsidRPr="009F6CF2" w:rsidTr="003C11CB">
        <w:trPr>
          <w:trHeight w:val="300"/>
        </w:trPr>
        <w:tc>
          <w:tcPr>
            <w:tcW w:w="927" w:type="pct"/>
            <w:shd w:val="clear" w:color="auto" w:fill="auto"/>
            <w:noWrap/>
            <w:vAlign w:val="bottom"/>
            <w:hideMark/>
          </w:tcPr>
          <w:p w:rsidR="00447435" w:rsidRPr="009F6CF2" w:rsidRDefault="00447435" w:rsidP="00797235">
            <w:pPr>
              <w:spacing w:before="0" w:after="0" w:line="240" w:lineRule="auto"/>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Ad valorem excise</w:t>
            </w:r>
          </w:p>
        </w:tc>
        <w:tc>
          <w:tcPr>
            <w:tcW w:w="608" w:type="pct"/>
            <w:shd w:val="clear" w:color="auto" w:fill="auto"/>
            <w:noWrap/>
            <w:vAlign w:val="bottom"/>
            <w:hideMark/>
          </w:tcPr>
          <w:p w:rsidR="00447435" w:rsidRPr="009F6CF2" w:rsidRDefault="00447435" w:rsidP="007972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0,60</w:t>
            </w:r>
          </w:p>
        </w:tc>
        <w:tc>
          <w:tcPr>
            <w:tcW w:w="608" w:type="pct"/>
            <w:shd w:val="clear" w:color="auto" w:fill="auto"/>
            <w:noWrap/>
            <w:vAlign w:val="bottom"/>
            <w:hideMark/>
          </w:tcPr>
          <w:p w:rsidR="00447435" w:rsidRPr="009F6CF2" w:rsidRDefault="00447435" w:rsidP="007972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0,60</w:t>
            </w:r>
          </w:p>
        </w:tc>
        <w:tc>
          <w:tcPr>
            <w:tcW w:w="669"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0,60</w:t>
            </w:r>
          </w:p>
        </w:tc>
        <w:tc>
          <w:tcPr>
            <w:tcW w:w="547"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0,61</w:t>
            </w:r>
          </w:p>
        </w:tc>
        <w:tc>
          <w:tcPr>
            <w:tcW w:w="548"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0,71</w:t>
            </w:r>
          </w:p>
        </w:tc>
        <w:tc>
          <w:tcPr>
            <w:tcW w:w="548"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0,83</w:t>
            </w:r>
          </w:p>
        </w:tc>
        <w:tc>
          <w:tcPr>
            <w:tcW w:w="545"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0,75</w:t>
            </w:r>
          </w:p>
        </w:tc>
      </w:tr>
      <w:tr w:rsidR="00447435" w:rsidRPr="009F6CF2" w:rsidTr="003C11CB">
        <w:trPr>
          <w:trHeight w:val="300"/>
        </w:trPr>
        <w:tc>
          <w:tcPr>
            <w:tcW w:w="927" w:type="pct"/>
            <w:shd w:val="clear" w:color="auto" w:fill="auto"/>
            <w:noWrap/>
            <w:vAlign w:val="bottom"/>
            <w:hideMark/>
          </w:tcPr>
          <w:p w:rsidR="00447435" w:rsidRPr="009F6CF2" w:rsidRDefault="00447435" w:rsidP="00797235">
            <w:pPr>
              <w:spacing w:before="0" w:after="0" w:line="240" w:lineRule="auto"/>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Total excise</w:t>
            </w:r>
          </w:p>
        </w:tc>
        <w:tc>
          <w:tcPr>
            <w:tcW w:w="608" w:type="pct"/>
            <w:shd w:val="clear" w:color="auto" w:fill="auto"/>
            <w:noWrap/>
            <w:vAlign w:val="bottom"/>
            <w:hideMark/>
          </w:tcPr>
          <w:p w:rsidR="00447435" w:rsidRPr="009F6CF2" w:rsidRDefault="00447435" w:rsidP="007972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0,98</w:t>
            </w:r>
          </w:p>
        </w:tc>
        <w:tc>
          <w:tcPr>
            <w:tcW w:w="608" w:type="pct"/>
            <w:shd w:val="clear" w:color="auto" w:fill="auto"/>
            <w:noWrap/>
            <w:vAlign w:val="bottom"/>
            <w:hideMark/>
          </w:tcPr>
          <w:p w:rsidR="00447435" w:rsidRPr="009F6CF2" w:rsidRDefault="00447435" w:rsidP="007972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1,00</w:t>
            </w:r>
          </w:p>
        </w:tc>
        <w:tc>
          <w:tcPr>
            <w:tcW w:w="669"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1,04</w:t>
            </w:r>
          </w:p>
        </w:tc>
        <w:tc>
          <w:tcPr>
            <w:tcW w:w="547"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1,09</w:t>
            </w:r>
          </w:p>
        </w:tc>
        <w:tc>
          <w:tcPr>
            <w:tcW w:w="548"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1,31</w:t>
            </w:r>
          </w:p>
        </w:tc>
        <w:tc>
          <w:tcPr>
            <w:tcW w:w="548"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1,63</w:t>
            </w:r>
          </w:p>
        </w:tc>
        <w:tc>
          <w:tcPr>
            <w:tcW w:w="545"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1,35</w:t>
            </w:r>
          </w:p>
        </w:tc>
      </w:tr>
      <w:tr w:rsidR="00447435" w:rsidRPr="009F6CF2" w:rsidTr="003C11CB">
        <w:trPr>
          <w:trHeight w:val="300"/>
        </w:trPr>
        <w:tc>
          <w:tcPr>
            <w:tcW w:w="927" w:type="pct"/>
            <w:shd w:val="clear" w:color="auto" w:fill="auto"/>
            <w:noWrap/>
            <w:vAlign w:val="bottom"/>
            <w:hideMark/>
          </w:tcPr>
          <w:p w:rsidR="00447435" w:rsidRPr="009F6CF2" w:rsidRDefault="00447435" w:rsidP="00797235">
            <w:pPr>
              <w:spacing w:before="0" w:after="0" w:line="240" w:lineRule="auto"/>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VAT</w:t>
            </w:r>
          </w:p>
        </w:tc>
        <w:tc>
          <w:tcPr>
            <w:tcW w:w="608" w:type="pct"/>
            <w:shd w:val="clear" w:color="auto" w:fill="auto"/>
            <w:noWrap/>
            <w:vAlign w:val="bottom"/>
            <w:hideMark/>
          </w:tcPr>
          <w:p w:rsidR="00447435" w:rsidRPr="009F6CF2" w:rsidRDefault="00447435" w:rsidP="007972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0,27</w:t>
            </w:r>
          </w:p>
        </w:tc>
        <w:tc>
          <w:tcPr>
            <w:tcW w:w="608" w:type="pct"/>
            <w:shd w:val="clear" w:color="auto" w:fill="auto"/>
            <w:noWrap/>
            <w:vAlign w:val="bottom"/>
            <w:hideMark/>
          </w:tcPr>
          <w:p w:rsidR="00447435" w:rsidRPr="009F6CF2" w:rsidRDefault="00447435" w:rsidP="007972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0,28</w:t>
            </w:r>
          </w:p>
        </w:tc>
        <w:tc>
          <w:tcPr>
            <w:tcW w:w="669"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0,29</w:t>
            </w:r>
          </w:p>
        </w:tc>
        <w:tc>
          <w:tcPr>
            <w:tcW w:w="547"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0,30</w:t>
            </w:r>
          </w:p>
        </w:tc>
        <w:tc>
          <w:tcPr>
            <w:tcW w:w="548"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0,35</w:t>
            </w:r>
          </w:p>
        </w:tc>
        <w:tc>
          <w:tcPr>
            <w:tcW w:w="548"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0,45</w:t>
            </w:r>
          </w:p>
        </w:tc>
        <w:tc>
          <w:tcPr>
            <w:tcW w:w="545"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0,41</w:t>
            </w:r>
          </w:p>
        </w:tc>
      </w:tr>
      <w:tr w:rsidR="00447435" w:rsidRPr="009F6CF2" w:rsidTr="003C11CB">
        <w:trPr>
          <w:trHeight w:val="300"/>
        </w:trPr>
        <w:tc>
          <w:tcPr>
            <w:tcW w:w="927" w:type="pct"/>
            <w:shd w:val="clear" w:color="auto" w:fill="auto"/>
            <w:noWrap/>
            <w:vAlign w:val="bottom"/>
            <w:hideMark/>
          </w:tcPr>
          <w:p w:rsidR="00447435" w:rsidRPr="009F6CF2" w:rsidRDefault="00447435" w:rsidP="00797235">
            <w:pPr>
              <w:spacing w:before="0" w:after="0" w:line="240" w:lineRule="auto"/>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Total tax</w:t>
            </w:r>
          </w:p>
        </w:tc>
        <w:tc>
          <w:tcPr>
            <w:tcW w:w="608" w:type="pct"/>
            <w:shd w:val="clear" w:color="auto" w:fill="auto"/>
            <w:noWrap/>
            <w:vAlign w:val="bottom"/>
            <w:hideMark/>
          </w:tcPr>
          <w:p w:rsidR="00447435" w:rsidRPr="009F6CF2" w:rsidRDefault="00447435" w:rsidP="007972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1,25</w:t>
            </w:r>
          </w:p>
        </w:tc>
        <w:tc>
          <w:tcPr>
            <w:tcW w:w="608" w:type="pct"/>
            <w:shd w:val="clear" w:color="auto" w:fill="auto"/>
            <w:noWrap/>
            <w:vAlign w:val="bottom"/>
            <w:hideMark/>
          </w:tcPr>
          <w:p w:rsidR="00447435" w:rsidRPr="009F6CF2" w:rsidRDefault="00447435" w:rsidP="007972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1,28</w:t>
            </w:r>
          </w:p>
        </w:tc>
        <w:tc>
          <w:tcPr>
            <w:tcW w:w="669"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1,33</w:t>
            </w:r>
          </w:p>
        </w:tc>
        <w:tc>
          <w:tcPr>
            <w:tcW w:w="547"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1,39</w:t>
            </w:r>
          </w:p>
        </w:tc>
        <w:tc>
          <w:tcPr>
            <w:tcW w:w="548"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1,66</w:t>
            </w:r>
          </w:p>
        </w:tc>
        <w:tc>
          <w:tcPr>
            <w:tcW w:w="548"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2,08</w:t>
            </w:r>
          </w:p>
        </w:tc>
        <w:tc>
          <w:tcPr>
            <w:tcW w:w="545"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1,76</w:t>
            </w:r>
          </w:p>
        </w:tc>
      </w:tr>
      <w:tr w:rsidR="00447435" w:rsidRPr="009F6CF2" w:rsidTr="003C11CB">
        <w:trPr>
          <w:trHeight w:val="300"/>
        </w:trPr>
        <w:tc>
          <w:tcPr>
            <w:tcW w:w="927" w:type="pct"/>
            <w:shd w:val="clear" w:color="auto" w:fill="auto"/>
            <w:noWrap/>
            <w:vAlign w:val="bottom"/>
            <w:hideMark/>
          </w:tcPr>
          <w:p w:rsidR="00447435" w:rsidRPr="009F6CF2" w:rsidRDefault="00447435" w:rsidP="00797235">
            <w:pPr>
              <w:spacing w:before="0" w:after="0" w:line="240" w:lineRule="auto"/>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Net-of-tax price</w:t>
            </w:r>
          </w:p>
        </w:tc>
        <w:tc>
          <w:tcPr>
            <w:tcW w:w="608" w:type="pct"/>
            <w:shd w:val="clear" w:color="auto" w:fill="auto"/>
            <w:noWrap/>
            <w:vAlign w:val="bottom"/>
            <w:hideMark/>
          </w:tcPr>
          <w:p w:rsidR="00447435" w:rsidRPr="009F6CF2" w:rsidRDefault="00447435" w:rsidP="007972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0,45</w:t>
            </w:r>
          </w:p>
        </w:tc>
        <w:tc>
          <w:tcPr>
            <w:tcW w:w="608" w:type="pct"/>
            <w:shd w:val="clear" w:color="auto" w:fill="auto"/>
            <w:noWrap/>
            <w:vAlign w:val="bottom"/>
            <w:hideMark/>
          </w:tcPr>
          <w:p w:rsidR="00447435" w:rsidRPr="009F6CF2" w:rsidRDefault="00447435" w:rsidP="007972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0,48</w:t>
            </w:r>
          </w:p>
        </w:tc>
        <w:tc>
          <w:tcPr>
            <w:tcW w:w="669"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0,49</w:t>
            </w:r>
          </w:p>
        </w:tc>
        <w:tc>
          <w:tcPr>
            <w:tcW w:w="547"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0,51</w:t>
            </w:r>
          </w:p>
        </w:tc>
        <w:tc>
          <w:tcPr>
            <w:tcW w:w="548"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0,55</w:t>
            </w:r>
          </w:p>
        </w:tc>
        <w:tc>
          <w:tcPr>
            <w:tcW w:w="548"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0,52</w:t>
            </w:r>
          </w:p>
        </w:tc>
        <w:tc>
          <w:tcPr>
            <w:tcW w:w="545" w:type="pct"/>
            <w:shd w:val="clear" w:color="auto" w:fill="auto"/>
            <w:noWrap/>
            <w:vAlign w:val="bottom"/>
            <w:hideMark/>
          </w:tcPr>
          <w:p w:rsidR="00447435" w:rsidRPr="009F6CF2" w:rsidRDefault="00447435">
            <w:pPr>
              <w:spacing w:before="0" w:after="0" w:line="240" w:lineRule="auto"/>
              <w:jc w:val="right"/>
              <w:rPr>
                <w:rFonts w:ascii="Calibri" w:eastAsia="Times New Roman" w:hAnsi="Calibri" w:cs="Times New Roman"/>
                <w:color w:val="000000"/>
                <w:lang w:eastAsia="en-US"/>
              </w:rPr>
            </w:pPr>
            <w:r w:rsidRPr="009F6CF2">
              <w:rPr>
                <w:rFonts w:ascii="Calibri" w:eastAsia="Times New Roman" w:hAnsi="Calibri" w:cs="Times New Roman"/>
                <w:color w:val="000000"/>
                <w:lang w:eastAsia="en-US"/>
              </w:rPr>
              <w:t>0,59</w:t>
            </w:r>
          </w:p>
        </w:tc>
      </w:tr>
      <w:tr w:rsidR="003C11CB" w:rsidRPr="009F6CF2" w:rsidTr="003C11CB">
        <w:trPr>
          <w:trHeight w:val="300"/>
        </w:trPr>
        <w:tc>
          <w:tcPr>
            <w:tcW w:w="927" w:type="pct"/>
            <w:shd w:val="clear" w:color="auto" w:fill="auto"/>
            <w:noWrap/>
            <w:vAlign w:val="bottom"/>
          </w:tcPr>
          <w:p w:rsidR="003C11CB" w:rsidRPr="009F6CF2" w:rsidRDefault="003C11CB" w:rsidP="00797235">
            <w:pPr>
              <w:spacing w:before="0" w:after="0"/>
              <w:rPr>
                <w:rFonts w:ascii="Calibri" w:hAnsi="Calibri"/>
                <w:i/>
                <w:color w:val="000000"/>
              </w:rPr>
            </w:pPr>
            <w:r w:rsidRPr="009F6CF2">
              <w:rPr>
                <w:rFonts w:ascii="Calibri" w:hAnsi="Calibri"/>
                <w:i/>
                <w:color w:val="000000"/>
              </w:rPr>
              <w:t>Excise share, %</w:t>
            </w:r>
          </w:p>
        </w:tc>
        <w:tc>
          <w:tcPr>
            <w:tcW w:w="608" w:type="pct"/>
            <w:shd w:val="clear" w:color="auto" w:fill="auto"/>
            <w:noWrap/>
            <w:vAlign w:val="bottom"/>
          </w:tcPr>
          <w:p w:rsidR="003C11CB" w:rsidRPr="009F6CF2" w:rsidRDefault="003C11CB" w:rsidP="00797235">
            <w:pPr>
              <w:spacing w:before="0" w:after="0"/>
              <w:jc w:val="right"/>
              <w:rPr>
                <w:rFonts w:ascii="Calibri" w:hAnsi="Calibri"/>
                <w:i/>
                <w:color w:val="000000"/>
              </w:rPr>
            </w:pPr>
            <w:r w:rsidRPr="009F6CF2">
              <w:rPr>
                <w:rFonts w:ascii="Calibri" w:hAnsi="Calibri"/>
                <w:i/>
                <w:color w:val="000000"/>
              </w:rPr>
              <w:t>57,4</w:t>
            </w:r>
          </w:p>
        </w:tc>
        <w:tc>
          <w:tcPr>
            <w:tcW w:w="608" w:type="pct"/>
            <w:shd w:val="clear" w:color="auto" w:fill="auto"/>
            <w:noWrap/>
            <w:vAlign w:val="bottom"/>
          </w:tcPr>
          <w:p w:rsidR="003C11CB" w:rsidRPr="009F6CF2" w:rsidRDefault="003C11CB" w:rsidP="00797235">
            <w:pPr>
              <w:spacing w:before="0" w:after="0"/>
              <w:jc w:val="right"/>
              <w:rPr>
                <w:rFonts w:ascii="Calibri" w:hAnsi="Calibri"/>
                <w:i/>
                <w:color w:val="000000"/>
              </w:rPr>
            </w:pPr>
            <w:r w:rsidRPr="009F6CF2">
              <w:rPr>
                <w:rFonts w:ascii="Calibri" w:hAnsi="Calibri"/>
                <w:i/>
                <w:color w:val="000000"/>
              </w:rPr>
              <w:t>56,7</w:t>
            </w:r>
          </w:p>
        </w:tc>
        <w:tc>
          <w:tcPr>
            <w:tcW w:w="669" w:type="pct"/>
            <w:shd w:val="clear" w:color="auto" w:fill="auto"/>
            <w:noWrap/>
            <w:vAlign w:val="bottom"/>
          </w:tcPr>
          <w:p w:rsidR="003C11CB" w:rsidRPr="009F6CF2" w:rsidRDefault="003C11CB">
            <w:pPr>
              <w:spacing w:before="0" w:after="0"/>
              <w:jc w:val="right"/>
              <w:rPr>
                <w:rFonts w:ascii="Calibri" w:hAnsi="Calibri"/>
                <w:i/>
                <w:color w:val="000000"/>
              </w:rPr>
            </w:pPr>
            <w:r w:rsidRPr="009F6CF2">
              <w:rPr>
                <w:rFonts w:ascii="Calibri" w:hAnsi="Calibri"/>
                <w:i/>
                <w:color w:val="000000"/>
              </w:rPr>
              <w:t>57,2</w:t>
            </w:r>
          </w:p>
        </w:tc>
        <w:tc>
          <w:tcPr>
            <w:tcW w:w="547" w:type="pct"/>
            <w:shd w:val="clear" w:color="auto" w:fill="auto"/>
            <w:noWrap/>
            <w:vAlign w:val="bottom"/>
          </w:tcPr>
          <w:p w:rsidR="003C11CB" w:rsidRPr="009F6CF2" w:rsidRDefault="003C11CB">
            <w:pPr>
              <w:spacing w:before="0" w:after="0"/>
              <w:jc w:val="right"/>
              <w:rPr>
                <w:rFonts w:ascii="Calibri" w:hAnsi="Calibri"/>
                <w:i/>
                <w:color w:val="000000"/>
              </w:rPr>
            </w:pPr>
            <w:r w:rsidRPr="009F6CF2">
              <w:rPr>
                <w:rFonts w:ascii="Calibri" w:hAnsi="Calibri"/>
                <w:i/>
                <w:color w:val="000000"/>
              </w:rPr>
              <w:t>57,2</w:t>
            </w:r>
          </w:p>
        </w:tc>
        <w:tc>
          <w:tcPr>
            <w:tcW w:w="548" w:type="pct"/>
            <w:shd w:val="clear" w:color="auto" w:fill="auto"/>
            <w:noWrap/>
            <w:vAlign w:val="bottom"/>
          </w:tcPr>
          <w:p w:rsidR="003C11CB" w:rsidRPr="009F6CF2" w:rsidRDefault="003C11CB">
            <w:pPr>
              <w:spacing w:before="0" w:after="0"/>
              <w:jc w:val="right"/>
              <w:rPr>
                <w:rFonts w:ascii="Calibri" w:hAnsi="Calibri"/>
                <w:i/>
                <w:color w:val="000000"/>
              </w:rPr>
            </w:pPr>
            <w:r w:rsidRPr="009F6CF2">
              <w:rPr>
                <w:rFonts w:ascii="Calibri" w:hAnsi="Calibri"/>
                <w:i/>
                <w:color w:val="000000"/>
              </w:rPr>
              <w:t>59,2</w:t>
            </w:r>
          </w:p>
        </w:tc>
        <w:tc>
          <w:tcPr>
            <w:tcW w:w="548" w:type="pct"/>
            <w:shd w:val="clear" w:color="auto" w:fill="auto"/>
            <w:noWrap/>
            <w:vAlign w:val="bottom"/>
          </w:tcPr>
          <w:p w:rsidR="003C11CB" w:rsidRPr="009F6CF2" w:rsidRDefault="003C11CB">
            <w:pPr>
              <w:spacing w:before="0" w:after="0"/>
              <w:jc w:val="right"/>
              <w:rPr>
                <w:rFonts w:ascii="Calibri" w:hAnsi="Calibri"/>
                <w:i/>
                <w:color w:val="000000"/>
              </w:rPr>
            </w:pPr>
            <w:r w:rsidRPr="009F6CF2">
              <w:rPr>
                <w:rFonts w:ascii="Calibri" w:hAnsi="Calibri"/>
                <w:i/>
                <w:color w:val="000000"/>
              </w:rPr>
              <w:t>62,8</w:t>
            </w:r>
          </w:p>
        </w:tc>
        <w:tc>
          <w:tcPr>
            <w:tcW w:w="545" w:type="pct"/>
            <w:shd w:val="clear" w:color="auto" w:fill="auto"/>
            <w:noWrap/>
            <w:vAlign w:val="bottom"/>
          </w:tcPr>
          <w:p w:rsidR="003C11CB" w:rsidRPr="009F6CF2" w:rsidRDefault="003C11CB">
            <w:pPr>
              <w:spacing w:before="0" w:after="0"/>
              <w:jc w:val="right"/>
              <w:rPr>
                <w:rFonts w:ascii="Calibri" w:hAnsi="Calibri"/>
                <w:i/>
                <w:color w:val="000000"/>
              </w:rPr>
            </w:pPr>
            <w:r w:rsidRPr="009F6CF2">
              <w:rPr>
                <w:rFonts w:ascii="Calibri" w:hAnsi="Calibri"/>
                <w:i/>
                <w:color w:val="000000"/>
              </w:rPr>
              <w:t>57,6</w:t>
            </w:r>
          </w:p>
        </w:tc>
      </w:tr>
    </w:tbl>
    <w:p w:rsidR="00447435" w:rsidRDefault="003C11CB" w:rsidP="00797235">
      <w:r w:rsidRPr="009F6CF2">
        <w:t>T</w:t>
      </w:r>
      <w:r w:rsidR="00675208" w:rsidRPr="009F6CF2">
        <w:t>he t</w:t>
      </w:r>
      <w:r w:rsidRPr="009F6CF2">
        <w:t>obacco industry increased its part of the price (net-of-tax) usually in line with excise burden increase, so the excise share in the final price almost did not change over 4 years</w:t>
      </w:r>
      <w:r w:rsidR="009F6CF2">
        <w:t xml:space="preserve"> and was about 57%</w:t>
      </w:r>
      <w:r w:rsidRPr="009F6CF2">
        <w:t xml:space="preserve">. </w:t>
      </w:r>
      <w:r w:rsidR="00675208" w:rsidRPr="009F6CF2">
        <w:t xml:space="preserve">In 2015-2018, the </w:t>
      </w:r>
      <w:r w:rsidRPr="009F6CF2">
        <w:t>net-of tax price increased by 29% while inflation for those years combined was just 6%.</w:t>
      </w:r>
    </w:p>
    <w:p w:rsidR="009D397D" w:rsidRPr="00343381" w:rsidRDefault="009D397D" w:rsidP="002762AB">
      <w:pPr>
        <w:pStyle w:val="2"/>
      </w:pPr>
      <w:bookmarkStart w:id="49" w:name="_Toc482360298"/>
      <w:bookmarkStart w:id="50" w:name="_Toc12207127"/>
      <w:r w:rsidRPr="00343381">
        <w:t>Tobacco affordability</w:t>
      </w:r>
      <w:bookmarkEnd w:id="49"/>
      <w:bookmarkEnd w:id="50"/>
    </w:p>
    <w:p w:rsidR="009D397D" w:rsidRPr="00343381" w:rsidRDefault="009D397D">
      <w:r w:rsidRPr="00343381">
        <w:t>The Guidelines for implementation of Article 6 of the WHO FCTC</w:t>
      </w:r>
      <w:r>
        <w:t xml:space="preserve"> </w:t>
      </w:r>
      <w:r w:rsidR="008A4F57">
        <w:fldChar w:fldCharType="begin"/>
      </w:r>
      <w:r w:rsidR="00D80211">
        <w:instrText xml:space="preserve"> ADDIN EN.CITE &lt;EndNote&gt;&lt;Cite&gt;&lt;Year&gt;2014&lt;/Year&gt;&lt;RecNum&gt;4689&lt;/RecNum&gt;&lt;DisplayText&gt;[16]&lt;/DisplayText&gt;&lt;record&gt;&lt;rec-number&gt;4689&lt;/rec-number&gt;&lt;foreign-keys&gt;&lt;key app="EN" db-id="ep9zdt9a8tdpsseaptvpd555505tfr02pr2e" timestamp="1494505510"&gt;4689&lt;/key&gt;&lt;/foreign-keys&gt;&lt;ref-type name="Web Page"&gt;12&lt;/ref-type&gt;&lt;contributors&gt;&lt;/contributors&gt;&lt;titles&gt;&lt;title&gt;Guidelines for implementation of Article 6 of the WHO Framework Convention on Tobacco Control&lt;/title&gt;&lt;/titles&gt;&lt;dates&gt;&lt;year&gt;2014&lt;/year&gt;&lt;/dates&gt;&lt;pub-location&gt;Geneva&lt;/pub-location&gt;&lt;publisher&gt;World Health Organization&lt;/publisher&gt;&lt;urls&gt;&lt;related-urls&gt;&lt;url&gt;http://www.who.int/fctc/guidelines/adopted/Guidelines_article_6.pdf&lt;/url&gt;&lt;/related-urls&gt;&lt;/urls&gt;&lt;/record&gt;&lt;/Cite&gt;&lt;/EndNote&gt;</w:instrText>
      </w:r>
      <w:r w:rsidR="008A4F57">
        <w:fldChar w:fldCharType="separate"/>
      </w:r>
      <w:r w:rsidR="00D80211">
        <w:rPr>
          <w:noProof/>
        </w:rPr>
        <w:t>[16]</w:t>
      </w:r>
      <w:r w:rsidR="008A4F57">
        <w:fldChar w:fldCharType="end"/>
      </w:r>
      <w:r w:rsidRPr="00343381">
        <w:rPr>
          <w:i/>
        </w:rPr>
        <w:t xml:space="preserve"> </w:t>
      </w:r>
      <w:r w:rsidRPr="00343381">
        <w:t xml:space="preserve">recommend: </w:t>
      </w:r>
      <w:r w:rsidRPr="00343381">
        <w:rPr>
          <w:i/>
        </w:rPr>
        <w:t>“When establishing or increasing their national levels of taxation Parties should take into account – among other things – … changes in household income, to make tobacco products less affordable over time in order to reduce consumption and prevalence</w:t>
      </w:r>
      <w:r w:rsidRPr="00343381">
        <w:t>”. In the Guidelines, “affordability” means price relative to per capita income.</w:t>
      </w:r>
    </w:p>
    <w:p w:rsidR="009D397D" w:rsidRPr="00343381" w:rsidRDefault="009D397D">
      <w:r w:rsidRPr="00343381">
        <w:t>In the current analysis, a tobacco affordability index (TAI)</w:t>
      </w:r>
      <w:r w:rsidR="00515162">
        <w:t xml:space="preserve"> </w:t>
      </w:r>
      <w:r w:rsidR="008A4F57">
        <w:fldChar w:fldCharType="begin"/>
      </w:r>
      <w:r w:rsidR="00D80211">
        <w:instrText xml:space="preserve"> ADDIN EN.CITE &lt;EndNote&gt;&lt;Cite&gt;&lt;Author&gt;Krasovsky&lt;/Author&gt;&lt;Year&gt;2012&lt;/Year&gt;&lt;RecNum&gt;4895&lt;/RecNum&gt;&lt;DisplayText&gt;[17]&lt;/DisplayText&gt;&lt;record&gt;&lt;rec-number&gt;4895&lt;/rec-number&gt;&lt;foreign-keys&gt;&lt;key app="EN" db-id="ep9zdt9a8tdpsseaptvpd555505tfr02pr2e" timestamp="1501602157"&gt;4895&lt;/key&gt;&lt;/foreign-keys&gt;&lt;ref-type name="Journal Article"&gt;17&lt;/ref-type&gt;&lt;contributors&gt;&lt;authors&gt;&lt;author&gt;Krasovsky, Konstantin&lt;/author&gt;&lt;/authors&gt;&lt;/contributors&gt;&lt;titles&gt;&lt;title&gt;Tobacco taxation policy in three Baltic countries after the EU accession&lt;/title&gt;&lt;secondary-title&gt;Tobacco Control and Public Health in Eastern Europe&lt;/secondary-title&gt;&lt;/titles&gt;&lt;periodical&gt;&lt;full-title&gt;Tobacco Control and Public Health in Eastern Europe&lt;/full-title&gt;&lt;/periodical&gt;&lt;pages&gt;81-98&lt;/pages&gt;&lt;volume&gt;2&lt;/volume&gt;&lt;number&gt;2&lt;/number&gt;&lt;edition&gt;2012/11/14&lt;/edition&gt;&lt;section&gt;81&lt;/section&gt;&lt;keywords&gt;&lt;keyword&gt;tobacco&lt;/keyword&gt;&lt;keyword&gt;excise tax&lt;/keyword&gt;&lt;keyword&gt;Estonia&lt;/keyword&gt;&lt;keyword&gt;Latvia&lt;/keyword&gt;&lt;keyword&gt;Lithuania&lt;/keyword&gt;&lt;keyword&gt;Baltic countries&lt;/keyword&gt;&lt;keyword&gt;affordability&lt;/keyword&gt;&lt;keyword&gt;smoking prevalence&lt;/keyword&gt;&lt;keyword&gt;tobacco consumption&lt;/keyword&gt;&lt;keyword&gt;tobacco smuggling&lt;/keyword&gt;&lt;/keywords&gt;&lt;dates&gt;&lt;year&gt;2012&lt;/year&gt;&lt;pub-dates&gt;&lt;date&gt;2012/11/14&lt;/date&gt;&lt;/pub-dates&gt;&lt;/dates&gt;&lt;isbn&gt;2222-4629&lt;/isbn&gt;&lt;work-type&gt;Original study&lt;/work-type&gt;&lt;urls&gt;&lt;/urls&gt;&lt;electronic-resource-num&gt;10.6084/m9.figshare.97290&lt;/electronic-resource-num&gt;&lt;language&gt;eng&lt;/language&gt;&lt;/record&gt;&lt;/Cite&gt;&lt;/EndNote&gt;</w:instrText>
      </w:r>
      <w:r w:rsidR="008A4F57">
        <w:fldChar w:fldCharType="separate"/>
      </w:r>
      <w:r w:rsidR="00D80211">
        <w:rPr>
          <w:noProof/>
        </w:rPr>
        <w:t>[17]</w:t>
      </w:r>
      <w:r w:rsidR="008A4F57">
        <w:fldChar w:fldCharType="end"/>
      </w:r>
      <w:r w:rsidRPr="00343381">
        <w:t xml:space="preserve"> is used to estimate the changes in tobacco affordability in 2008–201</w:t>
      </w:r>
      <w:r w:rsidR="003C11CB">
        <w:t>8</w:t>
      </w:r>
      <w:r w:rsidRPr="00343381">
        <w:t xml:space="preserve"> (</w:t>
      </w:r>
      <w:r w:rsidR="008A4F57">
        <w:fldChar w:fldCharType="begin"/>
      </w:r>
      <w:r w:rsidR="00A73F0D">
        <w:instrText xml:space="preserve"> REF _Ref482282730 \h </w:instrText>
      </w:r>
      <w:r w:rsidR="008A4F57">
        <w:fldChar w:fldCharType="separate"/>
      </w:r>
      <w:r w:rsidR="00FF5642">
        <w:t xml:space="preserve">Table </w:t>
      </w:r>
      <w:r w:rsidR="00FF5642">
        <w:rPr>
          <w:noProof/>
        </w:rPr>
        <w:t>5</w:t>
      </w:r>
      <w:r w:rsidR="008A4F57">
        <w:fldChar w:fldCharType="end"/>
      </w:r>
      <w:r w:rsidRPr="00343381">
        <w:t xml:space="preserve">). As national statistics do not provide reliable indicators of </w:t>
      </w:r>
      <w:r w:rsidR="00F827DC">
        <w:t xml:space="preserve">either </w:t>
      </w:r>
      <w:r w:rsidRPr="00343381">
        <w:t>individual or household income, we used the World Bank indicator Annual percentage growth rate of GDP per capita based on constant local currency</w:t>
      </w:r>
      <w:r w:rsidRPr="00343381">
        <w:rPr>
          <w:rStyle w:val="a8"/>
        </w:rPr>
        <w:footnoteReference w:id="18"/>
      </w:r>
      <w:r w:rsidRPr="00343381">
        <w:t>. As the GDP change is expressed in constant (adjusted for the effects of price inflation) local currency, the price indicator is also expressed in real (inflation-adjusted) terms. The TAI is calculated as</w:t>
      </w:r>
      <w:r w:rsidR="00F827DC">
        <w:t xml:space="preserve"> follows</w:t>
      </w:r>
      <w:r w:rsidRPr="00343381">
        <w:t>: GDP annual change divided by (</w:t>
      </w:r>
      <w:r w:rsidR="00F827DC" w:rsidRPr="00343381">
        <w:t>inflation</w:t>
      </w:r>
      <w:r w:rsidR="00F827DC">
        <w:t>-</w:t>
      </w:r>
      <w:r w:rsidRPr="00343381">
        <w:t xml:space="preserve">adjusted) tobacco price </w:t>
      </w:r>
      <w:r w:rsidRPr="00343381">
        <w:lastRenderedPageBreak/>
        <w:t>increase</w:t>
      </w:r>
      <w:r w:rsidRPr="00C31206">
        <w:t xml:space="preserve"> </w:t>
      </w:r>
      <w:r w:rsidRPr="00343381">
        <w:t>minus 100</w:t>
      </w:r>
      <w:r>
        <w:t>:</w:t>
      </w:r>
      <w:r w:rsidRPr="00343381">
        <w:t xml:space="preserve"> (</w:t>
      </w:r>
      <w:r>
        <w:t>GDP growth *</w:t>
      </w:r>
      <w:r w:rsidRPr="00343381">
        <w:t xml:space="preserve"> CPI_all_items</w:t>
      </w:r>
      <w:r>
        <w:t xml:space="preserve"> /CPI_tobacco – 100)</w:t>
      </w:r>
      <w:r w:rsidRPr="00343381">
        <w:t>. A negative TAI value means that tobacco became less affordable, and tobacco consumption is expected to decrease.</w:t>
      </w:r>
    </w:p>
    <w:p w:rsidR="009D397D" w:rsidRPr="00343381" w:rsidRDefault="00A73F0D">
      <w:pPr>
        <w:pStyle w:val="af"/>
      </w:pPr>
      <w:bookmarkStart w:id="51" w:name="_Ref482282730"/>
      <w:r>
        <w:t xml:space="preserve">Table </w:t>
      </w:r>
      <w:r w:rsidR="008A4F57">
        <w:fldChar w:fldCharType="begin"/>
      </w:r>
      <w:r w:rsidR="009B50F6">
        <w:instrText xml:space="preserve"> SEQ Table \* ARABIC </w:instrText>
      </w:r>
      <w:r w:rsidR="008A4F57">
        <w:fldChar w:fldCharType="separate"/>
      </w:r>
      <w:r w:rsidR="00FF5642">
        <w:rPr>
          <w:noProof/>
        </w:rPr>
        <w:t>5</w:t>
      </w:r>
      <w:r w:rsidR="008A4F57">
        <w:rPr>
          <w:noProof/>
        </w:rPr>
        <w:fldChar w:fldCharType="end"/>
      </w:r>
      <w:bookmarkEnd w:id="51"/>
      <w:r w:rsidR="009D397D" w:rsidRPr="00A73F0D">
        <w:t>.</w:t>
      </w:r>
      <w:r w:rsidR="009D397D" w:rsidRPr="00343381">
        <w:t xml:space="preserve"> Tobacco affordability in 2008-201</w:t>
      </w:r>
      <w:r w:rsidR="001A06E8">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698"/>
        <w:gridCol w:w="698"/>
        <w:gridCol w:w="697"/>
        <w:gridCol w:w="697"/>
        <w:gridCol w:w="697"/>
        <w:gridCol w:w="697"/>
        <w:gridCol w:w="697"/>
        <w:gridCol w:w="697"/>
        <w:gridCol w:w="697"/>
        <w:gridCol w:w="697"/>
        <w:gridCol w:w="697"/>
      </w:tblGrid>
      <w:tr w:rsidR="00C22A75" w:rsidRPr="00343381" w:rsidTr="001A06E8">
        <w:trPr>
          <w:trHeight w:val="300"/>
        </w:trPr>
        <w:tc>
          <w:tcPr>
            <w:tcW w:w="1128" w:type="pct"/>
            <w:shd w:val="clear" w:color="auto" w:fill="auto"/>
            <w:noWrap/>
            <w:vAlign w:val="bottom"/>
            <w:hideMark/>
          </w:tcPr>
          <w:p w:rsidR="00C22A75" w:rsidRPr="00343381" w:rsidRDefault="00C22A75">
            <w:pPr>
              <w:spacing w:before="0" w:after="0" w:line="240" w:lineRule="auto"/>
              <w:rPr>
                <w:rFonts w:eastAsia="Times New Roman"/>
              </w:rPr>
            </w:pP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2008</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2009</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2010</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2011</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2012</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2013</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2014</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2015</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2016</w:t>
            </w:r>
          </w:p>
        </w:tc>
        <w:tc>
          <w:tcPr>
            <w:tcW w:w="352" w:type="pct"/>
            <w:vAlign w:val="bottom"/>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2017</w:t>
            </w:r>
          </w:p>
        </w:tc>
        <w:tc>
          <w:tcPr>
            <w:tcW w:w="352" w:type="pct"/>
            <w:vAlign w:val="bottom"/>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2018</w:t>
            </w:r>
          </w:p>
        </w:tc>
      </w:tr>
      <w:tr w:rsidR="00C22A75" w:rsidRPr="00343381" w:rsidTr="001A06E8">
        <w:trPr>
          <w:trHeight w:val="300"/>
        </w:trPr>
        <w:tc>
          <w:tcPr>
            <w:tcW w:w="1128" w:type="pct"/>
            <w:shd w:val="clear" w:color="auto" w:fill="auto"/>
            <w:noWrap/>
            <w:vAlign w:val="bottom"/>
            <w:hideMark/>
          </w:tcPr>
          <w:p w:rsidR="00C22A75" w:rsidRPr="00343381" w:rsidRDefault="00C22A75" w:rsidP="00797235">
            <w:pPr>
              <w:spacing w:before="0" w:after="0" w:line="240" w:lineRule="auto"/>
              <w:rPr>
                <w:rFonts w:eastAsia="Times New Roman"/>
              </w:rPr>
            </w:pPr>
            <w:r w:rsidRPr="00343381">
              <w:rPr>
                <w:rFonts w:eastAsia="Times New Roman"/>
              </w:rPr>
              <w:t>CPI all items, previous year = 100</w:t>
            </w:r>
          </w:p>
        </w:tc>
        <w:tc>
          <w:tcPr>
            <w:tcW w:w="352" w:type="pct"/>
            <w:shd w:val="clear" w:color="auto" w:fill="auto"/>
            <w:noWrap/>
            <w:vAlign w:val="bottom"/>
            <w:hideMark/>
          </w:tcPr>
          <w:p w:rsidR="00C22A75" w:rsidRPr="00C22A75" w:rsidRDefault="00C22A75" w:rsidP="00797235">
            <w:pPr>
              <w:spacing w:before="0" w:after="0" w:line="240" w:lineRule="auto"/>
              <w:jc w:val="right"/>
              <w:rPr>
                <w:rFonts w:ascii="Calibri" w:hAnsi="Calibri"/>
                <w:color w:val="000000"/>
                <w:sz w:val="20"/>
                <w:szCs w:val="20"/>
              </w:rPr>
            </w:pPr>
            <w:r w:rsidRPr="00C22A75">
              <w:rPr>
                <w:rFonts w:ascii="Calibri" w:hAnsi="Calibri"/>
                <w:color w:val="000000"/>
                <w:sz w:val="20"/>
                <w:szCs w:val="20"/>
              </w:rPr>
              <w:t>109,2</w:t>
            </w:r>
          </w:p>
        </w:tc>
        <w:tc>
          <w:tcPr>
            <w:tcW w:w="352" w:type="pct"/>
            <w:shd w:val="clear" w:color="auto" w:fill="auto"/>
            <w:noWrap/>
            <w:vAlign w:val="bottom"/>
            <w:hideMark/>
          </w:tcPr>
          <w:p w:rsidR="00C22A75" w:rsidRPr="00C22A75" w:rsidRDefault="00C22A75" w:rsidP="00797235">
            <w:pPr>
              <w:spacing w:before="0" w:after="0" w:line="240" w:lineRule="auto"/>
              <w:jc w:val="right"/>
              <w:rPr>
                <w:rFonts w:ascii="Calibri" w:hAnsi="Calibri"/>
                <w:color w:val="000000"/>
                <w:sz w:val="20"/>
                <w:szCs w:val="20"/>
              </w:rPr>
            </w:pPr>
            <w:r w:rsidRPr="00C22A75">
              <w:rPr>
                <w:rFonts w:ascii="Calibri" w:hAnsi="Calibri"/>
                <w:color w:val="000000"/>
                <w:sz w:val="20"/>
                <w:szCs w:val="20"/>
              </w:rPr>
              <w:t>103,4</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100,5</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103,1</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104,1</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102,2</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99,3</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101,4</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sz w:val="20"/>
                <w:szCs w:val="20"/>
              </w:rPr>
            </w:pPr>
            <w:r w:rsidRPr="00C22A75">
              <w:rPr>
                <w:rFonts w:ascii="Calibri" w:hAnsi="Calibri"/>
                <w:sz w:val="20"/>
                <w:szCs w:val="20"/>
              </w:rPr>
              <w:t>101,0</w:t>
            </w:r>
          </w:p>
        </w:tc>
        <w:tc>
          <w:tcPr>
            <w:tcW w:w="352" w:type="pct"/>
            <w:vAlign w:val="bottom"/>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101,9</w:t>
            </w:r>
          </w:p>
        </w:tc>
        <w:tc>
          <w:tcPr>
            <w:tcW w:w="352" w:type="pct"/>
            <w:vAlign w:val="bottom"/>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101,6</w:t>
            </w:r>
          </w:p>
        </w:tc>
      </w:tr>
      <w:tr w:rsidR="00C22A75" w:rsidRPr="00343381" w:rsidTr="001A06E8">
        <w:trPr>
          <w:trHeight w:val="300"/>
        </w:trPr>
        <w:tc>
          <w:tcPr>
            <w:tcW w:w="1128" w:type="pct"/>
            <w:shd w:val="clear" w:color="auto" w:fill="auto"/>
            <w:noWrap/>
            <w:vAlign w:val="bottom"/>
            <w:hideMark/>
          </w:tcPr>
          <w:p w:rsidR="00C22A75" w:rsidRPr="00343381" w:rsidRDefault="00C22A75" w:rsidP="00797235">
            <w:pPr>
              <w:spacing w:before="0" w:after="0" w:line="240" w:lineRule="auto"/>
              <w:rPr>
                <w:rFonts w:eastAsia="Times New Roman"/>
              </w:rPr>
            </w:pPr>
            <w:r w:rsidRPr="00343381">
              <w:rPr>
                <w:rFonts w:eastAsia="Times New Roman"/>
              </w:rPr>
              <w:t>CPI tobacco,  previous year = 100</w:t>
            </w:r>
          </w:p>
        </w:tc>
        <w:tc>
          <w:tcPr>
            <w:tcW w:w="352" w:type="pct"/>
            <w:shd w:val="clear" w:color="auto" w:fill="auto"/>
            <w:noWrap/>
            <w:vAlign w:val="bottom"/>
            <w:hideMark/>
          </w:tcPr>
          <w:p w:rsidR="00C22A75" w:rsidRPr="00C22A75" w:rsidRDefault="00C22A75" w:rsidP="00797235">
            <w:pPr>
              <w:spacing w:before="0" w:after="0" w:line="240" w:lineRule="auto"/>
              <w:jc w:val="right"/>
              <w:rPr>
                <w:rFonts w:ascii="Calibri" w:hAnsi="Calibri"/>
                <w:color w:val="000000"/>
                <w:sz w:val="20"/>
                <w:szCs w:val="20"/>
              </w:rPr>
            </w:pPr>
            <w:r w:rsidRPr="00C22A75">
              <w:rPr>
                <w:rFonts w:ascii="Calibri" w:hAnsi="Calibri"/>
                <w:color w:val="000000"/>
                <w:sz w:val="20"/>
                <w:szCs w:val="20"/>
              </w:rPr>
              <w:t>101</w:t>
            </w:r>
          </w:p>
        </w:tc>
        <w:tc>
          <w:tcPr>
            <w:tcW w:w="352" w:type="pct"/>
            <w:shd w:val="clear" w:color="auto" w:fill="auto"/>
            <w:noWrap/>
            <w:vAlign w:val="bottom"/>
            <w:hideMark/>
          </w:tcPr>
          <w:p w:rsidR="00C22A75" w:rsidRPr="00C22A75" w:rsidRDefault="00C22A75" w:rsidP="00797235">
            <w:pPr>
              <w:spacing w:before="0" w:after="0" w:line="240" w:lineRule="auto"/>
              <w:jc w:val="right"/>
              <w:rPr>
                <w:rFonts w:ascii="Calibri" w:hAnsi="Calibri"/>
                <w:color w:val="000000"/>
                <w:sz w:val="20"/>
                <w:szCs w:val="20"/>
              </w:rPr>
            </w:pPr>
            <w:r w:rsidRPr="00C22A75">
              <w:rPr>
                <w:rFonts w:ascii="Calibri" w:hAnsi="Calibri"/>
                <w:color w:val="000000"/>
                <w:sz w:val="20"/>
                <w:szCs w:val="20"/>
              </w:rPr>
              <w:t>105,1</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101,7</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129,2</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125,7</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105,3</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99,9</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103,6</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sz w:val="20"/>
                <w:szCs w:val="20"/>
              </w:rPr>
            </w:pPr>
            <w:r w:rsidRPr="00C22A75">
              <w:rPr>
                <w:rFonts w:ascii="Calibri" w:hAnsi="Calibri"/>
                <w:sz w:val="20"/>
                <w:szCs w:val="20"/>
              </w:rPr>
              <w:t>103,2</w:t>
            </w:r>
          </w:p>
        </w:tc>
        <w:tc>
          <w:tcPr>
            <w:tcW w:w="352" w:type="pct"/>
            <w:vAlign w:val="bottom"/>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121,3</w:t>
            </w:r>
          </w:p>
        </w:tc>
        <w:tc>
          <w:tcPr>
            <w:tcW w:w="352" w:type="pct"/>
            <w:vAlign w:val="bottom"/>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106,2</w:t>
            </w:r>
          </w:p>
        </w:tc>
      </w:tr>
      <w:tr w:rsidR="00C22A75" w:rsidRPr="00343381" w:rsidTr="001A06E8">
        <w:trPr>
          <w:trHeight w:val="300"/>
        </w:trPr>
        <w:tc>
          <w:tcPr>
            <w:tcW w:w="1128" w:type="pct"/>
            <w:shd w:val="clear" w:color="auto" w:fill="auto"/>
            <w:noWrap/>
            <w:vAlign w:val="bottom"/>
            <w:hideMark/>
          </w:tcPr>
          <w:p w:rsidR="00C22A75" w:rsidRPr="00343381" w:rsidRDefault="00C22A75" w:rsidP="00797235">
            <w:pPr>
              <w:spacing w:before="0" w:after="0" w:line="240" w:lineRule="auto"/>
              <w:rPr>
                <w:rFonts w:eastAsia="Times New Roman"/>
              </w:rPr>
            </w:pPr>
            <w:r w:rsidRPr="00343381">
              <w:rPr>
                <w:rFonts w:eastAsia="Times New Roman"/>
              </w:rPr>
              <w:t>GDP per capita annual growth, previous year = 100</w:t>
            </w:r>
          </w:p>
        </w:tc>
        <w:tc>
          <w:tcPr>
            <w:tcW w:w="352" w:type="pct"/>
            <w:shd w:val="clear" w:color="auto" w:fill="auto"/>
            <w:noWrap/>
            <w:vAlign w:val="bottom"/>
            <w:hideMark/>
          </w:tcPr>
          <w:p w:rsidR="00C22A75" w:rsidRPr="00C22A75" w:rsidRDefault="00C22A75" w:rsidP="00797235">
            <w:pPr>
              <w:spacing w:before="0" w:after="0" w:line="240" w:lineRule="auto"/>
              <w:jc w:val="right"/>
              <w:rPr>
                <w:rFonts w:ascii="Calibri" w:hAnsi="Calibri"/>
                <w:color w:val="000000"/>
                <w:sz w:val="20"/>
                <w:szCs w:val="20"/>
              </w:rPr>
            </w:pPr>
            <w:r w:rsidRPr="00C22A75">
              <w:rPr>
                <w:rFonts w:ascii="Calibri" w:hAnsi="Calibri"/>
                <w:color w:val="000000"/>
                <w:sz w:val="20"/>
                <w:szCs w:val="20"/>
              </w:rPr>
              <w:t>106,7</w:t>
            </w:r>
          </w:p>
        </w:tc>
        <w:tc>
          <w:tcPr>
            <w:tcW w:w="352" w:type="pct"/>
            <w:shd w:val="clear" w:color="auto" w:fill="auto"/>
            <w:noWrap/>
            <w:vAlign w:val="bottom"/>
            <w:hideMark/>
          </w:tcPr>
          <w:p w:rsidR="00C22A75" w:rsidRPr="00C22A75" w:rsidRDefault="00C22A75" w:rsidP="00797235">
            <w:pPr>
              <w:spacing w:before="0" w:after="0" w:line="240" w:lineRule="auto"/>
              <w:jc w:val="right"/>
              <w:rPr>
                <w:rFonts w:ascii="Calibri" w:hAnsi="Calibri"/>
                <w:color w:val="000000"/>
                <w:sz w:val="20"/>
                <w:szCs w:val="20"/>
              </w:rPr>
            </w:pPr>
            <w:r w:rsidRPr="00C22A75">
              <w:rPr>
                <w:rFonts w:ascii="Calibri" w:hAnsi="Calibri"/>
                <w:color w:val="000000"/>
                <w:sz w:val="20"/>
                <w:szCs w:val="20"/>
              </w:rPr>
              <w:t>94,1</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102,3</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103,1</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97,2</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103,4</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101,7</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103,3</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102,9</w:t>
            </w:r>
          </w:p>
        </w:tc>
        <w:tc>
          <w:tcPr>
            <w:tcW w:w="352" w:type="pct"/>
            <w:vAlign w:val="bottom"/>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104,7</w:t>
            </w:r>
          </w:p>
        </w:tc>
        <w:tc>
          <w:tcPr>
            <w:tcW w:w="352" w:type="pct"/>
            <w:vAlign w:val="bottom"/>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104,5</w:t>
            </w:r>
          </w:p>
        </w:tc>
      </w:tr>
      <w:tr w:rsidR="00C22A75" w:rsidRPr="00343381" w:rsidTr="001A06E8">
        <w:trPr>
          <w:trHeight w:val="300"/>
        </w:trPr>
        <w:tc>
          <w:tcPr>
            <w:tcW w:w="1128" w:type="pct"/>
            <w:shd w:val="clear" w:color="auto" w:fill="auto"/>
            <w:noWrap/>
            <w:vAlign w:val="bottom"/>
            <w:hideMark/>
          </w:tcPr>
          <w:p w:rsidR="00C22A75" w:rsidRPr="00343381" w:rsidRDefault="00C22A75" w:rsidP="00797235">
            <w:pPr>
              <w:spacing w:before="0" w:after="0" w:line="240" w:lineRule="auto"/>
              <w:rPr>
                <w:rFonts w:eastAsia="Times New Roman"/>
              </w:rPr>
            </w:pPr>
            <w:r w:rsidRPr="00343381">
              <w:rPr>
                <w:rFonts w:eastAsia="Times New Roman"/>
              </w:rPr>
              <w:t>T</w:t>
            </w:r>
            <w:r w:rsidR="001A06E8">
              <w:rPr>
                <w:rFonts w:eastAsia="Times New Roman"/>
              </w:rPr>
              <w:t xml:space="preserve">obacco </w:t>
            </w:r>
            <w:r w:rsidRPr="00343381">
              <w:rPr>
                <w:rFonts w:eastAsia="Times New Roman"/>
              </w:rPr>
              <w:t>A</w:t>
            </w:r>
            <w:r w:rsidR="001A06E8">
              <w:rPr>
                <w:rFonts w:eastAsia="Times New Roman"/>
              </w:rPr>
              <w:t xml:space="preserve">ffordability </w:t>
            </w:r>
            <w:r w:rsidRPr="00343381">
              <w:rPr>
                <w:rFonts w:eastAsia="Times New Roman"/>
              </w:rPr>
              <w:t>I</w:t>
            </w:r>
            <w:r w:rsidR="001A06E8">
              <w:rPr>
                <w:rFonts w:eastAsia="Times New Roman"/>
              </w:rPr>
              <w:t>ndex</w:t>
            </w:r>
          </w:p>
        </w:tc>
        <w:tc>
          <w:tcPr>
            <w:tcW w:w="352" w:type="pct"/>
            <w:shd w:val="clear" w:color="auto" w:fill="auto"/>
            <w:noWrap/>
            <w:vAlign w:val="bottom"/>
            <w:hideMark/>
          </w:tcPr>
          <w:p w:rsidR="00C22A75" w:rsidRPr="00C22A75" w:rsidRDefault="00C22A75" w:rsidP="00797235">
            <w:pPr>
              <w:spacing w:before="0" w:after="0" w:line="240" w:lineRule="auto"/>
              <w:jc w:val="right"/>
              <w:rPr>
                <w:rFonts w:ascii="Calibri" w:hAnsi="Calibri"/>
                <w:color w:val="000000"/>
                <w:sz w:val="20"/>
                <w:szCs w:val="20"/>
              </w:rPr>
            </w:pPr>
            <w:r w:rsidRPr="00C22A75">
              <w:rPr>
                <w:rFonts w:ascii="Calibri" w:hAnsi="Calibri"/>
                <w:color w:val="000000"/>
                <w:sz w:val="20"/>
                <w:szCs w:val="20"/>
              </w:rPr>
              <w:t>15,4</w:t>
            </w:r>
          </w:p>
        </w:tc>
        <w:tc>
          <w:tcPr>
            <w:tcW w:w="352" w:type="pct"/>
            <w:shd w:val="clear" w:color="auto" w:fill="auto"/>
            <w:noWrap/>
            <w:vAlign w:val="bottom"/>
            <w:hideMark/>
          </w:tcPr>
          <w:p w:rsidR="00C22A75" w:rsidRPr="00C22A75" w:rsidRDefault="00C22A75" w:rsidP="00797235">
            <w:pPr>
              <w:spacing w:before="0" w:after="0" w:line="240" w:lineRule="auto"/>
              <w:jc w:val="right"/>
              <w:rPr>
                <w:rFonts w:ascii="Calibri" w:hAnsi="Calibri"/>
                <w:color w:val="000000"/>
                <w:sz w:val="20"/>
                <w:szCs w:val="20"/>
              </w:rPr>
            </w:pPr>
            <w:r w:rsidRPr="00C22A75">
              <w:rPr>
                <w:rFonts w:ascii="Calibri" w:hAnsi="Calibri"/>
                <w:color w:val="000000"/>
                <w:sz w:val="20"/>
                <w:szCs w:val="20"/>
              </w:rPr>
              <w:t>-7,4</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1,1</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-17,7</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-19,5</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0,4</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1,1</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1,1</w:t>
            </w:r>
          </w:p>
        </w:tc>
        <w:tc>
          <w:tcPr>
            <w:tcW w:w="352" w:type="pct"/>
            <w:shd w:val="clear" w:color="auto" w:fill="auto"/>
            <w:noWrap/>
            <w:vAlign w:val="bottom"/>
            <w:hideMark/>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0,7</w:t>
            </w:r>
          </w:p>
        </w:tc>
        <w:tc>
          <w:tcPr>
            <w:tcW w:w="352" w:type="pct"/>
            <w:vAlign w:val="bottom"/>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-12,0</w:t>
            </w:r>
          </w:p>
        </w:tc>
        <w:tc>
          <w:tcPr>
            <w:tcW w:w="352" w:type="pct"/>
            <w:vAlign w:val="bottom"/>
          </w:tcPr>
          <w:p w:rsidR="00C22A75" w:rsidRPr="00C22A75" w:rsidRDefault="00C22A75">
            <w:pPr>
              <w:spacing w:before="0" w:after="0" w:line="240" w:lineRule="auto"/>
              <w:jc w:val="right"/>
              <w:rPr>
                <w:rFonts w:ascii="Calibri" w:hAnsi="Calibri"/>
                <w:color w:val="000000"/>
                <w:sz w:val="20"/>
                <w:szCs w:val="20"/>
              </w:rPr>
            </w:pPr>
            <w:r w:rsidRPr="00C22A75">
              <w:rPr>
                <w:rFonts w:ascii="Calibri" w:hAnsi="Calibri"/>
                <w:color w:val="000000"/>
                <w:sz w:val="20"/>
                <w:szCs w:val="20"/>
              </w:rPr>
              <w:t>0,0</w:t>
            </w:r>
          </w:p>
        </w:tc>
      </w:tr>
    </w:tbl>
    <w:p w:rsidR="009D397D" w:rsidRPr="00343381" w:rsidRDefault="009D397D" w:rsidP="00797235">
      <w:r w:rsidRPr="00343381">
        <w:t>In 2008</w:t>
      </w:r>
      <w:r>
        <w:t>,</w:t>
      </w:r>
      <w:r w:rsidRPr="00343381">
        <w:t xml:space="preserve"> tobacco products became more affordable. Tobacco affordability reduction in 2009 was mainly caused by the economic recession. </w:t>
      </w:r>
      <w:r w:rsidRPr="0078677E">
        <w:t xml:space="preserve">Tobacco excise hikes implemented in 2011 and 2012 (see </w:t>
      </w:r>
      <w:r w:rsidR="002762AB">
        <w:fldChar w:fldCharType="begin"/>
      </w:r>
      <w:r w:rsidR="002762AB">
        <w:instrText xml:space="preserve"> REF _Ref482282343 \h  \* MERGEFORMAT </w:instrText>
      </w:r>
      <w:r w:rsidR="002762AB">
        <w:fldChar w:fldCharType="separate"/>
      </w:r>
      <w:r w:rsidR="00A73F0D" w:rsidRPr="0078677E">
        <w:t>Table 2</w:t>
      </w:r>
      <w:r w:rsidR="002762AB">
        <w:fldChar w:fldCharType="end"/>
      </w:r>
      <w:r w:rsidRPr="0078677E">
        <w:t>) substantially reduced tobacco affordability, but in 2013-2016</w:t>
      </w:r>
      <w:r w:rsidR="00F827DC" w:rsidRPr="0078677E">
        <w:t>,</w:t>
      </w:r>
      <w:r w:rsidRPr="0078677E">
        <w:t xml:space="preserve"> tobacco affordability did not change much.</w:t>
      </w:r>
      <w:r w:rsidR="001A06E8" w:rsidRPr="0078677E">
        <w:t xml:space="preserve"> Tax hike of 2017 also reduced tobacco affordability, but in 2018</w:t>
      </w:r>
      <w:r w:rsidR="00F827DC" w:rsidRPr="0078677E">
        <w:t>,</w:t>
      </w:r>
      <w:r w:rsidR="001A06E8" w:rsidRPr="0078677E">
        <w:t xml:space="preserve"> after the excise rate reduction from September, the affordability did not change.</w:t>
      </w:r>
    </w:p>
    <w:p w:rsidR="009D397D" w:rsidRPr="00343381" w:rsidRDefault="009D397D" w:rsidP="002762AB">
      <w:pPr>
        <w:pStyle w:val="2"/>
      </w:pPr>
      <w:bookmarkStart w:id="52" w:name="_Toc482360299"/>
      <w:bookmarkStart w:id="53" w:name="_Toc12207128"/>
      <w:r w:rsidRPr="00343381">
        <w:t>Tobacco sales and consumption</w:t>
      </w:r>
      <w:bookmarkEnd w:id="52"/>
      <w:bookmarkEnd w:id="53"/>
    </w:p>
    <w:p w:rsidR="009D397D" w:rsidRPr="00343381" w:rsidRDefault="009D397D">
      <w:r w:rsidRPr="00343381">
        <w:t>In Montenegro</w:t>
      </w:r>
      <w:r>
        <w:t>,</w:t>
      </w:r>
      <w:r w:rsidR="003C098A">
        <w:t xml:space="preserve"> cigarettes we</w:t>
      </w:r>
      <w:r w:rsidRPr="00343381">
        <w:t xml:space="preserve">re sold by 14 manufacturers of cigarettes, of which 12 </w:t>
      </w:r>
      <w:r w:rsidR="003C098A">
        <w:t>we</w:t>
      </w:r>
      <w:r w:rsidRPr="00343381">
        <w:t>re foreign.</w:t>
      </w:r>
    </w:p>
    <w:p w:rsidR="009D397D" w:rsidRPr="00343381" w:rsidRDefault="009D397D">
      <w:r w:rsidRPr="00343381">
        <w:t>In 2008</w:t>
      </w:r>
      <w:r>
        <w:t>,</w:t>
      </w:r>
      <w:r w:rsidRPr="00343381">
        <w:t xml:space="preserve"> 1,700 tons of cigarettes were sold, of which 85%</w:t>
      </w:r>
      <w:r w:rsidR="00F827DC">
        <w:t xml:space="preserve"> were imported</w:t>
      </w:r>
      <w:r w:rsidRPr="00343381">
        <w:t>,</w:t>
      </w:r>
      <w:r w:rsidR="00F827DC">
        <w:t xml:space="preserve"> and </w:t>
      </w:r>
      <w:r w:rsidRPr="00343381">
        <w:t>only 15% of sales were of domestic production</w:t>
      </w:r>
      <w:r w:rsidRPr="00343381">
        <w:rPr>
          <w:rStyle w:val="a8"/>
        </w:rPr>
        <w:footnoteReference w:id="19"/>
      </w:r>
      <w:r w:rsidRPr="00343381">
        <w:t>.</w:t>
      </w:r>
      <w:r w:rsidR="004F4642">
        <w:t xml:space="preserve"> </w:t>
      </w:r>
      <w:r w:rsidRPr="00343381">
        <w:t>In 2013</w:t>
      </w:r>
      <w:r>
        <w:t>,</w:t>
      </w:r>
      <w:r w:rsidRPr="00343381">
        <w:t xml:space="preserve"> the market share of cigarettes from domestic production was only 3%. Philip Morris had the </w:t>
      </w:r>
      <w:r w:rsidR="00F827DC">
        <w:t>larg</w:t>
      </w:r>
      <w:r w:rsidR="00F827DC" w:rsidRPr="00343381">
        <w:t xml:space="preserve">est </w:t>
      </w:r>
      <w:r w:rsidRPr="00343381">
        <w:t>market share (34%), followed by Sarajevo tobacco factory (18%) and tobacco factory Rovinj from Croatia (12%)</w:t>
      </w:r>
      <w:r w:rsidRPr="00343381">
        <w:rPr>
          <w:rStyle w:val="a8"/>
        </w:rPr>
        <w:footnoteReference w:id="20"/>
      </w:r>
      <w:r w:rsidRPr="00343381">
        <w:t>.</w:t>
      </w:r>
    </w:p>
    <w:p w:rsidR="009D397D" w:rsidRDefault="009D397D">
      <w:r w:rsidRPr="00343381">
        <w:t>Data on cigarette turnover (production + import – export) were taken from the FCTC country reports, UN database</w:t>
      </w:r>
      <w:r w:rsidR="00670D2F">
        <w:t>,</w:t>
      </w:r>
      <w:r w:rsidRPr="00343381">
        <w:t xml:space="preserve"> and </w:t>
      </w:r>
      <w:r w:rsidR="001A06E8">
        <w:t xml:space="preserve">official </w:t>
      </w:r>
      <w:r w:rsidRPr="00343381">
        <w:t>sta</w:t>
      </w:r>
      <w:r w:rsidR="001A06E8">
        <w:t>tistical reports</w:t>
      </w:r>
      <w:r w:rsidR="00670D2F">
        <w:t>. Results of analysis are</w:t>
      </w:r>
      <w:r w:rsidR="001A06E8">
        <w:t xml:space="preserve"> presented i</w:t>
      </w:r>
      <w:r w:rsidRPr="00343381">
        <w:t>n</w:t>
      </w:r>
      <w:r w:rsidR="00FF5642">
        <w:t xml:space="preserve"> </w:t>
      </w:r>
      <w:r w:rsidR="008A4F57">
        <w:fldChar w:fldCharType="begin"/>
      </w:r>
      <w:r w:rsidR="00FF5642">
        <w:instrText xml:space="preserve"> REF _Ref12177530 \h </w:instrText>
      </w:r>
      <w:r w:rsidR="008A4F57">
        <w:fldChar w:fldCharType="separate"/>
      </w:r>
      <w:r w:rsidR="00FF5642">
        <w:t xml:space="preserve">Table </w:t>
      </w:r>
      <w:r w:rsidR="00FF5642">
        <w:rPr>
          <w:noProof/>
        </w:rPr>
        <w:t>6</w:t>
      </w:r>
      <w:r w:rsidR="008A4F57">
        <w:fldChar w:fldCharType="end"/>
      </w:r>
      <w:r w:rsidRPr="00343381">
        <w:t xml:space="preserve">. </w:t>
      </w:r>
      <w:r w:rsidR="004F4642">
        <w:t xml:space="preserve">It should be noted that production </w:t>
      </w:r>
      <w:r w:rsidR="00670D2F">
        <w:t xml:space="preserve">data </w:t>
      </w:r>
      <w:r w:rsidR="004F4642">
        <w:t>are presented in million sticks, while export and import in kilograms, so the turnover calculations are not precise.</w:t>
      </w:r>
    </w:p>
    <w:p w:rsidR="004F4642" w:rsidRPr="00343381" w:rsidRDefault="00FF5642">
      <w:pPr>
        <w:pStyle w:val="af"/>
      </w:pPr>
      <w:bookmarkStart w:id="54" w:name="_Ref12177530"/>
      <w:r>
        <w:t xml:space="preserve">Table </w:t>
      </w:r>
      <w:r w:rsidR="008A4F57">
        <w:fldChar w:fldCharType="begin"/>
      </w:r>
      <w:r>
        <w:instrText xml:space="preserve"> SEQ Table \* ARABIC </w:instrText>
      </w:r>
      <w:r w:rsidR="008A4F57">
        <w:fldChar w:fldCharType="separate"/>
      </w:r>
      <w:r>
        <w:rPr>
          <w:noProof/>
        </w:rPr>
        <w:t>6</w:t>
      </w:r>
      <w:r w:rsidR="008A4F57">
        <w:fldChar w:fldCharType="end"/>
      </w:r>
      <w:bookmarkEnd w:id="54"/>
      <w:r w:rsidR="004F4642">
        <w:t>. Cigarette production, import</w:t>
      </w:r>
      <w:r w:rsidR="00670D2F">
        <w:t>,</w:t>
      </w:r>
      <w:r w:rsidR="004F4642">
        <w:t xml:space="preserve"> and export, million cigarettes</w:t>
      </w:r>
    </w:p>
    <w:tbl>
      <w:tblPr>
        <w:tblW w:w="98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663"/>
        <w:gridCol w:w="862"/>
        <w:gridCol w:w="862"/>
        <w:gridCol w:w="862"/>
        <w:gridCol w:w="862"/>
        <w:gridCol w:w="862"/>
        <w:gridCol w:w="862"/>
        <w:gridCol w:w="862"/>
        <w:gridCol w:w="862"/>
        <w:gridCol w:w="862"/>
      </w:tblGrid>
      <w:tr w:rsidR="004F4642" w:rsidRPr="001A06E8" w:rsidTr="004F4642">
        <w:trPr>
          <w:trHeight w:val="300"/>
        </w:trPr>
        <w:tc>
          <w:tcPr>
            <w:tcW w:w="1391" w:type="dxa"/>
          </w:tcPr>
          <w:p w:rsidR="004F4642" w:rsidRPr="001A06E8" w:rsidRDefault="004F4642">
            <w:pPr>
              <w:spacing w:before="0" w:after="0" w:line="240" w:lineRule="auto"/>
              <w:jc w:val="right"/>
              <w:rPr>
                <w:rFonts w:ascii="Calibri" w:eastAsia="Times New Roman" w:hAnsi="Calibri" w:cs="Times New Roman"/>
                <w:color w:val="000000"/>
                <w:lang w:eastAsia="en-US"/>
              </w:rPr>
            </w:pPr>
          </w:p>
        </w:tc>
        <w:tc>
          <w:tcPr>
            <w:tcW w:w="663"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2008</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2009</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2010</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2011</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2012</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2013</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2014</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2015</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2016</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2017</w:t>
            </w:r>
          </w:p>
        </w:tc>
      </w:tr>
      <w:tr w:rsidR="004F4642" w:rsidRPr="001A06E8" w:rsidTr="004F4642">
        <w:trPr>
          <w:trHeight w:val="300"/>
        </w:trPr>
        <w:tc>
          <w:tcPr>
            <w:tcW w:w="1391" w:type="dxa"/>
          </w:tcPr>
          <w:p w:rsidR="004F4642" w:rsidRDefault="004F4642" w:rsidP="00797235">
            <w:pPr>
              <w:spacing w:before="0"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Production</w:t>
            </w:r>
          </w:p>
        </w:tc>
        <w:tc>
          <w:tcPr>
            <w:tcW w:w="663" w:type="dxa"/>
            <w:shd w:val="clear" w:color="auto" w:fill="auto"/>
            <w:noWrap/>
            <w:vAlign w:val="bottom"/>
          </w:tcPr>
          <w:p w:rsidR="004F4642" w:rsidRPr="001A06E8" w:rsidRDefault="004F4642" w:rsidP="00797235">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171</w:t>
            </w:r>
          </w:p>
        </w:tc>
        <w:tc>
          <w:tcPr>
            <w:tcW w:w="862" w:type="dxa"/>
            <w:shd w:val="clear" w:color="auto" w:fill="auto"/>
            <w:noWrap/>
            <w:vAlign w:val="bottom"/>
          </w:tcPr>
          <w:p w:rsidR="004F4642" w:rsidRPr="001A06E8" w:rsidRDefault="004F4642" w:rsidP="00797235">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153</w:t>
            </w:r>
          </w:p>
        </w:tc>
        <w:tc>
          <w:tcPr>
            <w:tcW w:w="862" w:type="dxa"/>
            <w:shd w:val="clear" w:color="auto" w:fill="auto"/>
            <w:noWrap/>
            <w:vAlign w:val="bottom"/>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108</w:t>
            </w:r>
          </w:p>
        </w:tc>
        <w:tc>
          <w:tcPr>
            <w:tcW w:w="862" w:type="dxa"/>
            <w:shd w:val="clear" w:color="auto" w:fill="auto"/>
            <w:noWrap/>
            <w:vAlign w:val="bottom"/>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142</w:t>
            </w:r>
          </w:p>
        </w:tc>
        <w:tc>
          <w:tcPr>
            <w:tcW w:w="862" w:type="dxa"/>
            <w:shd w:val="clear" w:color="auto" w:fill="auto"/>
            <w:noWrap/>
            <w:vAlign w:val="bottom"/>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535</w:t>
            </w:r>
          </w:p>
        </w:tc>
        <w:tc>
          <w:tcPr>
            <w:tcW w:w="862" w:type="dxa"/>
            <w:shd w:val="clear" w:color="auto" w:fill="auto"/>
            <w:noWrap/>
            <w:vAlign w:val="bottom"/>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1186</w:t>
            </w:r>
          </w:p>
        </w:tc>
        <w:tc>
          <w:tcPr>
            <w:tcW w:w="862" w:type="dxa"/>
            <w:shd w:val="clear" w:color="auto" w:fill="auto"/>
            <w:noWrap/>
            <w:vAlign w:val="bottom"/>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1206</w:t>
            </w:r>
          </w:p>
        </w:tc>
        <w:tc>
          <w:tcPr>
            <w:tcW w:w="862" w:type="dxa"/>
            <w:shd w:val="clear" w:color="auto" w:fill="auto"/>
            <w:noWrap/>
            <w:vAlign w:val="bottom"/>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1096</w:t>
            </w:r>
          </w:p>
        </w:tc>
        <w:tc>
          <w:tcPr>
            <w:tcW w:w="862" w:type="dxa"/>
            <w:shd w:val="clear" w:color="auto" w:fill="auto"/>
            <w:noWrap/>
            <w:vAlign w:val="bottom"/>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517</w:t>
            </w:r>
          </w:p>
        </w:tc>
        <w:tc>
          <w:tcPr>
            <w:tcW w:w="862" w:type="dxa"/>
            <w:shd w:val="clear" w:color="auto" w:fill="auto"/>
            <w:noWrap/>
            <w:vAlign w:val="bottom"/>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0</w:t>
            </w:r>
          </w:p>
        </w:tc>
      </w:tr>
      <w:tr w:rsidR="004F4642" w:rsidRPr="001A06E8" w:rsidTr="004F4642">
        <w:trPr>
          <w:trHeight w:val="300"/>
        </w:trPr>
        <w:tc>
          <w:tcPr>
            <w:tcW w:w="1391" w:type="dxa"/>
          </w:tcPr>
          <w:p w:rsidR="004F4642" w:rsidRPr="001A06E8" w:rsidRDefault="004F4642" w:rsidP="00797235">
            <w:pPr>
              <w:spacing w:before="0"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Import</w:t>
            </w:r>
          </w:p>
        </w:tc>
        <w:tc>
          <w:tcPr>
            <w:tcW w:w="663" w:type="dxa"/>
            <w:shd w:val="clear" w:color="auto" w:fill="auto"/>
            <w:noWrap/>
            <w:vAlign w:val="bottom"/>
            <w:hideMark/>
          </w:tcPr>
          <w:p w:rsidR="004F4642" w:rsidRPr="001A06E8" w:rsidRDefault="004F4642" w:rsidP="00797235">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1543</w:t>
            </w:r>
          </w:p>
        </w:tc>
        <w:tc>
          <w:tcPr>
            <w:tcW w:w="862" w:type="dxa"/>
            <w:shd w:val="clear" w:color="auto" w:fill="auto"/>
            <w:noWrap/>
            <w:vAlign w:val="bottom"/>
            <w:hideMark/>
          </w:tcPr>
          <w:p w:rsidR="004F4642" w:rsidRPr="001A06E8" w:rsidRDefault="004F4642" w:rsidP="00797235">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1561</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1643</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1414</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1120</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1105</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936</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920</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938</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936</w:t>
            </w:r>
          </w:p>
        </w:tc>
      </w:tr>
      <w:tr w:rsidR="004F4642" w:rsidRPr="001A06E8" w:rsidTr="004F4642">
        <w:trPr>
          <w:trHeight w:val="300"/>
        </w:trPr>
        <w:tc>
          <w:tcPr>
            <w:tcW w:w="1391" w:type="dxa"/>
          </w:tcPr>
          <w:p w:rsidR="004F4642" w:rsidRPr="001A06E8" w:rsidRDefault="004F4642" w:rsidP="00797235">
            <w:pPr>
              <w:spacing w:before="0"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Export</w:t>
            </w:r>
          </w:p>
        </w:tc>
        <w:tc>
          <w:tcPr>
            <w:tcW w:w="663" w:type="dxa"/>
            <w:shd w:val="clear" w:color="auto" w:fill="auto"/>
            <w:noWrap/>
            <w:vAlign w:val="bottom"/>
            <w:hideMark/>
          </w:tcPr>
          <w:p w:rsidR="004F4642" w:rsidRPr="001A06E8" w:rsidRDefault="004F4642" w:rsidP="00797235">
            <w:pPr>
              <w:spacing w:before="0" w:after="0" w:line="240" w:lineRule="auto"/>
              <w:rPr>
                <w:rFonts w:ascii="Calibri" w:eastAsia="Times New Roman" w:hAnsi="Calibri" w:cs="Times New Roman"/>
                <w:color w:val="000000"/>
                <w:lang w:eastAsia="en-US"/>
              </w:rPr>
            </w:pPr>
          </w:p>
        </w:tc>
        <w:tc>
          <w:tcPr>
            <w:tcW w:w="862" w:type="dxa"/>
            <w:shd w:val="clear" w:color="auto" w:fill="auto"/>
            <w:noWrap/>
            <w:vAlign w:val="bottom"/>
            <w:hideMark/>
          </w:tcPr>
          <w:p w:rsidR="004F4642" w:rsidRPr="001A06E8" w:rsidRDefault="004F4642" w:rsidP="00797235">
            <w:pPr>
              <w:spacing w:before="0" w:after="0" w:line="240" w:lineRule="auto"/>
              <w:rPr>
                <w:rFonts w:ascii="Calibri" w:eastAsia="Times New Roman" w:hAnsi="Calibri" w:cs="Times New Roman"/>
                <w:color w:val="000000"/>
                <w:lang w:eastAsia="en-US"/>
              </w:rPr>
            </w:pP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69</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43</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482</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1172</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1187</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1084</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132</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12</w:t>
            </w:r>
          </w:p>
        </w:tc>
      </w:tr>
      <w:tr w:rsidR="004F4642" w:rsidRPr="001A06E8" w:rsidTr="004F4642">
        <w:trPr>
          <w:trHeight w:val="300"/>
        </w:trPr>
        <w:tc>
          <w:tcPr>
            <w:tcW w:w="1391" w:type="dxa"/>
          </w:tcPr>
          <w:p w:rsidR="004F4642" w:rsidRPr="001A06E8" w:rsidRDefault="004F4642" w:rsidP="00797235">
            <w:pPr>
              <w:spacing w:before="0"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Turnover</w:t>
            </w:r>
          </w:p>
        </w:tc>
        <w:tc>
          <w:tcPr>
            <w:tcW w:w="663" w:type="dxa"/>
            <w:shd w:val="clear" w:color="auto" w:fill="auto"/>
            <w:noWrap/>
            <w:vAlign w:val="bottom"/>
            <w:hideMark/>
          </w:tcPr>
          <w:p w:rsidR="004F4642" w:rsidRPr="001A06E8" w:rsidRDefault="004F4642" w:rsidP="00797235">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1714</w:t>
            </w:r>
          </w:p>
        </w:tc>
        <w:tc>
          <w:tcPr>
            <w:tcW w:w="862" w:type="dxa"/>
            <w:shd w:val="clear" w:color="auto" w:fill="auto"/>
            <w:noWrap/>
            <w:vAlign w:val="bottom"/>
            <w:hideMark/>
          </w:tcPr>
          <w:p w:rsidR="004F4642" w:rsidRPr="001A06E8" w:rsidRDefault="004F4642" w:rsidP="00797235">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1714</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1682</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1513</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1173</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1119</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955</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932</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1323</w:t>
            </w:r>
          </w:p>
        </w:tc>
        <w:tc>
          <w:tcPr>
            <w:tcW w:w="862" w:type="dxa"/>
            <w:shd w:val="clear" w:color="auto" w:fill="auto"/>
            <w:noWrap/>
            <w:vAlign w:val="bottom"/>
            <w:hideMark/>
          </w:tcPr>
          <w:p w:rsidR="004F4642" w:rsidRPr="001A06E8" w:rsidRDefault="004F4642">
            <w:pPr>
              <w:spacing w:before="0" w:after="0" w:line="240" w:lineRule="auto"/>
              <w:jc w:val="right"/>
              <w:rPr>
                <w:rFonts w:ascii="Calibri" w:eastAsia="Times New Roman" w:hAnsi="Calibri" w:cs="Times New Roman"/>
                <w:color w:val="000000"/>
                <w:lang w:eastAsia="en-US"/>
              </w:rPr>
            </w:pPr>
            <w:r w:rsidRPr="001A06E8">
              <w:rPr>
                <w:rFonts w:ascii="Calibri" w:eastAsia="Times New Roman" w:hAnsi="Calibri" w:cs="Times New Roman"/>
                <w:color w:val="000000"/>
                <w:lang w:eastAsia="en-US"/>
              </w:rPr>
              <w:t>924</w:t>
            </w:r>
          </w:p>
        </w:tc>
      </w:tr>
    </w:tbl>
    <w:p w:rsidR="004F4642" w:rsidRDefault="009D397D" w:rsidP="00797235">
      <w:r w:rsidRPr="00343381">
        <w:lastRenderedPageBreak/>
        <w:t>Annual cigarette turnover decreased from about 1.7 billion cigarettes in 2008-2010 to about 1.2 billion cigarettes in 2012-2013</w:t>
      </w:r>
      <w:r w:rsidR="00670D2F">
        <w:t>,</w:t>
      </w:r>
      <w:r w:rsidRPr="00343381">
        <w:t xml:space="preserve"> or by about 30%. </w:t>
      </w:r>
      <w:r w:rsidR="004F4642">
        <w:t>In 2014-2017</w:t>
      </w:r>
      <w:r w:rsidR="00670D2F">
        <w:t>,</w:t>
      </w:r>
      <w:r w:rsidR="004F4642">
        <w:t xml:space="preserve"> the annual turnover was about 1 billion cigarettes. </w:t>
      </w:r>
      <w:r w:rsidR="00670D2F">
        <w:t xml:space="preserve">The observed </w:t>
      </w:r>
      <w:r w:rsidR="004F4642">
        <w:t>sharp increase in turnover in 2016 can be caused some mis</w:t>
      </w:r>
      <w:r w:rsidR="00670D2F">
        <w:t xml:space="preserve">leading </w:t>
      </w:r>
      <w:r w:rsidR="004F4642">
        <w:t xml:space="preserve">statistics, </w:t>
      </w:r>
      <w:r w:rsidR="002762AB">
        <w:t xml:space="preserve">as Bisic </w:t>
      </w:r>
      <w:r w:rsidR="002762AB">
        <w:fldChar w:fldCharType="begin"/>
      </w:r>
      <w:r w:rsidR="002762AB">
        <w:instrText xml:space="preserve"> ADDIN EN.CITE &lt;EndNote&gt;&lt;Cite&gt;&lt;Author&gt;Bisic&lt;/Author&gt;&lt;Year&gt;2018&lt;/Year&gt;&lt;RecNum&gt;5765&lt;/RecNum&gt;&lt;DisplayText&gt;[18]&lt;/DisplayText&gt;&lt;record&gt;&lt;rec-number&gt;5765&lt;/rec-number&gt;&lt;foreign-keys&gt;&lt;key app="EN" db-id="ep9zdt9a8tdpsseaptvpd555505tfr02pr2e" timestamp="1561282405"&gt;5765&lt;/key&gt;&lt;/foreign-keys&gt;&lt;ref-type name="Journal Article"&gt;17&lt;/ref-type&gt;&lt;contributors&gt;&lt;authors&gt;&lt;author&gt;Bisic, Milica&lt;/author&gt;&lt;author&gt;Ranđelović, Saša&lt;/author&gt;&lt;/authors&gt;&lt;/contributors&gt;&lt;titles&gt;&lt;title&gt;Cigarette excise tax policy in the Western Balkans: Trends, effects and challenges&lt;/title&gt;&lt;secondary-title&gt;Ekonomika preduzeca&lt;/secondary-title&gt;&lt;alt-title&gt;Ekonomika preduzeca&lt;/alt-title&gt;&lt;/titles&gt;&lt;periodical&gt;&lt;full-title&gt;Ekonomika preduzeca&lt;/full-title&gt;&lt;abbr-1&gt;Ekonomika preduzeca&lt;/abbr-1&gt;&lt;/periodical&gt;&lt;alt-periodical&gt;&lt;full-title&gt;Ekonomika preduzeca&lt;/full-title&gt;&lt;abbr-1&gt;Ekonomika preduzeca&lt;/abbr-1&gt;&lt;/alt-periodical&gt;&lt;pages&gt;320-332&lt;/pages&gt;&lt;volume&gt;66&lt;/volume&gt;&lt;dates&gt;&lt;year&gt;2018&lt;/year&gt;&lt;/dates&gt;&lt;urls&gt;&lt;/urls&gt;&lt;electronic-resource-num&gt;10.5937/EKOPRE1806320B&lt;/electronic-resource-num&gt;&lt;/record&gt;&lt;/Cite&gt;&lt;/EndNote&gt;</w:instrText>
      </w:r>
      <w:r w:rsidR="002762AB">
        <w:fldChar w:fldCharType="separate"/>
      </w:r>
      <w:r w:rsidR="002762AB">
        <w:rPr>
          <w:noProof/>
        </w:rPr>
        <w:t>[18]</w:t>
      </w:r>
      <w:r w:rsidR="002762AB">
        <w:fldChar w:fldCharType="end"/>
      </w:r>
      <w:r w:rsidR="008A5F55">
        <w:t xml:space="preserve"> presents </w:t>
      </w:r>
      <w:r w:rsidR="00670D2F">
        <w:t xml:space="preserve">the </w:t>
      </w:r>
      <w:r w:rsidR="008A5F55">
        <w:t>curve of sales</w:t>
      </w:r>
      <w:r w:rsidR="00670D2F">
        <w:t>,</w:t>
      </w:r>
      <w:r w:rsidR="008A5F55">
        <w:t xml:space="preserve"> and in 2016</w:t>
      </w:r>
      <w:r w:rsidR="00670D2F">
        <w:t>,</w:t>
      </w:r>
      <w:r w:rsidR="008A5F55">
        <w:t xml:space="preserve"> the sales were also below 1 billion cigarettes. However, </w:t>
      </w:r>
      <w:r w:rsidR="004F4642">
        <w:t>taxable cigarette sales did increase in 2016</w:t>
      </w:r>
      <w:r w:rsidR="004F4642">
        <w:rPr>
          <w:rStyle w:val="a8"/>
        </w:rPr>
        <w:footnoteReference w:id="21"/>
      </w:r>
      <w:r w:rsidR="004F4642">
        <w:t>.</w:t>
      </w:r>
    </w:p>
    <w:p w:rsidR="005122D6" w:rsidRDefault="005122D6" w:rsidP="00797235">
      <w:r>
        <w:t>In 2016</w:t>
      </w:r>
      <w:r w:rsidR="00670D2F">
        <w:t>,</w:t>
      </w:r>
      <w:r>
        <w:t xml:space="preserve"> cigarette production in Montenegro was </w:t>
      </w:r>
      <w:r w:rsidR="00FE5FAA">
        <w:t>terminat</w:t>
      </w:r>
      <w:r>
        <w:t xml:space="preserve">ed. </w:t>
      </w:r>
    </w:p>
    <w:p w:rsidR="005122D6" w:rsidRPr="00343381" w:rsidRDefault="005122D6" w:rsidP="00797235">
      <w:r>
        <w:t>Statistical office of Montenegro published annual and monthly data</w:t>
      </w:r>
      <w:r>
        <w:rPr>
          <w:rStyle w:val="a8"/>
        </w:rPr>
        <w:footnoteReference w:id="22"/>
      </w:r>
      <w:r>
        <w:t xml:space="preserve"> on cigarette and tobacco export and import only in monetary form</w:t>
      </w:r>
      <w:r w:rsidR="00670D2F">
        <w:t xml:space="preserve">; </w:t>
      </w:r>
      <w:r>
        <w:t>however</w:t>
      </w:r>
      <w:r w:rsidR="00670D2F">
        <w:t>,</w:t>
      </w:r>
      <w:r>
        <w:t xml:space="preserve"> these data demonstrate some trends. Some imported cigarettes are re-exported, so we calculated the </w:t>
      </w:r>
      <w:r w:rsidR="00867AF6">
        <w:t>balance</w:t>
      </w:r>
      <w:r>
        <w:t xml:space="preserve"> between export and import as </w:t>
      </w:r>
      <w:r w:rsidR="00D73DD0">
        <w:t xml:space="preserve">a </w:t>
      </w:r>
      <w:r>
        <w:t>proxy for sales in 2017 and 2018, as there w</w:t>
      </w:r>
      <w:r w:rsidR="00867AF6">
        <w:t>as</w:t>
      </w:r>
      <w:r>
        <w:t xml:space="preserve"> no domestic cigarette production </w:t>
      </w:r>
      <w:r w:rsidR="00D73DD0">
        <w:t xml:space="preserve">in these </w:t>
      </w:r>
      <w:r>
        <w:t xml:space="preserve">years. </w:t>
      </w:r>
      <w:r w:rsidR="00867AF6">
        <w:t>In the first half of 2017</w:t>
      </w:r>
      <w:r w:rsidR="00D73DD0">
        <w:t>,</w:t>
      </w:r>
      <w:r w:rsidR="00867AF6">
        <w:t xml:space="preserve"> the net</w:t>
      </w:r>
      <w:r>
        <w:t xml:space="preserve"> </w:t>
      </w:r>
      <w:r w:rsidR="00867AF6">
        <w:t>balance was 6.6 million euro, but in the second half of 2017</w:t>
      </w:r>
      <w:r w:rsidR="00D73DD0">
        <w:t>,</w:t>
      </w:r>
      <w:r w:rsidR="00867AF6">
        <w:t xml:space="preserve"> it increased by 25% to 8.3 million euro. In the first half of 2018</w:t>
      </w:r>
      <w:r w:rsidR="00D73DD0">
        <w:t>,</w:t>
      </w:r>
      <w:r w:rsidR="00867AF6">
        <w:t xml:space="preserve"> the balance sharply declined to 2.6 million euro, but in the second of 2018</w:t>
      </w:r>
      <w:r w:rsidR="00D73DD0">
        <w:t>,</w:t>
      </w:r>
      <w:r w:rsidR="00867AF6">
        <w:t xml:space="preserve"> it returned to the level of </w:t>
      </w:r>
      <w:r w:rsidR="00D73DD0">
        <w:t xml:space="preserve">the </w:t>
      </w:r>
      <w:r w:rsidR="00867AF6">
        <w:t>previous year – 8.3 million euro. In January-April 2019</w:t>
      </w:r>
      <w:r w:rsidR="00D73DD0">
        <w:t>,</w:t>
      </w:r>
      <w:r w:rsidR="00867AF6">
        <w:t xml:space="preserve"> the net balance was </w:t>
      </w:r>
      <w:r w:rsidR="000B2987">
        <w:t>2.5 billion euro, which was 1.4 million euro (132%) more t</w:t>
      </w:r>
      <w:r w:rsidR="008A5F55">
        <w:t>han in the same period of 2018.</w:t>
      </w:r>
    </w:p>
    <w:p w:rsidR="009D397D" w:rsidRPr="00343381" w:rsidRDefault="009D397D" w:rsidP="002762AB">
      <w:pPr>
        <w:pStyle w:val="2"/>
      </w:pPr>
      <w:bookmarkStart w:id="55" w:name="_Toc482360300"/>
      <w:bookmarkStart w:id="56" w:name="_Toc12207129"/>
      <w:r w:rsidRPr="00343381">
        <w:t>Tobacco excise revenue</w:t>
      </w:r>
      <w:bookmarkEnd w:id="55"/>
      <w:bookmarkEnd w:id="56"/>
    </w:p>
    <w:p w:rsidR="009D397D" w:rsidRDefault="00650C24">
      <w:r>
        <w:t>R</w:t>
      </w:r>
      <w:r w:rsidR="009D397D" w:rsidRPr="00343381">
        <w:t>evenues from excise taxes on tobacco products rose from about 4 million in</w:t>
      </w:r>
      <w:r>
        <w:t xml:space="preserve"> 2007 to 44 million euro in 2011</w:t>
      </w:r>
      <w:r w:rsidR="008A5F55">
        <w:t xml:space="preserve"> </w:t>
      </w:r>
      <w:r w:rsidR="008A4F57">
        <w:fldChar w:fldCharType="begin"/>
      </w:r>
      <w:r w:rsidR="00D73DD0">
        <w:instrText xml:space="preserve"> ADDIN EN.CITE &lt;EndNote&gt;&lt;Cite&gt;&lt;Author&gt;Bisic&lt;/Author&gt;&lt;Year&gt;2018&lt;/Year&gt;&lt;RecNum&gt;5765&lt;/RecNum&gt;&lt;DisplayText&gt;[18]&lt;/DisplayText&gt;&lt;record&gt;&lt;rec-number&gt;5765&lt;/rec-number&gt;&lt;foreign-keys&gt;&lt;key app="EN" db-id="ep9zdt9a8tdpsseaptvpd555505tfr02pr2e" timestamp="1561282405"&gt;5765&lt;/key&gt;&lt;/foreign-keys&gt;&lt;ref-type name="Journal Article"&gt;17&lt;/ref-type&gt;&lt;contributors&gt;&lt;authors&gt;&lt;author&gt;Bisic, Milica&lt;/author&gt;&lt;author&gt;Ranđelović, Saša&lt;/author&gt;&lt;/authors&gt;&lt;/contributors&gt;&lt;titles&gt;&lt;title&gt;Cigarette excise tax policy in the Western Balkans: Trends, effects and challenges&lt;/title&gt;&lt;secondary-title&gt;Ekonomika preduzeca&lt;/secondary-title&gt;&lt;alt-title&gt;Ekonomika preduzeca&lt;/alt-title&gt;&lt;/titles&gt;&lt;periodical&gt;&lt;full-title&gt;Ekonomika preduzeca&lt;/full-title&gt;&lt;abbr-1&gt;Ekonomika preduzeca&lt;/abbr-1&gt;&lt;/periodical&gt;&lt;alt-periodical&gt;&lt;full-title&gt;Ekonomika preduzeca&lt;/full-title&gt;&lt;abbr-1&gt;Ekonomika preduzeca&lt;/abbr-1&gt;&lt;/alt-periodical&gt;&lt;pages&gt;320-332&lt;/pages&gt;&lt;volume&gt;66&lt;/volume&gt;&lt;dates&gt;&lt;year&gt;2018&lt;/year&gt;&lt;/dates&gt;&lt;urls&gt;&lt;/urls&gt;&lt;electronic-resource-num&gt;10.5937/EKOPRE1806320B&lt;/electronic-resource-num&gt;&lt;/record&gt;&lt;/Cite&gt;&lt;/EndNote&gt;</w:instrText>
      </w:r>
      <w:r w:rsidR="008A4F57">
        <w:fldChar w:fldCharType="separate"/>
      </w:r>
      <w:r w:rsidR="00D73DD0">
        <w:rPr>
          <w:noProof/>
        </w:rPr>
        <w:t>[18]</w:t>
      </w:r>
      <w:r w:rsidR="008A4F57">
        <w:fldChar w:fldCharType="end"/>
      </w:r>
      <w:r>
        <w:t xml:space="preserve">. </w:t>
      </w:r>
      <w:r w:rsidR="00456FD9">
        <w:t xml:space="preserve">Over these </w:t>
      </w:r>
      <w:r w:rsidR="007F6BC9" w:rsidRPr="00343381">
        <w:t>years</w:t>
      </w:r>
      <w:r w:rsidR="00456FD9">
        <w:t>,</w:t>
      </w:r>
      <w:r w:rsidR="007F6BC9" w:rsidRPr="00343381">
        <w:t xml:space="preserve"> tobacco excise rates were substantially increased</w:t>
      </w:r>
      <w:r w:rsidR="007F6BC9">
        <w:t xml:space="preserve"> (</w:t>
      </w:r>
      <w:r w:rsidR="008A4F57">
        <w:fldChar w:fldCharType="begin"/>
      </w:r>
      <w:r w:rsidR="00FF5642">
        <w:instrText xml:space="preserve"> REF _Ref482282343 \h </w:instrText>
      </w:r>
      <w:r w:rsidR="008A4F57">
        <w:fldChar w:fldCharType="separate"/>
      </w:r>
      <w:r w:rsidR="00FF5642">
        <w:t xml:space="preserve">Table </w:t>
      </w:r>
      <w:r w:rsidR="00FF5642">
        <w:rPr>
          <w:noProof/>
        </w:rPr>
        <w:t>2</w:t>
      </w:r>
      <w:r w:rsidR="008A4F57">
        <w:fldChar w:fldCharType="end"/>
      </w:r>
      <w:r w:rsidR="007F6BC9">
        <w:t>).</w:t>
      </w:r>
    </w:p>
    <w:p w:rsidR="00650C24" w:rsidRPr="00343381" w:rsidRDefault="00650C24">
      <w:r>
        <w:t>Then</w:t>
      </w:r>
      <w:r w:rsidR="00456FD9">
        <w:t>,</w:t>
      </w:r>
      <w:r>
        <w:t xml:space="preserve"> in 2012-2015</w:t>
      </w:r>
      <w:r w:rsidR="00456FD9">
        <w:t>,</w:t>
      </w:r>
      <w:r>
        <w:t xml:space="preserve"> excise revenue</w:t>
      </w:r>
      <w:r w:rsidR="00456FD9">
        <w:t>s</w:t>
      </w:r>
      <w:r>
        <w:t xml:space="preserve"> were in the range </w:t>
      </w:r>
      <w:r w:rsidR="00456FD9">
        <w:t xml:space="preserve">of </w:t>
      </w:r>
      <w:r>
        <w:t xml:space="preserve">42-48 million </w:t>
      </w:r>
      <w:r w:rsidR="00456FD9">
        <w:t>euro</w:t>
      </w:r>
      <w:r>
        <w:t xml:space="preserve"> as </w:t>
      </w:r>
      <w:r w:rsidR="00456FD9">
        <w:t xml:space="preserve">the increase in </w:t>
      </w:r>
      <w:r>
        <w:t>excise rate was rather small</w:t>
      </w:r>
      <w:r w:rsidR="00456FD9">
        <w:t>,</w:t>
      </w:r>
      <w:r>
        <w:t xml:space="preserve"> and sales gradually declined.</w:t>
      </w:r>
    </w:p>
    <w:p w:rsidR="009D397D" w:rsidRDefault="009D397D">
      <w:r w:rsidRPr="00343381">
        <w:t>According to the monthly customs reports</w:t>
      </w:r>
      <w:r>
        <w:t>,</w:t>
      </w:r>
      <w:r w:rsidRPr="00343381">
        <w:t xml:space="preserve"> excise revenue from imported tobacco was 50 million euro</w:t>
      </w:r>
      <w:r w:rsidRPr="00E91C02">
        <w:t xml:space="preserve"> </w:t>
      </w:r>
      <w:r w:rsidRPr="00343381">
        <w:t>in 2016. In 2017</w:t>
      </w:r>
      <w:r w:rsidR="00456FD9">
        <w:t>,</w:t>
      </w:r>
      <w:r w:rsidR="007F6BC9">
        <w:t xml:space="preserve"> the</w:t>
      </w:r>
      <w:r w:rsidRPr="00343381">
        <w:t xml:space="preserve"> revenue was </w:t>
      </w:r>
      <w:r w:rsidR="007F6BC9">
        <w:t xml:space="preserve">57.3 million euro or </w:t>
      </w:r>
      <w:r w:rsidRPr="00343381">
        <w:t>1</w:t>
      </w:r>
      <w:r w:rsidR="007F6BC9">
        <w:t>4</w:t>
      </w:r>
      <w:r w:rsidRPr="00343381">
        <w:t>% higher than in 2016.</w:t>
      </w:r>
      <w:r w:rsidR="007F6BC9">
        <w:t xml:space="preserve"> However, in 2018</w:t>
      </w:r>
      <w:r w:rsidR="00456FD9">
        <w:t>,</w:t>
      </w:r>
      <w:r w:rsidR="007F6BC9">
        <w:t xml:space="preserve"> the excise revenue decreased to 40.63 million euro.</w:t>
      </w:r>
    </w:p>
    <w:p w:rsidR="001332BE" w:rsidRDefault="001332BE">
      <w:r>
        <w:t xml:space="preserve">The customs service issues monthly bulletin </w:t>
      </w:r>
      <w:r w:rsidR="00456FD9">
        <w:t xml:space="preserve">containing </w:t>
      </w:r>
      <w:r>
        <w:t>information on tobacco excise revenue</w:t>
      </w:r>
      <w:r>
        <w:rPr>
          <w:rStyle w:val="a8"/>
        </w:rPr>
        <w:footnoteReference w:id="23"/>
      </w:r>
      <w:r>
        <w:t xml:space="preserve">. We used these data to </w:t>
      </w:r>
      <w:r w:rsidR="00456FD9">
        <w:t xml:space="preserve">explore the revenue </w:t>
      </w:r>
      <w:r>
        <w:t>trends</w:t>
      </w:r>
      <w:r w:rsidR="00F5768A">
        <w:t xml:space="preserve"> in 2016-2019</w:t>
      </w:r>
      <w:r>
        <w:t>.</w:t>
      </w:r>
    </w:p>
    <w:p w:rsidR="001332BE" w:rsidRDefault="00FF5642">
      <w:pPr>
        <w:pStyle w:val="af"/>
      </w:pPr>
      <w:bookmarkStart w:id="57" w:name="_Ref12177826"/>
      <w:r>
        <w:lastRenderedPageBreak/>
        <w:t xml:space="preserve">Figure </w:t>
      </w:r>
      <w:r w:rsidR="008A4F57">
        <w:fldChar w:fldCharType="begin"/>
      </w:r>
      <w:r>
        <w:instrText xml:space="preserve"> SEQ Figure \* ARABIC </w:instrText>
      </w:r>
      <w:r w:rsidR="008A4F57">
        <w:fldChar w:fldCharType="separate"/>
      </w:r>
      <w:r>
        <w:rPr>
          <w:noProof/>
        </w:rPr>
        <w:t>2</w:t>
      </w:r>
      <w:r w:rsidR="008A4F57">
        <w:fldChar w:fldCharType="end"/>
      </w:r>
      <w:bookmarkEnd w:id="57"/>
      <w:r w:rsidR="001332BE">
        <w:t>. Tobacco excise revenue in Montenegro in 2016-2019</w:t>
      </w:r>
    </w:p>
    <w:p w:rsidR="001332BE" w:rsidRPr="00343381" w:rsidRDefault="001332BE">
      <w:r>
        <w:rPr>
          <w:noProof/>
          <w:lang w:eastAsia="en-US"/>
        </w:rPr>
        <w:drawing>
          <wp:inline distT="0" distB="0" distL="0" distR="0">
            <wp:extent cx="6153150" cy="33432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6BC9" w:rsidRDefault="007D0F29">
      <w:r>
        <w:t>From May 2016 to April 2017</w:t>
      </w:r>
      <w:r w:rsidR="00456FD9">
        <w:t>,</w:t>
      </w:r>
      <w:r>
        <w:t xml:space="preserve"> the excise rate </w:t>
      </w:r>
      <w:r w:rsidR="00456FD9">
        <w:t xml:space="preserve">did </w:t>
      </w:r>
      <w:r>
        <w:t>not change (</w:t>
      </w:r>
      <w:r w:rsidR="008A4F57">
        <w:fldChar w:fldCharType="begin"/>
      </w:r>
      <w:r w:rsidR="00FF5642">
        <w:instrText xml:space="preserve"> REF _Ref482282343 \h </w:instrText>
      </w:r>
      <w:r w:rsidR="008A4F57">
        <w:fldChar w:fldCharType="separate"/>
      </w:r>
      <w:r w:rsidR="00FF5642">
        <w:t xml:space="preserve">Table </w:t>
      </w:r>
      <w:r w:rsidR="00FF5642">
        <w:rPr>
          <w:noProof/>
        </w:rPr>
        <w:t>2</w:t>
      </w:r>
      <w:r w:rsidR="008A4F57">
        <w:fldChar w:fldCharType="end"/>
      </w:r>
      <w:r>
        <w:t>)</w:t>
      </w:r>
      <w:r w:rsidR="009D397D" w:rsidRPr="00343381">
        <w:t xml:space="preserve">. </w:t>
      </w:r>
      <w:r w:rsidR="00456FD9">
        <w:t xml:space="preserve">However, </w:t>
      </w:r>
      <w:r>
        <w:t>during that period</w:t>
      </w:r>
      <w:r w:rsidR="00456FD9">
        <w:t>, the</w:t>
      </w:r>
      <w:r>
        <w:t xml:space="preserve"> revenue gradually declined</w:t>
      </w:r>
      <w:r w:rsidR="00456FD9">
        <w:t>,</w:t>
      </w:r>
      <w:r>
        <w:t xml:space="preserve"> and it means that sales also declined. The highest revenue was observed in September-December 2017.</w:t>
      </w:r>
      <w:r w:rsidR="003C098A">
        <w:t xml:space="preserve"> </w:t>
      </w:r>
    </w:p>
    <w:p w:rsidR="000D16A7" w:rsidRDefault="007D0F29" w:rsidP="003C11CB">
      <w:pPr>
        <w:pStyle w:val="2"/>
      </w:pPr>
      <w:bookmarkStart w:id="58" w:name="_Toc12207130"/>
      <w:r>
        <w:t>Discussion</w:t>
      </w:r>
      <w:bookmarkEnd w:id="58"/>
    </w:p>
    <w:p w:rsidR="00C1689B" w:rsidRDefault="00C1689B" w:rsidP="00C1689B">
      <w:pPr>
        <w:pStyle w:val="3"/>
      </w:pPr>
      <w:bookmarkStart w:id="59" w:name="_Toc12207131"/>
      <w:r>
        <w:t>Causes of tobacco revenue decline in 2018</w:t>
      </w:r>
      <w:bookmarkEnd w:id="59"/>
    </w:p>
    <w:p w:rsidR="00DF2F84" w:rsidRDefault="007D0F29" w:rsidP="00896C99">
      <w:r>
        <w:t>Tobacco taxation policy in Montenegro experienced dramatic changes in 2017-2018. After the sharp excise increases in August 2017 and January 2018, the excise rates were substantially decreased in September 2018.</w:t>
      </w:r>
      <w:r w:rsidR="00F5768A">
        <w:t xml:space="preserve"> </w:t>
      </w:r>
      <w:r w:rsidR="00DF2F84">
        <w:t>Japan Tobacco International claimed that losses in excise revenue in Montenegro “</w:t>
      </w:r>
      <w:r w:rsidR="00DF2F84" w:rsidRPr="00CC7E88">
        <w:rPr>
          <w:i/>
        </w:rPr>
        <w:t>were caused by an aggressive increase in excise and the growth of illegal trade. In order to stop the growth of the black market, it is necessary to revise the excise calendar</w:t>
      </w:r>
      <w:r w:rsidR="00DF2F84">
        <w:t>”</w:t>
      </w:r>
      <w:r w:rsidR="00DF2F84">
        <w:rPr>
          <w:rStyle w:val="a8"/>
        </w:rPr>
        <w:footnoteReference w:id="24"/>
      </w:r>
      <w:r w:rsidR="00DF2F84">
        <w:t xml:space="preserve">. </w:t>
      </w:r>
      <w:r w:rsidR="00894C27" w:rsidRPr="00894C27">
        <w:t xml:space="preserve">Prime Minister Dusko Markovic announced in April </w:t>
      </w:r>
      <w:r w:rsidR="00894C27">
        <w:t>2018</w:t>
      </w:r>
      <w:r w:rsidR="00894C27">
        <w:rPr>
          <w:rStyle w:val="a8"/>
        </w:rPr>
        <w:footnoteReference w:id="25"/>
      </w:r>
      <w:r w:rsidR="00894C27">
        <w:t xml:space="preserve"> </w:t>
      </w:r>
      <w:r w:rsidR="00894C27" w:rsidRPr="00894C27">
        <w:t>that the government w</w:t>
      </w:r>
      <w:r w:rsidR="00896C99">
        <w:t>ould</w:t>
      </w:r>
      <w:r w:rsidR="00894C27" w:rsidRPr="00894C27">
        <w:t xml:space="preserve"> conduct a detailed analysis of what is happening in the tobacco market and what </w:t>
      </w:r>
      <w:r w:rsidR="00896C99" w:rsidRPr="00894C27">
        <w:t>w</w:t>
      </w:r>
      <w:r w:rsidR="00896C99">
        <w:t>ould</w:t>
      </w:r>
      <w:r w:rsidR="00896C99" w:rsidRPr="00894C27">
        <w:t xml:space="preserve"> </w:t>
      </w:r>
      <w:r w:rsidR="00894C27" w:rsidRPr="00894C27">
        <w:t xml:space="preserve">be its </w:t>
      </w:r>
      <w:r w:rsidR="00896C99">
        <w:t xml:space="preserve">best </w:t>
      </w:r>
      <w:r w:rsidR="00894C27" w:rsidRPr="00894C27">
        <w:t xml:space="preserve">response to the smuggling of tobacco products, which </w:t>
      </w:r>
      <w:r w:rsidR="00896C99">
        <w:t>wa</w:t>
      </w:r>
      <w:r w:rsidR="00896C99" w:rsidRPr="00894C27">
        <w:t xml:space="preserve">s </w:t>
      </w:r>
      <w:r w:rsidR="00894C27" w:rsidRPr="00894C27">
        <w:t>compounded after an increase in excise taxes on tobacco products.</w:t>
      </w:r>
      <w:r w:rsidR="00DF2F84" w:rsidRPr="00DF2F84">
        <w:t xml:space="preserve"> </w:t>
      </w:r>
    </w:p>
    <w:p w:rsidR="007D0F29" w:rsidRDefault="00DF2F84" w:rsidP="00DE3A5D">
      <w:r>
        <w:t xml:space="preserve">The Government decided to reduce the excise tax rate as they were persuaded that the revenues had indeed declined due to smuggling growth after the tax increases </w:t>
      </w:r>
      <w:r w:rsidR="008A4F57">
        <w:fldChar w:fldCharType="begin"/>
      </w:r>
      <w:r>
        <w:instrText xml:space="preserve"> ADDIN EN.CITE &lt;EndNote&gt;&lt;Cite&gt;&lt;Author&gt;Mugoša&lt;/Author&gt;&lt;Year&gt;2018&lt;/Year&gt;&lt;RecNum&gt;5766&lt;/RecNum&gt;&lt;DisplayText&gt;[19]&lt;/DisplayText&gt;&lt;record&gt;&lt;rec-number&gt;5766&lt;/rec-number&gt;&lt;foreign-keys&gt;&lt;key app="EN" db-id="ep9zdt9a8tdpsseaptvpd555505tfr02pr2e" timestamp="1561283407"&gt;5766&lt;/key&gt;&lt;/foreign-keys&gt;&lt;ref-type name="Web Page"&gt;12&lt;/ref-type&gt;&lt;contributors&gt;&lt;authors&gt;&lt;author&gt;Mugoša, Ana &lt;/author&gt;&lt;author&gt;&lt;style face="normal" font="default" size="100%"&gt;Popovi&lt;/style&gt;&lt;style face="normal" font="default" charset="238" size="100%"&gt;ć,&lt;/style&gt;&lt;style face="normal" font="default" size="100%"&gt; Milenko&lt;/style&gt;&lt;style face="normal" font="default" charset="238" size="100%"&gt; &lt;/style&gt;&lt;/author&gt;&lt;author&gt;&lt;style face="normal" font="default" charset="238" size="100%"&gt;Laković, Tanja&lt;/style&gt;&lt;/author&gt;&lt;author&gt;&lt;style face="normal" font="default" charset="238" size="100%"&gt;Čizmović,&lt;/style&gt;&lt;style face="normal" font="default" size="100%"&gt; &lt;/style&gt;&lt;style face="normal" font="default" charset="238" size="100%"&gt;Mirjana&lt;/style&gt;&lt;/author&gt;&lt;/authors&gt;&lt;/contributors&gt;&lt;titles&gt;&lt;title&gt;Accelerating progress on effective tobacco tax policies in Montenegro&lt;/title&gt;&lt;secondary-title&gt;Tobaccotaxation Policy brief &lt;/secondary-title&gt;&lt;/titles&gt;&lt;dates&gt;&lt;year&gt;2018&lt;/year&gt;&lt;/dates&gt;&lt;urls&gt;&lt;related-urls&gt;&lt;url&gt;http://tobaccotaxation.org/wp-content/uploads/2018/12/Policy-Brief-Montenegro.pdf&lt;/url&gt;&lt;/related-urls&gt;&lt;/urls&gt;&lt;/record&gt;&lt;/Cite&gt;&lt;/EndNote&gt;</w:instrText>
      </w:r>
      <w:r w:rsidR="008A4F57">
        <w:fldChar w:fldCharType="separate"/>
      </w:r>
      <w:r>
        <w:rPr>
          <w:noProof/>
        </w:rPr>
        <w:t>[19]</w:t>
      </w:r>
      <w:r w:rsidR="008A4F57">
        <w:fldChar w:fldCharType="end"/>
      </w:r>
      <w:r>
        <w:t>.</w:t>
      </w:r>
    </w:p>
    <w:p w:rsidR="00F177EF" w:rsidRDefault="007D0F29" w:rsidP="00DE3A5D">
      <w:r>
        <w:lastRenderedPageBreak/>
        <w:t xml:space="preserve">However, the decline </w:t>
      </w:r>
      <w:r w:rsidR="00DE3A5D">
        <w:t xml:space="preserve">in </w:t>
      </w:r>
      <w:r>
        <w:t>revenue in early 2018 was not caused by hig</w:t>
      </w:r>
      <w:r w:rsidR="00894C27">
        <w:t>h</w:t>
      </w:r>
      <w:r>
        <w:t xml:space="preserve"> </w:t>
      </w:r>
      <w:r w:rsidR="00894C27">
        <w:t xml:space="preserve">smuggling </w:t>
      </w:r>
      <w:r>
        <w:t xml:space="preserve">rates. </w:t>
      </w:r>
      <w:r w:rsidR="00DE3A5D">
        <w:t xml:space="preserve">This </w:t>
      </w:r>
      <w:r>
        <w:t xml:space="preserve">revenue decline was </w:t>
      </w:r>
      <w:r w:rsidR="00DE3A5D">
        <w:t xml:space="preserve">in fact </w:t>
      </w:r>
      <w:r>
        <w:t>a tobacco industry response to the tax hike</w:t>
      </w:r>
      <w:r w:rsidR="00894C27">
        <w:t>s adopted in</w:t>
      </w:r>
      <w:r>
        <w:t xml:space="preserve"> </w:t>
      </w:r>
      <w:r w:rsidR="00894C27">
        <w:t>July</w:t>
      </w:r>
      <w:r>
        <w:t xml:space="preserve"> 201</w:t>
      </w:r>
      <w:r w:rsidR="00F177EF">
        <w:t>7</w:t>
      </w:r>
      <w:r w:rsidR="00DE3A5D">
        <w:t>,</w:t>
      </w:r>
      <w:r w:rsidR="00F177EF">
        <w:t xml:space="preserve"> and the industry developed and implemented </w:t>
      </w:r>
      <w:r w:rsidR="00DE3A5D">
        <w:t xml:space="preserve">the </w:t>
      </w:r>
      <w:r w:rsidR="00F177EF">
        <w:t xml:space="preserve">plan which eventually persuaded </w:t>
      </w:r>
      <w:r w:rsidR="00DE3A5D">
        <w:t xml:space="preserve">the </w:t>
      </w:r>
      <w:r w:rsidR="00F177EF">
        <w:t>government to reduce the excise rate.</w:t>
      </w:r>
    </w:p>
    <w:p w:rsidR="003C11CB" w:rsidRDefault="00F177EF" w:rsidP="00502EF5">
      <w:r>
        <w:t xml:space="preserve">The plan had the </w:t>
      </w:r>
      <w:r w:rsidR="003C11CB">
        <w:t>following components:</w:t>
      </w:r>
    </w:p>
    <w:p w:rsidR="003F6AD4" w:rsidRDefault="00185FB6" w:rsidP="00390FE6">
      <w:pPr>
        <w:pStyle w:val="af5"/>
        <w:numPr>
          <w:ilvl w:val="0"/>
          <w:numId w:val="2"/>
        </w:numPr>
      </w:pPr>
      <w:r w:rsidRPr="00650C24">
        <w:rPr>
          <w:b/>
        </w:rPr>
        <w:t>Cigarette smuggling over</w:t>
      </w:r>
      <w:r w:rsidRPr="00F5768A">
        <w:rPr>
          <w:b/>
          <w:bCs/>
        </w:rPr>
        <w:t>-estimating</w:t>
      </w:r>
      <w:r>
        <w:t xml:space="preserve">. </w:t>
      </w:r>
      <w:r w:rsidR="00DA19E2">
        <w:t xml:space="preserve">In </w:t>
      </w:r>
      <w:r>
        <w:t>July 2017</w:t>
      </w:r>
      <w:r w:rsidR="00DA19E2">
        <w:t>,</w:t>
      </w:r>
      <w:r>
        <w:t xml:space="preserve"> when the new excise rates were adopted</w:t>
      </w:r>
      <w:r w:rsidR="00DA19E2">
        <w:t>, the</w:t>
      </w:r>
      <w:r>
        <w:t xml:space="preserve"> </w:t>
      </w:r>
      <w:r w:rsidRPr="00185FB6">
        <w:t xml:space="preserve">Director of the </w:t>
      </w:r>
      <w:r>
        <w:t xml:space="preserve">government </w:t>
      </w:r>
      <w:r w:rsidRPr="00185FB6">
        <w:t xml:space="preserve">Tobacco </w:t>
      </w:r>
      <w:r w:rsidR="006D69C3">
        <w:t xml:space="preserve">Tax </w:t>
      </w:r>
      <w:r w:rsidRPr="00185FB6">
        <w:t>Agency Branislava Bozovic</w:t>
      </w:r>
      <w:r>
        <w:t xml:space="preserve"> said: </w:t>
      </w:r>
      <w:r w:rsidR="00DA19E2">
        <w:t>"</w:t>
      </w:r>
      <w:r w:rsidRPr="00650C24">
        <w:rPr>
          <w:i/>
        </w:rPr>
        <w:t>Guided by previous experience, when cigarettes excise increases, the black market intensifies its activity. The announced increase in cigarette prices in legal sales can encourage cigarette smugglers to activate this type of sale at the start</w:t>
      </w:r>
      <w:r>
        <w:rPr>
          <w:rStyle w:val="a8"/>
        </w:rPr>
        <w:footnoteReference w:id="26"/>
      </w:r>
      <w:r>
        <w:t xml:space="preserve">". </w:t>
      </w:r>
      <w:r w:rsidR="00FB5D85">
        <w:t xml:space="preserve">However, </w:t>
      </w:r>
      <w:r w:rsidR="00554C17">
        <w:t xml:space="preserve">the </w:t>
      </w:r>
      <w:r w:rsidR="00DF2F84">
        <w:t>“</w:t>
      </w:r>
      <w:r w:rsidR="00FB5D85">
        <w:t>smugglers</w:t>
      </w:r>
      <w:r w:rsidR="00DF2F84">
        <w:t>”</w:t>
      </w:r>
      <w:r w:rsidR="00FB5D85">
        <w:t xml:space="preserve"> waited till January </w:t>
      </w:r>
      <w:r w:rsidR="00DF2F84">
        <w:t xml:space="preserve">2018 </w:t>
      </w:r>
      <w:r w:rsidR="00FB5D85">
        <w:t>as</w:t>
      </w:r>
      <w:r w:rsidR="001D4F7D">
        <w:t xml:space="preserve"> no decline in sales was seen before that</w:t>
      </w:r>
      <w:r w:rsidR="00CD7E38">
        <w:t xml:space="preserve">, </w:t>
      </w:r>
      <w:r w:rsidR="00554C17">
        <w:t xml:space="preserve">although </w:t>
      </w:r>
      <w:r w:rsidR="00CD7E38">
        <w:t>the excise rate was first increased in August 2017</w:t>
      </w:r>
      <w:r w:rsidR="001D4F7D">
        <w:t>.</w:t>
      </w:r>
      <w:r w:rsidR="00FB5D85">
        <w:t xml:space="preserve"> </w:t>
      </w:r>
      <w:r w:rsidR="00554C17">
        <w:t xml:space="preserve">In the second half of 2017, cigarette </w:t>
      </w:r>
      <w:r w:rsidR="00FB5D85">
        <w:t xml:space="preserve">import </w:t>
      </w:r>
      <w:r w:rsidR="00CD7E38">
        <w:t>was 32% higher than in the first half</w:t>
      </w:r>
      <w:r w:rsidR="00FB5D85">
        <w:t>. Only from January 2018</w:t>
      </w:r>
      <w:r w:rsidR="001D4F7D">
        <w:t>,</w:t>
      </w:r>
      <w:r w:rsidR="00FB5D85">
        <w:t xml:space="preserve"> </w:t>
      </w:r>
      <w:r w:rsidR="00554C17">
        <w:t xml:space="preserve">the </w:t>
      </w:r>
      <w:r w:rsidR="001D4F7D">
        <w:t>"</w:t>
      </w:r>
      <w:r w:rsidR="00FB5D85">
        <w:t>smugglers</w:t>
      </w:r>
      <w:r w:rsidR="001D4F7D">
        <w:t>"</w:t>
      </w:r>
      <w:r w:rsidR="00FB5D85">
        <w:t xml:space="preserve"> eventually understood that price difference </w:t>
      </w:r>
      <w:r w:rsidR="00DF2F84">
        <w:t>between licit and illicit cigarettes became</w:t>
      </w:r>
      <w:r w:rsidR="00FB5D85">
        <w:t xml:space="preserve"> high enough and </w:t>
      </w:r>
      <w:r w:rsidR="001D4F7D">
        <w:t xml:space="preserve">assumingly </w:t>
      </w:r>
      <w:r w:rsidR="00FB5D85">
        <w:t xml:space="preserve">increased </w:t>
      </w:r>
      <w:r w:rsidR="001D4F7D">
        <w:t xml:space="preserve">the </w:t>
      </w:r>
      <w:r w:rsidR="00FB5D85">
        <w:t>illegal supply</w:t>
      </w:r>
      <w:r w:rsidR="001D4F7D">
        <w:t>;</w:t>
      </w:r>
      <w:r w:rsidR="00FB5D85">
        <w:t xml:space="preserve"> so</w:t>
      </w:r>
      <w:r w:rsidR="001D4F7D">
        <w:t>,</w:t>
      </w:r>
      <w:r w:rsidR="00FB5D85">
        <w:t xml:space="preserve"> the legal importers had to decrease their sales. However, in September 2018</w:t>
      </w:r>
      <w:r w:rsidR="001D4F7D">
        <w:t>,</w:t>
      </w:r>
      <w:r w:rsidR="00FB5D85">
        <w:t xml:space="preserve"> the excise rate was decreased</w:t>
      </w:r>
      <w:r w:rsidR="001D4F7D">
        <w:t>,</w:t>
      </w:r>
      <w:r w:rsidR="00FB5D85">
        <w:t xml:space="preserve"> and </w:t>
      </w:r>
      <w:r w:rsidR="001D4F7D">
        <w:t xml:space="preserve">most of the assumed </w:t>
      </w:r>
      <w:r w:rsidR="00FB5D85">
        <w:t xml:space="preserve">smugglers </w:t>
      </w:r>
      <w:r w:rsidR="00DF2F84">
        <w:t xml:space="preserve">apparently </w:t>
      </w:r>
      <w:r w:rsidR="00FB5D85">
        <w:t>stopped their activities</w:t>
      </w:r>
      <w:r w:rsidR="00DF2F84">
        <w:t xml:space="preserve"> as</w:t>
      </w:r>
      <w:r w:rsidR="001D4F7D">
        <w:t xml:space="preserve"> </w:t>
      </w:r>
      <w:r w:rsidR="00FB5D85">
        <w:t>in the second half of 2018</w:t>
      </w:r>
      <w:r w:rsidR="001D4F7D">
        <w:t>,</w:t>
      </w:r>
      <w:r w:rsidR="00FB5D85">
        <w:t xml:space="preserve"> the </w:t>
      </w:r>
      <w:r w:rsidR="001D4F7D">
        <w:t xml:space="preserve">volumes of </w:t>
      </w:r>
      <w:r w:rsidR="00FB5D85">
        <w:t xml:space="preserve">legal </w:t>
      </w:r>
      <w:r w:rsidR="00DF2F84">
        <w:t>cigarette trade</w:t>
      </w:r>
      <w:r w:rsidR="00FB5D85">
        <w:t xml:space="preserve"> in monetary terms returned to the level of 2017. It was reported that o</w:t>
      </w:r>
      <w:r w:rsidR="00FB5D85" w:rsidRPr="00FB5D85">
        <w:t>n the black market, a cigar</w:t>
      </w:r>
      <w:r w:rsidR="003F6AD4">
        <w:t>ette carton (10 packs)</w:t>
      </w:r>
      <w:r w:rsidR="00FB5D85" w:rsidRPr="00FB5D85">
        <w:t xml:space="preserve"> box can be bought for 6 euros, while the cheapest legal box is 22 euros</w:t>
      </w:r>
      <w:r w:rsidR="003F6AD4">
        <w:rPr>
          <w:rStyle w:val="a8"/>
        </w:rPr>
        <w:footnoteReference w:id="27"/>
      </w:r>
      <w:r w:rsidR="00FB5D85" w:rsidRPr="00FB5D85">
        <w:t>.</w:t>
      </w:r>
      <w:r w:rsidR="003F6AD4">
        <w:t xml:space="preserve"> The excise reduction of September 2018 decreased the average excise burden by 0.26 euro (</w:t>
      </w:r>
      <w:r w:rsidR="008A4F57">
        <w:fldChar w:fldCharType="begin"/>
      </w:r>
      <w:r w:rsidR="00FF5642">
        <w:instrText xml:space="preserve"> REF _Ref12177660 \h </w:instrText>
      </w:r>
      <w:r w:rsidR="008A4F57">
        <w:fldChar w:fldCharType="separate"/>
      </w:r>
      <w:r w:rsidR="00FF5642">
        <w:t xml:space="preserve">Table </w:t>
      </w:r>
      <w:r w:rsidR="00FF5642">
        <w:rPr>
          <w:noProof/>
        </w:rPr>
        <w:t>4</w:t>
      </w:r>
      <w:r w:rsidR="008A4F57">
        <w:fldChar w:fldCharType="end"/>
      </w:r>
      <w:r w:rsidR="003F6AD4">
        <w:t xml:space="preserve"> )</w:t>
      </w:r>
      <w:r w:rsidR="001D4F7D">
        <w:t>,</w:t>
      </w:r>
      <w:r w:rsidR="003F6AD4">
        <w:t xml:space="preserve"> and cigarette prices decreased just by 10%, so the price of legal cheapest legal pack declined from 2.2 euro to 2.0 euro. Smokers who already used to buy smuggled cigarettes for 0.6 euro per pack had no reasons to switch back to legal cigarettes just because their average price decreased by 0.25 euro. </w:t>
      </w:r>
      <w:r w:rsidR="00CD7E38">
        <w:t xml:space="preserve">In December 2017, the representative of </w:t>
      </w:r>
      <w:r w:rsidR="00CD7E38" w:rsidRPr="006D69C3">
        <w:t xml:space="preserve">the </w:t>
      </w:r>
      <w:r w:rsidR="00CD7E38">
        <w:t xml:space="preserve">government Tobacco Tax </w:t>
      </w:r>
      <w:r w:rsidR="00CD7E38" w:rsidRPr="006D69C3">
        <w:t>Agency responded that the institution "</w:t>
      </w:r>
      <w:r w:rsidR="00CD7E38" w:rsidRPr="006D69C3">
        <w:rPr>
          <w:i/>
        </w:rPr>
        <w:t>has no way to reliably and accurately determine the size o</w:t>
      </w:r>
      <w:r w:rsidR="00CD7E38">
        <w:rPr>
          <w:i/>
        </w:rPr>
        <w:t>f the illegal cigarette turnover”</w:t>
      </w:r>
      <w:r w:rsidR="00CD7E38">
        <w:rPr>
          <w:rStyle w:val="a8"/>
          <w:i/>
        </w:rPr>
        <w:footnoteReference w:id="28"/>
      </w:r>
      <w:r w:rsidR="00CD7E38">
        <w:t xml:space="preserve">, so any claims on changes of cigarette smuggling into Montenegro or out of the country are not based on any rigorous evidence. </w:t>
      </w:r>
      <w:r w:rsidR="003F6AD4">
        <w:t>So</w:t>
      </w:r>
      <w:r w:rsidR="001D4F7D">
        <w:t>,</w:t>
      </w:r>
      <w:r w:rsidR="003F6AD4">
        <w:t xml:space="preserve"> </w:t>
      </w:r>
      <w:r w:rsidR="001D4F7D">
        <w:t xml:space="preserve">the </w:t>
      </w:r>
      <w:r w:rsidR="003F6AD4">
        <w:t xml:space="preserve">volumes of smuggled cigarettes in the first half of 2018 were substantially </w:t>
      </w:r>
      <w:r w:rsidR="00390FE6">
        <w:t>overstated</w:t>
      </w:r>
      <w:r w:rsidR="00CD7E38">
        <w:t xml:space="preserve"> by </w:t>
      </w:r>
      <w:r w:rsidR="00390FE6">
        <w:t xml:space="preserve">the </w:t>
      </w:r>
      <w:r w:rsidR="00CD7E38">
        <w:t>tobacco industry and its allies</w:t>
      </w:r>
      <w:r w:rsidR="006325CD">
        <w:t>,</w:t>
      </w:r>
      <w:r w:rsidR="003F6AD4">
        <w:t xml:space="preserve"> and </w:t>
      </w:r>
      <w:r w:rsidR="006325CD">
        <w:t xml:space="preserve">the </w:t>
      </w:r>
      <w:r w:rsidR="003F6AD4">
        <w:t xml:space="preserve">decline </w:t>
      </w:r>
      <w:r w:rsidR="006325CD">
        <w:t xml:space="preserve">in </w:t>
      </w:r>
      <w:r w:rsidR="003F6AD4">
        <w:t xml:space="preserve">cigarette sales </w:t>
      </w:r>
      <w:r w:rsidR="006325CD">
        <w:t xml:space="preserve">at </w:t>
      </w:r>
      <w:r w:rsidR="003F6AD4">
        <w:t>that time was caused not by “high smuggling” but by forestalling.</w:t>
      </w:r>
      <w:r w:rsidR="006D69C3">
        <w:t xml:space="preserve"> </w:t>
      </w:r>
    </w:p>
    <w:p w:rsidR="00F904D5" w:rsidRDefault="00F904D5" w:rsidP="00390FE6">
      <w:pPr>
        <w:pStyle w:val="af5"/>
        <w:numPr>
          <w:ilvl w:val="0"/>
          <w:numId w:val="2"/>
        </w:numPr>
      </w:pPr>
      <w:r>
        <w:rPr>
          <w:b/>
        </w:rPr>
        <w:t>Forestalling</w:t>
      </w:r>
      <w:r w:rsidRPr="007116F6">
        <w:t>.</w:t>
      </w:r>
      <w:r>
        <w:t xml:space="preserve"> </w:t>
      </w:r>
      <w:r w:rsidR="00CD7E38" w:rsidRPr="00CD7E38">
        <w:t xml:space="preserve">The Guidelines for the implementation of Article 6 of the WHO FCTC </w:t>
      </w:r>
      <w:r w:rsidR="00390FE6">
        <w:fldChar w:fldCharType="begin"/>
      </w:r>
      <w:r w:rsidR="00390FE6">
        <w:instrText xml:space="preserve"> ADDIN EN.CITE &lt;EndNote&gt;&lt;Cite&gt;&lt;Year&gt;2014&lt;/Year&gt;&lt;RecNum&gt;4689&lt;/RecNum&gt;&lt;DisplayText&gt;[16]&lt;/DisplayText&gt;&lt;record&gt;&lt;rec-number&gt;4689&lt;/rec-number&gt;&lt;foreign-keys&gt;&lt;key app="EN" db-id="ep9zdt9a8tdpsseaptvpd555505tfr02pr2e" timestamp="1494505510"&gt;4689&lt;/key&gt;&lt;/foreign-keys&gt;&lt;ref-type name="Web Page"&gt;12&lt;/ref-type&gt;&lt;contributors&gt;&lt;/contributors&gt;&lt;titles&gt;&lt;title&gt;Guidelines for implementation of Article 6 of the WHO Framework Convention on Tobacco Control&lt;/title&gt;&lt;/titles&gt;&lt;dates&gt;&lt;year&gt;2014&lt;/year&gt;&lt;/dates&gt;&lt;pub-location&gt;Geneva&lt;/pub-location&gt;&lt;publisher&gt;World Health Organization&lt;/publisher&gt;&lt;urls&gt;&lt;related-urls&gt;&lt;url&gt;http://www.who.int/fctc/guidelines/adopted/Guidelines_article_6.pdf&lt;/url&gt;&lt;/related-urls&gt;&lt;/urls&gt;&lt;/record&gt;&lt;/Cite&gt;&lt;/EndNote&gt;</w:instrText>
      </w:r>
      <w:r w:rsidR="00390FE6">
        <w:fldChar w:fldCharType="separate"/>
      </w:r>
      <w:r w:rsidR="00390FE6">
        <w:rPr>
          <w:noProof/>
        </w:rPr>
        <w:t>[16]</w:t>
      </w:r>
      <w:r w:rsidR="00390FE6">
        <w:fldChar w:fldCharType="end"/>
      </w:r>
      <w:r w:rsidR="00CD7E38" w:rsidRPr="00CD7E38">
        <w:t xml:space="preserve"> state: In anticipation of tax increases, manufacturers or importers may attempt to take advantage of the current or lower tax and increase production or stock of products (known as forestalling). </w:t>
      </w:r>
      <w:r>
        <w:t xml:space="preserve">Cigarette specific excise was increased in August 2017 by 6 euro per 1000 cigarettes, but from January 2018 it had to be increased by 10 euro more. So, the industry increased the cigarette supply in late 2017 to pay lower taxes and then to keep the taxed cigarettes in stocks and to sell them in retail after the tax increase in 2018. In the second half of 2017, the net balance (difference between import and export) of cigarette trade increased by 25%, and then it decreased 3-fold in the first half of 2018. Because of this, the excise revenues in September-December 2017 were 54% higher than in </w:t>
      </w:r>
      <w:r>
        <w:lastRenderedPageBreak/>
        <w:t xml:space="preserve">January-April 2017 (see </w:t>
      </w:r>
      <w:r w:rsidR="008A4F57">
        <w:fldChar w:fldCharType="begin"/>
      </w:r>
      <w:r>
        <w:instrText xml:space="preserve"> REF _Ref12177826 \h </w:instrText>
      </w:r>
      <w:r w:rsidR="008A4F57">
        <w:fldChar w:fldCharType="separate"/>
      </w:r>
      <w:r>
        <w:t xml:space="preserve">Figure </w:t>
      </w:r>
      <w:r>
        <w:rPr>
          <w:noProof/>
        </w:rPr>
        <w:t>2</w:t>
      </w:r>
      <w:r w:rsidR="008A4F57">
        <w:fldChar w:fldCharType="end"/>
      </w:r>
      <w:r>
        <w:t xml:space="preserve">), while the average excise increased just by 26% (see </w:t>
      </w:r>
      <w:r w:rsidR="008A4F57">
        <w:fldChar w:fldCharType="begin"/>
      </w:r>
      <w:r>
        <w:instrText xml:space="preserve"> REF _Ref12177660 \h </w:instrText>
      </w:r>
      <w:r w:rsidR="008A4F57">
        <w:fldChar w:fldCharType="separate"/>
      </w:r>
      <w:r>
        <w:t xml:space="preserve">Table </w:t>
      </w:r>
      <w:r>
        <w:rPr>
          <w:noProof/>
        </w:rPr>
        <w:t>4</w:t>
      </w:r>
      <w:r w:rsidR="008A4F57">
        <w:fldChar w:fldCharType="end"/>
      </w:r>
      <w:r>
        <w:t xml:space="preserve"> ), so the government got more revenue than expected in 2017. However, in the first half of 2018, the cigarette trade balance was </w:t>
      </w:r>
      <w:r w:rsidR="00390FE6">
        <w:t>60</w:t>
      </w:r>
      <w:r w:rsidR="00CD7E38">
        <w:t>%</w:t>
      </w:r>
      <w:r>
        <w:t xml:space="preserve"> lower than in </w:t>
      </w:r>
      <w:r w:rsidR="00CD7E38">
        <w:t xml:space="preserve">the first half of </w:t>
      </w:r>
      <w:r>
        <w:t xml:space="preserve">2017, and so the revenue also had to decline </w:t>
      </w:r>
      <w:r w:rsidR="00E945D1">
        <w:t xml:space="preserve">by </w:t>
      </w:r>
      <w:r w:rsidR="00390FE6">
        <w:t>a similar</w:t>
      </w:r>
      <w:r w:rsidR="00E945D1">
        <w:t xml:space="preserve"> extent</w:t>
      </w:r>
      <w:r>
        <w:t xml:space="preserve"> if the excise rates </w:t>
      </w:r>
      <w:r w:rsidR="00390FE6">
        <w:t xml:space="preserve">had been </w:t>
      </w:r>
      <w:r>
        <w:t xml:space="preserve">the same. However, the revenue declined only by 28% in the first half of 2018 because </w:t>
      </w:r>
      <w:r w:rsidR="00390FE6">
        <w:t xml:space="preserve">the </w:t>
      </w:r>
      <w:r>
        <w:t xml:space="preserve">average excise rate in 2018 was about 60% higher, than in 2017. </w:t>
      </w:r>
    </w:p>
    <w:p w:rsidR="00F904D5" w:rsidRDefault="00F904D5" w:rsidP="00F904D5">
      <w:pPr>
        <w:pStyle w:val="af5"/>
        <w:numPr>
          <w:ilvl w:val="0"/>
          <w:numId w:val="2"/>
        </w:numPr>
      </w:pPr>
      <w:r w:rsidRPr="003C11CB">
        <w:rPr>
          <w:b/>
        </w:rPr>
        <w:t>Price over-shifting</w:t>
      </w:r>
      <w:r>
        <w:t xml:space="preserve">. The industry increased its part of the price between July 2017 and September 2018 by 15% (see </w:t>
      </w:r>
      <w:r w:rsidR="008A4F57">
        <w:fldChar w:fldCharType="begin"/>
      </w:r>
      <w:r>
        <w:instrText xml:space="preserve"> REF _Ref12177660 \h </w:instrText>
      </w:r>
      <w:r w:rsidR="008A4F57">
        <w:fldChar w:fldCharType="separate"/>
      </w:r>
      <w:r>
        <w:t xml:space="preserve">Table </w:t>
      </w:r>
      <w:r>
        <w:rPr>
          <w:noProof/>
        </w:rPr>
        <w:t>4</w:t>
      </w:r>
      <w:r w:rsidR="008A4F57">
        <w:fldChar w:fldCharType="end"/>
      </w:r>
      <w:r>
        <w:t>), while inflation was below 2% during this period of time. Such price over-shifting increased industry profits on the declining market but also increased the final retail price, which encouraged both the reduction in tobacco consumption and cigarette smuggling into Montenegro.</w:t>
      </w:r>
    </w:p>
    <w:p w:rsidR="00833429" w:rsidRDefault="00E945D1" w:rsidP="002762AB">
      <w:pPr>
        <w:ind w:left="360"/>
      </w:pPr>
      <w:r>
        <w:t xml:space="preserve">One more factor of the excise revenue decline was </w:t>
      </w:r>
      <w:r w:rsidR="003F6AD4" w:rsidRPr="00E945D1">
        <w:rPr>
          <w:b/>
        </w:rPr>
        <w:t>VAT increase</w:t>
      </w:r>
      <w:r w:rsidR="003F6AD4" w:rsidRPr="003F6AD4">
        <w:t>.</w:t>
      </w:r>
      <w:r w:rsidR="003F6AD4">
        <w:t xml:space="preserve"> From January 2018</w:t>
      </w:r>
      <w:r w:rsidR="006325CD">
        <w:t>,</w:t>
      </w:r>
      <w:r w:rsidR="003F6AD4">
        <w:t xml:space="preserve"> the VAT rate in Montenegro increased from 19% to 21%. It further increased cigarette prices and reduce</w:t>
      </w:r>
      <w:r w:rsidR="006325CD">
        <w:t>d</w:t>
      </w:r>
      <w:r w:rsidR="003F6AD4">
        <w:t xml:space="preserve"> their affordability and consumption</w:t>
      </w:r>
      <w:r w:rsidR="006325CD">
        <w:t xml:space="preserve">; </w:t>
      </w:r>
      <w:r w:rsidR="003F6AD4">
        <w:t>however</w:t>
      </w:r>
      <w:r w:rsidR="006325CD">
        <w:t>,</w:t>
      </w:r>
      <w:r w:rsidR="003F6AD4">
        <w:t xml:space="preserve"> additional revenue from this tax increase </w:t>
      </w:r>
      <w:r w:rsidR="006325CD">
        <w:t xml:space="preserve">was </w:t>
      </w:r>
      <w:r w:rsidR="003F6AD4">
        <w:t>paid as VAT, but not as excise</w:t>
      </w:r>
      <w:r w:rsidR="006325CD">
        <w:t xml:space="preserve">. So, </w:t>
      </w:r>
      <w:r w:rsidR="003F6AD4">
        <w:t xml:space="preserve">the excise revenue decreased in 2018 </w:t>
      </w:r>
      <w:r w:rsidR="006325CD">
        <w:t xml:space="preserve">to a larger extent </w:t>
      </w:r>
      <w:r w:rsidR="003F6AD4">
        <w:t xml:space="preserve">than if the VAT rate was not changed. </w:t>
      </w:r>
    </w:p>
    <w:p w:rsidR="00C1689B" w:rsidRDefault="00126167" w:rsidP="00126167">
      <w:pPr>
        <w:pStyle w:val="3"/>
      </w:pPr>
      <w:bookmarkStart w:id="60" w:name="_Toc12207132"/>
      <w:r>
        <w:t xml:space="preserve">Estimating </w:t>
      </w:r>
      <w:r w:rsidR="006325CD">
        <w:t xml:space="preserve">the </w:t>
      </w:r>
      <w:r>
        <w:t>impact of the adopted cigarette excise changes for 2020-2025</w:t>
      </w:r>
      <w:bookmarkEnd w:id="60"/>
    </w:p>
    <w:p w:rsidR="00126167" w:rsidRDefault="00126167" w:rsidP="006325CD">
      <w:r>
        <w:t xml:space="preserve">We estimated </w:t>
      </w:r>
      <w:r w:rsidR="006325CD">
        <w:t xml:space="preserve">the </w:t>
      </w:r>
      <w:r>
        <w:t xml:space="preserve">impact of the adopted </w:t>
      </w:r>
      <w:r w:rsidR="00E945D1" w:rsidRPr="009F6CF2">
        <w:t>(Law 055/15 of 1.08.2018</w:t>
      </w:r>
      <w:r w:rsidR="00E945D1" w:rsidRPr="009F6CF2">
        <w:rPr>
          <w:rStyle w:val="a8"/>
        </w:rPr>
        <w:footnoteReference w:id="29"/>
      </w:r>
      <w:r w:rsidR="00E945D1">
        <w:t xml:space="preserve">) </w:t>
      </w:r>
      <w:r>
        <w:t>cigarette excise changes for 2020-2025 (</w:t>
      </w:r>
      <w:r w:rsidR="008A4F57">
        <w:fldChar w:fldCharType="begin"/>
      </w:r>
      <w:r w:rsidR="00FF5642">
        <w:instrText xml:space="preserve"> REF _Ref482282343 \h </w:instrText>
      </w:r>
      <w:r w:rsidR="008A4F57">
        <w:fldChar w:fldCharType="separate"/>
      </w:r>
      <w:r w:rsidR="00FF5642">
        <w:t xml:space="preserve">Table </w:t>
      </w:r>
      <w:r w:rsidR="00FF5642">
        <w:rPr>
          <w:noProof/>
        </w:rPr>
        <w:t>2</w:t>
      </w:r>
      <w:r w:rsidR="008A4F57">
        <w:fldChar w:fldCharType="end"/>
      </w:r>
      <w:r>
        <w:t>) on cigarette prices (</w:t>
      </w:r>
      <w:r w:rsidR="008A4F57">
        <w:fldChar w:fldCharType="begin"/>
      </w:r>
      <w:r w:rsidR="00FF5642">
        <w:instrText xml:space="preserve"> REF _Ref12177762 \h </w:instrText>
      </w:r>
      <w:r w:rsidR="008A4F57">
        <w:fldChar w:fldCharType="separate"/>
      </w:r>
      <w:r w:rsidR="00FF5642">
        <w:t xml:space="preserve">Table </w:t>
      </w:r>
      <w:r w:rsidR="00FF5642">
        <w:rPr>
          <w:noProof/>
        </w:rPr>
        <w:t>7</w:t>
      </w:r>
      <w:r w:rsidR="008A4F57">
        <w:fldChar w:fldCharType="end"/>
      </w:r>
      <w:r>
        <w:t>), assuming that for seven years (2019-2025) tobacco industry will increase net-</w:t>
      </w:r>
      <w:r w:rsidR="006325CD">
        <w:t>of-</w:t>
      </w:r>
      <w:r>
        <w:t>tax price by 31%. During the last seven years (2012-2018) combined</w:t>
      </w:r>
      <w:r w:rsidR="006325CD">
        <w:t>,</w:t>
      </w:r>
      <w:r>
        <w:t xml:space="preserve"> the inflation rate in Montenegro was 11%.</w:t>
      </w:r>
    </w:p>
    <w:p w:rsidR="00126167" w:rsidRPr="00F904D5" w:rsidRDefault="00FF5642" w:rsidP="00F904D5">
      <w:pPr>
        <w:pStyle w:val="af"/>
      </w:pPr>
      <w:bookmarkStart w:id="61" w:name="_Ref12177762"/>
      <w:r w:rsidRPr="00F904D5">
        <w:t xml:space="preserve">Table </w:t>
      </w:r>
      <w:r w:rsidR="008A4F57" w:rsidRPr="00F904D5">
        <w:fldChar w:fldCharType="begin"/>
      </w:r>
      <w:r w:rsidRPr="00F904D5">
        <w:instrText xml:space="preserve"> SEQ Table \* ARABIC </w:instrText>
      </w:r>
      <w:r w:rsidR="008A4F57" w:rsidRPr="00F904D5">
        <w:fldChar w:fldCharType="separate"/>
      </w:r>
      <w:r w:rsidRPr="00F904D5">
        <w:rPr>
          <w:noProof/>
        </w:rPr>
        <w:t>7</w:t>
      </w:r>
      <w:r w:rsidR="008A4F57" w:rsidRPr="00F904D5">
        <w:fldChar w:fldCharType="end"/>
      </w:r>
      <w:bookmarkEnd w:id="61"/>
      <w:r w:rsidR="00126167" w:rsidRPr="00F904D5">
        <w:t>. Expected average cigarette prices and price components in 2019-2025, Euro per pack of 20 cigarettes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204"/>
        <w:gridCol w:w="1204"/>
        <w:gridCol w:w="1325"/>
        <w:gridCol w:w="1084"/>
        <w:gridCol w:w="1086"/>
        <w:gridCol w:w="1086"/>
        <w:gridCol w:w="1080"/>
      </w:tblGrid>
      <w:tr w:rsidR="00126167" w:rsidRPr="00F904D5" w:rsidTr="0077444C">
        <w:trPr>
          <w:trHeight w:val="300"/>
        </w:trPr>
        <w:tc>
          <w:tcPr>
            <w:tcW w:w="927" w:type="pct"/>
            <w:shd w:val="clear" w:color="auto" w:fill="auto"/>
            <w:noWrap/>
            <w:vAlign w:val="bottom"/>
            <w:hideMark/>
          </w:tcPr>
          <w:p w:rsidR="00126167" w:rsidRPr="00F904D5" w:rsidRDefault="00126167" w:rsidP="0077444C">
            <w:pPr>
              <w:spacing w:before="0" w:after="0" w:line="240" w:lineRule="auto"/>
              <w:rPr>
                <w:rFonts w:ascii="Calibri" w:eastAsia="Times New Roman" w:hAnsi="Calibri" w:cs="Times New Roman"/>
                <w:color w:val="000000"/>
                <w:lang w:eastAsia="en-US"/>
              </w:rPr>
            </w:pPr>
          </w:p>
        </w:tc>
        <w:tc>
          <w:tcPr>
            <w:tcW w:w="60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2019</w:t>
            </w:r>
          </w:p>
        </w:tc>
        <w:tc>
          <w:tcPr>
            <w:tcW w:w="60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2020</w:t>
            </w:r>
          </w:p>
        </w:tc>
        <w:tc>
          <w:tcPr>
            <w:tcW w:w="669"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2021</w:t>
            </w:r>
          </w:p>
        </w:tc>
        <w:tc>
          <w:tcPr>
            <w:tcW w:w="547"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2022</w:t>
            </w:r>
          </w:p>
        </w:tc>
        <w:tc>
          <w:tcPr>
            <w:tcW w:w="54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2023</w:t>
            </w:r>
          </w:p>
        </w:tc>
        <w:tc>
          <w:tcPr>
            <w:tcW w:w="54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2024</w:t>
            </w:r>
          </w:p>
        </w:tc>
        <w:tc>
          <w:tcPr>
            <w:tcW w:w="545"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2025</w:t>
            </w:r>
          </w:p>
        </w:tc>
      </w:tr>
      <w:tr w:rsidR="00126167" w:rsidRPr="00F904D5" w:rsidTr="0077444C">
        <w:trPr>
          <w:trHeight w:val="300"/>
        </w:trPr>
        <w:tc>
          <w:tcPr>
            <w:tcW w:w="927" w:type="pct"/>
            <w:shd w:val="clear" w:color="auto" w:fill="auto"/>
            <w:noWrap/>
            <w:vAlign w:val="bottom"/>
            <w:hideMark/>
          </w:tcPr>
          <w:p w:rsidR="00126167" w:rsidRPr="00F904D5" w:rsidRDefault="00126167" w:rsidP="0077444C">
            <w:pPr>
              <w:spacing w:before="0" w:after="0" w:line="240" w:lineRule="auto"/>
              <w:rPr>
                <w:rFonts w:ascii="Calibri" w:eastAsia="Times New Roman" w:hAnsi="Calibri" w:cs="Times New Roman"/>
                <w:color w:val="000000"/>
                <w:lang w:eastAsia="en-US"/>
              </w:rPr>
            </w:pPr>
            <w:r w:rsidRPr="00F904D5">
              <w:rPr>
                <w:rFonts w:ascii="Calibri" w:eastAsia="Times New Roman" w:hAnsi="Calibri" w:cs="Times New Roman"/>
                <w:color w:val="000000"/>
                <w:lang w:eastAsia="en-US"/>
              </w:rPr>
              <w:t>Price</w:t>
            </w:r>
          </w:p>
        </w:tc>
        <w:tc>
          <w:tcPr>
            <w:tcW w:w="60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2,40</w:t>
            </w:r>
          </w:p>
        </w:tc>
        <w:tc>
          <w:tcPr>
            <w:tcW w:w="60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2,50</w:t>
            </w:r>
          </w:p>
        </w:tc>
        <w:tc>
          <w:tcPr>
            <w:tcW w:w="669"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2,60</w:t>
            </w:r>
          </w:p>
        </w:tc>
        <w:tc>
          <w:tcPr>
            <w:tcW w:w="547"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2,70</w:t>
            </w:r>
          </w:p>
        </w:tc>
        <w:tc>
          <w:tcPr>
            <w:tcW w:w="54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2,80</w:t>
            </w:r>
          </w:p>
        </w:tc>
        <w:tc>
          <w:tcPr>
            <w:tcW w:w="54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2,90</w:t>
            </w:r>
          </w:p>
        </w:tc>
        <w:tc>
          <w:tcPr>
            <w:tcW w:w="545"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3,00</w:t>
            </w:r>
          </w:p>
        </w:tc>
      </w:tr>
      <w:tr w:rsidR="00126167" w:rsidRPr="00F904D5" w:rsidTr="0077444C">
        <w:trPr>
          <w:trHeight w:val="300"/>
        </w:trPr>
        <w:tc>
          <w:tcPr>
            <w:tcW w:w="927" w:type="pct"/>
            <w:shd w:val="clear" w:color="auto" w:fill="auto"/>
            <w:noWrap/>
            <w:vAlign w:val="bottom"/>
            <w:hideMark/>
          </w:tcPr>
          <w:p w:rsidR="00126167" w:rsidRPr="00F904D5" w:rsidRDefault="00126167" w:rsidP="0077444C">
            <w:pPr>
              <w:spacing w:before="0" w:after="0" w:line="240" w:lineRule="auto"/>
              <w:rPr>
                <w:rFonts w:ascii="Calibri" w:eastAsia="Times New Roman" w:hAnsi="Calibri" w:cs="Times New Roman"/>
                <w:color w:val="000000"/>
                <w:lang w:eastAsia="en-US"/>
              </w:rPr>
            </w:pPr>
            <w:r w:rsidRPr="00F904D5">
              <w:rPr>
                <w:rFonts w:ascii="Calibri" w:eastAsia="Times New Roman" w:hAnsi="Calibri" w:cs="Times New Roman"/>
                <w:color w:val="000000"/>
                <w:lang w:eastAsia="en-US"/>
              </w:rPr>
              <w:t xml:space="preserve">Specific excise </w:t>
            </w:r>
          </w:p>
        </w:tc>
        <w:tc>
          <w:tcPr>
            <w:tcW w:w="60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0,60</w:t>
            </w:r>
          </w:p>
        </w:tc>
        <w:tc>
          <w:tcPr>
            <w:tcW w:w="60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0,67</w:t>
            </w:r>
          </w:p>
        </w:tc>
        <w:tc>
          <w:tcPr>
            <w:tcW w:w="669"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0,74</w:t>
            </w:r>
          </w:p>
        </w:tc>
        <w:tc>
          <w:tcPr>
            <w:tcW w:w="547"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0,81</w:t>
            </w:r>
          </w:p>
        </w:tc>
        <w:tc>
          <w:tcPr>
            <w:tcW w:w="54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0,88</w:t>
            </w:r>
          </w:p>
        </w:tc>
        <w:tc>
          <w:tcPr>
            <w:tcW w:w="54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0,95</w:t>
            </w:r>
          </w:p>
        </w:tc>
        <w:tc>
          <w:tcPr>
            <w:tcW w:w="545"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1,02</w:t>
            </w:r>
          </w:p>
        </w:tc>
      </w:tr>
      <w:tr w:rsidR="00126167" w:rsidRPr="00F904D5" w:rsidTr="0077444C">
        <w:trPr>
          <w:trHeight w:val="300"/>
        </w:trPr>
        <w:tc>
          <w:tcPr>
            <w:tcW w:w="927" w:type="pct"/>
            <w:shd w:val="clear" w:color="auto" w:fill="auto"/>
            <w:noWrap/>
            <w:vAlign w:val="bottom"/>
            <w:hideMark/>
          </w:tcPr>
          <w:p w:rsidR="00126167" w:rsidRPr="00F904D5" w:rsidRDefault="00126167" w:rsidP="0077444C">
            <w:pPr>
              <w:spacing w:before="0" w:after="0" w:line="240" w:lineRule="auto"/>
              <w:rPr>
                <w:rFonts w:ascii="Calibri" w:eastAsia="Times New Roman" w:hAnsi="Calibri" w:cs="Times New Roman"/>
                <w:color w:val="000000"/>
                <w:lang w:eastAsia="en-US"/>
              </w:rPr>
            </w:pPr>
            <w:r w:rsidRPr="00F904D5">
              <w:rPr>
                <w:rFonts w:ascii="Calibri" w:eastAsia="Times New Roman" w:hAnsi="Calibri" w:cs="Times New Roman"/>
                <w:color w:val="000000"/>
                <w:lang w:eastAsia="en-US"/>
              </w:rPr>
              <w:t>Ad valorem excise</w:t>
            </w:r>
          </w:p>
        </w:tc>
        <w:tc>
          <w:tcPr>
            <w:tcW w:w="60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0,77</w:t>
            </w:r>
          </w:p>
        </w:tc>
        <w:tc>
          <w:tcPr>
            <w:tcW w:w="60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0,76</w:t>
            </w:r>
          </w:p>
        </w:tc>
        <w:tc>
          <w:tcPr>
            <w:tcW w:w="669"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0,75</w:t>
            </w:r>
          </w:p>
        </w:tc>
        <w:tc>
          <w:tcPr>
            <w:tcW w:w="547"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0,74</w:t>
            </w:r>
          </w:p>
        </w:tc>
        <w:tc>
          <w:tcPr>
            <w:tcW w:w="54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0,73</w:t>
            </w:r>
          </w:p>
        </w:tc>
        <w:tc>
          <w:tcPr>
            <w:tcW w:w="54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0,71</w:t>
            </w:r>
          </w:p>
        </w:tc>
        <w:tc>
          <w:tcPr>
            <w:tcW w:w="545"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0,69</w:t>
            </w:r>
          </w:p>
        </w:tc>
      </w:tr>
      <w:tr w:rsidR="00126167" w:rsidRPr="00F904D5" w:rsidTr="0077444C">
        <w:trPr>
          <w:trHeight w:val="300"/>
        </w:trPr>
        <w:tc>
          <w:tcPr>
            <w:tcW w:w="927" w:type="pct"/>
            <w:shd w:val="clear" w:color="auto" w:fill="auto"/>
            <w:noWrap/>
            <w:vAlign w:val="bottom"/>
            <w:hideMark/>
          </w:tcPr>
          <w:p w:rsidR="00126167" w:rsidRPr="00F904D5" w:rsidRDefault="00126167" w:rsidP="0077444C">
            <w:pPr>
              <w:spacing w:before="0" w:after="0" w:line="240" w:lineRule="auto"/>
              <w:rPr>
                <w:rFonts w:ascii="Calibri" w:eastAsia="Times New Roman" w:hAnsi="Calibri" w:cs="Times New Roman"/>
                <w:color w:val="000000"/>
                <w:lang w:eastAsia="en-US"/>
              </w:rPr>
            </w:pPr>
            <w:r w:rsidRPr="00F904D5">
              <w:rPr>
                <w:rFonts w:ascii="Calibri" w:eastAsia="Times New Roman" w:hAnsi="Calibri" w:cs="Times New Roman"/>
                <w:color w:val="000000"/>
                <w:lang w:eastAsia="en-US"/>
              </w:rPr>
              <w:t>Total excise</w:t>
            </w:r>
          </w:p>
        </w:tc>
        <w:tc>
          <w:tcPr>
            <w:tcW w:w="60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1,37</w:t>
            </w:r>
          </w:p>
        </w:tc>
        <w:tc>
          <w:tcPr>
            <w:tcW w:w="60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1,43</w:t>
            </w:r>
          </w:p>
        </w:tc>
        <w:tc>
          <w:tcPr>
            <w:tcW w:w="669"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1,49</w:t>
            </w:r>
          </w:p>
        </w:tc>
        <w:tc>
          <w:tcPr>
            <w:tcW w:w="547"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1,55</w:t>
            </w:r>
          </w:p>
        </w:tc>
        <w:tc>
          <w:tcPr>
            <w:tcW w:w="54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1,61</w:t>
            </w:r>
          </w:p>
        </w:tc>
        <w:tc>
          <w:tcPr>
            <w:tcW w:w="54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1,66</w:t>
            </w:r>
          </w:p>
        </w:tc>
        <w:tc>
          <w:tcPr>
            <w:tcW w:w="545"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1,71</w:t>
            </w:r>
          </w:p>
        </w:tc>
      </w:tr>
      <w:tr w:rsidR="00126167" w:rsidRPr="00F904D5" w:rsidTr="0077444C">
        <w:trPr>
          <w:trHeight w:val="300"/>
        </w:trPr>
        <w:tc>
          <w:tcPr>
            <w:tcW w:w="927" w:type="pct"/>
            <w:shd w:val="clear" w:color="auto" w:fill="auto"/>
            <w:noWrap/>
            <w:vAlign w:val="bottom"/>
            <w:hideMark/>
          </w:tcPr>
          <w:p w:rsidR="00126167" w:rsidRPr="00F904D5" w:rsidRDefault="00126167" w:rsidP="0077444C">
            <w:pPr>
              <w:spacing w:before="0" w:after="0" w:line="240" w:lineRule="auto"/>
              <w:rPr>
                <w:rFonts w:ascii="Calibri" w:eastAsia="Times New Roman" w:hAnsi="Calibri" w:cs="Times New Roman"/>
                <w:color w:val="000000"/>
                <w:lang w:eastAsia="en-US"/>
              </w:rPr>
            </w:pPr>
            <w:r w:rsidRPr="00F904D5">
              <w:rPr>
                <w:rFonts w:ascii="Calibri" w:eastAsia="Times New Roman" w:hAnsi="Calibri" w:cs="Times New Roman"/>
                <w:color w:val="000000"/>
                <w:lang w:eastAsia="en-US"/>
              </w:rPr>
              <w:t>VAT</w:t>
            </w:r>
          </w:p>
        </w:tc>
        <w:tc>
          <w:tcPr>
            <w:tcW w:w="60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0,42</w:t>
            </w:r>
          </w:p>
        </w:tc>
        <w:tc>
          <w:tcPr>
            <w:tcW w:w="60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0,43</w:t>
            </w:r>
          </w:p>
        </w:tc>
        <w:tc>
          <w:tcPr>
            <w:tcW w:w="669"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0,45</w:t>
            </w:r>
          </w:p>
        </w:tc>
        <w:tc>
          <w:tcPr>
            <w:tcW w:w="547"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0,47</w:t>
            </w:r>
          </w:p>
        </w:tc>
        <w:tc>
          <w:tcPr>
            <w:tcW w:w="54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0,49</w:t>
            </w:r>
          </w:p>
        </w:tc>
        <w:tc>
          <w:tcPr>
            <w:tcW w:w="54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0,50</w:t>
            </w:r>
          </w:p>
        </w:tc>
        <w:tc>
          <w:tcPr>
            <w:tcW w:w="545"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0,52</w:t>
            </w:r>
          </w:p>
        </w:tc>
      </w:tr>
      <w:tr w:rsidR="00126167" w:rsidRPr="00F904D5" w:rsidTr="0077444C">
        <w:trPr>
          <w:trHeight w:val="300"/>
        </w:trPr>
        <w:tc>
          <w:tcPr>
            <w:tcW w:w="927" w:type="pct"/>
            <w:shd w:val="clear" w:color="auto" w:fill="auto"/>
            <w:noWrap/>
            <w:vAlign w:val="bottom"/>
            <w:hideMark/>
          </w:tcPr>
          <w:p w:rsidR="00126167" w:rsidRPr="00F904D5" w:rsidRDefault="00126167" w:rsidP="0077444C">
            <w:pPr>
              <w:spacing w:before="0" w:after="0" w:line="240" w:lineRule="auto"/>
              <w:rPr>
                <w:rFonts w:ascii="Calibri" w:eastAsia="Times New Roman" w:hAnsi="Calibri" w:cs="Times New Roman"/>
                <w:color w:val="000000"/>
                <w:lang w:eastAsia="en-US"/>
              </w:rPr>
            </w:pPr>
            <w:r w:rsidRPr="00F904D5">
              <w:rPr>
                <w:rFonts w:ascii="Calibri" w:eastAsia="Times New Roman" w:hAnsi="Calibri" w:cs="Times New Roman"/>
                <w:color w:val="000000"/>
                <w:lang w:eastAsia="en-US"/>
              </w:rPr>
              <w:t>Total tax</w:t>
            </w:r>
          </w:p>
        </w:tc>
        <w:tc>
          <w:tcPr>
            <w:tcW w:w="60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1,78</w:t>
            </w:r>
          </w:p>
        </w:tc>
        <w:tc>
          <w:tcPr>
            <w:tcW w:w="60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1,87</w:t>
            </w:r>
          </w:p>
        </w:tc>
        <w:tc>
          <w:tcPr>
            <w:tcW w:w="669"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1,95</w:t>
            </w:r>
          </w:p>
        </w:tc>
        <w:tc>
          <w:tcPr>
            <w:tcW w:w="547"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2,02</w:t>
            </w:r>
          </w:p>
        </w:tc>
        <w:tc>
          <w:tcPr>
            <w:tcW w:w="54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2,09</w:t>
            </w:r>
          </w:p>
        </w:tc>
        <w:tc>
          <w:tcPr>
            <w:tcW w:w="54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2,16</w:t>
            </w:r>
          </w:p>
        </w:tc>
        <w:tc>
          <w:tcPr>
            <w:tcW w:w="545"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2,23</w:t>
            </w:r>
          </w:p>
        </w:tc>
      </w:tr>
      <w:tr w:rsidR="00126167" w:rsidRPr="00F904D5" w:rsidTr="0077444C">
        <w:trPr>
          <w:trHeight w:val="300"/>
        </w:trPr>
        <w:tc>
          <w:tcPr>
            <w:tcW w:w="927" w:type="pct"/>
            <w:shd w:val="clear" w:color="auto" w:fill="auto"/>
            <w:noWrap/>
            <w:vAlign w:val="bottom"/>
            <w:hideMark/>
          </w:tcPr>
          <w:p w:rsidR="00126167" w:rsidRPr="00F904D5" w:rsidRDefault="00126167" w:rsidP="0077444C">
            <w:pPr>
              <w:spacing w:before="0" w:after="0" w:line="240" w:lineRule="auto"/>
              <w:rPr>
                <w:rFonts w:ascii="Calibri" w:eastAsia="Times New Roman" w:hAnsi="Calibri" w:cs="Times New Roman"/>
                <w:color w:val="000000"/>
                <w:lang w:eastAsia="en-US"/>
              </w:rPr>
            </w:pPr>
            <w:r w:rsidRPr="00F904D5">
              <w:rPr>
                <w:rFonts w:ascii="Calibri" w:eastAsia="Times New Roman" w:hAnsi="Calibri" w:cs="Times New Roman"/>
                <w:color w:val="000000"/>
                <w:lang w:eastAsia="en-US"/>
              </w:rPr>
              <w:t>Net-of-tax price</w:t>
            </w:r>
          </w:p>
        </w:tc>
        <w:tc>
          <w:tcPr>
            <w:tcW w:w="60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0,62</w:t>
            </w:r>
          </w:p>
        </w:tc>
        <w:tc>
          <w:tcPr>
            <w:tcW w:w="60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0,63</w:t>
            </w:r>
          </w:p>
        </w:tc>
        <w:tc>
          <w:tcPr>
            <w:tcW w:w="669"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0,65</w:t>
            </w:r>
          </w:p>
        </w:tc>
        <w:tc>
          <w:tcPr>
            <w:tcW w:w="547"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0,68</w:t>
            </w:r>
          </w:p>
        </w:tc>
        <w:tc>
          <w:tcPr>
            <w:tcW w:w="54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0,71</w:t>
            </w:r>
          </w:p>
        </w:tc>
        <w:tc>
          <w:tcPr>
            <w:tcW w:w="548"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0,74</w:t>
            </w:r>
          </w:p>
        </w:tc>
        <w:tc>
          <w:tcPr>
            <w:tcW w:w="545" w:type="pct"/>
            <w:shd w:val="clear" w:color="auto" w:fill="auto"/>
            <w:noWrap/>
            <w:vAlign w:val="bottom"/>
            <w:hideMark/>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0,77</w:t>
            </w:r>
          </w:p>
        </w:tc>
      </w:tr>
      <w:tr w:rsidR="00126167" w:rsidRPr="00F904D5" w:rsidTr="0077444C">
        <w:trPr>
          <w:trHeight w:val="300"/>
        </w:trPr>
        <w:tc>
          <w:tcPr>
            <w:tcW w:w="927" w:type="pct"/>
            <w:shd w:val="clear" w:color="auto" w:fill="auto"/>
            <w:noWrap/>
            <w:vAlign w:val="bottom"/>
          </w:tcPr>
          <w:p w:rsidR="00126167" w:rsidRPr="00F904D5" w:rsidRDefault="00126167" w:rsidP="0077444C">
            <w:pPr>
              <w:spacing w:before="0" w:after="0" w:line="240" w:lineRule="auto"/>
              <w:rPr>
                <w:rFonts w:ascii="Calibri" w:hAnsi="Calibri"/>
                <w:i/>
                <w:color w:val="000000"/>
              </w:rPr>
            </w:pPr>
            <w:r w:rsidRPr="00F904D5">
              <w:rPr>
                <w:rFonts w:ascii="Calibri" w:hAnsi="Calibri"/>
                <w:i/>
                <w:color w:val="000000"/>
              </w:rPr>
              <w:t>Excise share, %</w:t>
            </w:r>
          </w:p>
        </w:tc>
        <w:tc>
          <w:tcPr>
            <w:tcW w:w="608" w:type="pct"/>
            <w:shd w:val="clear" w:color="auto" w:fill="auto"/>
            <w:noWrap/>
            <w:vAlign w:val="bottom"/>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57,0</w:t>
            </w:r>
          </w:p>
        </w:tc>
        <w:tc>
          <w:tcPr>
            <w:tcW w:w="608" w:type="pct"/>
            <w:shd w:val="clear" w:color="auto" w:fill="auto"/>
            <w:noWrap/>
            <w:vAlign w:val="bottom"/>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57,3</w:t>
            </w:r>
          </w:p>
        </w:tc>
        <w:tc>
          <w:tcPr>
            <w:tcW w:w="669" w:type="pct"/>
            <w:shd w:val="clear" w:color="auto" w:fill="auto"/>
            <w:noWrap/>
            <w:vAlign w:val="bottom"/>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57,5</w:t>
            </w:r>
          </w:p>
        </w:tc>
        <w:tc>
          <w:tcPr>
            <w:tcW w:w="547" w:type="pct"/>
            <w:shd w:val="clear" w:color="auto" w:fill="auto"/>
            <w:noWrap/>
            <w:vAlign w:val="bottom"/>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57,5</w:t>
            </w:r>
          </w:p>
        </w:tc>
        <w:tc>
          <w:tcPr>
            <w:tcW w:w="548" w:type="pct"/>
            <w:shd w:val="clear" w:color="auto" w:fill="auto"/>
            <w:noWrap/>
            <w:vAlign w:val="bottom"/>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57,4</w:t>
            </w:r>
          </w:p>
        </w:tc>
        <w:tc>
          <w:tcPr>
            <w:tcW w:w="548" w:type="pct"/>
            <w:shd w:val="clear" w:color="auto" w:fill="auto"/>
            <w:noWrap/>
            <w:vAlign w:val="bottom"/>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57,3</w:t>
            </w:r>
          </w:p>
        </w:tc>
        <w:tc>
          <w:tcPr>
            <w:tcW w:w="545" w:type="pct"/>
            <w:shd w:val="clear" w:color="auto" w:fill="auto"/>
            <w:noWrap/>
            <w:vAlign w:val="bottom"/>
          </w:tcPr>
          <w:p w:rsidR="00126167" w:rsidRPr="00F904D5" w:rsidRDefault="00126167" w:rsidP="0077444C">
            <w:pPr>
              <w:spacing w:before="0" w:after="0" w:line="240" w:lineRule="auto"/>
              <w:jc w:val="right"/>
              <w:rPr>
                <w:rFonts w:ascii="Calibri" w:hAnsi="Calibri"/>
                <w:color w:val="000000"/>
              </w:rPr>
            </w:pPr>
            <w:r w:rsidRPr="00F904D5">
              <w:rPr>
                <w:rFonts w:ascii="Calibri" w:hAnsi="Calibri"/>
                <w:color w:val="000000"/>
              </w:rPr>
              <w:t>57,0</w:t>
            </w:r>
          </w:p>
        </w:tc>
      </w:tr>
    </w:tbl>
    <w:p w:rsidR="00126167" w:rsidRDefault="00126167" w:rsidP="00346F1E">
      <w:r w:rsidRPr="00F904D5">
        <w:t>As we see</w:t>
      </w:r>
      <w:r w:rsidR="006325CD" w:rsidRPr="00F904D5">
        <w:t>,</w:t>
      </w:r>
      <w:r w:rsidRPr="00F904D5">
        <w:t xml:space="preserve"> even if the industry increase</w:t>
      </w:r>
      <w:r w:rsidR="006325CD" w:rsidRPr="00F904D5">
        <w:t>s</w:t>
      </w:r>
      <w:r w:rsidRPr="00F904D5">
        <w:t xml:space="preserve"> its part of the price well above recent inflation rates in the country, final cigarette price will increase just by 25% in six years</w:t>
      </w:r>
      <w:r w:rsidR="006325CD" w:rsidRPr="00F904D5">
        <w:t>,</w:t>
      </w:r>
      <w:r w:rsidRPr="00F904D5">
        <w:t xml:space="preserve"> and such increase </w:t>
      </w:r>
      <w:r w:rsidR="006325CD" w:rsidRPr="00F904D5">
        <w:t xml:space="preserve">can </w:t>
      </w:r>
      <w:r w:rsidRPr="00F904D5">
        <w:t>hardly reduce tobacco affordability. In 2025</w:t>
      </w:r>
      <w:r w:rsidR="00346F1E" w:rsidRPr="00F904D5">
        <w:t>,</w:t>
      </w:r>
      <w:r w:rsidRPr="00F904D5">
        <w:t xml:space="preserve"> total excise will be 1.71 euro per pack</w:t>
      </w:r>
      <w:r w:rsidR="00346F1E" w:rsidRPr="00F904D5">
        <w:t>,</w:t>
      </w:r>
      <w:r w:rsidRPr="00F904D5">
        <w:t xml:space="preserve"> or 85.5 euro per 1000 cigarettes</w:t>
      </w:r>
      <w:r w:rsidR="00346F1E" w:rsidRPr="00F904D5">
        <w:t>,</w:t>
      </w:r>
      <w:r w:rsidRPr="00F904D5">
        <w:t xml:space="preserve"> which is still lower </w:t>
      </w:r>
      <w:r w:rsidR="00346F1E" w:rsidRPr="00F904D5">
        <w:t xml:space="preserve">than </w:t>
      </w:r>
      <w:r w:rsidRPr="00F904D5">
        <w:t>the current minimum EU level (90 euro)</w:t>
      </w:r>
      <w:r w:rsidR="00346F1E" w:rsidRPr="00F904D5">
        <w:t>,</w:t>
      </w:r>
      <w:r w:rsidRPr="00F904D5">
        <w:t xml:space="preserve"> and most probably in 2025</w:t>
      </w:r>
      <w:r w:rsidR="00346F1E" w:rsidRPr="00F904D5">
        <w:t>,</w:t>
      </w:r>
      <w:r w:rsidRPr="00F904D5">
        <w:t xml:space="preserve"> the minimum EU level will be set at a higher level. The average excise burden will increase by 27% in seven years</w:t>
      </w:r>
      <w:r w:rsidR="00346F1E" w:rsidRPr="00F904D5">
        <w:t>,</w:t>
      </w:r>
      <w:r w:rsidRPr="00F904D5">
        <w:t xml:space="preserve"> and with such </w:t>
      </w:r>
      <w:r w:rsidR="00346F1E" w:rsidRPr="00F904D5">
        <w:t>a</w:t>
      </w:r>
      <w:r w:rsidR="00346F1E">
        <w:t xml:space="preserve"> </w:t>
      </w:r>
      <w:r>
        <w:lastRenderedPageBreak/>
        <w:t>growth</w:t>
      </w:r>
      <w:r w:rsidR="00346F1E">
        <w:t>,</w:t>
      </w:r>
      <w:r>
        <w:t xml:space="preserve"> government tobacco revenue will not increase if tobacco consumption in the country continue</w:t>
      </w:r>
      <w:r w:rsidR="00346F1E">
        <w:t>s</w:t>
      </w:r>
      <w:r>
        <w:t xml:space="preserve"> to decline. </w:t>
      </w:r>
    </w:p>
    <w:p w:rsidR="00FF0F2C" w:rsidRDefault="004D60E6" w:rsidP="00502EF5">
      <w:pPr>
        <w:pStyle w:val="2"/>
      </w:pPr>
      <w:bookmarkStart w:id="62" w:name="_Toc482360301"/>
      <w:bookmarkStart w:id="63" w:name="_Toc12207133"/>
      <w:r>
        <w:t>Conclusions</w:t>
      </w:r>
      <w:bookmarkEnd w:id="62"/>
      <w:bookmarkEnd w:id="63"/>
      <w:r w:rsidR="0094414F">
        <w:t xml:space="preserve"> </w:t>
      </w:r>
    </w:p>
    <w:p w:rsidR="004D60E6" w:rsidRDefault="004D60E6" w:rsidP="00346F1E">
      <w:r>
        <w:t>Tobacco use</w:t>
      </w:r>
      <w:r w:rsidR="00346F1E">
        <w:t>,</w:t>
      </w:r>
      <w:r>
        <w:t xml:space="preserve"> which was generally widespread among the population of Montenegro</w:t>
      </w:r>
      <w:r w:rsidR="00346F1E">
        <w:t>,</w:t>
      </w:r>
      <w:r>
        <w:t xml:space="preserve"> has declined </w:t>
      </w:r>
      <w:r w:rsidR="00E94C0A">
        <w:t xml:space="preserve">since 2004 </w:t>
      </w:r>
      <w:r>
        <w:t xml:space="preserve">among </w:t>
      </w:r>
      <w:r w:rsidR="009B6FA3">
        <w:t>adults but increased among adolescents</w:t>
      </w:r>
      <w:r>
        <w:t xml:space="preserve">. </w:t>
      </w:r>
    </w:p>
    <w:p w:rsidR="004D60E6" w:rsidRDefault="004D60E6" w:rsidP="00346F1E">
      <w:r w:rsidRPr="00343381">
        <w:t xml:space="preserve">Tobacco excise hikes, </w:t>
      </w:r>
      <w:r w:rsidR="00346F1E">
        <w:t>undertaken</w:t>
      </w:r>
      <w:r w:rsidR="00346F1E" w:rsidRPr="00343381">
        <w:t xml:space="preserve"> </w:t>
      </w:r>
      <w:r w:rsidRPr="00343381">
        <w:t>in Montenegro in 20</w:t>
      </w:r>
      <w:r w:rsidR="00E945D1">
        <w:t>09</w:t>
      </w:r>
      <w:r w:rsidRPr="00343381">
        <w:t>-201</w:t>
      </w:r>
      <w:r w:rsidR="0078677E">
        <w:t>1</w:t>
      </w:r>
      <w:r w:rsidRPr="00343381">
        <w:t>, were very successful</w:t>
      </w:r>
      <w:r w:rsidR="00346F1E">
        <w:t>:</w:t>
      </w:r>
      <w:r w:rsidRPr="00343381">
        <w:t xml:space="preserve"> they decreased cigarette sales and increased tobacco revenues. </w:t>
      </w:r>
      <w:r w:rsidR="00706756">
        <w:t xml:space="preserve">In </w:t>
      </w:r>
      <w:r w:rsidRPr="00343381">
        <w:t>2013</w:t>
      </w:r>
      <w:r w:rsidR="00706756">
        <w:t>-2016</w:t>
      </w:r>
      <w:r w:rsidR="00346F1E">
        <w:t>,</w:t>
      </w:r>
      <w:r w:rsidRPr="00343381">
        <w:t xml:space="preserve"> tobacco excise increases were rather small to reduce tobacco affordability and tobacco sales</w:t>
      </w:r>
      <w:r w:rsidR="00346F1E">
        <w:t>,</w:t>
      </w:r>
      <w:r w:rsidRPr="00343381">
        <w:t xml:space="preserve"> and tobacco revenues did not change much</w:t>
      </w:r>
      <w:r w:rsidR="00706756">
        <w:t>.</w:t>
      </w:r>
    </w:p>
    <w:p w:rsidR="00E365EE" w:rsidRDefault="00706756" w:rsidP="00346F1E">
      <w:r>
        <w:t>In August 2017</w:t>
      </w:r>
      <w:r w:rsidR="00346F1E">
        <w:t>,</w:t>
      </w:r>
      <w:r>
        <w:t xml:space="preserve"> Montenegro adopted </w:t>
      </w:r>
      <w:r w:rsidR="00346F1E">
        <w:t xml:space="preserve">an </w:t>
      </w:r>
      <w:r>
        <w:t>ambitious plan of excise tax increases</w:t>
      </w:r>
      <w:r w:rsidR="00346F1E">
        <w:t xml:space="preserve">; </w:t>
      </w:r>
      <w:r>
        <w:t>however</w:t>
      </w:r>
      <w:r w:rsidR="00346F1E">
        <w:t>,</w:t>
      </w:r>
      <w:r>
        <w:t xml:space="preserve"> the tobacco industry responded with series of hidden actions </w:t>
      </w:r>
      <w:r w:rsidR="00E365EE">
        <w:t xml:space="preserve">(forestalling and price over-shifting) </w:t>
      </w:r>
      <w:r>
        <w:t>which temporar</w:t>
      </w:r>
      <w:r w:rsidR="00346F1E">
        <w:t>il</w:t>
      </w:r>
      <w:r>
        <w:t xml:space="preserve">y reduced tobacco excise revenue in early 2018. The industry </w:t>
      </w:r>
      <w:r w:rsidR="0077444C">
        <w:t xml:space="preserve">managed to </w:t>
      </w:r>
      <w:r>
        <w:t>persuade the government that th</w:t>
      </w:r>
      <w:r w:rsidR="0077444C">
        <w:t>is</w:t>
      </w:r>
      <w:r>
        <w:t xml:space="preserve"> revenue decline was allegedly caused by </w:t>
      </w:r>
      <w:r w:rsidR="0077444C">
        <w:t xml:space="preserve">tax-driven </w:t>
      </w:r>
      <w:r>
        <w:t xml:space="preserve">growth of cigarette smuggling </w:t>
      </w:r>
      <w:r w:rsidR="00126167">
        <w:t>(while no r</w:t>
      </w:r>
      <w:r w:rsidR="0077444C">
        <w:t>i</w:t>
      </w:r>
      <w:r w:rsidR="00126167">
        <w:t>gorous evidence of such growth w</w:t>
      </w:r>
      <w:r w:rsidR="00346F1E">
        <w:t>as</w:t>
      </w:r>
      <w:r w:rsidR="00126167">
        <w:t xml:space="preserve"> presented)</w:t>
      </w:r>
      <w:r w:rsidR="00346F1E">
        <w:t>,</w:t>
      </w:r>
      <w:r w:rsidR="00126167">
        <w:t xml:space="preserve"> </w:t>
      </w:r>
      <w:r>
        <w:t>and t</w:t>
      </w:r>
      <w:r w:rsidR="0077444C">
        <w:t>he only way to fight smuggling is</w:t>
      </w:r>
      <w:r>
        <w:t xml:space="preserve"> </w:t>
      </w:r>
      <w:r w:rsidR="00346F1E">
        <w:t xml:space="preserve">the reduction of </w:t>
      </w:r>
      <w:r>
        <w:t>cigarette</w:t>
      </w:r>
      <w:r w:rsidR="00E365EE">
        <w:t xml:space="preserve"> excise. From September 2018</w:t>
      </w:r>
      <w:r w:rsidR="00346F1E">
        <w:t>,</w:t>
      </w:r>
      <w:r w:rsidR="00E365EE">
        <w:t xml:space="preserve"> the excise </w:t>
      </w:r>
      <w:r w:rsidR="00126167">
        <w:t xml:space="preserve">rates </w:t>
      </w:r>
      <w:r w:rsidR="00E365EE">
        <w:t xml:space="preserve">were reduced, while they are still higher than </w:t>
      </w:r>
      <w:r w:rsidR="00126167">
        <w:t xml:space="preserve">those </w:t>
      </w:r>
      <w:r w:rsidR="00E365EE">
        <w:t>planned before 2017.</w:t>
      </w:r>
    </w:p>
    <w:p w:rsidR="0077444C" w:rsidRDefault="0077444C" w:rsidP="00346F1E">
      <w:r>
        <w:t>In 2017</w:t>
      </w:r>
      <w:r w:rsidR="00346F1E">
        <w:t>,</w:t>
      </w:r>
      <w:r>
        <w:t xml:space="preserve"> Montenegro set excise tax for electronic cigarette liquids </w:t>
      </w:r>
      <w:r w:rsidR="00346F1E">
        <w:t xml:space="preserve">at a </w:t>
      </w:r>
      <w:r>
        <w:t>rather high level</w:t>
      </w:r>
      <w:r w:rsidR="00346F1E">
        <w:t xml:space="preserve">; </w:t>
      </w:r>
      <w:r w:rsidR="00FE5FAA">
        <w:t>however</w:t>
      </w:r>
      <w:r w:rsidR="00346F1E">
        <w:t>,</w:t>
      </w:r>
      <w:r w:rsidR="00FE5FAA">
        <w:t xml:space="preserve"> </w:t>
      </w:r>
      <w:r w:rsidR="00346F1E">
        <w:t xml:space="preserve">the </w:t>
      </w:r>
      <w:r w:rsidR="00FE5FAA">
        <w:t>enforcement of such taxation need</w:t>
      </w:r>
      <w:r w:rsidR="00346F1E">
        <w:t>s</w:t>
      </w:r>
      <w:r w:rsidR="00FE5FAA">
        <w:t xml:space="preserve"> to be developed.</w:t>
      </w:r>
    </w:p>
    <w:p w:rsidR="00E365EE" w:rsidRDefault="00E365EE" w:rsidP="00502EF5">
      <w:r>
        <w:t xml:space="preserve">Cigarette prices substantially increased in 2017 and </w:t>
      </w:r>
      <w:r w:rsidR="0077444C">
        <w:t xml:space="preserve">early </w:t>
      </w:r>
      <w:r>
        <w:t>2018</w:t>
      </w:r>
      <w:r w:rsidR="0077444C">
        <w:t xml:space="preserve">, tobacco </w:t>
      </w:r>
      <w:r>
        <w:t>affordability declined</w:t>
      </w:r>
      <w:r w:rsidR="00390BA8">
        <w:t>,</w:t>
      </w:r>
      <w:r>
        <w:t xml:space="preserve"> </w:t>
      </w:r>
      <w:r w:rsidR="00126167">
        <w:t xml:space="preserve">and </w:t>
      </w:r>
      <w:r>
        <w:t xml:space="preserve">some reduction of tobacco consumption is expected. </w:t>
      </w:r>
      <w:r w:rsidR="00706756">
        <w:t xml:space="preserve">  </w:t>
      </w:r>
    </w:p>
    <w:p w:rsidR="00706756" w:rsidRPr="00343381" w:rsidRDefault="00E365EE" w:rsidP="00502EF5">
      <w:r>
        <w:t xml:space="preserve">The plan of the annual tobacco excise changes </w:t>
      </w:r>
      <w:r w:rsidR="00390BA8">
        <w:t>un</w:t>
      </w:r>
      <w:r>
        <w:t>til 2025 was already adopted</w:t>
      </w:r>
      <w:r w:rsidR="0077444C">
        <w:t xml:space="preserve"> by authorities</w:t>
      </w:r>
      <w:r>
        <w:t xml:space="preserve">, but the proposed changes have rather low potential to </w:t>
      </w:r>
      <w:r w:rsidR="00126167">
        <w:t xml:space="preserve">reduce </w:t>
      </w:r>
      <w:r w:rsidR="00390BA8">
        <w:t xml:space="preserve">the </w:t>
      </w:r>
      <w:r w:rsidR="00126167">
        <w:t xml:space="preserve">tobacco consumption and </w:t>
      </w:r>
      <w:r w:rsidR="00390BA8">
        <w:t xml:space="preserve">to </w:t>
      </w:r>
      <w:r w:rsidR="00126167">
        <w:t>increase government revenue. The expected total excise rate in 2025 will be below 90 euro - current minimum EU excise level.</w:t>
      </w:r>
    </w:p>
    <w:p w:rsidR="0077444C" w:rsidRDefault="0077444C" w:rsidP="002762AB">
      <w:pPr>
        <w:pStyle w:val="2"/>
      </w:pPr>
      <w:bookmarkStart w:id="64" w:name="_Toc12207134"/>
      <w:r>
        <w:t>Recommendations</w:t>
      </w:r>
      <w:bookmarkEnd w:id="64"/>
      <w:r w:rsidRPr="00343381">
        <w:t xml:space="preserve"> </w:t>
      </w:r>
    </w:p>
    <w:p w:rsidR="004D60E6" w:rsidRDefault="004D60E6">
      <w:r w:rsidRPr="00343381">
        <w:t xml:space="preserve">Montenegro is able to </w:t>
      </w:r>
      <w:r w:rsidR="00126167">
        <w:t xml:space="preserve">conduct </w:t>
      </w:r>
      <w:r w:rsidR="0012716D">
        <w:t xml:space="preserve">a </w:t>
      </w:r>
      <w:r w:rsidR="00126167">
        <w:t>more aggressive and</w:t>
      </w:r>
      <w:r w:rsidRPr="00343381">
        <w:t xml:space="preserve"> </w:t>
      </w:r>
      <w:r>
        <w:t xml:space="preserve">successful </w:t>
      </w:r>
      <w:r w:rsidRPr="00343381">
        <w:t>tobacco taxation policy which can both reduce tobacco consumptio</w:t>
      </w:r>
      <w:r w:rsidR="00126167">
        <w:t>n and increase tobacco revenue</w:t>
      </w:r>
      <w:r w:rsidRPr="00343381">
        <w:t>.</w:t>
      </w:r>
      <w:r w:rsidR="00126167">
        <w:t xml:space="preserve"> </w:t>
      </w:r>
      <w:r w:rsidR="0077444C">
        <w:t>The following recommendations can help to make such policy more successful:</w:t>
      </w:r>
    </w:p>
    <w:p w:rsidR="0077444C" w:rsidRDefault="0077444C" w:rsidP="002762AB">
      <w:pPr>
        <w:pStyle w:val="af5"/>
        <w:numPr>
          <w:ilvl w:val="0"/>
          <w:numId w:val="5"/>
        </w:numPr>
        <w:spacing w:before="0"/>
      </w:pPr>
      <w:r w:rsidRPr="00A44EB0">
        <w:t xml:space="preserve">Annually increase the </w:t>
      </w:r>
      <w:r>
        <w:t xml:space="preserve">specific </w:t>
      </w:r>
      <w:r w:rsidRPr="00A44EB0">
        <w:t xml:space="preserve">excise rates </w:t>
      </w:r>
      <w:r>
        <w:t xml:space="preserve">by </w:t>
      </w:r>
      <w:r w:rsidRPr="00A44EB0">
        <w:t xml:space="preserve">at least </w:t>
      </w:r>
      <w:r>
        <w:t>5 euro per 1000 cigarettes and do not decrease the ad valorem rate.</w:t>
      </w:r>
    </w:p>
    <w:p w:rsidR="0077444C" w:rsidRPr="00A44EB0" w:rsidRDefault="0077444C" w:rsidP="002762AB">
      <w:pPr>
        <w:pStyle w:val="af5"/>
        <w:numPr>
          <w:ilvl w:val="0"/>
          <w:numId w:val="5"/>
        </w:numPr>
        <w:spacing w:before="0"/>
      </w:pPr>
      <w:r>
        <w:t xml:space="preserve">Annually Increase excise rates for other tobacco products, including novel tobacco products such as electronic cigarettes in line with the World Bank recommendations </w:t>
      </w:r>
      <w:r w:rsidR="008A4F57">
        <w:fldChar w:fldCharType="begin"/>
      </w:r>
      <w:r w:rsidR="00D80211">
        <w:instrText xml:space="preserve"> ADDIN EN.CITE &lt;EndNote&gt;&lt;Cite&gt;&lt;Author&gt;WBG Global Tobacco Control Program Team&lt;/Author&gt;&lt;Year&gt;2019&lt;/Year&gt;&lt;RecNum&gt;5748&lt;/RecNum&gt;&lt;DisplayText&gt;[15]&lt;/DisplayText&gt;&lt;record&gt;&lt;rec-number&gt;5748&lt;/rec-number&gt;&lt;foreign-keys&gt;&lt;key app="EN" db-id="ep9zdt9a8tdpsseaptvpd555505tfr02pr2e" timestamp="1559915970"&gt;5748&lt;/key&gt;&lt;/foreign-keys&gt;&lt;ref-type name="Web Page"&gt;12&lt;/ref-type&gt;&lt;contributors&gt;&lt;authors&gt;&lt;author&gt;WBG Global Tobacco Control Program Team,&lt;/author&gt;&lt;/authors&gt;&lt;/contributors&gt;&lt;titles&gt;&lt;title&gt;E-cigarettes: use and taxation&lt;/title&gt;&lt;/titles&gt;&lt;dates&gt;&lt;year&gt;2019&lt;/year&gt;&lt;/dates&gt;&lt;urls&gt;&lt;related-urls&gt;&lt;url&gt;http://documents.worldbank.org/curated/en/356561555100066200/pdf/E-Cigarettes-Use-</w:instrText>
      </w:r>
      <w:r w:rsidR="00D80211">
        <w:rPr>
          <w:cs/>
        </w:rPr>
        <w:instrText>‎</w:instrText>
      </w:r>
      <w:r w:rsidR="00D80211">
        <w:instrText>and-Taxation.pdf&lt;/url&gt;&lt;/related-urls&gt;&lt;/urls&gt;&lt;/record&gt;&lt;/Cite&gt;&lt;/EndNote&gt;</w:instrText>
      </w:r>
      <w:r w:rsidR="008A4F57">
        <w:fldChar w:fldCharType="separate"/>
      </w:r>
      <w:r w:rsidR="00D80211">
        <w:rPr>
          <w:noProof/>
        </w:rPr>
        <w:t>[15]</w:t>
      </w:r>
      <w:r w:rsidR="008A4F57">
        <w:fldChar w:fldCharType="end"/>
      </w:r>
      <w:r>
        <w:t>.</w:t>
      </w:r>
    </w:p>
    <w:p w:rsidR="0077444C" w:rsidRPr="00A44EB0" w:rsidRDefault="0077444C" w:rsidP="002762AB">
      <w:pPr>
        <w:pStyle w:val="af5"/>
        <w:numPr>
          <w:ilvl w:val="0"/>
          <w:numId w:val="5"/>
        </w:numPr>
        <w:spacing w:before="0"/>
      </w:pPr>
      <w:r w:rsidRPr="00A44EB0">
        <w:t xml:space="preserve">Introduce effective policies against forestalling using </w:t>
      </w:r>
      <w:r>
        <w:t xml:space="preserve">the </w:t>
      </w:r>
      <w:r w:rsidRPr="00A44EB0">
        <w:t>successful experience of other countries.</w:t>
      </w:r>
    </w:p>
    <w:p w:rsidR="0077444C" w:rsidRPr="00A44EB0" w:rsidRDefault="0077444C" w:rsidP="002762AB">
      <w:pPr>
        <w:pStyle w:val="af5"/>
        <w:numPr>
          <w:ilvl w:val="0"/>
          <w:numId w:val="5"/>
        </w:numPr>
        <w:spacing w:before="0"/>
      </w:pPr>
      <w:r>
        <w:t xml:space="preserve">Develop the </w:t>
      </w:r>
      <w:r w:rsidRPr="00A44EB0">
        <w:t xml:space="preserve">tobacco use surveillance and monitoring, including a regular collection of information on smoking prevalence, tobacco consumption, licit and illicit cigarette sales, prices and other economic indicators. </w:t>
      </w:r>
    </w:p>
    <w:p w:rsidR="0077444C" w:rsidRPr="002762AB" w:rsidRDefault="0077444C" w:rsidP="002762AB">
      <w:pPr>
        <w:pStyle w:val="af5"/>
        <w:numPr>
          <w:ilvl w:val="0"/>
          <w:numId w:val="5"/>
        </w:numPr>
        <w:spacing w:before="0"/>
        <w:rPr>
          <w:i/>
        </w:rPr>
      </w:pPr>
      <w:r>
        <w:lastRenderedPageBreak/>
        <w:t xml:space="preserve">Implement </w:t>
      </w:r>
      <w:r w:rsidR="0012716D">
        <w:t xml:space="preserve">the </w:t>
      </w:r>
      <w:r w:rsidRPr="00A44EB0">
        <w:t xml:space="preserve">effective policies to counteract </w:t>
      </w:r>
      <w:r>
        <w:t xml:space="preserve">the </w:t>
      </w:r>
      <w:r w:rsidRPr="00A44EB0">
        <w:t xml:space="preserve">tobacco smuggling and other kinds of illicit tobacco sales in line with the provisions of the FCTC Protocol to Eliminate Illicit Trade in Tobacco Products, </w:t>
      </w:r>
      <w:r w:rsidR="0012716D">
        <w:t xml:space="preserve">which is </w:t>
      </w:r>
      <w:r w:rsidRPr="00A44EB0">
        <w:t xml:space="preserve">already ratified by the country. While cigarette smuggling is a problem, </w:t>
      </w:r>
      <w:r>
        <w:t xml:space="preserve">do </w:t>
      </w:r>
      <w:r w:rsidRPr="00A44EB0">
        <w:t xml:space="preserve">not </w:t>
      </w:r>
      <w:r>
        <w:t xml:space="preserve">allow </w:t>
      </w:r>
      <w:r w:rsidRPr="00A44EB0">
        <w:t>overestimat</w:t>
      </w:r>
      <w:r>
        <w:t>ing it</w:t>
      </w:r>
      <w:r w:rsidRPr="00A44EB0">
        <w:t xml:space="preserve"> and us</w:t>
      </w:r>
      <w:r>
        <w:t>ing it</w:t>
      </w:r>
      <w:r w:rsidRPr="00A44EB0">
        <w:t xml:space="preserve"> as an argument against further excise increases. The FCTC Article 6 Guidelines state </w:t>
      </w:r>
      <w:r w:rsidR="008A4F57" w:rsidRPr="00A44EB0">
        <w:fldChar w:fldCharType="begin"/>
      </w:r>
      <w:r w:rsidR="00D80211">
        <w:instrText xml:space="preserve"> ADDIN EN.CITE &lt;EndNote&gt;&lt;Cite&gt;&lt;Year&gt;2014&lt;/Year&gt;&lt;RecNum&gt;4689&lt;/RecNum&gt;&lt;DisplayText&gt;[16]&lt;/DisplayText&gt;&lt;record&gt;&lt;rec-number&gt;4689&lt;/rec-number&gt;&lt;foreign-keys&gt;&lt;key app="EN" db-id="ep9zdt9a8tdpsseaptvpd555505tfr02pr2e" timestamp="1494505510"&gt;4689&lt;/key&gt;&lt;/foreign-keys&gt;&lt;ref-type name="Web Page"&gt;12&lt;/ref-type&gt;&lt;contributors&gt;&lt;/contributors&gt;&lt;titles&gt;&lt;title&gt;Guidelines for implementation of Article 6 of the WHO Framework Convention on Tobacco Control&lt;/title&gt;&lt;/titles&gt;&lt;dates&gt;&lt;year&gt;2014&lt;/year&gt;&lt;/dates&gt;&lt;pub-location&gt;Geneva&lt;/pub-location&gt;&lt;publisher&gt;World Health Organization&lt;/publisher&gt;&lt;urls&gt;&lt;related-urls&gt;&lt;url&gt;http://www.who.int/fctc/guidelines/adopted/Guidelines_article_6.pdf&lt;/url&gt;&lt;/related-urls&gt;&lt;/urls&gt;&lt;/record&gt;&lt;/Cite&gt;&lt;/EndNote&gt;</w:instrText>
      </w:r>
      <w:r w:rsidR="008A4F57" w:rsidRPr="00A44EB0">
        <w:fldChar w:fldCharType="separate"/>
      </w:r>
      <w:r w:rsidR="00D80211">
        <w:rPr>
          <w:noProof/>
        </w:rPr>
        <w:t>[16]</w:t>
      </w:r>
      <w:r w:rsidR="008A4F57" w:rsidRPr="00A44EB0">
        <w:fldChar w:fldCharType="end"/>
      </w:r>
      <w:r w:rsidRPr="00A44EB0">
        <w:t xml:space="preserve">: </w:t>
      </w:r>
      <w:r w:rsidRPr="002762AB">
        <w:rPr>
          <w:i/>
        </w:rPr>
        <w:t xml:space="preserve">The development, </w:t>
      </w:r>
      <w:r w:rsidRPr="002762AB">
        <w:rPr>
          <w:i/>
          <w:noProof/>
        </w:rPr>
        <w:t>implementation</w:t>
      </w:r>
      <w:r w:rsidRPr="002762AB">
        <w:rPr>
          <w:i/>
        </w:rPr>
        <w:t xml:space="preserve"> </w:t>
      </w:r>
      <w:r w:rsidRPr="002762AB">
        <w:rPr>
          <w:i/>
          <w:noProof/>
        </w:rPr>
        <w:t>and</w:t>
      </w:r>
      <w:r w:rsidRPr="002762AB">
        <w:rPr>
          <w:i/>
        </w:rPr>
        <w:t xml:space="preserve"> enforcement of tobacco tax and price policies as part of public health policies should be protected from commercial and other vested interests of the tobacco industry, including tactics of using the issue of smuggling in hindering implementation of tax and price policies.</w:t>
      </w:r>
    </w:p>
    <w:p w:rsidR="00FF0F2C" w:rsidRDefault="004D60E6" w:rsidP="002762AB">
      <w:pPr>
        <w:pStyle w:val="af5"/>
        <w:numPr>
          <w:ilvl w:val="0"/>
          <w:numId w:val="5"/>
        </w:numPr>
        <w:spacing w:before="0"/>
      </w:pPr>
      <w:r>
        <w:t xml:space="preserve">Other tobacco control </w:t>
      </w:r>
      <w:r w:rsidR="003C098A">
        <w:t>polici</w:t>
      </w:r>
      <w:r>
        <w:t xml:space="preserve">es which can be easily undertaken with great health impact </w:t>
      </w:r>
      <w:r w:rsidR="00E425A7">
        <w:t xml:space="preserve">are related to the de-normalization of tobacco use and </w:t>
      </w:r>
      <w:r>
        <w:t xml:space="preserve">include </w:t>
      </w:r>
      <w:r w:rsidR="00E425A7">
        <w:t xml:space="preserve">(1) </w:t>
      </w:r>
      <w:r>
        <w:t xml:space="preserve">enforcement of smoke-free policies </w:t>
      </w:r>
      <w:r w:rsidR="00E425A7">
        <w:t>in public places and (2) ban of various modes of advertizing and promoting cigarettes in points of sales, as well as sales of tobacco along with toys and other goods for kids.</w:t>
      </w:r>
    </w:p>
    <w:p w:rsidR="009D24AD" w:rsidRDefault="009D24AD" w:rsidP="00502EF5">
      <w:pPr>
        <w:pStyle w:val="2"/>
      </w:pPr>
      <w:bookmarkStart w:id="65" w:name="_Toc482360302"/>
      <w:bookmarkStart w:id="66" w:name="_Toc12207135"/>
      <w:r>
        <w:t>References</w:t>
      </w:r>
      <w:bookmarkEnd w:id="65"/>
      <w:bookmarkEnd w:id="66"/>
    </w:p>
    <w:p w:rsidR="00797235" w:rsidRPr="00797235" w:rsidRDefault="008A4F57" w:rsidP="00797235">
      <w:pPr>
        <w:pStyle w:val="EndNoteBibliography"/>
        <w:spacing w:after="0"/>
        <w:ind w:left="720" w:hanging="720"/>
      </w:pPr>
      <w:r>
        <w:fldChar w:fldCharType="begin"/>
      </w:r>
      <w:r w:rsidR="009D24AD">
        <w:instrText xml:space="preserve"> ADDIN EN.REFLIST </w:instrText>
      </w:r>
      <w:r>
        <w:fldChar w:fldCharType="separate"/>
      </w:r>
      <w:r w:rsidR="00797235" w:rsidRPr="00797235">
        <w:t>1.</w:t>
      </w:r>
      <w:r w:rsidR="00797235" w:rsidRPr="00797235">
        <w:tab/>
        <w:t xml:space="preserve">Tolonen, H., K. Kuulasmaa, and E. Ruokokoski. </w:t>
      </w:r>
      <w:r w:rsidR="00797235" w:rsidRPr="00797235">
        <w:rPr>
          <w:i/>
        </w:rPr>
        <w:t>MONICA population survey data book</w:t>
      </w:r>
      <w:r w:rsidR="00797235" w:rsidRPr="00797235">
        <w:t>. World Health Organization. 2000; Available from: http://www.thl.fi/publications/monica/surveydb/title.htm.</w:t>
      </w:r>
    </w:p>
    <w:p w:rsidR="00797235" w:rsidRPr="00797235" w:rsidRDefault="00797235" w:rsidP="00797235">
      <w:pPr>
        <w:pStyle w:val="EndNoteBibliography"/>
        <w:spacing w:after="0"/>
        <w:ind w:left="720" w:hanging="720"/>
      </w:pPr>
      <w:r w:rsidRPr="00797235">
        <w:t>2.</w:t>
      </w:r>
      <w:r w:rsidRPr="00797235">
        <w:tab/>
        <w:t xml:space="preserve">Zizic-Borjanovic, S., M. Jerinic, and R. Igic, </w:t>
      </w:r>
      <w:r w:rsidRPr="00797235">
        <w:rPr>
          <w:i/>
        </w:rPr>
        <w:t>Twenty five years of antismoking movement started by medical students: some further goals.</w:t>
      </w:r>
      <w:r w:rsidRPr="00797235">
        <w:t xml:space="preserve"> J buon, 2007. </w:t>
      </w:r>
      <w:r w:rsidRPr="00797235">
        <w:rPr>
          <w:b/>
        </w:rPr>
        <w:t>12</w:t>
      </w:r>
      <w:r w:rsidRPr="00797235">
        <w:t>(2): p. 181-4.</w:t>
      </w:r>
    </w:p>
    <w:p w:rsidR="00797235" w:rsidRPr="00797235" w:rsidRDefault="00797235" w:rsidP="00797235">
      <w:pPr>
        <w:pStyle w:val="EndNoteBibliography"/>
        <w:spacing w:after="0"/>
        <w:ind w:left="720" w:hanging="720"/>
      </w:pPr>
      <w:r w:rsidRPr="00797235">
        <w:t>3.</w:t>
      </w:r>
      <w:r w:rsidRPr="00797235">
        <w:tab/>
      </w:r>
      <w:r w:rsidRPr="00797235">
        <w:rPr>
          <w:i/>
        </w:rPr>
        <w:t>Montenegro. Health impact of tobacco control policies in line with the WHO Framework Convention on Tobacco Control (WHO FCTC)</w:t>
      </w:r>
      <w:r w:rsidRPr="00797235">
        <w:t>. Tobacco Control Fact Sheet 2016; Available from: http://www.euro.who.int/__data/assets/pdf_file/0005/312593/Tobacco-control-fact-sheet-Montenegro.pdf.</w:t>
      </w:r>
    </w:p>
    <w:p w:rsidR="00797235" w:rsidRPr="00797235" w:rsidRDefault="00797235" w:rsidP="00797235">
      <w:pPr>
        <w:pStyle w:val="EndNoteBibliography"/>
        <w:spacing w:after="0"/>
        <w:ind w:left="720" w:hanging="720"/>
      </w:pPr>
      <w:r w:rsidRPr="00797235">
        <w:t>4.</w:t>
      </w:r>
      <w:r w:rsidRPr="00797235">
        <w:tab/>
      </w:r>
      <w:r w:rsidRPr="00797235">
        <w:rPr>
          <w:i/>
        </w:rPr>
        <w:t>WHO Report on the Global Tobacco Epidemic, Country profile: Montenegro</w:t>
      </w:r>
      <w:r w:rsidRPr="00797235">
        <w:t>. 2015; Available from: http://www.who.int/tobacco/surveillance/policy/country_profile/mne.pdf.</w:t>
      </w:r>
    </w:p>
    <w:p w:rsidR="00797235" w:rsidRPr="00797235" w:rsidRDefault="00797235" w:rsidP="00797235">
      <w:pPr>
        <w:pStyle w:val="EndNoteBibliography"/>
        <w:spacing w:after="0"/>
        <w:ind w:left="720" w:hanging="720"/>
      </w:pPr>
      <w:r w:rsidRPr="00797235">
        <w:t>5.</w:t>
      </w:r>
      <w:r w:rsidRPr="00797235">
        <w:tab/>
        <w:t xml:space="preserve">Reidpath, D.D., et al., </w:t>
      </w:r>
      <w:r w:rsidRPr="00797235">
        <w:rPr>
          <w:i/>
        </w:rPr>
        <w:t>The relationship between age of smoking initiation and current smoking: an analysis of school surveys in three European countries.</w:t>
      </w:r>
      <w:r w:rsidRPr="00797235">
        <w:t xml:space="preserve"> Nicotine Tob Res, 2013. </w:t>
      </w:r>
      <w:r w:rsidRPr="00797235">
        <w:rPr>
          <w:b/>
        </w:rPr>
        <w:t>15</w:t>
      </w:r>
      <w:r w:rsidRPr="00797235">
        <w:t>(3): p. 729-33.</w:t>
      </w:r>
    </w:p>
    <w:p w:rsidR="00797235" w:rsidRPr="00797235" w:rsidRDefault="00797235" w:rsidP="00797235">
      <w:pPr>
        <w:pStyle w:val="EndNoteBibliography"/>
        <w:spacing w:after="0"/>
        <w:ind w:left="720" w:hanging="720"/>
      </w:pPr>
      <w:r w:rsidRPr="00797235">
        <w:t>6.</w:t>
      </w:r>
      <w:r w:rsidRPr="00797235">
        <w:tab/>
        <w:t xml:space="preserve">Ljaljevic, A., E. Zvrko, and M. Stojiljkovic, </w:t>
      </w:r>
      <w:r w:rsidRPr="00797235">
        <w:rPr>
          <w:i/>
        </w:rPr>
        <w:t>Tobacco use among youth: findings from the global youth tobacco survey in Montenegro.</w:t>
      </w:r>
      <w:r w:rsidRPr="00797235">
        <w:t xml:space="preserve"> Arh Hig Rada Toksikol, 2008. </w:t>
      </w:r>
      <w:r w:rsidRPr="00797235">
        <w:rPr>
          <w:b/>
        </w:rPr>
        <w:t>59</w:t>
      </w:r>
      <w:r w:rsidRPr="00797235">
        <w:t>(3): p. 183-9.</w:t>
      </w:r>
    </w:p>
    <w:p w:rsidR="00797235" w:rsidRPr="00797235" w:rsidRDefault="00797235" w:rsidP="00797235">
      <w:pPr>
        <w:pStyle w:val="EndNoteBibliography"/>
        <w:spacing w:after="0"/>
        <w:ind w:left="720" w:hanging="720"/>
      </w:pPr>
      <w:r w:rsidRPr="00797235">
        <w:t>7.</w:t>
      </w:r>
      <w:r w:rsidRPr="00797235">
        <w:tab/>
        <w:t xml:space="preserve">Stojiljkovic, D., et al., </w:t>
      </w:r>
      <w:r w:rsidRPr="00797235">
        <w:rPr>
          <w:i/>
        </w:rPr>
        <w:t>Prevalence of tobacco use among students aged 13-15 years in the South-Eastern Europe health network.</w:t>
      </w:r>
      <w:r w:rsidRPr="00797235">
        <w:t xml:space="preserve"> Am J Health Behav, 2008. </w:t>
      </w:r>
      <w:r w:rsidRPr="00797235">
        <w:rPr>
          <w:b/>
        </w:rPr>
        <w:t>32</w:t>
      </w:r>
      <w:r w:rsidRPr="00797235">
        <w:t>(4): p. 438-45.</w:t>
      </w:r>
    </w:p>
    <w:p w:rsidR="00797235" w:rsidRPr="00797235" w:rsidRDefault="00797235" w:rsidP="00797235">
      <w:pPr>
        <w:pStyle w:val="EndNoteBibliography"/>
        <w:spacing w:after="0"/>
        <w:ind w:left="720" w:hanging="720"/>
      </w:pPr>
      <w:r w:rsidRPr="00797235">
        <w:t>8.</w:t>
      </w:r>
      <w:r w:rsidRPr="00797235">
        <w:tab/>
        <w:t xml:space="preserve">Baska, T., et al., </w:t>
      </w:r>
      <w:r w:rsidRPr="00797235">
        <w:rPr>
          <w:i/>
        </w:rPr>
        <w:t>Prevalence of youth cigarette smoking and selected social factors in 25 European countries: findings from the Global Youth Tobacco Survey.</w:t>
      </w:r>
      <w:r w:rsidRPr="00797235">
        <w:t xml:space="preserve"> Int J Public Health, 2009. </w:t>
      </w:r>
      <w:r w:rsidRPr="00797235">
        <w:rPr>
          <w:b/>
        </w:rPr>
        <w:t>54</w:t>
      </w:r>
      <w:r w:rsidRPr="00797235">
        <w:t>(6): p. 439-45.</w:t>
      </w:r>
    </w:p>
    <w:p w:rsidR="00797235" w:rsidRPr="00797235" w:rsidRDefault="00797235" w:rsidP="00797235">
      <w:pPr>
        <w:pStyle w:val="EndNoteBibliography"/>
        <w:spacing w:after="0"/>
        <w:ind w:left="720" w:hanging="720"/>
      </w:pPr>
      <w:r w:rsidRPr="00797235">
        <w:t>9.</w:t>
      </w:r>
      <w:r w:rsidRPr="00797235">
        <w:tab/>
        <w:t xml:space="preserve">Ljaljevic, A., et al., </w:t>
      </w:r>
      <w:r w:rsidRPr="00797235">
        <w:rPr>
          <w:i/>
        </w:rPr>
        <w:t>Prevalence of smoking and other smoking-related behaviours among students aged 13 to 15 years in Montenegro: results from the Global Youth Tobacco Survey of 2008.</w:t>
      </w:r>
      <w:r w:rsidRPr="00797235">
        <w:t xml:space="preserve"> Arh Hig Rada Toksikol, 2010. </w:t>
      </w:r>
      <w:r w:rsidRPr="00797235">
        <w:rPr>
          <w:b/>
        </w:rPr>
        <w:t>61</w:t>
      </w:r>
      <w:r w:rsidRPr="00797235">
        <w:t>(2): p. 203-9.</w:t>
      </w:r>
    </w:p>
    <w:p w:rsidR="00797235" w:rsidRPr="00797235" w:rsidRDefault="00797235" w:rsidP="00797235">
      <w:pPr>
        <w:pStyle w:val="EndNoteBibliography"/>
        <w:spacing w:after="0"/>
        <w:ind w:left="720" w:hanging="720"/>
      </w:pPr>
      <w:r w:rsidRPr="00797235">
        <w:t>10.</w:t>
      </w:r>
      <w:r w:rsidRPr="00797235">
        <w:tab/>
        <w:t xml:space="preserve">D'Angelo, D., et al., </w:t>
      </w:r>
      <w:r w:rsidRPr="00797235">
        <w:rPr>
          <w:i/>
        </w:rPr>
        <w:t>Current Cigarette Smoking, Access, and Purchases from Retail Outlets Among Students Aged 13-15 Years - Global Youth Tobacco Survey, 45 Countries, 2013 and 2014.</w:t>
      </w:r>
      <w:r w:rsidRPr="00797235">
        <w:t xml:space="preserve"> MMWR Morb Mortal Wkly Rep, 2016. </w:t>
      </w:r>
      <w:r w:rsidRPr="00797235">
        <w:rPr>
          <w:b/>
        </w:rPr>
        <w:t>65</w:t>
      </w:r>
      <w:r w:rsidRPr="00797235">
        <w:t>(34): p. 898-901.</w:t>
      </w:r>
    </w:p>
    <w:p w:rsidR="00797235" w:rsidRPr="00797235" w:rsidRDefault="00797235" w:rsidP="00797235">
      <w:pPr>
        <w:pStyle w:val="EndNoteBibliography"/>
        <w:spacing w:after="0"/>
        <w:ind w:left="720" w:hanging="720"/>
      </w:pPr>
      <w:r w:rsidRPr="00797235">
        <w:t>11.</w:t>
      </w:r>
      <w:r w:rsidRPr="00797235">
        <w:tab/>
        <w:t xml:space="preserve">Agaku, I.T., et al., </w:t>
      </w:r>
      <w:r w:rsidRPr="00797235">
        <w:rPr>
          <w:i/>
        </w:rPr>
        <w:t>Predictors and patterns of cigarette and smokeless tobacco use among adolescents in 32 countries, 2007-2011.</w:t>
      </w:r>
      <w:r w:rsidRPr="00797235">
        <w:t xml:space="preserve"> J Adolesc Health, 2014. </w:t>
      </w:r>
      <w:r w:rsidRPr="00797235">
        <w:rPr>
          <w:b/>
        </w:rPr>
        <w:t>54</w:t>
      </w:r>
      <w:r w:rsidRPr="00797235">
        <w:t>(1): p. 47-53.</w:t>
      </w:r>
    </w:p>
    <w:p w:rsidR="00797235" w:rsidRPr="00797235" w:rsidRDefault="00797235" w:rsidP="00797235">
      <w:pPr>
        <w:pStyle w:val="EndNoteBibliography"/>
        <w:spacing w:after="0"/>
        <w:ind w:left="720" w:hanging="720"/>
      </w:pPr>
      <w:r w:rsidRPr="00797235">
        <w:t>12.</w:t>
      </w:r>
      <w:r w:rsidRPr="00797235">
        <w:tab/>
        <w:t xml:space="preserve">Bozicevic, I., A. Gilmore, and S. Oreskovic, </w:t>
      </w:r>
      <w:r w:rsidRPr="00797235">
        <w:rPr>
          <w:i/>
        </w:rPr>
        <w:t>The tobacco epidemic in south-east Europe: consequences and policy responses</w:t>
      </w:r>
      <w:r w:rsidRPr="00797235">
        <w:t xml:space="preserve">, in </w:t>
      </w:r>
      <w:r w:rsidRPr="00797235">
        <w:rPr>
          <w:i/>
        </w:rPr>
        <w:t>HNP Discussion paper</w:t>
      </w:r>
      <w:r w:rsidRPr="00797235">
        <w:t>. 2004, The International Bank for Reconstruction and Development / The World Bank. p. 79.</w:t>
      </w:r>
    </w:p>
    <w:p w:rsidR="00797235" w:rsidRPr="00797235" w:rsidRDefault="00797235" w:rsidP="00797235">
      <w:pPr>
        <w:pStyle w:val="EndNoteBibliography"/>
        <w:spacing w:after="0"/>
        <w:ind w:left="720" w:hanging="720"/>
      </w:pPr>
      <w:r w:rsidRPr="00797235">
        <w:lastRenderedPageBreak/>
        <w:t>13.</w:t>
      </w:r>
      <w:r w:rsidRPr="00797235">
        <w:tab/>
        <w:t xml:space="preserve">Gledovic, Z., O. Bojovic, and T. Pekmezovic, </w:t>
      </w:r>
      <w:r w:rsidRPr="00797235">
        <w:rPr>
          <w:i/>
        </w:rPr>
        <w:t>The pattern of lung cancer mortality in Montenegro.</w:t>
      </w:r>
      <w:r w:rsidRPr="00797235">
        <w:t xml:space="preserve"> Eur J Cancer Prev, 2003. </w:t>
      </w:r>
      <w:r w:rsidRPr="00797235">
        <w:rPr>
          <w:b/>
        </w:rPr>
        <w:t>12</w:t>
      </w:r>
      <w:r w:rsidRPr="00797235">
        <w:t>(5): p. 373-6.</w:t>
      </w:r>
    </w:p>
    <w:p w:rsidR="00797235" w:rsidRPr="00797235" w:rsidRDefault="00797235" w:rsidP="00797235">
      <w:pPr>
        <w:pStyle w:val="EndNoteBibliography"/>
        <w:spacing w:after="0"/>
        <w:ind w:left="720" w:hanging="720"/>
      </w:pPr>
      <w:r w:rsidRPr="00797235">
        <w:t>14.</w:t>
      </w:r>
      <w:r w:rsidRPr="00797235">
        <w:tab/>
        <w:t xml:space="preserve">Zvrko, E., Z. Gledovic, and A. Ljaljevic, </w:t>
      </w:r>
      <w:r w:rsidRPr="00797235">
        <w:rPr>
          <w:i/>
        </w:rPr>
        <w:t>Risk factors for laryngeal cancer in Montenegro.</w:t>
      </w:r>
      <w:r w:rsidRPr="00797235">
        <w:t xml:space="preserve"> Arh Hig Rada Toksikol, 2008. </w:t>
      </w:r>
      <w:r w:rsidRPr="00797235">
        <w:rPr>
          <w:b/>
        </w:rPr>
        <w:t>59</w:t>
      </w:r>
      <w:r w:rsidRPr="00797235">
        <w:t>(1): p. 11-8.</w:t>
      </w:r>
    </w:p>
    <w:p w:rsidR="00797235" w:rsidRPr="00797235" w:rsidRDefault="00797235" w:rsidP="00797235">
      <w:pPr>
        <w:pStyle w:val="EndNoteBibliography"/>
        <w:spacing w:after="0"/>
        <w:ind w:left="720" w:hanging="720"/>
      </w:pPr>
      <w:r w:rsidRPr="00797235">
        <w:t>15.</w:t>
      </w:r>
      <w:r w:rsidRPr="00797235">
        <w:tab/>
        <w:t xml:space="preserve">WBG Global Tobacco Control Program Team. </w:t>
      </w:r>
      <w:r w:rsidRPr="00797235">
        <w:rPr>
          <w:i/>
        </w:rPr>
        <w:t>E-cigarettes: use and taxation</w:t>
      </w:r>
      <w:r w:rsidRPr="00797235">
        <w:t>. 2019; Available from: http://documents.worldbank.org/curated/en/356561555100066200/pdf/E-Cigarettes-Use-</w:t>
      </w:r>
      <w:r w:rsidRPr="00797235">
        <w:rPr>
          <w:cs/>
        </w:rPr>
        <w:t>‎</w:t>
      </w:r>
      <w:r w:rsidRPr="00797235">
        <w:t>and-Taxation.pdf.</w:t>
      </w:r>
    </w:p>
    <w:p w:rsidR="00797235" w:rsidRPr="00797235" w:rsidRDefault="00797235" w:rsidP="00797235">
      <w:pPr>
        <w:pStyle w:val="EndNoteBibliography"/>
        <w:spacing w:after="0"/>
        <w:ind w:left="720" w:hanging="720"/>
      </w:pPr>
      <w:r w:rsidRPr="00797235">
        <w:t>16.</w:t>
      </w:r>
      <w:r w:rsidRPr="00797235">
        <w:tab/>
      </w:r>
      <w:r w:rsidRPr="00797235">
        <w:rPr>
          <w:i/>
        </w:rPr>
        <w:t>Guidelines for implementation of Article 6 of the WHO Framework Convention on Tobacco Control</w:t>
      </w:r>
      <w:r w:rsidRPr="00797235">
        <w:t>. 2014; Available from: http://www.who.int/fctc/guidelines/adopted/Guidelines_article_6.pdf.</w:t>
      </w:r>
    </w:p>
    <w:p w:rsidR="00797235" w:rsidRPr="00797235" w:rsidRDefault="00797235" w:rsidP="00797235">
      <w:pPr>
        <w:pStyle w:val="EndNoteBibliography"/>
        <w:spacing w:after="0"/>
        <w:ind w:left="720" w:hanging="720"/>
      </w:pPr>
      <w:r w:rsidRPr="00797235">
        <w:t>17.</w:t>
      </w:r>
      <w:r w:rsidRPr="00797235">
        <w:tab/>
        <w:t xml:space="preserve">Krasovsky, K., </w:t>
      </w:r>
      <w:r w:rsidRPr="00797235">
        <w:rPr>
          <w:i/>
        </w:rPr>
        <w:t>Tobacco taxation policy in three Baltic countries after the EU accession.</w:t>
      </w:r>
      <w:r w:rsidRPr="00797235">
        <w:t xml:space="preserve"> Tobacco Control and Public Health in Eastern Europe, 2012. </w:t>
      </w:r>
      <w:r w:rsidRPr="00797235">
        <w:rPr>
          <w:b/>
        </w:rPr>
        <w:t>2</w:t>
      </w:r>
      <w:r w:rsidRPr="00797235">
        <w:t>(2): p. 81-98.</w:t>
      </w:r>
    </w:p>
    <w:p w:rsidR="00797235" w:rsidRPr="00797235" w:rsidRDefault="00797235" w:rsidP="00797235">
      <w:pPr>
        <w:pStyle w:val="EndNoteBibliography"/>
        <w:spacing w:after="0"/>
        <w:ind w:left="720" w:hanging="720"/>
      </w:pPr>
      <w:r w:rsidRPr="00797235">
        <w:t>18.</w:t>
      </w:r>
      <w:r w:rsidRPr="00797235">
        <w:tab/>
        <w:t xml:space="preserve">Bisic, M. and S. Ranđelović, </w:t>
      </w:r>
      <w:r w:rsidRPr="00797235">
        <w:rPr>
          <w:i/>
        </w:rPr>
        <w:t>Cigarette excise tax policy in the Western Balkans: Trends, effects and challenges.</w:t>
      </w:r>
      <w:r w:rsidRPr="00797235">
        <w:t xml:space="preserve"> Ekonomika preduzeca, 2018. </w:t>
      </w:r>
      <w:r w:rsidRPr="00797235">
        <w:rPr>
          <w:b/>
        </w:rPr>
        <w:t>66</w:t>
      </w:r>
      <w:r w:rsidRPr="00797235">
        <w:t>: p. 320-332.</w:t>
      </w:r>
    </w:p>
    <w:p w:rsidR="00797235" w:rsidRPr="00797235" w:rsidRDefault="00797235" w:rsidP="00797235">
      <w:pPr>
        <w:pStyle w:val="EndNoteBibliography"/>
        <w:ind w:left="720" w:hanging="720"/>
      </w:pPr>
      <w:r w:rsidRPr="00797235">
        <w:t>19.</w:t>
      </w:r>
      <w:r w:rsidRPr="00797235">
        <w:tab/>
        <w:t xml:space="preserve">Mugoša, A., et al. </w:t>
      </w:r>
      <w:r w:rsidRPr="00797235">
        <w:rPr>
          <w:i/>
        </w:rPr>
        <w:t>Accelerating progress on effective tobacco tax policies in Montenegro</w:t>
      </w:r>
      <w:r w:rsidRPr="00797235">
        <w:t>. Tobaccotaxation Policy brief 2018; Available from: http://tobaccotaxation.org/wp-content/uploads/2018/12/Policy-Brief-Montenegro.pdf.</w:t>
      </w:r>
    </w:p>
    <w:p w:rsidR="00E71FD8" w:rsidRPr="00E71FD8" w:rsidRDefault="008A4F57" w:rsidP="00797235">
      <w:r>
        <w:fldChar w:fldCharType="end"/>
      </w:r>
    </w:p>
    <w:sectPr w:rsidR="00E71FD8" w:rsidRPr="00E71FD8" w:rsidSect="000D16A7">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90" w:rsidRDefault="00B81E90" w:rsidP="00502EF5">
      <w:r>
        <w:separator/>
      </w:r>
    </w:p>
  </w:endnote>
  <w:endnote w:type="continuationSeparator" w:id="0">
    <w:p w:rsidR="00B81E90" w:rsidRDefault="00B81E90" w:rsidP="0050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995301"/>
      <w:docPartObj>
        <w:docPartGallery w:val="Page Numbers (Bottom of Page)"/>
        <w:docPartUnique/>
      </w:docPartObj>
    </w:sdtPr>
    <w:sdtContent>
      <w:p w:rsidR="002762AB" w:rsidRDefault="002762AB" w:rsidP="00FB5B2A">
        <w:pPr>
          <w:pStyle w:val="af3"/>
          <w:jc w:val="center"/>
        </w:pPr>
        <w:r>
          <w:fldChar w:fldCharType="begin"/>
        </w:r>
        <w:r>
          <w:instrText xml:space="preserve"> PAGE   \* MERGEFORMAT </w:instrText>
        </w:r>
        <w:r>
          <w:fldChar w:fldCharType="separate"/>
        </w:r>
        <w:r w:rsidR="00133E02">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90" w:rsidRDefault="00B81E90" w:rsidP="00502EF5">
      <w:r>
        <w:separator/>
      </w:r>
    </w:p>
  </w:footnote>
  <w:footnote w:type="continuationSeparator" w:id="0">
    <w:p w:rsidR="00B81E90" w:rsidRDefault="00B81E90" w:rsidP="00502EF5">
      <w:r>
        <w:continuationSeparator/>
      </w:r>
    </w:p>
  </w:footnote>
  <w:footnote w:id="1">
    <w:p w:rsidR="002762AB" w:rsidRDefault="002762AB" w:rsidP="00502EF5">
      <w:pPr>
        <w:pStyle w:val="a6"/>
      </w:pPr>
      <w:r>
        <w:rPr>
          <w:rStyle w:val="a8"/>
        </w:rPr>
        <w:footnoteRef/>
      </w:r>
      <w:r>
        <w:t xml:space="preserve"> </w:t>
      </w:r>
      <w:r w:rsidRPr="00FB5B2A">
        <w:t>http://www.rtvbudva.me/vijesti/u-crnoj-gori-pusi-31-odsto-stanovnistva/11034</w:t>
      </w:r>
      <w:r>
        <w:t xml:space="preserve"> </w:t>
      </w:r>
    </w:p>
  </w:footnote>
  <w:footnote w:id="2">
    <w:p w:rsidR="002762AB" w:rsidRDefault="002762AB">
      <w:pPr>
        <w:pStyle w:val="a6"/>
      </w:pPr>
      <w:r>
        <w:rPr>
          <w:rStyle w:val="a8"/>
        </w:rPr>
        <w:footnoteRef/>
      </w:r>
      <w:r>
        <w:t xml:space="preserve"> </w:t>
      </w:r>
      <w:r w:rsidRPr="0005609C">
        <w:t>http://www.emcdda.europa.eu/attachements.cfm/att_261864_EN_2-%20Final%20Report%20GPS%20Montenegro%202017.pdf</w:t>
      </w:r>
    </w:p>
  </w:footnote>
  <w:footnote w:id="3">
    <w:p w:rsidR="002762AB" w:rsidRDefault="002762AB" w:rsidP="00502EF5">
      <w:pPr>
        <w:pStyle w:val="a6"/>
      </w:pPr>
      <w:r>
        <w:rPr>
          <w:rStyle w:val="a8"/>
        </w:rPr>
        <w:footnoteRef/>
      </w:r>
      <w:r>
        <w:t xml:space="preserve"> </w:t>
      </w:r>
      <w:r w:rsidRPr="00AD1791">
        <w:t>https://gateway.euro.who.int/en/hfa-explorer/</w:t>
      </w:r>
    </w:p>
  </w:footnote>
  <w:footnote w:id="4">
    <w:p w:rsidR="002762AB" w:rsidRDefault="002762AB" w:rsidP="00502EF5">
      <w:pPr>
        <w:pStyle w:val="a6"/>
      </w:pPr>
      <w:r>
        <w:rPr>
          <w:rStyle w:val="a8"/>
        </w:rPr>
        <w:footnoteRef/>
      </w:r>
      <w:r>
        <w:t xml:space="preserve"> Zakon o ograničavanju upotrebe duvanskih proizvoda  </w:t>
      </w:r>
      <w:r w:rsidRPr="00FB5B2A">
        <w:t>http://www.aduvan.co.me/Dokumenti/Zakoni/Zakon%20o%20ogranicavanju%20upotrebe%20duvanskih%20proizvoda.pdf</w:t>
      </w:r>
      <w:r>
        <w:t xml:space="preserve"> </w:t>
      </w:r>
    </w:p>
  </w:footnote>
  <w:footnote w:id="5">
    <w:p w:rsidR="002762AB" w:rsidRDefault="002762AB" w:rsidP="009F6CF2">
      <w:pPr>
        <w:pStyle w:val="a6"/>
        <w:spacing w:before="0"/>
      </w:pPr>
      <w:r>
        <w:rPr>
          <w:rStyle w:val="a8"/>
        </w:rPr>
        <w:footnoteRef/>
      </w:r>
      <w:r>
        <w:t xml:space="preserve"> </w:t>
      </w:r>
      <w:r w:rsidRPr="00464FFB">
        <w:t>http://www.upravacarina.gov.me/rubrike/akciza/175114/Saopstenje.html</w:t>
      </w:r>
    </w:p>
  </w:footnote>
  <w:footnote w:id="6">
    <w:p w:rsidR="002762AB" w:rsidRDefault="002762AB" w:rsidP="009F6CF2">
      <w:pPr>
        <w:pStyle w:val="a6"/>
        <w:spacing w:before="0"/>
      </w:pPr>
      <w:r>
        <w:rPr>
          <w:rStyle w:val="a8"/>
        </w:rPr>
        <w:footnoteRef/>
      </w:r>
      <w:r>
        <w:t xml:space="preserve"> </w:t>
      </w:r>
      <w:r w:rsidRPr="00464FFB">
        <w:t>http://www.upravacarina.gov.me/rubrike/akciza/189839/Obavjestenje-o-izmjenam-i-dopunama-Zakona-o-akcizama-SL-list-CG-br-55-18-od-01-08-2018-g.html</w:t>
      </w:r>
    </w:p>
  </w:footnote>
  <w:footnote w:id="7">
    <w:p w:rsidR="002762AB" w:rsidRPr="00D32FBA" w:rsidRDefault="002762AB" w:rsidP="009122BE">
      <w:pPr>
        <w:pStyle w:val="a6"/>
        <w:spacing w:before="0"/>
      </w:pPr>
      <w:r>
        <w:rPr>
          <w:rStyle w:val="a8"/>
        </w:rPr>
        <w:footnoteRef/>
      </w:r>
      <w:r>
        <w:t xml:space="preserve"> </w:t>
      </w:r>
      <w:r w:rsidRPr="00CF117F">
        <w:t>http://www.upravacarina.gov.me/rubrike/akciza/189839/Obavjestenje-o-izmjenam-i-dopunama-Zakona-o-akcizama-SL-list-CG-br-55-18-od-01-08-2018-g.html</w:t>
      </w:r>
    </w:p>
  </w:footnote>
  <w:footnote w:id="8">
    <w:p w:rsidR="002762AB" w:rsidRDefault="002762AB" w:rsidP="009122BE">
      <w:pPr>
        <w:pStyle w:val="a6"/>
        <w:spacing w:before="0"/>
      </w:pPr>
      <w:r>
        <w:rPr>
          <w:rStyle w:val="a8"/>
        </w:rPr>
        <w:footnoteRef/>
      </w:r>
      <w:r>
        <w:t xml:space="preserve"> </w:t>
      </w:r>
      <w:r w:rsidRPr="000851B4">
        <w:t>http://www.dogana.gov.al/dokument/2231/ligji-98-2018-per-disa-shtesa-dhe-ndryshime-ne-ligjin-61-2012-per-akcizat-ne-rsh</w:t>
      </w:r>
    </w:p>
  </w:footnote>
  <w:footnote w:id="9">
    <w:p w:rsidR="002762AB" w:rsidRPr="00D32FBA" w:rsidRDefault="002762AB" w:rsidP="009122BE">
      <w:pPr>
        <w:pStyle w:val="a6"/>
        <w:spacing w:before="0"/>
      </w:pPr>
      <w:r>
        <w:rPr>
          <w:rStyle w:val="a8"/>
        </w:rPr>
        <w:footnoteRef/>
      </w:r>
      <w:r>
        <w:t xml:space="preserve"> </w:t>
      </w:r>
      <w:r w:rsidRPr="00CF117F">
        <w:t>http://www.sluzbenilist.ba/page/akt/ccg4ohz4nh78h77gKVt7E=</w:t>
      </w:r>
    </w:p>
  </w:footnote>
  <w:footnote w:id="10">
    <w:p w:rsidR="002762AB" w:rsidRPr="00683577" w:rsidRDefault="002762AB" w:rsidP="009122BE">
      <w:pPr>
        <w:pStyle w:val="a6"/>
        <w:spacing w:before="0"/>
      </w:pPr>
      <w:r>
        <w:rPr>
          <w:rStyle w:val="a8"/>
        </w:rPr>
        <w:footnoteRef/>
      </w:r>
      <w:r>
        <w:t xml:space="preserve"> </w:t>
      </w:r>
      <w:r w:rsidRPr="001E1E91">
        <w:t>https://www.mfin.gov.rs/pages/article.php?id=13709</w:t>
      </w:r>
    </w:p>
  </w:footnote>
  <w:footnote w:id="11">
    <w:p w:rsidR="002762AB" w:rsidRPr="00683577" w:rsidRDefault="002762AB" w:rsidP="009122BE">
      <w:pPr>
        <w:pStyle w:val="a6"/>
        <w:spacing w:before="0"/>
      </w:pPr>
      <w:r>
        <w:rPr>
          <w:rStyle w:val="a8"/>
        </w:rPr>
        <w:footnoteRef/>
      </w:r>
      <w:r>
        <w:t xml:space="preserve"> </w:t>
      </w:r>
      <w:r w:rsidRPr="001E1E91">
        <w:t>https://www.mfin.gov.rs/UserFiles/File/podzakonski%20akti/2019/Odluka%20o%20iznosima%20prosecnih%20ponderisanih%20maloprodajnih%20cena%20i%20minimalnih%20akciza%20na%20duvanske%20preradjevine.pdf</w:t>
      </w:r>
    </w:p>
  </w:footnote>
  <w:footnote w:id="12">
    <w:p w:rsidR="002762AB" w:rsidRDefault="002762AB" w:rsidP="009122BE">
      <w:pPr>
        <w:pStyle w:val="a6"/>
        <w:spacing w:before="0"/>
      </w:pPr>
      <w:r>
        <w:rPr>
          <w:rStyle w:val="a8"/>
        </w:rPr>
        <w:footnoteRef/>
      </w:r>
      <w:r>
        <w:t xml:space="preserve"> </w:t>
      </w:r>
      <w:r w:rsidRPr="000851B4">
        <w:t>http://ec.europa.eu/taxation_customs/sites/taxation/files/resources/documents/taxation/excise_duties/tobacco_products/rates/excise_duties-part_iii_tobacco_en.pdf</w:t>
      </w:r>
    </w:p>
  </w:footnote>
  <w:footnote w:id="13">
    <w:p w:rsidR="002762AB" w:rsidRDefault="002762AB" w:rsidP="009122BE">
      <w:pPr>
        <w:pStyle w:val="a6"/>
        <w:spacing w:before="0"/>
      </w:pPr>
      <w:r>
        <w:rPr>
          <w:rStyle w:val="a8"/>
        </w:rPr>
        <w:footnoteRef/>
      </w:r>
      <w:r>
        <w:t xml:space="preserve"> </w:t>
      </w:r>
      <w:r w:rsidRPr="000851B4">
        <w:t>http://ec.europa.eu/taxation_customs/sites/taxation/files/resources/documents/taxation/excise_duties/tobacco_products/rates/excise_duties-part_iii_tobacco_en.pdf</w:t>
      </w:r>
    </w:p>
  </w:footnote>
  <w:footnote w:id="14">
    <w:p w:rsidR="002762AB" w:rsidRDefault="002762AB">
      <w:pPr>
        <w:pStyle w:val="a6"/>
      </w:pPr>
      <w:r>
        <w:rPr>
          <w:rStyle w:val="a8"/>
        </w:rPr>
        <w:footnoteRef/>
      </w:r>
      <w:r>
        <w:t xml:space="preserve"> </w:t>
      </w:r>
      <w:r w:rsidRPr="002B1C30">
        <w:t>http://www.aduvan.co.me/Dokumenti/Pravilnik123456.pdf</w:t>
      </w:r>
    </w:p>
  </w:footnote>
  <w:footnote w:id="15">
    <w:p w:rsidR="002762AB" w:rsidRPr="00F904D5" w:rsidRDefault="002762AB" w:rsidP="009135CD">
      <w:pPr>
        <w:pStyle w:val="a6"/>
        <w:rPr>
          <w:rFonts w:ascii="Arial" w:eastAsia="Times New Roman" w:hAnsi="Arial" w:cs="Arial"/>
          <w:color w:val="222222"/>
          <w:sz w:val="24"/>
          <w:szCs w:val="24"/>
        </w:rPr>
      </w:pPr>
      <w:r>
        <w:rPr>
          <w:rStyle w:val="a8"/>
        </w:rPr>
        <w:footnoteRef/>
      </w:r>
      <w:r>
        <w:t xml:space="preserve"> </w:t>
      </w:r>
      <w:r w:rsidRPr="00FB5B2A">
        <w:t>https://www.paragraf.me/dnevne-vijesti/18032019/18032019-vijest2.html</w:t>
      </w:r>
    </w:p>
  </w:footnote>
  <w:footnote w:id="16">
    <w:p w:rsidR="002762AB" w:rsidRPr="007B64F9" w:rsidRDefault="002762AB" w:rsidP="00502EF5">
      <w:pPr>
        <w:pStyle w:val="a6"/>
      </w:pPr>
      <w:r>
        <w:rPr>
          <w:rStyle w:val="a8"/>
        </w:rPr>
        <w:footnoteRef/>
      </w:r>
      <w:r>
        <w:t xml:space="preserve"> </w:t>
      </w:r>
      <w:r w:rsidRPr="00FB5B2A">
        <w:t>http://apps.who.int/fctc/implementation/database/parties/Montenegro</w:t>
      </w:r>
      <w:r>
        <w:t xml:space="preserve"> </w:t>
      </w:r>
    </w:p>
  </w:footnote>
  <w:footnote w:id="17">
    <w:p w:rsidR="002762AB" w:rsidRDefault="002762AB">
      <w:pPr>
        <w:pStyle w:val="a6"/>
      </w:pPr>
      <w:r>
        <w:rPr>
          <w:rStyle w:val="a8"/>
        </w:rPr>
        <w:footnoteRef/>
      </w:r>
      <w:r>
        <w:t xml:space="preserve"> </w:t>
      </w:r>
      <w:r w:rsidRPr="00FB5B2A">
        <w:t>http://monstat.org/eng/page.php?id=26&amp;pageid=26</w:t>
      </w:r>
    </w:p>
  </w:footnote>
  <w:footnote w:id="18">
    <w:p w:rsidR="002762AB" w:rsidRPr="006D7686" w:rsidRDefault="002762AB" w:rsidP="00502EF5">
      <w:pPr>
        <w:pStyle w:val="a6"/>
      </w:pPr>
      <w:r>
        <w:rPr>
          <w:rStyle w:val="a8"/>
        </w:rPr>
        <w:footnoteRef/>
      </w:r>
      <w:r>
        <w:t xml:space="preserve"> </w:t>
      </w:r>
      <w:r w:rsidRPr="00FB5B2A">
        <w:rPr>
          <w:lang w:val="en-GB"/>
        </w:rPr>
        <w:t>http://data.worldbank.org/indicator/NY.GDP.PCAP.KD.ZG</w:t>
      </w:r>
      <w:r>
        <w:rPr>
          <w:lang w:val="en-GB"/>
        </w:rPr>
        <w:t xml:space="preserve"> </w:t>
      </w:r>
    </w:p>
  </w:footnote>
  <w:footnote w:id="19">
    <w:p w:rsidR="002762AB" w:rsidRPr="00CA6C2C" w:rsidRDefault="002762AB" w:rsidP="00502EF5">
      <w:pPr>
        <w:pStyle w:val="a6"/>
      </w:pPr>
      <w:r>
        <w:rPr>
          <w:rStyle w:val="a8"/>
        </w:rPr>
        <w:footnoteRef/>
      </w:r>
      <w:r>
        <w:t xml:space="preserve"> </w:t>
      </w:r>
      <w:r w:rsidRPr="00FB5B2A">
        <w:t>http://www.aduvan.co.me/vijest/11/za-godinu-prodato-1700-tona-cigareta</w:t>
      </w:r>
      <w:r>
        <w:t xml:space="preserve"> </w:t>
      </w:r>
    </w:p>
  </w:footnote>
  <w:footnote w:id="20">
    <w:p w:rsidR="002762AB" w:rsidRPr="002E522A" w:rsidRDefault="002762AB" w:rsidP="00502EF5">
      <w:pPr>
        <w:pStyle w:val="a6"/>
      </w:pPr>
      <w:r>
        <w:rPr>
          <w:rStyle w:val="a8"/>
        </w:rPr>
        <w:footnoteRef/>
      </w:r>
      <w:r>
        <w:t xml:space="preserve"> </w:t>
      </w:r>
      <w:r w:rsidRPr="00FB5B2A">
        <w:t>http://portalanalitika.me/clanak/137110/siva-ekonomija-prihodi-budzeta-od-akciza-na-cigarete-manji-od-planiranih-zbog-visokog-ucesca-crnog-trzista</w:t>
      </w:r>
      <w:r>
        <w:rPr>
          <w:rStyle w:val="ad"/>
        </w:rPr>
        <w:t xml:space="preserve"> </w:t>
      </w:r>
    </w:p>
  </w:footnote>
  <w:footnote w:id="21">
    <w:p w:rsidR="002762AB" w:rsidRDefault="002762AB" w:rsidP="002762AB">
      <w:pPr>
        <w:pStyle w:val="a6"/>
      </w:pPr>
      <w:r>
        <w:rPr>
          <w:rStyle w:val="a8"/>
        </w:rPr>
        <w:footnoteRef/>
      </w:r>
      <w:r>
        <w:t xml:space="preserve"> </w:t>
      </w:r>
      <w:r w:rsidRPr="00FB5B2A">
        <w:t>http://www.vijesti.me/vijesti/cigarete-10-centi-skuplje-od-1-aprila-921047</w:t>
      </w:r>
    </w:p>
  </w:footnote>
  <w:footnote w:id="22">
    <w:p w:rsidR="002762AB" w:rsidRDefault="002762AB" w:rsidP="002762AB">
      <w:pPr>
        <w:pStyle w:val="a6"/>
      </w:pPr>
      <w:r>
        <w:rPr>
          <w:rStyle w:val="a8"/>
        </w:rPr>
        <w:footnoteRef/>
      </w:r>
      <w:r>
        <w:t xml:space="preserve"> </w:t>
      </w:r>
      <w:r w:rsidRPr="00FB5B2A">
        <w:t>http://monstat.org/eng/page.php?id=417&amp;pageid=417</w:t>
      </w:r>
    </w:p>
  </w:footnote>
  <w:footnote w:id="23">
    <w:p w:rsidR="002762AB" w:rsidRDefault="002762AB" w:rsidP="002762AB">
      <w:pPr>
        <w:pStyle w:val="a6"/>
      </w:pPr>
      <w:r>
        <w:rPr>
          <w:rStyle w:val="a8"/>
        </w:rPr>
        <w:footnoteRef/>
      </w:r>
      <w:r>
        <w:t xml:space="preserve"> </w:t>
      </w:r>
      <w:r w:rsidRPr="00FB5B2A">
        <w:t>http://www.upravacarina.gov.me/rubrike/aktuelnosti/149759/Pregled-naplate-phrihoda-Uprave-carina.html</w:t>
      </w:r>
    </w:p>
  </w:footnote>
  <w:footnote w:id="24">
    <w:p w:rsidR="002762AB" w:rsidRDefault="002762AB" w:rsidP="00DF2F84">
      <w:pPr>
        <w:pStyle w:val="a6"/>
      </w:pPr>
      <w:r>
        <w:rPr>
          <w:rStyle w:val="a8"/>
        </w:rPr>
        <w:footnoteRef/>
      </w:r>
      <w:r>
        <w:t xml:space="preserve"> </w:t>
      </w:r>
      <w:r w:rsidRPr="00650C24">
        <w:t>http://www.diplomacyandcommerce.rs/jti-supports-the-announcement-of-reduction-of-excise-taxes-on-cigarettes-in-montenegro-and-bih/</w:t>
      </w:r>
    </w:p>
  </w:footnote>
  <w:footnote w:id="25">
    <w:p w:rsidR="002762AB" w:rsidRDefault="002762AB">
      <w:pPr>
        <w:pStyle w:val="a6"/>
      </w:pPr>
      <w:r>
        <w:rPr>
          <w:rStyle w:val="a8"/>
        </w:rPr>
        <w:footnoteRef/>
      </w:r>
      <w:r>
        <w:t xml:space="preserve"> </w:t>
      </w:r>
      <w:r w:rsidRPr="00894C27">
        <w:t>https://www.vijesti.me/vijesti/ekonomija/drzava-zbog-sverca-cigareta-izgubila-desetak-miliona</w:t>
      </w:r>
    </w:p>
  </w:footnote>
  <w:footnote w:id="26">
    <w:p w:rsidR="002762AB" w:rsidRDefault="002762AB">
      <w:pPr>
        <w:pStyle w:val="a6"/>
      </w:pPr>
      <w:r>
        <w:rPr>
          <w:rStyle w:val="a8"/>
        </w:rPr>
        <w:footnoteRef/>
      </w:r>
      <w:r>
        <w:t xml:space="preserve"> </w:t>
      </w:r>
      <w:r w:rsidRPr="00FB5B2A">
        <w:t>https://www.vijesti.me/vijesti/ekonomija/cijene-cigareta-od-avgusta-vece-do-40-centi</w:t>
      </w:r>
    </w:p>
  </w:footnote>
  <w:footnote w:id="27">
    <w:p w:rsidR="002762AB" w:rsidRDefault="002762AB">
      <w:pPr>
        <w:pStyle w:val="a6"/>
      </w:pPr>
      <w:r>
        <w:rPr>
          <w:rStyle w:val="a8"/>
        </w:rPr>
        <w:footnoteRef/>
      </w:r>
      <w:r>
        <w:t xml:space="preserve"> </w:t>
      </w:r>
      <w:r w:rsidRPr="003F6AD4">
        <w:t>https://www.vijesti.me/vijesti/ekonomija/drzava-zbog-sverca-cigareta-izgubila-desetak-miliona</w:t>
      </w:r>
    </w:p>
  </w:footnote>
  <w:footnote w:id="28">
    <w:p w:rsidR="002762AB" w:rsidRDefault="002762AB" w:rsidP="00CD7E38">
      <w:pPr>
        <w:pStyle w:val="a6"/>
      </w:pPr>
      <w:r>
        <w:rPr>
          <w:rStyle w:val="a8"/>
        </w:rPr>
        <w:footnoteRef/>
      </w:r>
      <w:r>
        <w:t xml:space="preserve"> </w:t>
      </w:r>
      <w:r w:rsidRPr="006D69C3">
        <w:t>https://www.vijesti.me/vijesti/ekonomija/prodaja-cigareta-pala-za-2-5-odsto</w:t>
      </w:r>
    </w:p>
  </w:footnote>
  <w:footnote w:id="29">
    <w:p w:rsidR="002762AB" w:rsidRDefault="002762AB" w:rsidP="00E945D1">
      <w:pPr>
        <w:pStyle w:val="a6"/>
        <w:spacing w:before="0"/>
      </w:pPr>
      <w:r>
        <w:rPr>
          <w:rStyle w:val="a8"/>
        </w:rPr>
        <w:footnoteRef/>
      </w:r>
      <w:r>
        <w:t xml:space="preserve"> </w:t>
      </w:r>
      <w:r w:rsidRPr="00464FFB">
        <w:t>http://www.upravacarina.gov.me/rubrike/akciza/189839/Obavjestenje-o-izmjenam-i-dopunama-Zakona-o-akcizama-SL-list-CG-br-55-18-od-01-08-2018-g.html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HAnsi"/>
        <w:i/>
        <w:iCs/>
        <w:sz w:val="16"/>
        <w:szCs w:val="16"/>
        <w:u w:val="single"/>
        <w:lang w:eastAsia="en-US"/>
      </w:rPr>
      <w:alias w:val="Заголовок"/>
      <w:id w:val="77738743"/>
      <w:dataBinding w:prefixMappings="xmlns:ns0='http://schemas.openxmlformats.org/package/2006/metadata/core-properties' xmlns:ns1='http://purl.org/dc/elements/1.1/'" w:xpath="/ns0:coreProperties[1]/ns1:title[1]" w:storeItemID="{6C3C8BC8-F283-45AE-878A-BAB7291924A1}"/>
      <w:text/>
    </w:sdtPr>
    <w:sdtContent>
      <w:p w:rsidR="002762AB" w:rsidRPr="00FB5B2A" w:rsidRDefault="002762AB" w:rsidP="00F25B0A">
        <w:pPr>
          <w:pStyle w:val="af1"/>
          <w:jc w:val="right"/>
          <w:rPr>
            <w:rFonts w:eastAsiaTheme="majorEastAsia"/>
            <w:sz w:val="32"/>
            <w:szCs w:val="32"/>
          </w:rPr>
        </w:pPr>
        <w:r>
          <w:rPr>
            <w:rFonts w:eastAsiaTheme="minorHAnsi"/>
            <w:i/>
            <w:iCs/>
            <w:sz w:val="16"/>
            <w:szCs w:val="16"/>
            <w:u w:val="single"/>
            <w:lang w:eastAsia="en-US"/>
          </w:rPr>
          <w:t>Montenegro: Overview of Tobacco Use, Tobacco Control Legislation, and Taxation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170A"/>
    <w:multiLevelType w:val="hybridMultilevel"/>
    <w:tmpl w:val="45CC2A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2482C11"/>
    <w:multiLevelType w:val="hybridMultilevel"/>
    <w:tmpl w:val="EA86A88A"/>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2C30C2E"/>
    <w:multiLevelType w:val="hybridMultilevel"/>
    <w:tmpl w:val="8114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064EE"/>
    <w:multiLevelType w:val="hybridMultilevel"/>
    <w:tmpl w:val="73389D8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7BFB11ED"/>
    <w:multiLevelType w:val="hybridMultilevel"/>
    <w:tmpl w:val="ED906CE6"/>
    <w:lvl w:ilvl="0" w:tplc="040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9zdt9a8tdpsseaptvpd555505tfr02pr2e&quot;&gt;simulation-20170204&lt;record-ids&gt;&lt;item&gt;4672&lt;/item&gt;&lt;item&gt;4673&lt;/item&gt;&lt;item&gt;4674&lt;/item&gt;&lt;item&gt;4675&lt;/item&gt;&lt;item&gt;4676&lt;/item&gt;&lt;item&gt;4677&lt;/item&gt;&lt;item&gt;4678&lt;/item&gt;&lt;item&gt;4679&lt;/item&gt;&lt;item&gt;4681&lt;/item&gt;&lt;item&gt;4683&lt;/item&gt;&lt;item&gt;4684&lt;/item&gt;&lt;item&gt;4685&lt;/item&gt;&lt;item&gt;4686&lt;/item&gt;&lt;item&gt;4687&lt;/item&gt;&lt;item&gt;4689&lt;/item&gt;&lt;item&gt;4895&lt;/item&gt;&lt;item&gt;5748&lt;/item&gt;&lt;item&gt;5765&lt;/item&gt;&lt;item&gt;5766&lt;/item&gt;&lt;/record-ids&gt;&lt;/item&gt;&lt;/Libraries&gt;"/>
  </w:docVars>
  <w:rsids>
    <w:rsidRoot w:val="00B7228E"/>
    <w:rsid w:val="00052C5E"/>
    <w:rsid w:val="0005609C"/>
    <w:rsid w:val="00064433"/>
    <w:rsid w:val="000851B4"/>
    <w:rsid w:val="00091E0A"/>
    <w:rsid w:val="00093634"/>
    <w:rsid w:val="000B2987"/>
    <w:rsid w:val="000D16A7"/>
    <w:rsid w:val="000D35D3"/>
    <w:rsid w:val="000F5FBE"/>
    <w:rsid w:val="000F6A56"/>
    <w:rsid w:val="00126167"/>
    <w:rsid w:val="0012716D"/>
    <w:rsid w:val="001332BE"/>
    <w:rsid w:val="00133E02"/>
    <w:rsid w:val="0014714A"/>
    <w:rsid w:val="00185FB6"/>
    <w:rsid w:val="001A06E8"/>
    <w:rsid w:val="001A32A8"/>
    <w:rsid w:val="001D4F7D"/>
    <w:rsid w:val="001F1771"/>
    <w:rsid w:val="00211611"/>
    <w:rsid w:val="00212F8E"/>
    <w:rsid w:val="0023342E"/>
    <w:rsid w:val="00254701"/>
    <w:rsid w:val="002645E1"/>
    <w:rsid w:val="002762AB"/>
    <w:rsid w:val="00290E0B"/>
    <w:rsid w:val="00295F07"/>
    <w:rsid w:val="002B1C30"/>
    <w:rsid w:val="002B63BE"/>
    <w:rsid w:val="002D6311"/>
    <w:rsid w:val="002E12A9"/>
    <w:rsid w:val="0030389A"/>
    <w:rsid w:val="0033693E"/>
    <w:rsid w:val="00346F1E"/>
    <w:rsid w:val="00365AC2"/>
    <w:rsid w:val="003835ED"/>
    <w:rsid w:val="00384583"/>
    <w:rsid w:val="00384BDA"/>
    <w:rsid w:val="00390BA8"/>
    <w:rsid w:val="00390FE6"/>
    <w:rsid w:val="00393057"/>
    <w:rsid w:val="003C013D"/>
    <w:rsid w:val="003C098A"/>
    <w:rsid w:val="003C11CB"/>
    <w:rsid w:val="003C2FF1"/>
    <w:rsid w:val="003C3B1F"/>
    <w:rsid w:val="003F6AD4"/>
    <w:rsid w:val="004239EB"/>
    <w:rsid w:val="00442ABD"/>
    <w:rsid w:val="00447435"/>
    <w:rsid w:val="00456FD9"/>
    <w:rsid w:val="00457CC8"/>
    <w:rsid w:val="00464FFB"/>
    <w:rsid w:val="00472B63"/>
    <w:rsid w:val="004A1C25"/>
    <w:rsid w:val="004B1A17"/>
    <w:rsid w:val="004D60E6"/>
    <w:rsid w:val="004F4642"/>
    <w:rsid w:val="00502EF5"/>
    <w:rsid w:val="005122D6"/>
    <w:rsid w:val="00515162"/>
    <w:rsid w:val="00520093"/>
    <w:rsid w:val="00543744"/>
    <w:rsid w:val="00545180"/>
    <w:rsid w:val="0055112D"/>
    <w:rsid w:val="00554C17"/>
    <w:rsid w:val="00556D53"/>
    <w:rsid w:val="00570169"/>
    <w:rsid w:val="00596D6E"/>
    <w:rsid w:val="005B54C4"/>
    <w:rsid w:val="005C7796"/>
    <w:rsid w:val="005E5C54"/>
    <w:rsid w:val="00600384"/>
    <w:rsid w:val="00604567"/>
    <w:rsid w:val="006111BE"/>
    <w:rsid w:val="006325CD"/>
    <w:rsid w:val="00632AFC"/>
    <w:rsid w:val="00650C24"/>
    <w:rsid w:val="00670D2F"/>
    <w:rsid w:val="00675208"/>
    <w:rsid w:val="00696B67"/>
    <w:rsid w:val="006A2D79"/>
    <w:rsid w:val="006D31D5"/>
    <w:rsid w:val="006D3BCF"/>
    <w:rsid w:val="006D69C3"/>
    <w:rsid w:val="00706756"/>
    <w:rsid w:val="007116F6"/>
    <w:rsid w:val="007236A1"/>
    <w:rsid w:val="0074418F"/>
    <w:rsid w:val="0074547D"/>
    <w:rsid w:val="00771C45"/>
    <w:rsid w:val="0077444C"/>
    <w:rsid w:val="0077564D"/>
    <w:rsid w:val="00780B06"/>
    <w:rsid w:val="007826B6"/>
    <w:rsid w:val="0078677E"/>
    <w:rsid w:val="0079360C"/>
    <w:rsid w:val="00797235"/>
    <w:rsid w:val="007A2DEE"/>
    <w:rsid w:val="007D0F29"/>
    <w:rsid w:val="007D64B2"/>
    <w:rsid w:val="007E445C"/>
    <w:rsid w:val="007F6BC9"/>
    <w:rsid w:val="00814999"/>
    <w:rsid w:val="00816F88"/>
    <w:rsid w:val="00833429"/>
    <w:rsid w:val="00834B26"/>
    <w:rsid w:val="0084788F"/>
    <w:rsid w:val="00852520"/>
    <w:rsid w:val="00854721"/>
    <w:rsid w:val="008574EA"/>
    <w:rsid w:val="008644AB"/>
    <w:rsid w:val="00867AF6"/>
    <w:rsid w:val="008821BA"/>
    <w:rsid w:val="00894C27"/>
    <w:rsid w:val="00896C99"/>
    <w:rsid w:val="008A4F57"/>
    <w:rsid w:val="008A5385"/>
    <w:rsid w:val="008A5F55"/>
    <w:rsid w:val="008D79F9"/>
    <w:rsid w:val="009122BE"/>
    <w:rsid w:val="009135CD"/>
    <w:rsid w:val="0094414F"/>
    <w:rsid w:val="00965C51"/>
    <w:rsid w:val="00987689"/>
    <w:rsid w:val="00992BC2"/>
    <w:rsid w:val="009A51AE"/>
    <w:rsid w:val="009B50F6"/>
    <w:rsid w:val="009B6FA3"/>
    <w:rsid w:val="009C29A4"/>
    <w:rsid w:val="009D24AD"/>
    <w:rsid w:val="009D397D"/>
    <w:rsid w:val="009E3786"/>
    <w:rsid w:val="009E6991"/>
    <w:rsid w:val="009F6CF2"/>
    <w:rsid w:val="00A52A9B"/>
    <w:rsid w:val="00A73F0D"/>
    <w:rsid w:val="00AB1F89"/>
    <w:rsid w:val="00AD1791"/>
    <w:rsid w:val="00AD2E84"/>
    <w:rsid w:val="00B306D7"/>
    <w:rsid w:val="00B660EE"/>
    <w:rsid w:val="00B7228E"/>
    <w:rsid w:val="00B81E90"/>
    <w:rsid w:val="00B953EC"/>
    <w:rsid w:val="00BA05E0"/>
    <w:rsid w:val="00BA077F"/>
    <w:rsid w:val="00BA09CE"/>
    <w:rsid w:val="00C130F7"/>
    <w:rsid w:val="00C1689B"/>
    <w:rsid w:val="00C16BC0"/>
    <w:rsid w:val="00C20C1A"/>
    <w:rsid w:val="00C22A75"/>
    <w:rsid w:val="00C6756E"/>
    <w:rsid w:val="00CC3FC8"/>
    <w:rsid w:val="00CD7E38"/>
    <w:rsid w:val="00CE6AD9"/>
    <w:rsid w:val="00CF5E1B"/>
    <w:rsid w:val="00D0469E"/>
    <w:rsid w:val="00D07A80"/>
    <w:rsid w:val="00D36F98"/>
    <w:rsid w:val="00D73DD0"/>
    <w:rsid w:val="00D80211"/>
    <w:rsid w:val="00D92B9C"/>
    <w:rsid w:val="00DA19E2"/>
    <w:rsid w:val="00DB6772"/>
    <w:rsid w:val="00DC2E77"/>
    <w:rsid w:val="00DD0C42"/>
    <w:rsid w:val="00DE1D4B"/>
    <w:rsid w:val="00DE3A5D"/>
    <w:rsid w:val="00DF2F84"/>
    <w:rsid w:val="00DF45A6"/>
    <w:rsid w:val="00DF5B47"/>
    <w:rsid w:val="00E126C8"/>
    <w:rsid w:val="00E365EE"/>
    <w:rsid w:val="00E425A7"/>
    <w:rsid w:val="00E56EE4"/>
    <w:rsid w:val="00E71FD8"/>
    <w:rsid w:val="00E945D1"/>
    <w:rsid w:val="00E94C0A"/>
    <w:rsid w:val="00EF765F"/>
    <w:rsid w:val="00F12046"/>
    <w:rsid w:val="00F177EF"/>
    <w:rsid w:val="00F24069"/>
    <w:rsid w:val="00F25B0A"/>
    <w:rsid w:val="00F25DF7"/>
    <w:rsid w:val="00F30AC6"/>
    <w:rsid w:val="00F5768A"/>
    <w:rsid w:val="00F801E4"/>
    <w:rsid w:val="00F827DC"/>
    <w:rsid w:val="00F904D5"/>
    <w:rsid w:val="00FB5B2A"/>
    <w:rsid w:val="00FB5D85"/>
    <w:rsid w:val="00FD1719"/>
    <w:rsid w:val="00FE5FAA"/>
    <w:rsid w:val="00FF0F2C"/>
    <w:rsid w:val="00FF5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F5"/>
    <w:pPr>
      <w:spacing w:before="120"/>
    </w:pPr>
    <w:rPr>
      <w:lang w:val="en-US"/>
    </w:rPr>
  </w:style>
  <w:style w:type="paragraph" w:styleId="1">
    <w:name w:val="heading 1"/>
    <w:basedOn w:val="a"/>
    <w:next w:val="a"/>
    <w:link w:val="10"/>
    <w:uiPriority w:val="9"/>
    <w:qFormat/>
    <w:rsid w:val="00E71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1F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111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96D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96D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F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1FD8"/>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a"/>
    <w:link w:val="EndNoteBibliographyTitle0"/>
    <w:rsid w:val="009D24AD"/>
    <w:pPr>
      <w:spacing w:after="0"/>
      <w:jc w:val="center"/>
    </w:pPr>
    <w:rPr>
      <w:rFonts w:ascii="Calibri" w:hAnsi="Calibri"/>
      <w:noProof/>
    </w:rPr>
  </w:style>
  <w:style w:type="character" w:customStyle="1" w:styleId="EndNoteBibliographyTitle0">
    <w:name w:val="EndNote Bibliography Title Знак"/>
    <w:basedOn w:val="a0"/>
    <w:link w:val="EndNoteBibliographyTitle"/>
    <w:rsid w:val="009D24AD"/>
    <w:rPr>
      <w:rFonts w:ascii="Calibri" w:hAnsi="Calibri"/>
      <w:noProof/>
      <w:lang w:val="en-US"/>
    </w:rPr>
  </w:style>
  <w:style w:type="paragraph" w:customStyle="1" w:styleId="EndNoteBibliography">
    <w:name w:val="EndNote Bibliography"/>
    <w:basedOn w:val="a"/>
    <w:link w:val="EndNoteBibliography0"/>
    <w:rsid w:val="009D24AD"/>
    <w:pPr>
      <w:spacing w:line="240" w:lineRule="auto"/>
    </w:pPr>
    <w:rPr>
      <w:rFonts w:ascii="Calibri" w:hAnsi="Calibri"/>
      <w:noProof/>
    </w:rPr>
  </w:style>
  <w:style w:type="character" w:customStyle="1" w:styleId="EndNoteBibliography0">
    <w:name w:val="EndNote Bibliography Знак"/>
    <w:basedOn w:val="a0"/>
    <w:link w:val="EndNoteBibliography"/>
    <w:rsid w:val="009D24AD"/>
    <w:rPr>
      <w:rFonts w:ascii="Calibri" w:hAnsi="Calibri"/>
      <w:noProof/>
      <w:lang w:val="en-US"/>
    </w:rPr>
  </w:style>
  <w:style w:type="character" w:customStyle="1" w:styleId="30">
    <w:name w:val="Заголовок 3 Знак"/>
    <w:basedOn w:val="a0"/>
    <w:link w:val="3"/>
    <w:uiPriority w:val="9"/>
    <w:rsid w:val="006111BE"/>
    <w:rPr>
      <w:rFonts w:asciiTheme="majorHAnsi" w:eastAsiaTheme="majorEastAsia" w:hAnsiTheme="majorHAnsi" w:cstheme="majorBidi"/>
      <w:b/>
      <w:bCs/>
      <w:color w:val="4F81BD" w:themeColor="accent1"/>
    </w:rPr>
  </w:style>
  <w:style w:type="paragraph" w:styleId="a3">
    <w:name w:val="endnote text"/>
    <w:basedOn w:val="a"/>
    <w:link w:val="a4"/>
    <w:uiPriority w:val="99"/>
    <w:semiHidden/>
    <w:unhideWhenUsed/>
    <w:rsid w:val="00AD1791"/>
    <w:pPr>
      <w:spacing w:after="0" w:line="240" w:lineRule="auto"/>
    </w:pPr>
    <w:rPr>
      <w:sz w:val="20"/>
      <w:szCs w:val="20"/>
    </w:rPr>
  </w:style>
  <w:style w:type="character" w:customStyle="1" w:styleId="a4">
    <w:name w:val="Текст концевой сноски Знак"/>
    <w:basedOn w:val="a0"/>
    <w:link w:val="a3"/>
    <w:uiPriority w:val="99"/>
    <w:semiHidden/>
    <w:rsid w:val="00AD1791"/>
    <w:rPr>
      <w:sz w:val="20"/>
      <w:szCs w:val="20"/>
    </w:rPr>
  </w:style>
  <w:style w:type="character" w:styleId="a5">
    <w:name w:val="endnote reference"/>
    <w:basedOn w:val="a0"/>
    <w:uiPriority w:val="99"/>
    <w:semiHidden/>
    <w:unhideWhenUsed/>
    <w:rsid w:val="00AD1791"/>
    <w:rPr>
      <w:vertAlign w:val="superscript"/>
    </w:rPr>
  </w:style>
  <w:style w:type="paragraph" w:styleId="a6">
    <w:name w:val="footnote text"/>
    <w:basedOn w:val="a"/>
    <w:link w:val="a7"/>
    <w:uiPriority w:val="99"/>
    <w:unhideWhenUsed/>
    <w:rsid w:val="00AD2E84"/>
    <w:pPr>
      <w:spacing w:after="0" w:line="240" w:lineRule="auto"/>
    </w:pPr>
    <w:rPr>
      <w:noProof/>
      <w:sz w:val="20"/>
      <w:szCs w:val="20"/>
    </w:rPr>
  </w:style>
  <w:style w:type="character" w:customStyle="1" w:styleId="a7">
    <w:name w:val="Текст сноски Знак"/>
    <w:basedOn w:val="a0"/>
    <w:link w:val="a6"/>
    <w:uiPriority w:val="99"/>
    <w:rsid w:val="00AD2E84"/>
    <w:rPr>
      <w:noProof/>
      <w:sz w:val="20"/>
      <w:szCs w:val="20"/>
      <w:lang w:val="en-US"/>
    </w:rPr>
  </w:style>
  <w:style w:type="character" w:styleId="a8">
    <w:name w:val="footnote reference"/>
    <w:basedOn w:val="a0"/>
    <w:uiPriority w:val="99"/>
    <w:semiHidden/>
    <w:unhideWhenUsed/>
    <w:rsid w:val="00F801E4"/>
    <w:rPr>
      <w:vertAlign w:val="superscript"/>
    </w:rPr>
  </w:style>
  <w:style w:type="paragraph" w:styleId="a9">
    <w:name w:val="Balloon Text"/>
    <w:basedOn w:val="a"/>
    <w:link w:val="aa"/>
    <w:uiPriority w:val="99"/>
    <w:semiHidden/>
    <w:unhideWhenUsed/>
    <w:rsid w:val="00384B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4BDA"/>
    <w:rPr>
      <w:rFonts w:ascii="Tahoma" w:hAnsi="Tahoma" w:cs="Tahoma"/>
      <w:sz w:val="16"/>
      <w:szCs w:val="16"/>
    </w:rPr>
  </w:style>
  <w:style w:type="paragraph" w:styleId="ab">
    <w:name w:val="Normal (Web)"/>
    <w:basedOn w:val="a"/>
    <w:uiPriority w:val="99"/>
    <w:semiHidden/>
    <w:unhideWhenUsed/>
    <w:rsid w:val="0084788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84788F"/>
    <w:rPr>
      <w:b/>
      <w:bCs/>
    </w:rPr>
  </w:style>
  <w:style w:type="character" w:customStyle="1" w:styleId="apple-converted-space">
    <w:name w:val="apple-converted-space"/>
    <w:basedOn w:val="a0"/>
    <w:rsid w:val="0084788F"/>
  </w:style>
  <w:style w:type="character" w:styleId="ad">
    <w:name w:val="Hyperlink"/>
    <w:basedOn w:val="a0"/>
    <w:uiPriority w:val="99"/>
    <w:unhideWhenUsed/>
    <w:rsid w:val="0084788F"/>
    <w:rPr>
      <w:color w:val="0000FF"/>
      <w:u w:val="single"/>
    </w:rPr>
  </w:style>
  <w:style w:type="table" w:styleId="ae">
    <w:name w:val="Table Grid"/>
    <w:basedOn w:val="a1"/>
    <w:uiPriority w:val="59"/>
    <w:rsid w:val="00F3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uiPriority w:val="35"/>
    <w:unhideWhenUsed/>
    <w:qFormat/>
    <w:rsid w:val="00FB5B2A"/>
    <w:pPr>
      <w:keepNext/>
      <w:spacing w:line="240" w:lineRule="auto"/>
    </w:pPr>
    <w:rPr>
      <w:b/>
      <w:bCs/>
      <w:szCs w:val="18"/>
    </w:rPr>
  </w:style>
  <w:style w:type="paragraph" w:styleId="af0">
    <w:name w:val="TOC Heading"/>
    <w:basedOn w:val="1"/>
    <w:next w:val="a"/>
    <w:uiPriority w:val="39"/>
    <w:unhideWhenUsed/>
    <w:qFormat/>
    <w:rsid w:val="00596D6E"/>
    <w:pPr>
      <w:outlineLvl w:val="9"/>
    </w:pPr>
    <w:rPr>
      <w:lang w:val="ru-RU"/>
    </w:rPr>
  </w:style>
  <w:style w:type="paragraph" w:styleId="21">
    <w:name w:val="toc 2"/>
    <w:basedOn w:val="a"/>
    <w:next w:val="a"/>
    <w:autoRedefine/>
    <w:uiPriority w:val="39"/>
    <w:unhideWhenUsed/>
    <w:rsid w:val="00596D6E"/>
    <w:pPr>
      <w:spacing w:after="100"/>
      <w:ind w:left="220"/>
    </w:pPr>
  </w:style>
  <w:style w:type="paragraph" w:styleId="31">
    <w:name w:val="toc 3"/>
    <w:basedOn w:val="a"/>
    <w:next w:val="a"/>
    <w:autoRedefine/>
    <w:uiPriority w:val="39"/>
    <w:unhideWhenUsed/>
    <w:rsid w:val="00596D6E"/>
    <w:pPr>
      <w:spacing w:after="100"/>
      <w:ind w:left="440"/>
    </w:pPr>
  </w:style>
  <w:style w:type="character" w:customStyle="1" w:styleId="40">
    <w:name w:val="Заголовок 4 Знак"/>
    <w:basedOn w:val="a0"/>
    <w:link w:val="4"/>
    <w:uiPriority w:val="9"/>
    <w:rsid w:val="00596D6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96D6E"/>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596D6E"/>
    <w:pPr>
      <w:spacing w:after="100"/>
    </w:pPr>
  </w:style>
  <w:style w:type="paragraph" w:styleId="41">
    <w:name w:val="toc 4"/>
    <w:basedOn w:val="a"/>
    <w:next w:val="a"/>
    <w:autoRedefine/>
    <w:uiPriority w:val="39"/>
    <w:unhideWhenUsed/>
    <w:rsid w:val="00596D6E"/>
    <w:pPr>
      <w:spacing w:after="100"/>
      <w:ind w:left="660"/>
    </w:pPr>
  </w:style>
  <w:style w:type="paragraph" w:styleId="af1">
    <w:name w:val="header"/>
    <w:basedOn w:val="a"/>
    <w:link w:val="af2"/>
    <w:uiPriority w:val="99"/>
    <w:unhideWhenUsed/>
    <w:rsid w:val="00556D53"/>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556D53"/>
  </w:style>
  <w:style w:type="paragraph" w:styleId="af3">
    <w:name w:val="footer"/>
    <w:basedOn w:val="a"/>
    <w:link w:val="af4"/>
    <w:uiPriority w:val="99"/>
    <w:unhideWhenUsed/>
    <w:rsid w:val="00556D53"/>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556D53"/>
  </w:style>
  <w:style w:type="paragraph" w:styleId="af5">
    <w:name w:val="List Paragraph"/>
    <w:basedOn w:val="a"/>
    <w:uiPriority w:val="34"/>
    <w:qFormat/>
    <w:rsid w:val="009B6FA3"/>
    <w:pPr>
      <w:ind w:left="720"/>
      <w:contextualSpacing/>
    </w:pPr>
  </w:style>
  <w:style w:type="character" w:styleId="af6">
    <w:name w:val="FollowedHyperlink"/>
    <w:basedOn w:val="a0"/>
    <w:uiPriority w:val="99"/>
    <w:semiHidden/>
    <w:unhideWhenUsed/>
    <w:rsid w:val="004F4642"/>
    <w:rPr>
      <w:color w:val="800080" w:themeColor="followedHyperlink"/>
      <w:u w:val="single"/>
    </w:rPr>
  </w:style>
  <w:style w:type="character" w:styleId="af7">
    <w:name w:val="annotation reference"/>
    <w:basedOn w:val="a0"/>
    <w:uiPriority w:val="99"/>
    <w:semiHidden/>
    <w:unhideWhenUsed/>
    <w:rsid w:val="00DA19E2"/>
    <w:rPr>
      <w:sz w:val="16"/>
      <w:szCs w:val="16"/>
    </w:rPr>
  </w:style>
  <w:style w:type="paragraph" w:styleId="af8">
    <w:name w:val="annotation text"/>
    <w:basedOn w:val="a"/>
    <w:link w:val="af9"/>
    <w:uiPriority w:val="99"/>
    <w:semiHidden/>
    <w:unhideWhenUsed/>
    <w:rsid w:val="00DA19E2"/>
    <w:pPr>
      <w:spacing w:line="240" w:lineRule="auto"/>
    </w:pPr>
    <w:rPr>
      <w:sz w:val="20"/>
      <w:szCs w:val="20"/>
    </w:rPr>
  </w:style>
  <w:style w:type="character" w:customStyle="1" w:styleId="af9">
    <w:name w:val="Текст примечания Знак"/>
    <w:basedOn w:val="a0"/>
    <w:link w:val="af8"/>
    <w:uiPriority w:val="99"/>
    <w:semiHidden/>
    <w:rsid w:val="00DA19E2"/>
    <w:rPr>
      <w:sz w:val="20"/>
      <w:szCs w:val="20"/>
      <w:lang w:val="en-US"/>
    </w:rPr>
  </w:style>
  <w:style w:type="paragraph" w:styleId="afa">
    <w:name w:val="annotation subject"/>
    <w:basedOn w:val="af8"/>
    <w:next w:val="af8"/>
    <w:link w:val="afb"/>
    <w:uiPriority w:val="99"/>
    <w:semiHidden/>
    <w:unhideWhenUsed/>
    <w:rsid w:val="00DA19E2"/>
    <w:rPr>
      <w:b/>
      <w:bCs/>
    </w:rPr>
  </w:style>
  <w:style w:type="character" w:customStyle="1" w:styleId="afb">
    <w:name w:val="Тема примечания Знак"/>
    <w:basedOn w:val="af9"/>
    <w:link w:val="afa"/>
    <w:uiPriority w:val="99"/>
    <w:semiHidden/>
    <w:rsid w:val="00DA19E2"/>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F5"/>
    <w:pPr>
      <w:spacing w:before="120"/>
    </w:pPr>
    <w:rPr>
      <w:lang w:val="en-US"/>
    </w:rPr>
  </w:style>
  <w:style w:type="paragraph" w:styleId="1">
    <w:name w:val="heading 1"/>
    <w:basedOn w:val="a"/>
    <w:next w:val="a"/>
    <w:link w:val="10"/>
    <w:uiPriority w:val="9"/>
    <w:qFormat/>
    <w:rsid w:val="00E71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1F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111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96D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96D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F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1FD8"/>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a"/>
    <w:link w:val="EndNoteBibliographyTitle0"/>
    <w:rsid w:val="009D24AD"/>
    <w:pPr>
      <w:spacing w:after="0"/>
      <w:jc w:val="center"/>
    </w:pPr>
    <w:rPr>
      <w:rFonts w:ascii="Calibri" w:hAnsi="Calibri"/>
      <w:noProof/>
    </w:rPr>
  </w:style>
  <w:style w:type="character" w:customStyle="1" w:styleId="EndNoteBibliographyTitle0">
    <w:name w:val="EndNote Bibliography Title Знак"/>
    <w:basedOn w:val="a0"/>
    <w:link w:val="EndNoteBibliographyTitle"/>
    <w:rsid w:val="009D24AD"/>
    <w:rPr>
      <w:rFonts w:ascii="Calibri" w:hAnsi="Calibri"/>
      <w:noProof/>
      <w:lang w:val="en-US"/>
    </w:rPr>
  </w:style>
  <w:style w:type="paragraph" w:customStyle="1" w:styleId="EndNoteBibliography">
    <w:name w:val="EndNote Bibliography"/>
    <w:basedOn w:val="a"/>
    <w:link w:val="EndNoteBibliography0"/>
    <w:rsid w:val="009D24AD"/>
    <w:pPr>
      <w:spacing w:line="240" w:lineRule="auto"/>
    </w:pPr>
    <w:rPr>
      <w:rFonts w:ascii="Calibri" w:hAnsi="Calibri"/>
      <w:noProof/>
    </w:rPr>
  </w:style>
  <w:style w:type="character" w:customStyle="1" w:styleId="EndNoteBibliography0">
    <w:name w:val="EndNote Bibliography Знак"/>
    <w:basedOn w:val="a0"/>
    <w:link w:val="EndNoteBibliography"/>
    <w:rsid w:val="009D24AD"/>
    <w:rPr>
      <w:rFonts w:ascii="Calibri" w:hAnsi="Calibri"/>
      <w:noProof/>
      <w:lang w:val="en-US"/>
    </w:rPr>
  </w:style>
  <w:style w:type="character" w:customStyle="1" w:styleId="30">
    <w:name w:val="Заголовок 3 Знак"/>
    <w:basedOn w:val="a0"/>
    <w:link w:val="3"/>
    <w:uiPriority w:val="9"/>
    <w:rsid w:val="006111BE"/>
    <w:rPr>
      <w:rFonts w:asciiTheme="majorHAnsi" w:eastAsiaTheme="majorEastAsia" w:hAnsiTheme="majorHAnsi" w:cstheme="majorBidi"/>
      <w:b/>
      <w:bCs/>
      <w:color w:val="4F81BD" w:themeColor="accent1"/>
    </w:rPr>
  </w:style>
  <w:style w:type="paragraph" w:styleId="a3">
    <w:name w:val="endnote text"/>
    <w:basedOn w:val="a"/>
    <w:link w:val="a4"/>
    <w:uiPriority w:val="99"/>
    <w:semiHidden/>
    <w:unhideWhenUsed/>
    <w:rsid w:val="00AD1791"/>
    <w:pPr>
      <w:spacing w:after="0" w:line="240" w:lineRule="auto"/>
    </w:pPr>
    <w:rPr>
      <w:sz w:val="20"/>
      <w:szCs w:val="20"/>
    </w:rPr>
  </w:style>
  <w:style w:type="character" w:customStyle="1" w:styleId="a4">
    <w:name w:val="Текст концевой сноски Знак"/>
    <w:basedOn w:val="a0"/>
    <w:link w:val="a3"/>
    <w:uiPriority w:val="99"/>
    <w:semiHidden/>
    <w:rsid w:val="00AD1791"/>
    <w:rPr>
      <w:sz w:val="20"/>
      <w:szCs w:val="20"/>
    </w:rPr>
  </w:style>
  <w:style w:type="character" w:styleId="a5">
    <w:name w:val="endnote reference"/>
    <w:basedOn w:val="a0"/>
    <w:uiPriority w:val="99"/>
    <w:semiHidden/>
    <w:unhideWhenUsed/>
    <w:rsid w:val="00AD1791"/>
    <w:rPr>
      <w:vertAlign w:val="superscript"/>
    </w:rPr>
  </w:style>
  <w:style w:type="paragraph" w:styleId="a6">
    <w:name w:val="footnote text"/>
    <w:basedOn w:val="a"/>
    <w:link w:val="a7"/>
    <w:uiPriority w:val="99"/>
    <w:unhideWhenUsed/>
    <w:rsid w:val="00AD2E84"/>
    <w:pPr>
      <w:spacing w:after="0" w:line="240" w:lineRule="auto"/>
    </w:pPr>
    <w:rPr>
      <w:noProof/>
      <w:sz w:val="20"/>
      <w:szCs w:val="20"/>
    </w:rPr>
  </w:style>
  <w:style w:type="character" w:customStyle="1" w:styleId="a7">
    <w:name w:val="Текст сноски Знак"/>
    <w:basedOn w:val="a0"/>
    <w:link w:val="a6"/>
    <w:uiPriority w:val="99"/>
    <w:rsid w:val="00AD2E84"/>
    <w:rPr>
      <w:noProof/>
      <w:sz w:val="20"/>
      <w:szCs w:val="20"/>
      <w:lang w:val="en-US"/>
    </w:rPr>
  </w:style>
  <w:style w:type="character" w:styleId="a8">
    <w:name w:val="footnote reference"/>
    <w:basedOn w:val="a0"/>
    <w:uiPriority w:val="99"/>
    <w:semiHidden/>
    <w:unhideWhenUsed/>
    <w:rsid w:val="00F801E4"/>
    <w:rPr>
      <w:vertAlign w:val="superscript"/>
    </w:rPr>
  </w:style>
  <w:style w:type="paragraph" w:styleId="a9">
    <w:name w:val="Balloon Text"/>
    <w:basedOn w:val="a"/>
    <w:link w:val="aa"/>
    <w:uiPriority w:val="99"/>
    <w:semiHidden/>
    <w:unhideWhenUsed/>
    <w:rsid w:val="00384B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4BDA"/>
    <w:rPr>
      <w:rFonts w:ascii="Tahoma" w:hAnsi="Tahoma" w:cs="Tahoma"/>
      <w:sz w:val="16"/>
      <w:szCs w:val="16"/>
    </w:rPr>
  </w:style>
  <w:style w:type="paragraph" w:styleId="ab">
    <w:name w:val="Normal (Web)"/>
    <w:basedOn w:val="a"/>
    <w:uiPriority w:val="99"/>
    <w:semiHidden/>
    <w:unhideWhenUsed/>
    <w:rsid w:val="0084788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84788F"/>
    <w:rPr>
      <w:b/>
      <w:bCs/>
    </w:rPr>
  </w:style>
  <w:style w:type="character" w:customStyle="1" w:styleId="apple-converted-space">
    <w:name w:val="apple-converted-space"/>
    <w:basedOn w:val="a0"/>
    <w:rsid w:val="0084788F"/>
  </w:style>
  <w:style w:type="character" w:styleId="ad">
    <w:name w:val="Hyperlink"/>
    <w:basedOn w:val="a0"/>
    <w:uiPriority w:val="99"/>
    <w:unhideWhenUsed/>
    <w:rsid w:val="0084788F"/>
    <w:rPr>
      <w:color w:val="0000FF"/>
      <w:u w:val="single"/>
    </w:rPr>
  </w:style>
  <w:style w:type="table" w:styleId="ae">
    <w:name w:val="Table Grid"/>
    <w:basedOn w:val="a1"/>
    <w:uiPriority w:val="59"/>
    <w:rsid w:val="00F3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uiPriority w:val="35"/>
    <w:unhideWhenUsed/>
    <w:qFormat/>
    <w:rsid w:val="00FB5B2A"/>
    <w:pPr>
      <w:keepNext/>
      <w:spacing w:line="240" w:lineRule="auto"/>
    </w:pPr>
    <w:rPr>
      <w:b/>
      <w:bCs/>
      <w:szCs w:val="18"/>
    </w:rPr>
  </w:style>
  <w:style w:type="paragraph" w:styleId="af0">
    <w:name w:val="TOC Heading"/>
    <w:basedOn w:val="1"/>
    <w:next w:val="a"/>
    <w:uiPriority w:val="39"/>
    <w:unhideWhenUsed/>
    <w:qFormat/>
    <w:rsid w:val="00596D6E"/>
    <w:pPr>
      <w:outlineLvl w:val="9"/>
    </w:pPr>
    <w:rPr>
      <w:lang w:val="ru-RU"/>
    </w:rPr>
  </w:style>
  <w:style w:type="paragraph" w:styleId="21">
    <w:name w:val="toc 2"/>
    <w:basedOn w:val="a"/>
    <w:next w:val="a"/>
    <w:autoRedefine/>
    <w:uiPriority w:val="39"/>
    <w:unhideWhenUsed/>
    <w:rsid w:val="00596D6E"/>
    <w:pPr>
      <w:spacing w:after="100"/>
      <w:ind w:left="220"/>
    </w:pPr>
  </w:style>
  <w:style w:type="paragraph" w:styleId="31">
    <w:name w:val="toc 3"/>
    <w:basedOn w:val="a"/>
    <w:next w:val="a"/>
    <w:autoRedefine/>
    <w:uiPriority w:val="39"/>
    <w:unhideWhenUsed/>
    <w:rsid w:val="00596D6E"/>
    <w:pPr>
      <w:spacing w:after="100"/>
      <w:ind w:left="440"/>
    </w:pPr>
  </w:style>
  <w:style w:type="character" w:customStyle="1" w:styleId="40">
    <w:name w:val="Заголовок 4 Знак"/>
    <w:basedOn w:val="a0"/>
    <w:link w:val="4"/>
    <w:uiPriority w:val="9"/>
    <w:rsid w:val="00596D6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96D6E"/>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596D6E"/>
    <w:pPr>
      <w:spacing w:after="100"/>
    </w:pPr>
  </w:style>
  <w:style w:type="paragraph" w:styleId="41">
    <w:name w:val="toc 4"/>
    <w:basedOn w:val="a"/>
    <w:next w:val="a"/>
    <w:autoRedefine/>
    <w:uiPriority w:val="39"/>
    <w:unhideWhenUsed/>
    <w:rsid w:val="00596D6E"/>
    <w:pPr>
      <w:spacing w:after="100"/>
      <w:ind w:left="660"/>
    </w:pPr>
  </w:style>
  <w:style w:type="paragraph" w:styleId="af1">
    <w:name w:val="header"/>
    <w:basedOn w:val="a"/>
    <w:link w:val="af2"/>
    <w:uiPriority w:val="99"/>
    <w:unhideWhenUsed/>
    <w:rsid w:val="00556D53"/>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556D53"/>
  </w:style>
  <w:style w:type="paragraph" w:styleId="af3">
    <w:name w:val="footer"/>
    <w:basedOn w:val="a"/>
    <w:link w:val="af4"/>
    <w:uiPriority w:val="99"/>
    <w:unhideWhenUsed/>
    <w:rsid w:val="00556D53"/>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556D53"/>
  </w:style>
  <w:style w:type="paragraph" w:styleId="af5">
    <w:name w:val="List Paragraph"/>
    <w:basedOn w:val="a"/>
    <w:uiPriority w:val="34"/>
    <w:qFormat/>
    <w:rsid w:val="009B6FA3"/>
    <w:pPr>
      <w:ind w:left="720"/>
      <w:contextualSpacing/>
    </w:pPr>
  </w:style>
  <w:style w:type="character" w:styleId="af6">
    <w:name w:val="FollowedHyperlink"/>
    <w:basedOn w:val="a0"/>
    <w:uiPriority w:val="99"/>
    <w:semiHidden/>
    <w:unhideWhenUsed/>
    <w:rsid w:val="004F4642"/>
    <w:rPr>
      <w:color w:val="800080" w:themeColor="followedHyperlink"/>
      <w:u w:val="single"/>
    </w:rPr>
  </w:style>
  <w:style w:type="character" w:styleId="af7">
    <w:name w:val="annotation reference"/>
    <w:basedOn w:val="a0"/>
    <w:uiPriority w:val="99"/>
    <w:semiHidden/>
    <w:unhideWhenUsed/>
    <w:rsid w:val="00DA19E2"/>
    <w:rPr>
      <w:sz w:val="16"/>
      <w:szCs w:val="16"/>
    </w:rPr>
  </w:style>
  <w:style w:type="paragraph" w:styleId="af8">
    <w:name w:val="annotation text"/>
    <w:basedOn w:val="a"/>
    <w:link w:val="af9"/>
    <w:uiPriority w:val="99"/>
    <w:semiHidden/>
    <w:unhideWhenUsed/>
    <w:rsid w:val="00DA19E2"/>
    <w:pPr>
      <w:spacing w:line="240" w:lineRule="auto"/>
    </w:pPr>
    <w:rPr>
      <w:sz w:val="20"/>
      <w:szCs w:val="20"/>
    </w:rPr>
  </w:style>
  <w:style w:type="character" w:customStyle="1" w:styleId="af9">
    <w:name w:val="Текст примечания Знак"/>
    <w:basedOn w:val="a0"/>
    <w:link w:val="af8"/>
    <w:uiPriority w:val="99"/>
    <w:semiHidden/>
    <w:rsid w:val="00DA19E2"/>
    <w:rPr>
      <w:sz w:val="20"/>
      <w:szCs w:val="20"/>
      <w:lang w:val="en-US"/>
    </w:rPr>
  </w:style>
  <w:style w:type="paragraph" w:styleId="afa">
    <w:name w:val="annotation subject"/>
    <w:basedOn w:val="af8"/>
    <w:next w:val="af8"/>
    <w:link w:val="afb"/>
    <w:uiPriority w:val="99"/>
    <w:semiHidden/>
    <w:unhideWhenUsed/>
    <w:rsid w:val="00DA19E2"/>
    <w:rPr>
      <w:b/>
      <w:bCs/>
    </w:rPr>
  </w:style>
  <w:style w:type="character" w:customStyle="1" w:styleId="afb">
    <w:name w:val="Тема примечания Знак"/>
    <w:basedOn w:val="af9"/>
    <w:link w:val="afa"/>
    <w:uiPriority w:val="99"/>
    <w:semiHidden/>
    <w:rsid w:val="00DA19E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72072">
      <w:bodyDiv w:val="1"/>
      <w:marLeft w:val="0"/>
      <w:marRight w:val="0"/>
      <w:marTop w:val="0"/>
      <w:marBottom w:val="0"/>
      <w:divBdr>
        <w:top w:val="none" w:sz="0" w:space="0" w:color="auto"/>
        <w:left w:val="none" w:sz="0" w:space="0" w:color="auto"/>
        <w:bottom w:val="none" w:sz="0" w:space="0" w:color="auto"/>
        <w:right w:val="none" w:sz="0" w:space="0" w:color="auto"/>
      </w:divBdr>
    </w:div>
    <w:div w:id="546338616">
      <w:bodyDiv w:val="1"/>
      <w:marLeft w:val="0"/>
      <w:marRight w:val="0"/>
      <w:marTop w:val="0"/>
      <w:marBottom w:val="0"/>
      <w:divBdr>
        <w:top w:val="none" w:sz="0" w:space="0" w:color="auto"/>
        <w:left w:val="none" w:sz="0" w:space="0" w:color="auto"/>
        <w:bottom w:val="none" w:sz="0" w:space="0" w:color="auto"/>
        <w:right w:val="none" w:sz="0" w:space="0" w:color="auto"/>
      </w:divBdr>
    </w:div>
    <w:div w:id="950480408">
      <w:bodyDiv w:val="1"/>
      <w:marLeft w:val="0"/>
      <w:marRight w:val="0"/>
      <w:marTop w:val="0"/>
      <w:marBottom w:val="0"/>
      <w:divBdr>
        <w:top w:val="none" w:sz="0" w:space="0" w:color="auto"/>
        <w:left w:val="none" w:sz="0" w:space="0" w:color="auto"/>
        <w:bottom w:val="none" w:sz="0" w:space="0" w:color="auto"/>
        <w:right w:val="none" w:sz="0" w:space="0" w:color="auto"/>
      </w:divBdr>
    </w:div>
    <w:div w:id="956326405">
      <w:bodyDiv w:val="1"/>
      <w:marLeft w:val="0"/>
      <w:marRight w:val="0"/>
      <w:marTop w:val="0"/>
      <w:marBottom w:val="0"/>
      <w:divBdr>
        <w:top w:val="none" w:sz="0" w:space="0" w:color="auto"/>
        <w:left w:val="none" w:sz="0" w:space="0" w:color="auto"/>
        <w:bottom w:val="none" w:sz="0" w:space="0" w:color="auto"/>
        <w:right w:val="none" w:sz="0" w:space="0" w:color="auto"/>
      </w:divBdr>
    </w:div>
    <w:div w:id="1006131407">
      <w:bodyDiv w:val="1"/>
      <w:marLeft w:val="0"/>
      <w:marRight w:val="0"/>
      <w:marTop w:val="0"/>
      <w:marBottom w:val="0"/>
      <w:divBdr>
        <w:top w:val="none" w:sz="0" w:space="0" w:color="auto"/>
        <w:left w:val="none" w:sz="0" w:space="0" w:color="auto"/>
        <w:bottom w:val="none" w:sz="0" w:space="0" w:color="auto"/>
        <w:right w:val="none" w:sz="0" w:space="0" w:color="auto"/>
      </w:divBdr>
    </w:div>
    <w:div w:id="1264067668">
      <w:bodyDiv w:val="1"/>
      <w:marLeft w:val="0"/>
      <w:marRight w:val="0"/>
      <w:marTop w:val="0"/>
      <w:marBottom w:val="0"/>
      <w:divBdr>
        <w:top w:val="none" w:sz="0" w:space="0" w:color="auto"/>
        <w:left w:val="none" w:sz="0" w:space="0" w:color="auto"/>
        <w:bottom w:val="none" w:sz="0" w:space="0" w:color="auto"/>
        <w:right w:val="none" w:sz="0" w:space="0" w:color="auto"/>
      </w:divBdr>
    </w:div>
    <w:div w:id="1329483649">
      <w:bodyDiv w:val="1"/>
      <w:marLeft w:val="0"/>
      <w:marRight w:val="0"/>
      <w:marTop w:val="0"/>
      <w:marBottom w:val="0"/>
      <w:divBdr>
        <w:top w:val="none" w:sz="0" w:space="0" w:color="auto"/>
        <w:left w:val="none" w:sz="0" w:space="0" w:color="auto"/>
        <w:bottom w:val="none" w:sz="0" w:space="0" w:color="auto"/>
        <w:right w:val="none" w:sz="0" w:space="0" w:color="auto"/>
      </w:divBdr>
    </w:div>
    <w:div w:id="1380744242">
      <w:bodyDiv w:val="1"/>
      <w:marLeft w:val="0"/>
      <w:marRight w:val="0"/>
      <w:marTop w:val="0"/>
      <w:marBottom w:val="0"/>
      <w:divBdr>
        <w:top w:val="none" w:sz="0" w:space="0" w:color="auto"/>
        <w:left w:val="none" w:sz="0" w:space="0" w:color="auto"/>
        <w:bottom w:val="none" w:sz="0" w:space="0" w:color="auto"/>
        <w:right w:val="none" w:sz="0" w:space="0" w:color="auto"/>
      </w:divBdr>
    </w:div>
    <w:div w:id="1437022272">
      <w:bodyDiv w:val="1"/>
      <w:marLeft w:val="0"/>
      <w:marRight w:val="0"/>
      <w:marTop w:val="0"/>
      <w:marBottom w:val="0"/>
      <w:divBdr>
        <w:top w:val="none" w:sz="0" w:space="0" w:color="auto"/>
        <w:left w:val="none" w:sz="0" w:space="0" w:color="auto"/>
        <w:bottom w:val="none" w:sz="0" w:space="0" w:color="auto"/>
        <w:right w:val="none" w:sz="0" w:space="0" w:color="auto"/>
      </w:divBdr>
    </w:div>
    <w:div w:id="1445465140">
      <w:bodyDiv w:val="1"/>
      <w:marLeft w:val="0"/>
      <w:marRight w:val="0"/>
      <w:marTop w:val="0"/>
      <w:marBottom w:val="0"/>
      <w:divBdr>
        <w:top w:val="none" w:sz="0" w:space="0" w:color="auto"/>
        <w:left w:val="none" w:sz="0" w:space="0" w:color="auto"/>
        <w:bottom w:val="none" w:sz="0" w:space="0" w:color="auto"/>
        <w:right w:val="none" w:sz="0" w:space="0" w:color="auto"/>
      </w:divBdr>
    </w:div>
    <w:div w:id="1531142708">
      <w:bodyDiv w:val="1"/>
      <w:marLeft w:val="0"/>
      <w:marRight w:val="0"/>
      <w:marTop w:val="0"/>
      <w:marBottom w:val="0"/>
      <w:divBdr>
        <w:top w:val="none" w:sz="0" w:space="0" w:color="auto"/>
        <w:left w:val="none" w:sz="0" w:space="0" w:color="auto"/>
        <w:bottom w:val="none" w:sz="0" w:space="0" w:color="auto"/>
        <w:right w:val="none" w:sz="0" w:space="0" w:color="auto"/>
      </w:divBdr>
    </w:div>
    <w:div w:id="1586961852">
      <w:bodyDiv w:val="1"/>
      <w:marLeft w:val="0"/>
      <w:marRight w:val="0"/>
      <w:marTop w:val="0"/>
      <w:marBottom w:val="0"/>
      <w:divBdr>
        <w:top w:val="none" w:sz="0" w:space="0" w:color="auto"/>
        <w:left w:val="none" w:sz="0" w:space="0" w:color="auto"/>
        <w:bottom w:val="none" w:sz="0" w:space="0" w:color="auto"/>
        <w:right w:val="none" w:sz="0" w:space="0" w:color="auto"/>
      </w:divBdr>
    </w:div>
    <w:div w:id="210903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ocuments\tobacco\tax\countries\eur-reg-countr\montenegro\montenegr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ocuments\tobacco\tax\countries\eur-reg-countr\montenegro\montenegr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33E-2"/>
          <c:y val="5.1400554097404488E-2"/>
          <c:w val="0.88776246719160057"/>
          <c:h val="0.8326195683872849"/>
        </c:manualLayout>
      </c:layout>
      <c:barChart>
        <c:barDir val="col"/>
        <c:grouping val="clustered"/>
        <c:varyColors val="0"/>
        <c:ser>
          <c:idx val="0"/>
          <c:order val="0"/>
          <c:tx>
            <c:strRef>
              <c:f>cpi!$B$14</c:f>
              <c:strCache>
                <c:ptCount val="1"/>
                <c:pt idx="0">
                  <c:v>CPI all items</c:v>
                </c:pt>
              </c:strCache>
            </c:strRef>
          </c:tx>
          <c:spPr>
            <a:solidFill>
              <a:schemeClr val="accent5">
                <a:lumMod val="20000"/>
                <a:lumOff val="80000"/>
              </a:schemeClr>
            </a:solidFill>
          </c:spPr>
          <c:invertIfNegative val="0"/>
          <c:dLbls>
            <c:txPr>
              <a:bodyPr rot="-5400000" vert="horz"/>
              <a:lstStyle/>
              <a:p>
                <a:pPr>
                  <a:defRPr/>
                </a:pPr>
                <a:endParaRPr lang="en-US"/>
              </a:p>
            </c:txPr>
            <c:dLblPos val="inEnd"/>
            <c:showLegendKey val="0"/>
            <c:showVal val="1"/>
            <c:showCatName val="0"/>
            <c:showSerName val="0"/>
            <c:showPercent val="0"/>
            <c:showBubbleSize val="0"/>
            <c:showLeaderLines val="0"/>
          </c:dLbls>
          <c:cat>
            <c:numRef>
              <c:f>cpi!$C$13:$K$13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cpi!$C$14:$K$14</c:f>
              <c:numCache>
                <c:formatCode>General</c:formatCode>
                <c:ptCount val="9"/>
                <c:pt idx="0">
                  <c:v>100.7</c:v>
                </c:pt>
                <c:pt idx="1">
                  <c:v>103.7</c:v>
                </c:pt>
                <c:pt idx="2">
                  <c:v>105.1</c:v>
                </c:pt>
                <c:pt idx="3">
                  <c:v>100.3</c:v>
                </c:pt>
                <c:pt idx="4">
                  <c:v>99.2</c:v>
                </c:pt>
                <c:pt idx="5">
                  <c:v>101.4</c:v>
                </c:pt>
                <c:pt idx="6">
                  <c:v>101</c:v>
                </c:pt>
                <c:pt idx="7" formatCode="0.0">
                  <c:v>101.9</c:v>
                </c:pt>
                <c:pt idx="8">
                  <c:v>101.6</c:v>
                </c:pt>
              </c:numCache>
            </c:numRef>
          </c:val>
        </c:ser>
        <c:ser>
          <c:idx val="1"/>
          <c:order val="1"/>
          <c:tx>
            <c:strRef>
              <c:f>cpi!$B$15</c:f>
              <c:strCache>
                <c:ptCount val="1"/>
                <c:pt idx="0">
                  <c:v>CPI tobacco</c:v>
                </c:pt>
              </c:strCache>
            </c:strRef>
          </c:tx>
          <c:spPr>
            <a:solidFill>
              <a:srgbClr val="FFFF00"/>
            </a:solidFill>
          </c:spPr>
          <c:invertIfNegative val="0"/>
          <c:dLbls>
            <c:txPr>
              <a:bodyPr rot="-5400000" vert="horz"/>
              <a:lstStyle/>
              <a:p>
                <a:pPr>
                  <a:defRPr/>
                </a:pPr>
                <a:endParaRPr lang="en-US"/>
              </a:p>
            </c:txPr>
            <c:dLblPos val="inEnd"/>
            <c:showLegendKey val="0"/>
            <c:showVal val="1"/>
            <c:showCatName val="0"/>
            <c:showSerName val="0"/>
            <c:showPercent val="0"/>
            <c:showBubbleSize val="0"/>
            <c:showLeaderLines val="0"/>
          </c:dLbls>
          <c:cat>
            <c:numRef>
              <c:f>cpi!$C$13:$K$13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cpi!$C$15:$K$15</c:f>
              <c:numCache>
                <c:formatCode>General</c:formatCode>
                <c:ptCount val="9"/>
                <c:pt idx="0">
                  <c:v>100</c:v>
                </c:pt>
                <c:pt idx="1">
                  <c:v>139.4</c:v>
                </c:pt>
                <c:pt idx="2">
                  <c:v>116.5</c:v>
                </c:pt>
                <c:pt idx="3">
                  <c:v>109.6</c:v>
                </c:pt>
                <c:pt idx="4">
                  <c:v>99.9</c:v>
                </c:pt>
                <c:pt idx="5">
                  <c:v>103.6</c:v>
                </c:pt>
                <c:pt idx="6">
                  <c:v>103.2</c:v>
                </c:pt>
                <c:pt idx="7" formatCode="0.0">
                  <c:v>121.3</c:v>
                </c:pt>
                <c:pt idx="8">
                  <c:v>106.2</c:v>
                </c:pt>
              </c:numCache>
            </c:numRef>
          </c:val>
        </c:ser>
        <c:dLbls>
          <c:showLegendKey val="0"/>
          <c:showVal val="0"/>
          <c:showCatName val="0"/>
          <c:showSerName val="0"/>
          <c:showPercent val="0"/>
          <c:showBubbleSize val="0"/>
        </c:dLbls>
        <c:gapWidth val="150"/>
        <c:axId val="196609920"/>
        <c:axId val="196611456"/>
      </c:barChart>
      <c:catAx>
        <c:axId val="196609920"/>
        <c:scaling>
          <c:orientation val="minMax"/>
        </c:scaling>
        <c:delete val="0"/>
        <c:axPos val="b"/>
        <c:numFmt formatCode="General" sourceLinked="1"/>
        <c:majorTickMark val="out"/>
        <c:minorTickMark val="none"/>
        <c:tickLblPos val="nextTo"/>
        <c:crossAx val="196611456"/>
        <c:crosses val="autoZero"/>
        <c:auto val="1"/>
        <c:lblAlgn val="ctr"/>
        <c:lblOffset val="100"/>
        <c:noMultiLvlLbl val="0"/>
      </c:catAx>
      <c:valAx>
        <c:axId val="196611456"/>
        <c:scaling>
          <c:orientation val="minMax"/>
        </c:scaling>
        <c:delete val="0"/>
        <c:axPos val="l"/>
        <c:majorGridlines/>
        <c:numFmt formatCode="General" sourceLinked="1"/>
        <c:majorTickMark val="out"/>
        <c:minorTickMark val="none"/>
        <c:tickLblPos val="nextTo"/>
        <c:crossAx val="196609920"/>
        <c:crosses val="autoZero"/>
        <c:crossBetween val="between"/>
      </c:valAx>
    </c:plotArea>
    <c:legend>
      <c:legendPos val="r"/>
      <c:layout>
        <c:manualLayout>
          <c:xMode val="edge"/>
          <c:yMode val="edge"/>
          <c:x val="0.35794553805774282"/>
          <c:y val="0.12461614173228369"/>
          <c:w val="0.411498906386702"/>
          <c:h val="0.1674343832021000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rev!$Q$11</c:f>
              <c:strCache>
                <c:ptCount val="1"/>
                <c:pt idx="0">
                  <c:v>revenue</c:v>
                </c:pt>
              </c:strCache>
            </c:strRef>
          </c:tx>
          <c:invertIfNegative val="0"/>
          <c:dPt>
            <c:idx val="0"/>
            <c:invertIfNegative val="0"/>
            <c:bubble3D val="0"/>
            <c:spPr>
              <a:solidFill>
                <a:schemeClr val="accent6">
                  <a:lumMod val="75000"/>
                </a:schemeClr>
              </a:solidFill>
            </c:spPr>
          </c:dPt>
          <c:dPt>
            <c:idx val="2"/>
            <c:invertIfNegative val="0"/>
            <c:bubble3D val="0"/>
            <c:spPr>
              <a:solidFill>
                <a:srgbClr val="92D050"/>
              </a:solidFill>
            </c:spPr>
          </c:dPt>
          <c:dPt>
            <c:idx val="3"/>
            <c:invertIfNegative val="0"/>
            <c:bubble3D val="0"/>
            <c:spPr>
              <a:solidFill>
                <a:schemeClr val="accent6">
                  <a:lumMod val="75000"/>
                </a:schemeClr>
              </a:solidFill>
            </c:spPr>
          </c:dPt>
          <c:dPt>
            <c:idx val="5"/>
            <c:invertIfNegative val="0"/>
            <c:bubble3D val="0"/>
            <c:spPr>
              <a:solidFill>
                <a:srgbClr val="92D050"/>
              </a:solidFill>
            </c:spPr>
          </c:dPt>
          <c:dPt>
            <c:idx val="6"/>
            <c:invertIfNegative val="0"/>
            <c:bubble3D val="0"/>
            <c:spPr>
              <a:solidFill>
                <a:schemeClr val="accent6">
                  <a:lumMod val="75000"/>
                </a:schemeClr>
              </a:solidFill>
            </c:spPr>
          </c:dPt>
          <c:dPt>
            <c:idx val="8"/>
            <c:invertIfNegative val="0"/>
            <c:bubble3D val="0"/>
            <c:spPr>
              <a:solidFill>
                <a:srgbClr val="92D050"/>
              </a:solidFill>
            </c:spPr>
          </c:dPt>
          <c:dPt>
            <c:idx val="9"/>
            <c:invertIfNegative val="0"/>
            <c:bubble3D val="0"/>
            <c:spPr>
              <a:solidFill>
                <a:schemeClr val="accent6">
                  <a:lumMod val="75000"/>
                </a:schemeClr>
              </a:solidFill>
            </c:spPr>
          </c:dPt>
          <c:dLbls>
            <c:txPr>
              <a:bodyPr/>
              <a:lstStyle/>
              <a:p>
                <a:pPr>
                  <a:defRPr sz="1600"/>
                </a:pPr>
                <a:endParaRPr lang="en-US"/>
              </a:p>
            </c:txPr>
            <c:showLegendKey val="0"/>
            <c:showVal val="1"/>
            <c:showCatName val="0"/>
            <c:showSerName val="0"/>
            <c:showPercent val="0"/>
            <c:showBubbleSize val="0"/>
            <c:showLeaderLines val="0"/>
          </c:dLbls>
          <c:cat>
            <c:strRef>
              <c:f>rev!$R$10:$AA$10</c:f>
              <c:strCache>
                <c:ptCount val="10"/>
                <c:pt idx="0">
                  <c:v>Jan-Apr 2016</c:v>
                </c:pt>
                <c:pt idx="1">
                  <c:v>May-Aug 2016</c:v>
                </c:pt>
                <c:pt idx="2">
                  <c:v>Sep-Dec 2016</c:v>
                </c:pt>
                <c:pt idx="3">
                  <c:v>Jan-Apr 2017</c:v>
                </c:pt>
                <c:pt idx="4">
                  <c:v>May-Aug 2017</c:v>
                </c:pt>
                <c:pt idx="5">
                  <c:v>Sep-Dec 2017</c:v>
                </c:pt>
                <c:pt idx="6">
                  <c:v>Jan-Apr 2018</c:v>
                </c:pt>
                <c:pt idx="7">
                  <c:v>May-Aug 2018</c:v>
                </c:pt>
                <c:pt idx="8">
                  <c:v>Sep-Dec 2018</c:v>
                </c:pt>
                <c:pt idx="9">
                  <c:v>Jan-Apr 2019</c:v>
                </c:pt>
              </c:strCache>
            </c:strRef>
          </c:cat>
          <c:val>
            <c:numRef>
              <c:f>rev!$R$11:$AA$11</c:f>
              <c:numCache>
                <c:formatCode>0.0</c:formatCode>
                <c:ptCount val="10"/>
                <c:pt idx="0">
                  <c:v>12.811</c:v>
                </c:pt>
                <c:pt idx="1">
                  <c:v>19.285999999999973</c:v>
                </c:pt>
                <c:pt idx="2">
                  <c:v>18.156999999999996</c:v>
                </c:pt>
                <c:pt idx="3">
                  <c:v>14.949</c:v>
                </c:pt>
                <c:pt idx="4">
                  <c:v>19.239999999999988</c:v>
                </c:pt>
                <c:pt idx="5">
                  <c:v>23.049999999999986</c:v>
                </c:pt>
                <c:pt idx="6">
                  <c:v>11.120000000000001</c:v>
                </c:pt>
                <c:pt idx="7">
                  <c:v>14.48</c:v>
                </c:pt>
                <c:pt idx="8">
                  <c:v>15.010000000000002</c:v>
                </c:pt>
                <c:pt idx="9">
                  <c:v>10.46</c:v>
                </c:pt>
              </c:numCache>
            </c:numRef>
          </c:val>
        </c:ser>
        <c:dLbls>
          <c:showLegendKey val="0"/>
          <c:showVal val="0"/>
          <c:showCatName val="0"/>
          <c:showSerName val="0"/>
          <c:showPercent val="0"/>
          <c:showBubbleSize val="0"/>
        </c:dLbls>
        <c:gapWidth val="150"/>
        <c:axId val="91003136"/>
        <c:axId val="91009024"/>
      </c:barChart>
      <c:catAx>
        <c:axId val="91003136"/>
        <c:scaling>
          <c:orientation val="minMax"/>
        </c:scaling>
        <c:delete val="0"/>
        <c:axPos val="b"/>
        <c:majorTickMark val="out"/>
        <c:minorTickMark val="none"/>
        <c:tickLblPos val="nextTo"/>
        <c:crossAx val="91009024"/>
        <c:crosses val="autoZero"/>
        <c:auto val="1"/>
        <c:lblAlgn val="ctr"/>
        <c:lblOffset val="100"/>
        <c:noMultiLvlLbl val="0"/>
      </c:catAx>
      <c:valAx>
        <c:axId val="91009024"/>
        <c:scaling>
          <c:orientation val="minMax"/>
        </c:scaling>
        <c:delete val="0"/>
        <c:axPos val="l"/>
        <c:majorGridlines/>
        <c:title>
          <c:tx>
            <c:rich>
              <a:bodyPr rot="-5400000" vert="horz"/>
              <a:lstStyle/>
              <a:p>
                <a:pPr>
                  <a:defRPr/>
                </a:pPr>
                <a:r>
                  <a:rPr lang="en-US"/>
                  <a:t>Million euro</a:t>
                </a:r>
              </a:p>
            </c:rich>
          </c:tx>
          <c:overlay val="0"/>
        </c:title>
        <c:numFmt formatCode="0.0" sourceLinked="1"/>
        <c:majorTickMark val="out"/>
        <c:minorTickMark val="none"/>
        <c:tickLblPos val="nextTo"/>
        <c:crossAx val="910031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E40C8-C87B-41B0-AE93-7582F029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11330</Words>
  <Characters>64584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Montenegro: Overview of Tobacco Use, Tobacco Control Legislation, and Taxation</vt:lpstr>
    </vt:vector>
  </TitlesOfParts>
  <Company/>
  <LinksUpToDate>false</LinksUpToDate>
  <CharactersWithSpaces>75763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Montenegro: Overview of Tobacco Use, Tobacco Control Legislation, and Taxation</dc:title>
  <dc:creator>Tatiana I Andreeva</dc:creator>
  <cp:lastModifiedBy>Konstantin Krasovsky</cp:lastModifiedBy>
  <cp:revision>2</cp:revision>
  <dcterms:created xsi:type="dcterms:W3CDTF">2019-06-23T15:33:00Z</dcterms:created>
  <dcterms:modified xsi:type="dcterms:W3CDTF">2019-06-23T15:33:00Z</dcterms:modified>
</cp:coreProperties>
</file>