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4"/>
        <w:gridCol w:w="90"/>
        <w:gridCol w:w="2590"/>
        <w:gridCol w:w="122"/>
        <w:gridCol w:w="70"/>
        <w:gridCol w:w="676"/>
        <w:gridCol w:w="1402"/>
        <w:gridCol w:w="80"/>
        <w:gridCol w:w="1759"/>
        <w:gridCol w:w="39"/>
        <w:gridCol w:w="540"/>
        <w:gridCol w:w="378"/>
        <w:gridCol w:w="1432"/>
      </w:tblGrid>
      <w:tr w:rsidR="006B62FD" w:rsidRPr="003301A4" w14:paraId="3BF2E341"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FC176AE" w14:textId="77777777" w:rsidR="00CE4DA2" w:rsidRPr="003301A4" w:rsidRDefault="00CE4DA2">
            <w:pPr>
              <w:jc w:val="center"/>
              <w:rPr>
                <w:rFonts w:ascii="Times New Roman" w:hAnsi="Times New Roman" w:cs="Times New Roman"/>
                <w:color w:val="auto"/>
              </w:rPr>
            </w:pPr>
            <w:r w:rsidRPr="003301A4">
              <w:rPr>
                <w:rFonts w:ascii="Times New Roman" w:hAnsi="Times New Roman" w:cs="Times New Roman"/>
                <w:b/>
                <w:bCs/>
                <w:color w:val="auto"/>
              </w:rPr>
              <w:t>COMBINED PROJE</w:t>
            </w:r>
            <w:r w:rsidR="00E02979" w:rsidRPr="003301A4">
              <w:rPr>
                <w:rFonts w:ascii="Times New Roman" w:hAnsi="Times New Roman" w:cs="Times New Roman"/>
                <w:b/>
                <w:bCs/>
                <w:color w:val="auto"/>
              </w:rPr>
              <w:t>CT INFORMATION DOCUMENTS / INTE</w:t>
            </w:r>
            <w:r w:rsidRPr="003301A4">
              <w:rPr>
                <w:rFonts w:ascii="Times New Roman" w:hAnsi="Times New Roman" w:cs="Times New Roman"/>
                <w:b/>
                <w:bCs/>
                <w:color w:val="auto"/>
              </w:rPr>
              <w:t>GR</w:t>
            </w:r>
            <w:r w:rsidR="00BD141D" w:rsidRPr="003301A4">
              <w:rPr>
                <w:rFonts w:ascii="Times New Roman" w:hAnsi="Times New Roman" w:cs="Times New Roman"/>
                <w:b/>
                <w:bCs/>
                <w:color w:val="auto"/>
              </w:rPr>
              <w:t>ATED SAFEGUARDS DATA SHEET (PID</w:t>
            </w:r>
            <w:r w:rsidRPr="003301A4">
              <w:rPr>
                <w:rFonts w:ascii="Times New Roman" w:hAnsi="Times New Roman" w:cs="Times New Roman"/>
                <w:b/>
                <w:bCs/>
                <w:color w:val="auto"/>
              </w:rPr>
              <w:t>/ISDS)</w:t>
            </w:r>
          </w:p>
        </w:tc>
      </w:tr>
      <w:tr w:rsidR="006B62FD" w:rsidRPr="003301A4" w14:paraId="09EEED83"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004F9C5" w14:textId="77777777" w:rsidR="006B62FD" w:rsidRPr="003301A4" w:rsidRDefault="00752ABF" w:rsidP="008B484F">
            <w:pPr>
              <w:jc w:val="center"/>
              <w:rPr>
                <w:rFonts w:ascii="Times New Roman" w:hAnsi="Times New Roman" w:cs="Times New Roman"/>
                <w:color w:val="auto"/>
              </w:rPr>
            </w:pPr>
            <w:r w:rsidRPr="003301A4">
              <w:rPr>
                <w:rFonts w:ascii="Times New Roman" w:hAnsi="Times New Roman" w:cs="Times New Roman"/>
                <w:b/>
                <w:bCs/>
                <w:color w:val="auto"/>
              </w:rPr>
              <w:t>Additional Financing</w:t>
            </w:r>
          </w:p>
        </w:tc>
      </w:tr>
      <w:tr w:rsidR="006B62FD" w:rsidRPr="003301A4" w14:paraId="44EC6BA5"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2E1A6048" w14:textId="77777777" w:rsidR="006B62FD" w:rsidRPr="003301A4" w:rsidRDefault="006B62FD">
            <w:pPr>
              <w:rPr>
                <w:rFonts w:ascii="Times New Roman" w:hAnsi="Times New Roman" w:cs="Times New Roman"/>
                <w:color w:val="auto"/>
                <w:sz w:val="2"/>
                <w:szCs w:val="2"/>
              </w:rPr>
            </w:pPr>
            <w:r w:rsidRPr="003301A4">
              <w:rPr>
                <w:rFonts w:ascii="Times New Roman" w:hAnsi="Times New Roman" w:cs="Times New Roman"/>
                <w:color w:val="auto"/>
                <w:sz w:val="2"/>
                <w:szCs w:val="2"/>
              </w:rPr>
              <w:t>.</w:t>
            </w:r>
          </w:p>
        </w:tc>
      </w:tr>
      <w:tr w:rsidR="006B62FD" w:rsidRPr="003301A4" w14:paraId="053635AF" w14:textId="77777777" w:rsidTr="00C00508">
        <w:tc>
          <w:tcPr>
            <w:tcW w:w="7930" w:type="dxa"/>
            <w:gridSpan w:val="12"/>
            <w:tcBorders>
              <w:top w:val="nil"/>
              <w:left w:val="nil"/>
              <w:bottom w:val="nil"/>
              <w:right w:val="nil"/>
            </w:tcBorders>
            <w:tcMar>
              <w:top w:w="50" w:type="dxa"/>
              <w:left w:w="50" w:type="dxa"/>
              <w:bottom w:w="50" w:type="dxa"/>
              <w:right w:w="50" w:type="dxa"/>
            </w:tcMar>
            <w:vAlign w:val="center"/>
          </w:tcPr>
          <w:p w14:paraId="3CEA6957" w14:textId="77777777" w:rsidR="006B62FD" w:rsidRPr="003301A4" w:rsidRDefault="006B62FD">
            <w:pPr>
              <w:jc w:val="right"/>
              <w:rPr>
                <w:rFonts w:ascii="Times New Roman" w:hAnsi="Times New Roman" w:cs="Times New Roman"/>
                <w:color w:val="auto"/>
              </w:rPr>
            </w:pPr>
            <w:r w:rsidRPr="003301A4">
              <w:rPr>
                <w:rFonts w:ascii="Times New Roman" w:hAnsi="Times New Roman" w:cs="Times New Roman"/>
                <w:color w:val="auto"/>
              </w:rPr>
              <w:t>Report No.:</w:t>
            </w:r>
          </w:p>
        </w:tc>
        <w:tc>
          <w:tcPr>
            <w:tcW w:w="1432" w:type="dxa"/>
            <w:tcBorders>
              <w:top w:val="nil"/>
              <w:left w:val="nil"/>
              <w:bottom w:val="nil"/>
              <w:right w:val="nil"/>
            </w:tcBorders>
            <w:tcMar>
              <w:top w:w="50" w:type="dxa"/>
              <w:left w:w="50" w:type="dxa"/>
              <w:bottom w:w="50" w:type="dxa"/>
              <w:right w:w="50" w:type="dxa"/>
            </w:tcMar>
            <w:vAlign w:val="center"/>
          </w:tcPr>
          <w:p w14:paraId="07D804A0"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PIDISDSA24123</w:t>
            </w:r>
          </w:p>
        </w:tc>
      </w:tr>
      <w:tr w:rsidR="00A74E65" w:rsidRPr="003301A4" w14:paraId="69C07B7C"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0BB63FF6" w14:textId="77777777" w:rsidR="00A74E65" w:rsidRPr="003301A4" w:rsidRDefault="00A74E65">
            <w:pPr>
              <w:rPr>
                <w:rFonts w:ascii="Times New Roman" w:hAnsi="Times New Roman" w:cs="Times New Roman"/>
                <w:color w:val="auto"/>
              </w:rPr>
            </w:pPr>
            <w:r w:rsidRPr="003301A4">
              <w:rPr>
                <w:rFonts w:ascii="Times New Roman" w:hAnsi="Times New Roman" w:cs="Times New Roman"/>
                <w:b/>
                <w:bCs/>
                <w:color w:val="auto"/>
                <w:sz w:val="22"/>
                <w:szCs w:val="22"/>
              </w:rPr>
              <w:t xml:space="preserve">Date Prepared/Updated: </w:t>
            </w:r>
            <w:r w:rsidRPr="003301A4">
              <w:rPr>
                <w:rFonts w:ascii="Times New Roman" w:hAnsi="Times New Roman" w:cs="Times New Roman"/>
                <w:color w:val="auto"/>
              </w:rPr>
              <w:t>07-Nov-2019</w:t>
            </w:r>
          </w:p>
        </w:tc>
      </w:tr>
      <w:tr w:rsidR="006B62FD" w:rsidRPr="003301A4" w14:paraId="09AC2A52"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184E29F4"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rPr>
              <w:t>I. BASIC INFORMATION</w:t>
            </w:r>
          </w:p>
        </w:tc>
      </w:tr>
      <w:tr w:rsidR="006B62FD" w:rsidRPr="003301A4" w14:paraId="07287C6F" w14:textId="77777777" w:rsidTr="009B79CB">
        <w:tc>
          <w:tcPr>
            <w:tcW w:w="184" w:type="dxa"/>
            <w:tcBorders>
              <w:top w:val="nil"/>
              <w:left w:val="nil"/>
              <w:bottom w:val="nil"/>
              <w:right w:val="nil"/>
            </w:tcBorders>
            <w:tcMar>
              <w:top w:w="50" w:type="dxa"/>
              <w:left w:w="50" w:type="dxa"/>
              <w:bottom w:w="50" w:type="dxa"/>
              <w:right w:w="50" w:type="dxa"/>
            </w:tcMar>
            <w:vAlign w:val="center"/>
          </w:tcPr>
          <w:p w14:paraId="2CE03381" w14:textId="77777777" w:rsidR="006B62FD" w:rsidRPr="003301A4" w:rsidRDefault="006B62FD">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302499AE"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rPr>
              <w:t>A. Basic Project Data</w:t>
            </w:r>
          </w:p>
        </w:tc>
      </w:tr>
      <w:tr w:rsidR="006B62FD" w:rsidRPr="003301A4" w14:paraId="261EFFEF" w14:textId="77777777" w:rsidTr="00C00508">
        <w:tc>
          <w:tcPr>
            <w:tcW w:w="184" w:type="dxa"/>
            <w:tcBorders>
              <w:top w:val="nil"/>
              <w:left w:val="nil"/>
              <w:bottom w:val="nil"/>
              <w:right w:val="nil"/>
            </w:tcBorders>
            <w:tcMar>
              <w:top w:w="50" w:type="dxa"/>
              <w:left w:w="50" w:type="dxa"/>
              <w:bottom w:w="50" w:type="dxa"/>
              <w:right w:w="50" w:type="dxa"/>
            </w:tcMar>
            <w:vAlign w:val="center"/>
          </w:tcPr>
          <w:p w14:paraId="373A6818" w14:textId="77777777"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6B83C48"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Country:</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4ED6EA5"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Myanmar</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3BA9DA3"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Project ID:</w:t>
            </w:r>
          </w:p>
        </w:tc>
        <w:tc>
          <w:tcPr>
            <w:tcW w:w="181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93E4D0F"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P160208</w:t>
            </w:r>
          </w:p>
        </w:tc>
      </w:tr>
      <w:tr w:rsidR="00156FE0" w:rsidRPr="003301A4" w14:paraId="67FC336F" w14:textId="77777777" w:rsidTr="00C00508">
        <w:tc>
          <w:tcPr>
            <w:tcW w:w="184" w:type="dxa"/>
            <w:tcBorders>
              <w:top w:val="nil"/>
              <w:left w:val="nil"/>
              <w:bottom w:val="nil"/>
              <w:right w:val="nil"/>
            </w:tcBorders>
            <w:tcMar>
              <w:top w:w="50" w:type="dxa"/>
              <w:left w:w="50" w:type="dxa"/>
              <w:bottom w:w="50" w:type="dxa"/>
              <w:right w:w="50" w:type="dxa"/>
            </w:tcMar>
            <w:vAlign w:val="center"/>
          </w:tcPr>
          <w:p w14:paraId="0E4D323E" w14:textId="77777777" w:rsidR="00156FE0" w:rsidRPr="003301A4" w:rsidRDefault="00156FE0">
            <w:pPr>
              <w:rPr>
                <w:rFonts w:ascii="Times New Roman" w:hAnsi="Times New Roman" w:cs="Times New Roman"/>
                <w:color w:val="auto"/>
              </w:rPr>
            </w:pPr>
          </w:p>
        </w:tc>
        <w:tc>
          <w:tcPr>
            <w:tcW w:w="5030" w:type="dxa"/>
            <w:gridSpan w:val="7"/>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28D33C3" w14:textId="77777777" w:rsidR="00156FE0" w:rsidRPr="003301A4" w:rsidRDefault="00156FE0">
            <w:pPr>
              <w:rPr>
                <w:rFonts w:ascii="Times New Roman" w:hAnsi="Times New Roman" w:cs="Times New Roman"/>
                <w:color w:val="auto"/>
              </w:rPr>
            </w:pPr>
          </w:p>
        </w:tc>
        <w:tc>
          <w:tcPr>
            <w:tcW w:w="2338" w:type="dxa"/>
            <w:gridSpan w:val="3"/>
            <w:tcBorders>
              <w:top w:val="single" w:sz="4" w:space="0" w:color="000000"/>
              <w:left w:val="single" w:sz="4" w:space="0" w:color="000000"/>
              <w:bottom w:val="single" w:sz="4" w:space="0" w:color="000000"/>
              <w:right w:val="single" w:sz="4" w:space="0" w:color="000000"/>
            </w:tcBorders>
          </w:tcPr>
          <w:p w14:paraId="3E07A55E" w14:textId="77777777" w:rsidR="00156FE0" w:rsidRPr="003301A4" w:rsidRDefault="007C00D5" w:rsidP="007C00D5">
            <w:pPr>
              <w:rPr>
                <w:rFonts w:ascii="Times New Roman" w:hAnsi="Times New Roman" w:cs="Times New Roman"/>
                <w:color w:val="auto"/>
              </w:rPr>
            </w:pPr>
            <w:r w:rsidRPr="003301A4">
              <w:rPr>
                <w:rFonts w:ascii="Times New Roman" w:hAnsi="Times New Roman" w:cs="Times New Roman"/>
                <w:b/>
                <w:color w:val="auto"/>
                <w:sz w:val="22"/>
                <w:szCs w:val="22"/>
              </w:rPr>
              <w:t xml:space="preserve">Parent </w:t>
            </w:r>
            <w:r w:rsidR="00156FE0" w:rsidRPr="003301A4">
              <w:rPr>
                <w:rFonts w:ascii="Times New Roman" w:hAnsi="Times New Roman" w:cs="Times New Roman"/>
                <w:b/>
                <w:color w:val="auto"/>
                <w:sz w:val="22"/>
                <w:szCs w:val="22"/>
              </w:rPr>
              <w:t xml:space="preserve">Project ID </w:t>
            </w:r>
            <w:r w:rsidR="00156FE0" w:rsidRPr="003301A4">
              <w:rPr>
                <w:rFonts w:ascii="Times New Roman" w:hAnsi="Times New Roman" w:cs="Times New Roman"/>
                <w:color w:val="auto"/>
                <w:sz w:val="22"/>
                <w:szCs w:val="22"/>
              </w:rPr>
              <w:t>:</w:t>
            </w:r>
          </w:p>
        </w:tc>
        <w:tc>
          <w:tcPr>
            <w:tcW w:w="1810" w:type="dxa"/>
            <w:gridSpan w:val="2"/>
            <w:tcBorders>
              <w:top w:val="single" w:sz="4" w:space="0" w:color="000000"/>
              <w:left w:val="single" w:sz="4" w:space="0" w:color="000000"/>
              <w:bottom w:val="single" w:sz="4" w:space="0" w:color="000000"/>
              <w:right w:val="single" w:sz="4" w:space="0" w:color="000000"/>
            </w:tcBorders>
          </w:tcPr>
          <w:p w14:paraId="465FE5B5" w14:textId="77777777" w:rsidR="00156FE0"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P149960</w:t>
            </w:r>
          </w:p>
        </w:tc>
      </w:tr>
      <w:tr w:rsidR="001168CD" w:rsidRPr="003301A4" w14:paraId="67798255" w14:textId="77777777" w:rsidTr="00E67D1B">
        <w:tc>
          <w:tcPr>
            <w:tcW w:w="184" w:type="dxa"/>
            <w:tcBorders>
              <w:top w:val="nil"/>
              <w:left w:val="nil"/>
              <w:bottom w:val="nil"/>
              <w:right w:val="nil"/>
            </w:tcBorders>
            <w:tcMar>
              <w:top w:w="50" w:type="dxa"/>
              <w:left w:w="50" w:type="dxa"/>
              <w:bottom w:w="50" w:type="dxa"/>
              <w:right w:w="50" w:type="dxa"/>
            </w:tcMar>
            <w:vAlign w:val="center"/>
          </w:tcPr>
          <w:p w14:paraId="514E0BA1" w14:textId="77777777" w:rsidR="001168CD" w:rsidRPr="003301A4" w:rsidRDefault="001168CD" w:rsidP="00E67D1B">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A210551" w14:textId="77777777" w:rsidR="001168CD" w:rsidRPr="003301A4" w:rsidRDefault="001168CD" w:rsidP="00E67D1B">
            <w:pPr>
              <w:rPr>
                <w:rFonts w:ascii="Times New Roman" w:hAnsi="Times New Roman" w:cs="Times New Roman"/>
                <w:color w:val="auto"/>
              </w:rPr>
            </w:pPr>
            <w:r w:rsidRPr="003301A4">
              <w:rPr>
                <w:rFonts w:ascii="Times New Roman" w:hAnsi="Times New Roman" w:cs="Times New Roman"/>
                <w:b/>
                <w:bCs/>
                <w:color w:val="auto"/>
                <w:sz w:val="22"/>
                <w:szCs w:val="22"/>
              </w:rPr>
              <w:t>Project Name:</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FD5C87F" w14:textId="77777777" w:rsidR="001168CD" w:rsidRPr="003301A4" w:rsidRDefault="001168CD" w:rsidP="00E67D1B">
            <w:pPr>
              <w:rPr>
                <w:rFonts w:ascii="Times New Roman" w:hAnsi="Times New Roman" w:cs="Times New Roman"/>
                <w:color w:val="auto"/>
              </w:rPr>
            </w:pPr>
            <w:r w:rsidRPr="003301A4">
              <w:rPr>
                <w:rFonts w:ascii="Times New Roman" w:hAnsi="Times New Roman" w:cs="Times New Roman"/>
                <w:color w:val="auto"/>
                <w:sz w:val="22"/>
                <w:szCs w:val="22"/>
              </w:rPr>
              <w:t>Additional Financing: Essential Health Services Access Project (P160208)</w:t>
            </w:r>
          </w:p>
        </w:tc>
      </w:tr>
      <w:tr w:rsidR="006B62FD" w:rsidRPr="003301A4" w14:paraId="093BBA2A" w14:textId="77777777" w:rsidTr="00C00508">
        <w:tc>
          <w:tcPr>
            <w:tcW w:w="184" w:type="dxa"/>
            <w:tcBorders>
              <w:top w:val="nil"/>
              <w:left w:val="nil"/>
              <w:bottom w:val="nil"/>
              <w:right w:val="nil"/>
            </w:tcBorders>
            <w:tcMar>
              <w:top w:w="50" w:type="dxa"/>
              <w:left w:w="50" w:type="dxa"/>
              <w:bottom w:w="50" w:type="dxa"/>
              <w:right w:w="50" w:type="dxa"/>
            </w:tcMar>
            <w:vAlign w:val="center"/>
          </w:tcPr>
          <w:p w14:paraId="3B89DAAF" w14:textId="77777777"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2974351" w14:textId="77777777" w:rsidR="006B62FD" w:rsidRPr="003301A4" w:rsidRDefault="001168CD">
            <w:pPr>
              <w:rPr>
                <w:rFonts w:ascii="Times New Roman" w:hAnsi="Times New Roman" w:cs="Times New Roman"/>
                <w:color w:val="auto"/>
              </w:rPr>
            </w:pPr>
            <w:r w:rsidRPr="003301A4">
              <w:rPr>
                <w:rFonts w:ascii="Times New Roman" w:hAnsi="Times New Roman" w:cs="Times New Roman"/>
                <w:b/>
                <w:bCs/>
                <w:color w:val="auto"/>
                <w:sz w:val="22"/>
                <w:szCs w:val="22"/>
              </w:rPr>
              <w:t xml:space="preserve">Parent </w:t>
            </w:r>
            <w:r w:rsidR="006B62FD" w:rsidRPr="003301A4">
              <w:rPr>
                <w:rFonts w:ascii="Times New Roman" w:hAnsi="Times New Roman" w:cs="Times New Roman"/>
                <w:b/>
                <w:bCs/>
                <w:color w:val="auto"/>
                <w:sz w:val="22"/>
                <w:szCs w:val="22"/>
              </w:rPr>
              <w:t>Project Name:</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FFE48CC" w14:textId="77777777" w:rsidR="006B62FD" w:rsidRPr="003301A4" w:rsidRDefault="00FC5885">
            <w:pPr>
              <w:rPr>
                <w:rFonts w:ascii="Times New Roman" w:hAnsi="Times New Roman" w:cs="Times New Roman"/>
                <w:color w:val="auto"/>
              </w:rPr>
            </w:pPr>
            <w:r w:rsidRPr="003301A4">
              <w:rPr>
                <w:rFonts w:ascii="Times New Roman" w:hAnsi="Times New Roman" w:cs="Times New Roman"/>
                <w:color w:val="auto"/>
                <w:sz w:val="22"/>
                <w:szCs w:val="22"/>
              </w:rPr>
              <w:t>Essential Health Services Access Project (P149960)</w:t>
            </w:r>
          </w:p>
        </w:tc>
      </w:tr>
      <w:tr w:rsidR="00002DAB" w:rsidRPr="003301A4" w14:paraId="1A183B7A" w14:textId="77777777" w:rsidTr="00C00508">
        <w:tc>
          <w:tcPr>
            <w:tcW w:w="184" w:type="dxa"/>
            <w:tcBorders>
              <w:top w:val="nil"/>
              <w:left w:val="nil"/>
              <w:bottom w:val="nil"/>
              <w:right w:val="nil"/>
            </w:tcBorders>
            <w:tcMar>
              <w:top w:w="50" w:type="dxa"/>
              <w:left w:w="50" w:type="dxa"/>
              <w:bottom w:w="50" w:type="dxa"/>
              <w:right w:w="50" w:type="dxa"/>
            </w:tcMar>
            <w:vAlign w:val="center"/>
          </w:tcPr>
          <w:p w14:paraId="5361A111" w14:textId="77777777" w:rsidR="00002DAB" w:rsidRPr="003301A4" w:rsidRDefault="00002DAB">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36CF1C6" w14:textId="77777777" w:rsidR="00002DAB" w:rsidRPr="003301A4" w:rsidRDefault="00002DAB">
            <w:pPr>
              <w:rPr>
                <w:rFonts w:ascii="Times New Roman" w:hAnsi="Times New Roman" w:cs="Times New Roman"/>
                <w:b/>
                <w:bCs/>
                <w:color w:val="auto"/>
              </w:rPr>
            </w:pPr>
            <w:r w:rsidRPr="003301A4">
              <w:rPr>
                <w:rFonts w:ascii="Times New Roman" w:hAnsi="Times New Roman" w:cs="Times New Roman"/>
                <w:b/>
                <w:bCs/>
                <w:color w:val="auto"/>
                <w:sz w:val="22"/>
                <w:szCs w:val="22"/>
              </w:rPr>
              <w:t>Region</w:t>
            </w:r>
            <w:r w:rsidR="00AD76F8" w:rsidRPr="003301A4">
              <w:rPr>
                <w:rFonts w:ascii="Times New Roman" w:hAnsi="Times New Roman" w:cs="Times New Roman"/>
                <w:b/>
                <w:bCs/>
                <w:color w:val="auto"/>
                <w:sz w:val="22"/>
                <w:szCs w:val="22"/>
              </w:rPr>
              <w:t>:</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58428A5" w14:textId="77777777" w:rsidR="00002DAB" w:rsidRPr="003301A4" w:rsidRDefault="00424D5A" w:rsidP="002B06F0">
            <w:pPr>
              <w:rPr>
                <w:rFonts w:ascii="Times New Roman" w:hAnsi="Times New Roman" w:cs="Times New Roman"/>
                <w:color w:val="auto"/>
              </w:rPr>
            </w:pPr>
            <w:r w:rsidRPr="003301A4">
              <w:rPr>
                <w:rFonts w:ascii="Times New Roman" w:hAnsi="Times New Roman" w:cs="Times New Roman"/>
                <w:color w:val="auto"/>
                <w:sz w:val="22"/>
                <w:szCs w:val="22"/>
              </w:rPr>
              <w:t>EAST ASIA AND PACIFIC</w:t>
            </w:r>
          </w:p>
        </w:tc>
      </w:tr>
      <w:tr w:rsidR="006B62FD" w:rsidRPr="003301A4" w14:paraId="6B382A00" w14:textId="77777777" w:rsidTr="00C00508">
        <w:tc>
          <w:tcPr>
            <w:tcW w:w="184" w:type="dxa"/>
            <w:tcBorders>
              <w:top w:val="nil"/>
              <w:left w:val="nil"/>
              <w:bottom w:val="nil"/>
              <w:right w:val="nil"/>
            </w:tcBorders>
            <w:tcMar>
              <w:top w:w="50" w:type="dxa"/>
              <w:left w:w="50" w:type="dxa"/>
              <w:bottom w:w="50" w:type="dxa"/>
              <w:right w:w="50" w:type="dxa"/>
            </w:tcMar>
            <w:vAlign w:val="center"/>
          </w:tcPr>
          <w:p w14:paraId="2EAE82A0" w14:textId="77777777"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7D5FCA7"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Appraisal Date:</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74A8C46" w14:textId="260DC8A7" w:rsidR="006B62FD" w:rsidRPr="003301A4" w:rsidRDefault="00977BD9">
            <w:pPr>
              <w:rPr>
                <w:rFonts w:ascii="Times New Roman" w:hAnsi="Times New Roman" w:cs="Times New Roman"/>
                <w:color w:val="auto"/>
              </w:rPr>
            </w:pPr>
            <w:r>
              <w:rPr>
                <w:rFonts w:ascii="Times New Roman" w:hAnsi="Times New Roman" w:cs="Times New Roman"/>
                <w:color w:val="auto"/>
                <w:sz w:val="22"/>
                <w:szCs w:val="22"/>
              </w:rPr>
              <w:t>18</w:t>
            </w:r>
            <w:r w:rsidR="00424D5A" w:rsidRPr="003301A4">
              <w:rPr>
                <w:rFonts w:ascii="Times New Roman" w:hAnsi="Times New Roman" w:cs="Times New Roman"/>
                <w:color w:val="auto"/>
                <w:sz w:val="22"/>
                <w:szCs w:val="22"/>
              </w:rPr>
              <w:t>-Nov-2019</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1F45224"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Estimated Board Date:</w:t>
            </w:r>
          </w:p>
        </w:tc>
        <w:tc>
          <w:tcPr>
            <w:tcW w:w="181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4FFFA76"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27-Feb-2020</w:t>
            </w:r>
          </w:p>
        </w:tc>
      </w:tr>
      <w:tr w:rsidR="006B62FD" w:rsidRPr="003301A4" w14:paraId="47600F86" w14:textId="77777777" w:rsidTr="00C00508">
        <w:tc>
          <w:tcPr>
            <w:tcW w:w="184" w:type="dxa"/>
            <w:tcBorders>
              <w:top w:val="nil"/>
              <w:left w:val="nil"/>
              <w:bottom w:val="nil"/>
              <w:right w:val="nil"/>
            </w:tcBorders>
            <w:tcMar>
              <w:top w:w="50" w:type="dxa"/>
              <w:left w:w="50" w:type="dxa"/>
              <w:bottom w:w="50" w:type="dxa"/>
              <w:right w:w="50" w:type="dxa"/>
            </w:tcMar>
            <w:vAlign w:val="center"/>
          </w:tcPr>
          <w:p w14:paraId="64B0377C" w14:textId="77777777" w:rsidR="006B62FD" w:rsidRPr="003301A4" w:rsidRDefault="006B62FD">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74D890E" w14:textId="77777777" w:rsidR="006B62FD" w:rsidRPr="003301A4" w:rsidRDefault="00AD76F8" w:rsidP="00AD76F8">
            <w:pPr>
              <w:rPr>
                <w:rFonts w:ascii="Times New Roman" w:hAnsi="Times New Roman" w:cs="Times New Roman"/>
                <w:color w:val="auto"/>
              </w:rPr>
            </w:pPr>
            <w:r w:rsidRPr="003301A4">
              <w:rPr>
                <w:rFonts w:ascii="Times New Roman" w:hAnsi="Times New Roman" w:cs="Times New Roman"/>
                <w:b/>
                <w:bCs/>
                <w:color w:val="auto"/>
                <w:sz w:val="22"/>
                <w:szCs w:val="22"/>
              </w:rPr>
              <w:t>Practice Area (Lead)</w:t>
            </w:r>
            <w:r w:rsidR="006B62FD" w:rsidRPr="003301A4">
              <w:rPr>
                <w:rFonts w:ascii="Times New Roman" w:hAnsi="Times New Roman" w:cs="Times New Roman"/>
                <w:b/>
                <w:bCs/>
                <w:color w:val="auto"/>
                <w:sz w:val="22"/>
                <w:szCs w:val="22"/>
              </w:rPr>
              <w:t>:</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48FC556" w14:textId="77777777" w:rsidR="006B62FD" w:rsidRPr="003301A4" w:rsidRDefault="00424D5A" w:rsidP="006E537F">
            <w:pPr>
              <w:rPr>
                <w:rFonts w:ascii="Times New Roman" w:hAnsi="Times New Roman" w:cs="Times New Roman"/>
                <w:color w:val="auto"/>
              </w:rPr>
            </w:pPr>
            <w:r w:rsidRPr="003301A4">
              <w:rPr>
                <w:rFonts w:ascii="Times New Roman" w:hAnsi="Times New Roman" w:cs="Times New Roman"/>
                <w:color w:val="auto"/>
                <w:sz w:val="22"/>
                <w:szCs w:val="22"/>
              </w:rPr>
              <w:t>Health, Nutrition &amp; Population</w:t>
            </w:r>
          </w:p>
        </w:tc>
        <w:tc>
          <w:tcPr>
            <w:tcW w:w="233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A92599F" w14:textId="77777777" w:rsidR="006B62FD" w:rsidRPr="003301A4" w:rsidRDefault="006B62FD">
            <w:pPr>
              <w:rPr>
                <w:rFonts w:ascii="Times New Roman" w:hAnsi="Times New Roman" w:cs="Times New Roman"/>
                <w:color w:val="auto"/>
              </w:rPr>
            </w:pPr>
            <w:r w:rsidRPr="003301A4">
              <w:rPr>
                <w:rFonts w:ascii="Times New Roman" w:hAnsi="Times New Roman" w:cs="Times New Roman"/>
                <w:b/>
                <w:bCs/>
                <w:color w:val="auto"/>
                <w:sz w:val="22"/>
                <w:szCs w:val="22"/>
              </w:rPr>
              <w:t>Financing Instrument:</w:t>
            </w:r>
          </w:p>
        </w:tc>
        <w:tc>
          <w:tcPr>
            <w:tcW w:w="181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B84F962" w14:textId="77777777" w:rsidR="006B62FD" w:rsidRPr="003301A4" w:rsidRDefault="00424D5A">
            <w:pPr>
              <w:rPr>
                <w:rFonts w:ascii="Times New Roman" w:hAnsi="Times New Roman" w:cs="Times New Roman"/>
                <w:color w:val="auto"/>
              </w:rPr>
            </w:pPr>
            <w:r w:rsidRPr="003301A4">
              <w:rPr>
                <w:rFonts w:ascii="Times New Roman" w:hAnsi="Times New Roman" w:cs="Times New Roman"/>
                <w:color w:val="auto"/>
                <w:sz w:val="22"/>
                <w:szCs w:val="22"/>
              </w:rPr>
              <w:t>Investment Project Financing</w:t>
            </w:r>
          </w:p>
        </w:tc>
      </w:tr>
      <w:tr w:rsidR="007C00D5" w:rsidRPr="003301A4" w14:paraId="2CEFEA0A" w14:textId="77777777" w:rsidTr="00C00508">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B40693C" w14:textId="77777777" w:rsidR="007C00D5" w:rsidRPr="003301A4" w:rsidRDefault="007C00D5" w:rsidP="00971183">
            <w:pPr>
              <w:rPr>
                <w:rFonts w:ascii="Times New Roman" w:hAnsi="Times New Roman" w:cs="Times New Roman"/>
                <w:color w:val="auto"/>
              </w:rPr>
            </w:pPr>
            <w:r w:rsidRPr="003301A4">
              <w:rPr>
                <w:rFonts w:ascii="Times New Roman" w:hAnsi="Times New Roman" w:cs="Times New Roman"/>
                <w:b/>
                <w:bCs/>
                <w:color w:val="auto"/>
                <w:sz w:val="22"/>
                <w:szCs w:val="22"/>
              </w:rPr>
              <w:t>Borrower(s)</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1120FAC" w14:textId="77777777" w:rsidR="007C00D5" w:rsidRPr="003301A4" w:rsidRDefault="00424D5A" w:rsidP="00424D5A">
            <w:pPr>
              <w:rPr>
                <w:rFonts w:ascii="Times New Roman" w:hAnsi="Times New Roman" w:cs="Times New Roman"/>
                <w:color w:val="auto"/>
              </w:rPr>
            </w:pPr>
            <w:r w:rsidRPr="003301A4">
              <w:rPr>
                <w:rFonts w:ascii="Times New Roman" w:hAnsi="Times New Roman" w:cs="Times New Roman"/>
                <w:color w:val="auto"/>
                <w:sz w:val="22"/>
                <w:szCs w:val="22"/>
              </w:rPr>
              <w:t>Republic of the Union of Myanmar</w:t>
            </w:r>
          </w:p>
        </w:tc>
      </w:tr>
      <w:tr w:rsidR="007C00D5" w:rsidRPr="003301A4" w14:paraId="7FD810A4" w14:textId="77777777" w:rsidTr="00C00508">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AF25016" w14:textId="77777777" w:rsidR="007C00D5" w:rsidRPr="003301A4" w:rsidRDefault="007C00D5" w:rsidP="00002DAB">
            <w:pPr>
              <w:rPr>
                <w:rFonts w:ascii="Times New Roman" w:hAnsi="Times New Roman" w:cs="Times New Roman"/>
                <w:color w:val="auto"/>
              </w:rPr>
            </w:pPr>
            <w:r w:rsidRPr="003301A4">
              <w:rPr>
                <w:rFonts w:ascii="Times New Roman" w:hAnsi="Times New Roman" w:cs="Times New Roman"/>
                <w:b/>
                <w:bCs/>
                <w:color w:val="auto"/>
                <w:sz w:val="22"/>
                <w:szCs w:val="22"/>
              </w:rPr>
              <w:t>Implementing Agency</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CF721CB" w14:textId="77777777" w:rsidR="007C00D5" w:rsidRPr="003301A4" w:rsidRDefault="00424D5A" w:rsidP="00424D5A">
            <w:pPr>
              <w:rPr>
                <w:rFonts w:ascii="Times New Roman" w:hAnsi="Times New Roman" w:cs="Times New Roman"/>
                <w:color w:val="auto"/>
              </w:rPr>
            </w:pPr>
            <w:r w:rsidRPr="003301A4">
              <w:rPr>
                <w:rFonts w:ascii="Times New Roman" w:hAnsi="Times New Roman" w:cs="Times New Roman"/>
                <w:color w:val="auto"/>
                <w:sz w:val="22"/>
                <w:szCs w:val="22"/>
              </w:rPr>
              <w:t>Ministry of Health and Sports</w:t>
            </w:r>
          </w:p>
        </w:tc>
      </w:tr>
      <w:tr w:rsidR="007C00D5" w:rsidRPr="003301A4" w14:paraId="5CE05952" w14:textId="77777777" w:rsidTr="009B79CB">
        <w:tc>
          <w:tcPr>
            <w:tcW w:w="184" w:type="dxa"/>
            <w:tcBorders>
              <w:top w:val="nil"/>
              <w:left w:val="nil"/>
              <w:bottom w:val="nil"/>
              <w:right w:val="nil"/>
            </w:tcBorders>
            <w:tcMar>
              <w:top w:w="50" w:type="dxa"/>
              <w:left w:w="50" w:type="dxa"/>
              <w:bottom w:w="50" w:type="dxa"/>
              <w:right w:w="50" w:type="dxa"/>
            </w:tcMar>
            <w:vAlign w:val="center"/>
          </w:tcPr>
          <w:p w14:paraId="1F036C5D" w14:textId="77777777" w:rsidR="007C00D5" w:rsidRPr="003301A4" w:rsidRDefault="007C00D5">
            <w:pPr>
              <w:rPr>
                <w:rFonts w:ascii="Times New Roman" w:hAnsi="Times New Roman" w:cs="Times New Roman"/>
                <w:color w:val="auto"/>
              </w:rPr>
            </w:pPr>
          </w:p>
        </w:tc>
        <w:tc>
          <w:tcPr>
            <w:tcW w:w="9178"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160E28E" w14:textId="77777777"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Financing (in USD Million)</w:t>
            </w:r>
          </w:p>
        </w:tc>
      </w:tr>
      <w:tr w:rsidR="007C00D5" w:rsidRPr="003301A4" w14:paraId="5C1D59EA" w14:textId="77777777" w:rsidTr="00C00508">
        <w:tc>
          <w:tcPr>
            <w:tcW w:w="184" w:type="dxa"/>
            <w:tcBorders>
              <w:top w:val="nil"/>
              <w:left w:val="nil"/>
              <w:bottom w:val="nil"/>
              <w:right w:val="nil"/>
            </w:tcBorders>
            <w:tcMar>
              <w:top w:w="50" w:type="dxa"/>
              <w:left w:w="50" w:type="dxa"/>
              <w:bottom w:w="50" w:type="dxa"/>
              <w:right w:w="50" w:type="dxa"/>
            </w:tcMar>
            <w:vAlign w:val="center"/>
          </w:tcPr>
          <w:p w14:paraId="25CF82AC" w14:textId="77777777"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4D4B8D5" w14:textId="77777777" w:rsidR="007C00D5" w:rsidRPr="003301A4" w:rsidRDefault="007C00D5">
            <w:pPr>
              <w:rPr>
                <w:rFonts w:ascii="Times New Roman" w:hAnsi="Times New Roman" w:cs="Times New Roman"/>
                <w:color w:val="auto"/>
              </w:rPr>
            </w:pPr>
            <w:r w:rsidRPr="003301A4">
              <w:rPr>
                <w:rFonts w:ascii="Times New Roman" w:hAnsi="Times New Roman" w:cs="Times New Roman"/>
                <w:b/>
                <w:bCs/>
                <w:color w:val="auto"/>
                <w:sz w:val="22"/>
                <w:szCs w:val="22"/>
              </w:rPr>
              <w:t xml:space="preserve">    Financing Source</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FC38DA3" w14:textId="77777777" w:rsidR="007C00D5" w:rsidRPr="003301A4" w:rsidRDefault="007C00D5">
            <w:pPr>
              <w:jc w:val="right"/>
              <w:rPr>
                <w:rFonts w:ascii="Times New Roman" w:hAnsi="Times New Roman" w:cs="Times New Roman"/>
                <w:color w:val="auto"/>
              </w:rPr>
            </w:pPr>
            <w:r w:rsidRPr="003301A4">
              <w:rPr>
                <w:rFonts w:ascii="Times New Roman" w:hAnsi="Times New Roman" w:cs="Times New Roman"/>
                <w:b/>
                <w:bCs/>
                <w:color w:val="auto"/>
                <w:sz w:val="22"/>
                <w:szCs w:val="22"/>
              </w:rPr>
              <w:t>Amount</w:t>
            </w:r>
          </w:p>
        </w:tc>
      </w:tr>
      <w:tr w:rsidR="007C00D5" w:rsidRPr="003301A4" w14:paraId="5DE34562" w14:textId="77777777" w:rsidTr="00C00508">
        <w:tc>
          <w:tcPr>
            <w:tcW w:w="184" w:type="dxa"/>
            <w:tcBorders>
              <w:top w:val="nil"/>
              <w:left w:val="nil"/>
              <w:bottom w:val="nil"/>
              <w:right w:val="nil"/>
            </w:tcBorders>
            <w:tcMar>
              <w:top w:w="50" w:type="dxa"/>
              <w:left w:w="50" w:type="dxa"/>
              <w:bottom w:w="50" w:type="dxa"/>
              <w:right w:w="50" w:type="dxa"/>
            </w:tcMar>
            <w:vAlign w:val="center"/>
          </w:tcPr>
          <w:p w14:paraId="6D0F4C95" w14:textId="77777777"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EF9E384" w14:textId="77777777"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International Development Association (IDA)</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39A34AA" w14:textId="77777777"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100.00</w:t>
            </w:r>
          </w:p>
        </w:tc>
      </w:tr>
      <w:tr w:rsidR="007C00D5" w:rsidRPr="003301A4" w14:paraId="0D70ED61" w14:textId="77777777" w:rsidTr="00C00508">
        <w:tc>
          <w:tcPr>
            <w:tcW w:w="184" w:type="dxa"/>
            <w:tcBorders>
              <w:top w:val="nil"/>
              <w:left w:val="nil"/>
              <w:bottom w:val="nil"/>
              <w:right w:val="nil"/>
            </w:tcBorders>
            <w:tcMar>
              <w:top w:w="50" w:type="dxa"/>
              <w:left w:w="50" w:type="dxa"/>
              <w:bottom w:w="50" w:type="dxa"/>
              <w:right w:w="50" w:type="dxa"/>
            </w:tcMar>
            <w:vAlign w:val="center"/>
          </w:tcPr>
          <w:p w14:paraId="72E9A275" w14:textId="77777777"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80A44E3" w14:textId="77777777"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Global Financing Facility</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D017EFA" w14:textId="77777777"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10.00</w:t>
            </w:r>
          </w:p>
        </w:tc>
      </w:tr>
      <w:tr w:rsidR="007C00D5" w:rsidRPr="003301A4" w14:paraId="5736415A" w14:textId="77777777" w:rsidTr="00C00508">
        <w:tc>
          <w:tcPr>
            <w:tcW w:w="184" w:type="dxa"/>
            <w:tcBorders>
              <w:top w:val="nil"/>
              <w:left w:val="nil"/>
              <w:bottom w:val="nil"/>
              <w:right w:val="nil"/>
            </w:tcBorders>
            <w:tcMar>
              <w:top w:w="50" w:type="dxa"/>
              <w:left w:w="50" w:type="dxa"/>
              <w:bottom w:w="50" w:type="dxa"/>
              <w:right w:w="50" w:type="dxa"/>
            </w:tcMar>
            <w:vAlign w:val="center"/>
          </w:tcPr>
          <w:p w14:paraId="404F4A53" w14:textId="77777777"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CE332CF" w14:textId="77777777"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Financing Gap</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321152C" w14:textId="77777777"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0.00</w:t>
            </w:r>
          </w:p>
        </w:tc>
      </w:tr>
      <w:tr w:rsidR="007C00D5" w:rsidRPr="003301A4" w14:paraId="3517021B" w14:textId="77777777" w:rsidTr="00C00508">
        <w:tc>
          <w:tcPr>
            <w:tcW w:w="184" w:type="dxa"/>
            <w:tcBorders>
              <w:top w:val="nil"/>
              <w:left w:val="nil"/>
              <w:bottom w:val="nil"/>
              <w:right w:val="nil"/>
            </w:tcBorders>
            <w:tcMar>
              <w:top w:w="50" w:type="dxa"/>
              <w:left w:w="50" w:type="dxa"/>
              <w:bottom w:w="50" w:type="dxa"/>
              <w:right w:w="50" w:type="dxa"/>
            </w:tcMar>
            <w:vAlign w:val="center"/>
          </w:tcPr>
          <w:p w14:paraId="57760A03" w14:textId="77777777" w:rsidR="007C00D5" w:rsidRPr="003301A4" w:rsidRDefault="007C00D5">
            <w:pPr>
              <w:rPr>
                <w:rFonts w:ascii="Times New Roman" w:hAnsi="Times New Roman" w:cs="Times New Roman"/>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66AF9A4" w14:textId="77777777" w:rsidR="007C00D5" w:rsidRPr="003301A4" w:rsidRDefault="002B1BFB">
            <w:pPr>
              <w:rPr>
                <w:rFonts w:ascii="Times New Roman" w:hAnsi="Times New Roman" w:cs="Times New Roman"/>
                <w:color w:val="auto"/>
              </w:rPr>
            </w:pPr>
            <w:r w:rsidRPr="003301A4">
              <w:rPr>
                <w:rFonts w:ascii="Times New Roman" w:hAnsi="Times New Roman" w:cs="Times New Roman"/>
                <w:color w:val="auto"/>
                <w:sz w:val="22"/>
                <w:szCs w:val="22"/>
              </w:rPr>
              <w:t>Total Project Cost</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0F7FFA4" w14:textId="77777777" w:rsidR="007C00D5" w:rsidRPr="003301A4" w:rsidRDefault="002B1BFB">
            <w:pPr>
              <w:jc w:val="right"/>
              <w:rPr>
                <w:rFonts w:ascii="Times New Roman" w:hAnsi="Times New Roman" w:cs="Times New Roman"/>
                <w:color w:val="auto"/>
              </w:rPr>
            </w:pPr>
            <w:r w:rsidRPr="003301A4">
              <w:rPr>
                <w:rFonts w:ascii="Times New Roman" w:hAnsi="Times New Roman" w:cs="Times New Roman"/>
                <w:color w:val="auto"/>
                <w:sz w:val="22"/>
                <w:szCs w:val="22"/>
              </w:rPr>
              <w:t>110.00</w:t>
            </w:r>
          </w:p>
        </w:tc>
      </w:tr>
      <w:tr w:rsidR="007C00D5" w:rsidRPr="003301A4" w14:paraId="18A31394" w14:textId="77777777" w:rsidTr="00C00508">
        <w:tc>
          <w:tcPr>
            <w:tcW w:w="184" w:type="dxa"/>
            <w:tcBorders>
              <w:top w:val="nil"/>
              <w:left w:val="nil"/>
              <w:bottom w:val="nil"/>
              <w:right w:val="nil"/>
            </w:tcBorders>
            <w:tcMar>
              <w:top w:w="50" w:type="dxa"/>
              <w:left w:w="50" w:type="dxa"/>
              <w:bottom w:w="50" w:type="dxa"/>
              <w:right w:w="50" w:type="dxa"/>
            </w:tcMar>
            <w:vAlign w:val="center"/>
          </w:tcPr>
          <w:p w14:paraId="4EB8A33E" w14:textId="77777777" w:rsidR="007C00D5" w:rsidRPr="003301A4" w:rsidRDefault="007C00D5" w:rsidP="00BF557E">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C5B6EC5" w14:textId="77777777" w:rsidR="007C00D5" w:rsidRPr="003301A4" w:rsidRDefault="007C00D5" w:rsidP="00BF557E">
            <w:pPr>
              <w:rPr>
                <w:rFonts w:ascii="Times New Roman" w:hAnsi="Times New Roman" w:cs="Times New Roman"/>
                <w:color w:val="auto"/>
                <w:u w:val="single"/>
              </w:rPr>
            </w:pPr>
            <w:r w:rsidRPr="003301A4">
              <w:rPr>
                <w:rFonts w:ascii="Times New Roman" w:hAnsi="Times New Roman" w:cs="Times New Roman"/>
                <w:b/>
                <w:bCs/>
                <w:color w:val="auto"/>
                <w:sz w:val="22"/>
                <w:szCs w:val="22"/>
              </w:rPr>
              <w:t>Environmental Category</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AB54EF5" w14:textId="77777777" w:rsidR="007C00D5" w:rsidRPr="003301A4" w:rsidRDefault="00AF6D79" w:rsidP="00BF557E">
            <w:pPr>
              <w:rPr>
                <w:rFonts w:ascii="Times New Roman" w:hAnsi="Times New Roman" w:cs="Times New Roman"/>
                <w:color w:val="auto"/>
              </w:rPr>
            </w:pPr>
            <w:r w:rsidRPr="003301A4">
              <w:rPr>
                <w:rFonts w:ascii="Times New Roman" w:hAnsi="Times New Roman" w:cs="Times New Roman"/>
                <w:color w:val="auto"/>
                <w:sz w:val="22"/>
                <w:szCs w:val="22"/>
              </w:rPr>
              <w:t>B-Partial Assessment</w:t>
            </w:r>
          </w:p>
        </w:tc>
      </w:tr>
      <w:tr w:rsidR="007C00D5" w:rsidRPr="003301A4" w14:paraId="4449EC55" w14:textId="77777777" w:rsidTr="00C00508">
        <w:tc>
          <w:tcPr>
            <w:tcW w:w="184" w:type="dxa"/>
            <w:tcBorders>
              <w:top w:val="nil"/>
              <w:left w:val="nil"/>
              <w:bottom w:val="nil"/>
              <w:right w:val="nil"/>
            </w:tcBorders>
            <w:tcMar>
              <w:top w:w="50" w:type="dxa"/>
              <w:left w:w="50" w:type="dxa"/>
              <w:bottom w:w="50" w:type="dxa"/>
              <w:right w:w="50" w:type="dxa"/>
            </w:tcMar>
            <w:vAlign w:val="center"/>
          </w:tcPr>
          <w:p w14:paraId="4332D0EF" w14:textId="77777777" w:rsidR="007C00D5" w:rsidRPr="003301A4" w:rsidRDefault="007C00D5">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F863532" w14:textId="77777777"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Decision</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AB386DF" w14:textId="77777777" w:rsidR="007C00D5" w:rsidRPr="003301A4" w:rsidRDefault="00AF6D79">
            <w:pPr>
              <w:rPr>
                <w:rFonts w:ascii="Times New Roman" w:hAnsi="Times New Roman" w:cs="Times New Roman"/>
                <w:color w:val="auto"/>
              </w:rPr>
            </w:pPr>
            <w:r w:rsidRPr="003301A4">
              <w:rPr>
                <w:rFonts w:ascii="Times New Roman" w:hAnsi="Times New Roman" w:cs="Times New Roman"/>
                <w:color w:val="auto"/>
                <w:sz w:val="22"/>
                <w:szCs w:val="22"/>
              </w:rPr>
              <w:t>The review did authorize the team to appraise and negotiate</w:t>
            </w:r>
          </w:p>
        </w:tc>
      </w:tr>
      <w:tr w:rsidR="007C00D5" w:rsidRPr="003301A4" w14:paraId="19001793" w14:textId="77777777" w:rsidTr="00C00508">
        <w:tc>
          <w:tcPr>
            <w:tcW w:w="184" w:type="dxa"/>
            <w:tcBorders>
              <w:top w:val="nil"/>
              <w:left w:val="nil"/>
              <w:bottom w:val="nil"/>
              <w:right w:val="nil"/>
            </w:tcBorders>
            <w:tcMar>
              <w:top w:w="50" w:type="dxa"/>
              <w:left w:w="50" w:type="dxa"/>
              <w:bottom w:w="50" w:type="dxa"/>
              <w:right w:w="50" w:type="dxa"/>
            </w:tcMar>
            <w:vAlign w:val="center"/>
          </w:tcPr>
          <w:p w14:paraId="62FC521E" w14:textId="77777777" w:rsidR="007C00D5" w:rsidRPr="003301A4" w:rsidRDefault="007C00D5">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4E72F8E" w14:textId="77777777" w:rsidR="007C00D5" w:rsidRPr="003301A4" w:rsidRDefault="00725EB6" w:rsidP="00263007">
            <w:pPr>
              <w:rPr>
                <w:rFonts w:ascii="Times New Roman" w:hAnsi="Times New Roman" w:cs="Times New Roman"/>
                <w:b/>
                <w:bCs/>
                <w:color w:val="auto"/>
              </w:rPr>
            </w:pPr>
            <w:r w:rsidRPr="003301A4">
              <w:rPr>
                <w:rFonts w:ascii="Times New Roman" w:hAnsi="Times New Roman" w:cs="Times New Roman"/>
                <w:b/>
                <w:bCs/>
                <w:color w:val="auto"/>
                <w:sz w:val="22"/>
                <w:szCs w:val="22"/>
              </w:rPr>
              <w:t>Other Decision (as needed)</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4180838" w14:textId="77777777" w:rsidR="007C00D5" w:rsidRPr="003301A4" w:rsidRDefault="007C00D5">
            <w:pPr>
              <w:rPr>
                <w:rFonts w:ascii="Times New Roman" w:hAnsi="Times New Roman" w:cs="Times New Roman"/>
                <w:color w:val="auto"/>
              </w:rPr>
            </w:pPr>
          </w:p>
        </w:tc>
      </w:tr>
      <w:tr w:rsidR="00C92BD9" w:rsidRPr="003301A4" w14:paraId="51AC5730" w14:textId="77777777" w:rsidTr="00C00508">
        <w:tc>
          <w:tcPr>
            <w:tcW w:w="184" w:type="dxa"/>
            <w:tcBorders>
              <w:top w:val="nil"/>
              <w:left w:val="nil"/>
              <w:bottom w:val="nil"/>
              <w:right w:val="nil"/>
            </w:tcBorders>
            <w:tcMar>
              <w:top w:w="50" w:type="dxa"/>
              <w:left w:w="50" w:type="dxa"/>
              <w:bottom w:w="50" w:type="dxa"/>
              <w:right w:w="50" w:type="dxa"/>
            </w:tcMar>
            <w:vAlign w:val="center"/>
          </w:tcPr>
          <w:p w14:paraId="339523F7" w14:textId="77777777" w:rsidR="00C92BD9" w:rsidRPr="003301A4" w:rsidRDefault="00C92BD9">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B919218" w14:textId="77777777" w:rsidR="00C92BD9" w:rsidRPr="003301A4" w:rsidRDefault="00C92BD9" w:rsidP="00971183">
            <w:pPr>
              <w:rPr>
                <w:rFonts w:ascii="Times New Roman" w:hAnsi="Times New Roman" w:cs="Times New Roman"/>
                <w:color w:val="auto"/>
              </w:rPr>
            </w:pPr>
            <w:r w:rsidRPr="003301A4">
              <w:rPr>
                <w:rFonts w:ascii="Times New Roman" w:hAnsi="Times New Roman" w:cs="Times New Roman"/>
                <w:b/>
                <w:bCs/>
                <w:color w:val="auto"/>
                <w:sz w:val="22"/>
                <w:szCs w:val="22"/>
              </w:rPr>
              <w:t>Is this a Repeater project?</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A9E9AFB" w14:textId="77777777" w:rsidR="00C92BD9" w:rsidRPr="003301A4" w:rsidRDefault="00AF6D79" w:rsidP="00971183">
            <w:pPr>
              <w:rPr>
                <w:rFonts w:ascii="Times New Roman" w:hAnsi="Times New Roman" w:cs="Times New Roman"/>
                <w:color w:val="auto"/>
              </w:rPr>
            </w:pPr>
            <w:r w:rsidRPr="003301A4">
              <w:rPr>
                <w:rFonts w:ascii="Times New Roman" w:hAnsi="Times New Roman" w:cs="Times New Roman"/>
                <w:color w:val="auto"/>
                <w:sz w:val="22"/>
                <w:szCs w:val="22"/>
              </w:rPr>
              <w:t>No</w:t>
            </w:r>
          </w:p>
        </w:tc>
      </w:tr>
      <w:tr w:rsidR="00C92BD9" w:rsidRPr="003301A4" w14:paraId="368F3CC7" w14:textId="77777777" w:rsidTr="00C00508">
        <w:tc>
          <w:tcPr>
            <w:tcW w:w="184" w:type="dxa"/>
            <w:tcBorders>
              <w:top w:val="nil"/>
              <w:left w:val="nil"/>
              <w:bottom w:val="nil"/>
              <w:right w:val="nil"/>
            </w:tcBorders>
            <w:tcMar>
              <w:top w:w="50" w:type="dxa"/>
              <w:left w:w="50" w:type="dxa"/>
              <w:bottom w:w="50" w:type="dxa"/>
              <w:right w:w="50" w:type="dxa"/>
            </w:tcMar>
            <w:vAlign w:val="center"/>
          </w:tcPr>
          <w:p w14:paraId="5B99BBA1" w14:textId="77777777" w:rsidR="00C92BD9" w:rsidRPr="003301A4" w:rsidRDefault="00C92BD9">
            <w:pPr>
              <w:rPr>
                <w:rFonts w:ascii="Times New Roman" w:hAnsi="Times New Roman" w:cs="Times New Roman"/>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3BFFE9C" w14:textId="77777777" w:rsidR="00C92BD9" w:rsidRPr="003301A4" w:rsidRDefault="00C92BD9" w:rsidP="00971183">
            <w:pPr>
              <w:rPr>
                <w:rFonts w:ascii="Times New Roman" w:hAnsi="Times New Roman" w:cs="Times New Roman"/>
                <w:b/>
                <w:bCs/>
                <w:color w:val="auto"/>
              </w:rPr>
            </w:pPr>
            <w:r w:rsidRPr="003301A4">
              <w:rPr>
                <w:rFonts w:ascii="Times New Roman" w:hAnsi="Times New Roman" w:cs="Times New Roman"/>
                <w:b/>
                <w:bCs/>
                <w:color w:val="auto"/>
                <w:sz w:val="22"/>
                <w:szCs w:val="22"/>
              </w:rPr>
              <w:t>Is this a Transferred project? (Will not be disclosed)</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7976875" w14:textId="77777777" w:rsidR="00C92BD9" w:rsidRPr="003301A4" w:rsidRDefault="00AF6D79" w:rsidP="00971183">
            <w:pPr>
              <w:rPr>
                <w:rFonts w:ascii="Times New Roman" w:hAnsi="Times New Roman" w:cs="Times New Roman"/>
                <w:b/>
                <w:color w:val="auto"/>
                <w:sz w:val="28"/>
              </w:rPr>
            </w:pPr>
            <w:r w:rsidRPr="003301A4">
              <w:rPr>
                <w:rFonts w:ascii="Times New Roman" w:hAnsi="Times New Roman" w:cs="Times New Roman"/>
                <w:color w:val="auto"/>
                <w:sz w:val="22"/>
                <w:szCs w:val="22"/>
              </w:rPr>
              <w:t>No</w:t>
            </w:r>
          </w:p>
        </w:tc>
      </w:tr>
      <w:tr w:rsidR="00C92BD9" w:rsidRPr="003301A4" w14:paraId="25D18513"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301B63D4"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37E130B5" w14:textId="77777777" w:rsidTr="009B79CB">
        <w:tc>
          <w:tcPr>
            <w:tcW w:w="184" w:type="dxa"/>
            <w:tcBorders>
              <w:top w:val="nil"/>
              <w:left w:val="nil"/>
              <w:bottom w:val="nil"/>
              <w:right w:val="nil"/>
            </w:tcBorders>
            <w:tcMar>
              <w:top w:w="50" w:type="dxa"/>
              <w:left w:w="50" w:type="dxa"/>
              <w:bottom w:w="50" w:type="dxa"/>
              <w:right w:w="50" w:type="dxa"/>
            </w:tcMar>
            <w:vAlign w:val="center"/>
          </w:tcPr>
          <w:p w14:paraId="71EAE132"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ACE3D50" w14:textId="77777777" w:rsidR="00C92BD9" w:rsidRPr="003301A4" w:rsidRDefault="00C92BD9">
            <w:pPr>
              <w:rPr>
                <w:rFonts w:ascii="Times New Roman" w:hAnsi="Times New Roman" w:cs="Times New Roman"/>
                <w:color w:val="auto"/>
              </w:rPr>
            </w:pPr>
          </w:p>
          <w:p w14:paraId="35131389" w14:textId="77777777" w:rsidR="00C92BD9" w:rsidRPr="003301A4" w:rsidRDefault="00C92BD9">
            <w:pPr>
              <w:rPr>
                <w:rFonts w:ascii="Times New Roman" w:hAnsi="Times New Roman" w:cs="Times New Roman"/>
                <w:color w:val="auto"/>
              </w:rPr>
            </w:pPr>
          </w:p>
        </w:tc>
      </w:tr>
      <w:tr w:rsidR="00C92BD9" w:rsidRPr="003301A4" w14:paraId="56F7C83C"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55166399"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228AFB5A"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AC995F6" w14:textId="77777777" w:rsidR="00C92BD9" w:rsidRPr="003301A4" w:rsidRDefault="00C92BD9" w:rsidP="002652DE">
            <w:pPr>
              <w:rPr>
                <w:rFonts w:ascii="Times New Roman" w:hAnsi="Times New Roman" w:cs="Times New Roman"/>
                <w:b/>
                <w:bCs/>
                <w:color w:val="auto"/>
              </w:rPr>
            </w:pPr>
            <w:r w:rsidRPr="003301A4">
              <w:rPr>
                <w:rFonts w:ascii="Times New Roman" w:hAnsi="Times New Roman" w:cs="Times New Roman"/>
                <w:b/>
                <w:bCs/>
                <w:color w:val="auto"/>
              </w:rPr>
              <w:t>B. Introduction and Context</w:t>
            </w:r>
          </w:p>
        </w:tc>
      </w:tr>
      <w:tr w:rsidR="00C92BD9" w:rsidRPr="003301A4" w14:paraId="364ACBBC" w14:textId="77777777" w:rsidTr="009B79CB">
        <w:tc>
          <w:tcPr>
            <w:tcW w:w="184" w:type="dxa"/>
            <w:tcBorders>
              <w:top w:val="nil"/>
              <w:left w:val="nil"/>
              <w:bottom w:val="nil"/>
              <w:right w:val="nil"/>
            </w:tcBorders>
            <w:tcMar>
              <w:top w:w="50" w:type="dxa"/>
              <w:left w:w="50" w:type="dxa"/>
              <w:bottom w:w="50" w:type="dxa"/>
              <w:right w:w="50" w:type="dxa"/>
            </w:tcMar>
            <w:vAlign w:val="center"/>
          </w:tcPr>
          <w:p w14:paraId="48D95E46"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6026E35" w14:textId="77777777" w:rsidR="00C92BD9" w:rsidRPr="003301A4" w:rsidRDefault="00C92BD9" w:rsidP="00F22E0F">
            <w:pPr>
              <w:rPr>
                <w:rFonts w:ascii="Times New Roman" w:hAnsi="Times New Roman" w:cs="Times New Roman"/>
                <w:b/>
                <w:color w:val="auto"/>
              </w:rPr>
            </w:pPr>
            <w:r w:rsidRPr="003301A4">
              <w:rPr>
                <w:rFonts w:ascii="Times New Roman" w:hAnsi="Times New Roman" w:cs="Times New Roman"/>
                <w:b/>
                <w:color w:val="auto"/>
                <w:sz w:val="22"/>
                <w:szCs w:val="22"/>
              </w:rPr>
              <w:t>Country Context</w:t>
            </w:r>
          </w:p>
        </w:tc>
      </w:tr>
      <w:tr w:rsidR="00C92BD9" w:rsidRPr="003301A4" w14:paraId="679A3DEF" w14:textId="77777777" w:rsidTr="009B79CB">
        <w:tc>
          <w:tcPr>
            <w:tcW w:w="184" w:type="dxa"/>
            <w:tcBorders>
              <w:top w:val="nil"/>
              <w:left w:val="nil"/>
              <w:bottom w:val="nil"/>
              <w:right w:val="nil"/>
            </w:tcBorders>
            <w:tcMar>
              <w:top w:w="50" w:type="dxa"/>
              <w:left w:w="50" w:type="dxa"/>
              <w:bottom w:w="50" w:type="dxa"/>
              <w:right w:w="50" w:type="dxa"/>
            </w:tcMar>
            <w:vAlign w:val="center"/>
          </w:tcPr>
          <w:p w14:paraId="6E76B506"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B0B9D31" w14:textId="77777777" w:rsidR="00C92BD9" w:rsidRPr="003301A4" w:rsidRDefault="00C551F2" w:rsidP="00E67D1B">
            <w:pPr>
              <w:jc w:val="both"/>
              <w:rPr>
                <w:rFonts w:ascii="Times New Roman" w:hAnsi="Times New Roman" w:cs="Times New Roman"/>
                <w:color w:val="auto"/>
              </w:rPr>
            </w:pPr>
            <w:r w:rsidRPr="003301A4">
              <w:rPr>
                <w:rFonts w:ascii="Times New Roman" w:hAnsi="Times New Roman" w:cs="Times New Roman"/>
                <w:color w:val="auto"/>
                <w:sz w:val="22"/>
                <w:szCs w:val="22"/>
              </w:rPr>
              <w:t>Since the Essential Health Services Access Project (EHSAP) was originally approved in 2014, there have been historic elections in 2015, resulting in the formation of a new democratically elected Government coming into power in April 2016.  The Government, led by National League for Democracy (NLD), has since reaffirmed its commitment to the Sustainable Development Goals through the formulation and implementation of the Myanmar Sustainable Development Plan (MSDP). The Plan also sets forth the country goals of inclusion and peace, as well as universal health coverage (UHC).  In complete alignment with this vision, the Government has endorsed the National Health Plan (NHP) in March 2017 as a critical first phase on the path towards the UHC goal.</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 xml:space="preserve">Over the past several years, evidence related to Myanmar’s socio-economic conditions, including health, has expanded.  Findings of the Census 2014, including township-level information, were disseminated in 2016; the first Demographic and Health Survey was conducted in 2015/2016; Micronutrient and Food Security Survey in 2018.  Two rounds of the Myanmar Poverty and Living Condition Survey of good international standards have also taken place, the first in 2015, which was representative at the </w:t>
            </w:r>
            <w:proofErr w:type="spellStart"/>
            <w:r w:rsidRPr="003301A4">
              <w:rPr>
                <w:rFonts w:ascii="Times New Roman" w:hAnsi="Times New Roman" w:cs="Times New Roman"/>
                <w:color w:val="auto"/>
                <w:sz w:val="22"/>
                <w:szCs w:val="22"/>
              </w:rPr>
              <w:t>agro</w:t>
            </w:r>
            <w:proofErr w:type="spellEnd"/>
            <w:r w:rsidRPr="003301A4">
              <w:rPr>
                <w:rFonts w:ascii="Times New Roman" w:hAnsi="Times New Roman" w:cs="Times New Roman"/>
                <w:color w:val="auto"/>
                <w:sz w:val="22"/>
                <w:szCs w:val="22"/>
              </w:rPr>
              <w:t>-zone level, and the second in 2017, representative at the Region/State-level.  In addition, the Multi-Dimensional Disadvantage Index (MDI), created using census data, has provided a deeper understanding of welfare at the township level. The MDI provides insights into geographical disparities, marked by conflict and isolation.</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Reforms in the telecommunications sector have unleashed significant opportunities. Mobile phone ownership increased from 4.8 percent in 2010 to 81.5 percent in 2017, with the majority being internet-connected smart phones. The impact goes beyond mobile phone usage. People are becoming more active on social media platforms, and mobile financial services are providing new opportunities to effectively reach broader segments of the population.</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Despite sound economic and political progress, conflict and fragility continue to affect a significant portion of the country. Around one-third of townships across the country are conflict-affected.  Since 2011, some progress has occurred in agreeing ceasefires with ethnic armed organizations (EAOs); recently, however, the nationwide peace process has stalled.  Conflict continues or has intensified in some areas of the country, such as in Shan. In Shan State, there has been an upsurge in violence between different EAOs and between the military and the EAOs. The escalation in conflict also has resulted in greater numbers of internally displaced persons (IDPs). Over the past decades, Rakhine State has seen multiple rounds of conflict, most recently in August 2017 when deadly violence led to the forced displacement of more than 730,000 Muslims who self-identify as Rohingya into Bangladesh. Such violence has exacerbated communal tensions and deepened social fractures. In recent months, new violence involving the Arakan Army, a Buddhist ethnic Rakhine insurgent group, has led to more deaths and displacement.</w:t>
            </w:r>
          </w:p>
        </w:tc>
      </w:tr>
      <w:tr w:rsidR="00C92BD9" w:rsidRPr="003301A4" w14:paraId="704A49B9" w14:textId="77777777" w:rsidTr="009B79CB">
        <w:tc>
          <w:tcPr>
            <w:tcW w:w="184" w:type="dxa"/>
            <w:tcBorders>
              <w:top w:val="nil"/>
              <w:left w:val="nil"/>
              <w:bottom w:val="nil"/>
              <w:right w:val="nil"/>
            </w:tcBorders>
            <w:tcMar>
              <w:top w:w="50" w:type="dxa"/>
              <w:left w:w="50" w:type="dxa"/>
              <w:bottom w:w="50" w:type="dxa"/>
              <w:right w:w="50" w:type="dxa"/>
            </w:tcMar>
            <w:vAlign w:val="center"/>
          </w:tcPr>
          <w:p w14:paraId="2346F190"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73ADDED3" w14:textId="77777777" w:rsidR="00C92BD9" w:rsidRPr="003301A4" w:rsidRDefault="00C92BD9" w:rsidP="00F22E0F">
            <w:pPr>
              <w:rPr>
                <w:rFonts w:ascii="Times New Roman" w:hAnsi="Times New Roman" w:cs="Times New Roman"/>
                <w:b/>
                <w:color w:val="auto"/>
              </w:rPr>
            </w:pPr>
            <w:r w:rsidRPr="003301A4">
              <w:rPr>
                <w:rFonts w:ascii="Times New Roman" w:hAnsi="Times New Roman" w:cs="Times New Roman"/>
                <w:b/>
                <w:color w:val="auto"/>
                <w:sz w:val="22"/>
                <w:szCs w:val="22"/>
              </w:rPr>
              <w:t>Sectoral and Institutional Context</w:t>
            </w:r>
          </w:p>
        </w:tc>
      </w:tr>
      <w:tr w:rsidR="00C92BD9" w:rsidRPr="003301A4" w14:paraId="684FE900" w14:textId="77777777" w:rsidTr="009B79CB">
        <w:tc>
          <w:tcPr>
            <w:tcW w:w="184" w:type="dxa"/>
            <w:tcBorders>
              <w:top w:val="nil"/>
              <w:left w:val="nil"/>
              <w:bottom w:val="nil"/>
              <w:right w:val="nil"/>
            </w:tcBorders>
            <w:tcMar>
              <w:top w:w="50" w:type="dxa"/>
              <w:left w:w="50" w:type="dxa"/>
              <w:bottom w:w="50" w:type="dxa"/>
              <w:right w:w="50" w:type="dxa"/>
            </w:tcMar>
            <w:vAlign w:val="center"/>
          </w:tcPr>
          <w:p w14:paraId="6CFB2ED2"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7B402ECA" w14:textId="77777777" w:rsidR="00C92BD9" w:rsidRPr="003301A4" w:rsidRDefault="00C551F2" w:rsidP="00E67D1B">
            <w:pPr>
              <w:jc w:val="both"/>
              <w:rPr>
                <w:rFonts w:ascii="Times New Roman" w:hAnsi="Times New Roman" w:cs="Times New Roman"/>
                <w:color w:val="auto"/>
              </w:rPr>
            </w:pPr>
            <w:r w:rsidRPr="003301A4">
              <w:rPr>
                <w:rFonts w:ascii="Times New Roman" w:hAnsi="Times New Roman" w:cs="Times New Roman"/>
                <w:color w:val="auto"/>
                <w:sz w:val="22"/>
                <w:szCs w:val="22"/>
              </w:rPr>
              <w:t xml:space="preserve">The Ministry of Health and Sports (MOHS) completed the formulation of the NHP through an inclusive and transparent process.  It is the first of three 5-year phases to achieving UHC by 2030.  The NHP 2017-2021 sets a promising and strategic direction by seeking </w:t>
            </w:r>
            <w:proofErr w:type="spellStart"/>
            <w:r w:rsidRPr="003301A4">
              <w:rPr>
                <w:rFonts w:ascii="Times New Roman" w:hAnsi="Times New Roman" w:cs="Times New Roman"/>
                <w:color w:val="auto"/>
                <w:sz w:val="22"/>
                <w:szCs w:val="22"/>
              </w:rPr>
              <w:t>toensure</w:t>
            </w:r>
            <w:proofErr w:type="spellEnd"/>
            <w:r w:rsidRPr="003301A4">
              <w:rPr>
                <w:rFonts w:ascii="Times New Roman" w:hAnsi="Times New Roman" w:cs="Times New Roman"/>
                <w:color w:val="auto"/>
                <w:sz w:val="22"/>
                <w:szCs w:val="22"/>
              </w:rPr>
              <w:t xml:space="preserve"> universal access to a basic package of essential primary health care (PHC) services.  Furthermore, the foundations and principles of EHSAP are reinforced and further concretized and institutionalized in the NHP.</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 xml:space="preserve">Health spending in Myanmar has increased steadily in the last five years, in support of the Government’s commitment to UHC. Nonetheless, because of historically low levels of spending on health, in 2015 Myanmar’s total health expenditure per capita continued to be one of the lowest in the world: 70,100 Kyat, or US$54 per annum (Health Financing Systems Assessment, 2018).   This level of spending is </w:t>
            </w:r>
            <w:r w:rsidRPr="003301A4">
              <w:rPr>
                <w:rFonts w:ascii="Times New Roman" w:hAnsi="Times New Roman" w:cs="Times New Roman"/>
                <w:color w:val="auto"/>
                <w:sz w:val="22"/>
                <w:szCs w:val="22"/>
              </w:rPr>
              <w:lastRenderedPageBreak/>
              <w:t>very low compared with other countries in the region and countries at a similar level of income. The Government’s share of total health spending is estimated to be about 23 percent.  The health budget has increased to around 1 percent of GDP, from an average of 0.2 percent prior to 2012. However, because of rigid financial rules and weak planning processes, there remain significant challenges in executing fully the funds allocated to MOHS. Low budget execution poses an obstacle to further increases in MOHS budget allocations. To address these challenges, the Ministry of Planning and Finance (</w:t>
            </w:r>
            <w:proofErr w:type="spellStart"/>
            <w:r w:rsidRPr="003301A4">
              <w:rPr>
                <w:rFonts w:ascii="Times New Roman" w:hAnsi="Times New Roman" w:cs="Times New Roman"/>
                <w:color w:val="auto"/>
                <w:sz w:val="22"/>
                <w:szCs w:val="22"/>
              </w:rPr>
              <w:t>MoPF</w:t>
            </w:r>
            <w:proofErr w:type="spellEnd"/>
            <w:r w:rsidRPr="003301A4">
              <w:rPr>
                <w:rFonts w:ascii="Times New Roman" w:hAnsi="Times New Roman" w:cs="Times New Roman"/>
                <w:color w:val="auto"/>
                <w:sz w:val="22"/>
                <w:szCs w:val="22"/>
              </w:rPr>
              <w:t>) and MOHS have convened to jointly review the budget analysis, with technical assistance from the World Bank, and have arrived at a shared understanding of the important role public financial management (PFM) plays in health service delivery.  They have agreed to undertake a PFM bottleneck analysis that will identify recommendations for actions.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In addition, the challenge of Out-of-pocket Expenditure (OOPE) by households remains the dominant source of financing for health.  OOPE comprises an estimated 70 percent of total health spending.  It is estimated that 1.7 million persons are pushed into poverty annually due to their OOPE on health care (MPLCS, 2015).</w:t>
            </w:r>
          </w:p>
        </w:tc>
      </w:tr>
      <w:tr w:rsidR="00C92BD9" w:rsidRPr="003301A4" w14:paraId="18151EA3"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5CAA9B4F" w14:textId="77777777" w:rsidR="00C92BD9" w:rsidRPr="003301A4" w:rsidRDefault="00C92BD9" w:rsidP="00F22E0F">
            <w:pPr>
              <w:rPr>
                <w:rFonts w:ascii="Times New Roman" w:hAnsi="Times New Roman" w:cs="Times New Roman"/>
                <w:color w:val="auto"/>
                <w:sz w:val="8"/>
                <w:szCs w:val="8"/>
              </w:rPr>
            </w:pPr>
            <w:r w:rsidRPr="003301A4">
              <w:rPr>
                <w:rFonts w:ascii="Times New Roman" w:hAnsi="Times New Roman" w:cs="Times New Roman"/>
                <w:color w:val="auto"/>
                <w:sz w:val="8"/>
                <w:szCs w:val="8"/>
              </w:rPr>
              <w:lastRenderedPageBreak/>
              <w:t>.</w:t>
            </w:r>
          </w:p>
        </w:tc>
      </w:tr>
      <w:tr w:rsidR="00C92BD9" w:rsidRPr="003301A4" w14:paraId="5D15BAD9"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D450D22" w14:textId="77777777" w:rsidR="00C92BD9" w:rsidRPr="003301A4" w:rsidRDefault="00C92BD9" w:rsidP="002A5700">
            <w:pPr>
              <w:rPr>
                <w:rFonts w:ascii="Times New Roman" w:hAnsi="Times New Roman" w:cs="Times New Roman"/>
                <w:b/>
                <w:bCs/>
                <w:color w:val="auto"/>
              </w:rPr>
            </w:pPr>
            <w:r w:rsidRPr="003301A4">
              <w:rPr>
                <w:rFonts w:ascii="Times New Roman" w:hAnsi="Times New Roman" w:cs="Times New Roman"/>
                <w:b/>
                <w:bCs/>
                <w:color w:val="auto"/>
              </w:rPr>
              <w:t xml:space="preserve">C. </w:t>
            </w:r>
            <w:r w:rsidR="002A5700" w:rsidRPr="003301A4">
              <w:rPr>
                <w:rFonts w:ascii="Times New Roman" w:hAnsi="Times New Roman" w:cs="Times New Roman"/>
                <w:b/>
                <w:color w:val="auto"/>
                <w:sz w:val="22"/>
                <w:szCs w:val="22"/>
              </w:rPr>
              <w:t>Proposed Development Objective(s)</w:t>
            </w:r>
          </w:p>
        </w:tc>
      </w:tr>
      <w:tr w:rsidR="00D82E43" w:rsidRPr="003301A4" w14:paraId="2C0855F0" w14:textId="77777777" w:rsidTr="009B79CB">
        <w:tc>
          <w:tcPr>
            <w:tcW w:w="184" w:type="dxa"/>
            <w:tcBorders>
              <w:top w:val="nil"/>
              <w:left w:val="nil"/>
              <w:bottom w:val="nil"/>
              <w:right w:val="nil"/>
            </w:tcBorders>
            <w:tcMar>
              <w:top w:w="50" w:type="dxa"/>
              <w:left w:w="50" w:type="dxa"/>
              <w:bottom w:w="50" w:type="dxa"/>
              <w:right w:w="50" w:type="dxa"/>
            </w:tcMar>
            <w:vAlign w:val="center"/>
          </w:tcPr>
          <w:p w14:paraId="25AE0D72" w14:textId="77777777" w:rsidR="00D82E43" w:rsidRPr="003301A4" w:rsidRDefault="00D82E43"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2146967F" w14:textId="77777777" w:rsidR="00D82E43" w:rsidRPr="003301A4" w:rsidRDefault="00D81F27" w:rsidP="00981D92">
            <w:pPr>
              <w:rPr>
                <w:rFonts w:ascii="Times New Roman" w:hAnsi="Times New Roman" w:cs="Times New Roman"/>
                <w:b/>
                <w:color w:val="auto"/>
              </w:rPr>
            </w:pPr>
            <w:r w:rsidRPr="003301A4">
              <w:rPr>
                <w:rFonts w:ascii="Times New Roman" w:hAnsi="Times New Roman" w:cs="Times New Roman"/>
                <w:b/>
                <w:color w:val="auto"/>
                <w:sz w:val="22"/>
                <w:szCs w:val="22"/>
              </w:rPr>
              <w:t>Original Project Development Objective(s) - Parent</w:t>
            </w:r>
            <w:r w:rsidR="00522976" w:rsidRPr="003301A4">
              <w:rPr>
                <w:rFonts w:ascii="Times New Roman" w:hAnsi="Times New Roman" w:cs="Times New Roman"/>
                <w:b/>
                <w:color w:val="FFFFFF"/>
                <w:sz w:val="10"/>
                <w:szCs w:val="10"/>
              </w:rPr>
              <w:t>PHORGPDO</w:t>
            </w:r>
          </w:p>
        </w:tc>
      </w:tr>
      <w:tr w:rsidR="00D82E43" w:rsidRPr="003301A4" w14:paraId="566E7050" w14:textId="77777777" w:rsidTr="009B79CB">
        <w:tc>
          <w:tcPr>
            <w:tcW w:w="184" w:type="dxa"/>
            <w:tcBorders>
              <w:top w:val="nil"/>
              <w:left w:val="nil"/>
              <w:bottom w:val="nil"/>
              <w:right w:val="nil"/>
            </w:tcBorders>
            <w:tcMar>
              <w:top w:w="50" w:type="dxa"/>
              <w:left w:w="50" w:type="dxa"/>
              <w:bottom w:w="50" w:type="dxa"/>
              <w:right w:w="50" w:type="dxa"/>
            </w:tcMar>
            <w:vAlign w:val="center"/>
          </w:tcPr>
          <w:p w14:paraId="56D59CD2" w14:textId="77777777" w:rsidR="00D82E43" w:rsidRPr="003301A4" w:rsidRDefault="00D82E43"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BEE0CD0" w14:textId="77777777" w:rsidR="00D82E43" w:rsidRPr="003301A4" w:rsidRDefault="00D82E43" w:rsidP="00037C64">
            <w:pPr>
              <w:rPr>
                <w:rFonts w:ascii="Times New Roman" w:hAnsi="Times New Roman" w:cs="Times New Roman"/>
                <w:color w:val="auto"/>
              </w:rPr>
            </w:pPr>
            <w:r w:rsidRPr="003301A4">
              <w:rPr>
                <w:rFonts w:ascii="Times New Roman" w:hAnsi="Times New Roman" w:cs="Times New Roman"/>
                <w:color w:val="auto"/>
                <w:sz w:val="22"/>
                <w:szCs w:val="22"/>
              </w:rPr>
              <w:t>The Project Development Objective (PDO) is to increase coverage of essential health services of adequate quality, with a focus on maternal, newborn and child health (MNCH).</w:t>
            </w:r>
          </w:p>
        </w:tc>
      </w:tr>
      <w:tr w:rsidR="00AB32E3" w:rsidRPr="003301A4" w14:paraId="6EA4F2F6" w14:textId="77777777" w:rsidTr="009B79CB">
        <w:tc>
          <w:tcPr>
            <w:tcW w:w="184" w:type="dxa"/>
            <w:tcBorders>
              <w:top w:val="nil"/>
              <w:left w:val="nil"/>
              <w:bottom w:val="nil"/>
              <w:right w:val="nil"/>
            </w:tcBorders>
            <w:tcMar>
              <w:top w:w="50" w:type="dxa"/>
              <w:left w:w="50" w:type="dxa"/>
              <w:bottom w:w="50" w:type="dxa"/>
              <w:right w:w="50" w:type="dxa"/>
            </w:tcMar>
            <w:vAlign w:val="center"/>
          </w:tcPr>
          <w:p w14:paraId="65D7845A" w14:textId="77777777" w:rsidR="00AB32E3" w:rsidRPr="003301A4" w:rsidRDefault="00AB32E3"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17FD61FD" w14:textId="77777777" w:rsidR="00AB32E3" w:rsidRPr="003301A4" w:rsidRDefault="00AB32E3" w:rsidP="00037C64">
            <w:pPr>
              <w:rPr>
                <w:rFonts w:ascii="Times New Roman" w:hAnsi="Times New Roman" w:cs="Times New Roman"/>
                <w:color w:val="auto"/>
              </w:rPr>
            </w:pPr>
            <w:r w:rsidRPr="003301A4">
              <w:rPr>
                <w:rFonts w:ascii="Times New Roman" w:hAnsi="Times New Roman" w:cs="Times New Roman"/>
                <w:b/>
                <w:color w:val="auto"/>
                <w:sz w:val="22"/>
                <w:szCs w:val="22"/>
              </w:rPr>
              <w:t>Current Project Development Objective(s) - Parent</w:t>
            </w:r>
          </w:p>
        </w:tc>
      </w:tr>
      <w:tr w:rsidR="00AB32E3" w:rsidRPr="003301A4" w14:paraId="276859C9" w14:textId="77777777" w:rsidTr="009B79CB">
        <w:tc>
          <w:tcPr>
            <w:tcW w:w="184" w:type="dxa"/>
            <w:tcBorders>
              <w:top w:val="nil"/>
              <w:left w:val="nil"/>
              <w:bottom w:val="nil"/>
              <w:right w:val="nil"/>
            </w:tcBorders>
            <w:tcMar>
              <w:top w:w="50" w:type="dxa"/>
              <w:left w:w="50" w:type="dxa"/>
              <w:bottom w:w="50" w:type="dxa"/>
              <w:right w:w="50" w:type="dxa"/>
            </w:tcMar>
            <w:vAlign w:val="center"/>
          </w:tcPr>
          <w:p w14:paraId="4909AF38" w14:textId="77777777" w:rsidR="00AB32E3" w:rsidRPr="003301A4" w:rsidRDefault="00AB32E3"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1393C7E5" w14:textId="77777777" w:rsidR="00AB32E3" w:rsidRPr="003301A4" w:rsidRDefault="00AB32E3" w:rsidP="00037C64">
            <w:pPr>
              <w:rPr>
                <w:rFonts w:ascii="Times New Roman" w:hAnsi="Times New Roman" w:cs="Times New Roman"/>
                <w:color w:val="auto"/>
              </w:rPr>
            </w:pPr>
            <w:r w:rsidRPr="003301A4">
              <w:rPr>
                <w:rFonts w:ascii="Times New Roman" w:hAnsi="Times New Roman" w:cs="Times New Roman"/>
                <w:color w:val="auto"/>
                <w:sz w:val="22"/>
                <w:szCs w:val="22"/>
              </w:rPr>
              <w:t>The Project Development Objective (PDO) is to increase coverage of essential health services of adequate quality, with a focus on maternal, newborn and child health (MNCH), and, in the event of an Eligible Crisis or Emergency, to provide immediate and effective response to said Eligible Crisis or Emergency.</w:t>
            </w:r>
          </w:p>
        </w:tc>
      </w:tr>
      <w:tr w:rsidR="00C92BD9" w:rsidRPr="003301A4" w14:paraId="04A3AD51" w14:textId="77777777" w:rsidTr="009B79CB">
        <w:tc>
          <w:tcPr>
            <w:tcW w:w="184" w:type="dxa"/>
            <w:tcBorders>
              <w:top w:val="nil"/>
              <w:left w:val="nil"/>
              <w:bottom w:val="nil"/>
              <w:right w:val="nil"/>
            </w:tcBorders>
            <w:tcMar>
              <w:top w:w="50" w:type="dxa"/>
              <w:left w:w="50" w:type="dxa"/>
              <w:bottom w:w="50" w:type="dxa"/>
              <w:right w:w="50" w:type="dxa"/>
            </w:tcMar>
            <w:vAlign w:val="center"/>
          </w:tcPr>
          <w:p w14:paraId="69493355"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38433060" w14:textId="77777777" w:rsidR="00C92BD9" w:rsidRPr="003301A4" w:rsidRDefault="00D81F27" w:rsidP="00D81F27">
            <w:pPr>
              <w:rPr>
                <w:rFonts w:ascii="Times New Roman" w:hAnsi="Times New Roman" w:cs="Times New Roman"/>
                <w:b/>
                <w:color w:val="auto"/>
              </w:rPr>
            </w:pPr>
            <w:r w:rsidRPr="003301A4">
              <w:rPr>
                <w:rFonts w:ascii="Times New Roman" w:hAnsi="Times New Roman" w:cs="Times New Roman"/>
                <w:b/>
                <w:color w:val="auto"/>
                <w:sz w:val="22"/>
                <w:szCs w:val="22"/>
              </w:rPr>
              <w:t>Proposed Project Development Objective(s) - Additional Financing</w:t>
            </w:r>
          </w:p>
        </w:tc>
      </w:tr>
      <w:tr w:rsidR="00B5543B" w:rsidRPr="003301A4" w14:paraId="558614CC" w14:textId="77777777" w:rsidTr="009B79CB">
        <w:tc>
          <w:tcPr>
            <w:tcW w:w="184" w:type="dxa"/>
            <w:tcBorders>
              <w:top w:val="nil"/>
              <w:left w:val="nil"/>
              <w:bottom w:val="nil"/>
              <w:right w:val="nil"/>
            </w:tcBorders>
            <w:tcMar>
              <w:top w:w="50" w:type="dxa"/>
              <w:left w:w="50" w:type="dxa"/>
              <w:bottom w:w="50" w:type="dxa"/>
              <w:right w:w="50" w:type="dxa"/>
            </w:tcMar>
            <w:vAlign w:val="center"/>
          </w:tcPr>
          <w:p w14:paraId="163CB91F" w14:textId="77777777" w:rsidR="00B5543B" w:rsidRPr="003301A4" w:rsidRDefault="00B5543B"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329692AF" w14:textId="77777777" w:rsidR="00B5543B" w:rsidRPr="003301A4" w:rsidRDefault="00B5543B" w:rsidP="00D81F27">
            <w:pPr>
              <w:rPr>
                <w:rFonts w:ascii="Times New Roman" w:hAnsi="Times New Roman" w:cs="Times New Roman"/>
                <w:b/>
                <w:color w:val="auto"/>
              </w:rPr>
            </w:pPr>
            <w:r w:rsidRPr="003301A4">
              <w:rPr>
                <w:rFonts w:ascii="Times New Roman" w:hAnsi="Times New Roman" w:cs="Times New Roman"/>
                <w:color w:val="auto"/>
                <w:sz w:val="22"/>
                <w:szCs w:val="22"/>
              </w:rPr>
              <w:t>Increase coverage of essential health services of acceptable quality, with a focus on maternal, newborn, and child health (MNCH).</w:t>
            </w:r>
          </w:p>
        </w:tc>
      </w:tr>
      <w:tr w:rsidR="00C92BD9" w:rsidRPr="003301A4" w14:paraId="03DC975B" w14:textId="77777777" w:rsidTr="009B79CB">
        <w:tc>
          <w:tcPr>
            <w:tcW w:w="184" w:type="dxa"/>
            <w:tcBorders>
              <w:top w:val="nil"/>
              <w:left w:val="nil"/>
              <w:bottom w:val="nil"/>
              <w:right w:val="nil"/>
            </w:tcBorders>
            <w:tcMar>
              <w:top w:w="50" w:type="dxa"/>
              <w:left w:w="50" w:type="dxa"/>
              <w:bottom w:w="50" w:type="dxa"/>
              <w:right w:w="50" w:type="dxa"/>
            </w:tcMar>
            <w:vAlign w:val="center"/>
          </w:tcPr>
          <w:p w14:paraId="13D8AC0E" w14:textId="77777777" w:rsidR="00C92BD9" w:rsidRPr="003301A4" w:rsidRDefault="00C92BD9" w:rsidP="00F22E0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7A4D55AC" w14:textId="77777777" w:rsidR="00C92BD9" w:rsidRPr="003301A4" w:rsidRDefault="00C92BD9" w:rsidP="00A73415">
            <w:pPr>
              <w:rPr>
                <w:rFonts w:ascii="Times New Roman" w:hAnsi="Times New Roman" w:cs="Times New Roman"/>
                <w:b/>
                <w:color w:val="auto"/>
              </w:rPr>
            </w:pPr>
            <w:r w:rsidRPr="003301A4">
              <w:rPr>
                <w:rFonts w:ascii="Times New Roman" w:hAnsi="Times New Roman" w:cs="Times New Roman"/>
                <w:b/>
                <w:color w:val="auto"/>
                <w:sz w:val="22"/>
                <w:szCs w:val="22"/>
              </w:rPr>
              <w:t xml:space="preserve">Key Results </w:t>
            </w:r>
          </w:p>
        </w:tc>
      </w:tr>
      <w:tr w:rsidR="00C92BD9" w:rsidRPr="003301A4" w14:paraId="61D81FB9" w14:textId="77777777" w:rsidTr="009B79CB">
        <w:tc>
          <w:tcPr>
            <w:tcW w:w="184" w:type="dxa"/>
            <w:tcBorders>
              <w:top w:val="nil"/>
              <w:left w:val="nil"/>
              <w:bottom w:val="nil"/>
              <w:right w:val="nil"/>
            </w:tcBorders>
            <w:tcMar>
              <w:top w:w="50" w:type="dxa"/>
              <w:left w:w="50" w:type="dxa"/>
              <w:bottom w:w="50" w:type="dxa"/>
              <w:right w:w="50" w:type="dxa"/>
            </w:tcMar>
            <w:vAlign w:val="center"/>
          </w:tcPr>
          <w:p w14:paraId="40A738E1"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6A3DD9C4" w14:textId="77777777" w:rsidR="00C92BD9" w:rsidRPr="003301A4" w:rsidRDefault="00944D8E">
            <w:pPr>
              <w:rPr>
                <w:rFonts w:ascii="Times New Roman" w:hAnsi="Times New Roman" w:cs="Times New Roman"/>
                <w:color w:val="auto"/>
              </w:rPr>
            </w:pPr>
            <w:r w:rsidRPr="003301A4">
              <w:rPr>
                <w:rFonts w:ascii="Times New Roman" w:hAnsi="Times New Roman" w:cs="Times New Roman"/>
                <w:color w:val="auto"/>
                <w:sz w:val="22"/>
                <w:szCs w:val="22"/>
              </w:rPr>
              <w:t>As service readiness of primary health care facilities at the township and below improves, and health systems are strengthened, women, newborns, and children in Myanmar will have expanded access to basic essential package of health services.  Some of the key results include increased skilled birth attendance, institutional deliveries, and postnatal care.</w:t>
            </w:r>
          </w:p>
        </w:tc>
      </w:tr>
      <w:tr w:rsidR="00C92BD9" w:rsidRPr="003301A4" w14:paraId="04F450B6"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3B45EF26"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23784F" w:rsidRPr="003301A4" w14:paraId="3170B71C" w14:textId="77777777" w:rsidTr="009B79CB">
        <w:tc>
          <w:tcPr>
            <w:tcW w:w="184" w:type="dxa"/>
            <w:tcBorders>
              <w:top w:val="nil"/>
              <w:left w:val="nil"/>
              <w:bottom w:val="nil"/>
              <w:right w:val="nil"/>
            </w:tcBorders>
            <w:tcMar>
              <w:top w:w="50" w:type="dxa"/>
              <w:left w:w="50" w:type="dxa"/>
              <w:bottom w:w="50" w:type="dxa"/>
              <w:right w:w="50" w:type="dxa"/>
            </w:tcMar>
            <w:vAlign w:val="center"/>
          </w:tcPr>
          <w:p w14:paraId="2BC909AB" w14:textId="77777777" w:rsidR="0023784F" w:rsidRPr="003301A4" w:rsidRDefault="0023784F">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A84BDC3" w14:textId="77777777" w:rsidR="0023784F" w:rsidRPr="003301A4" w:rsidRDefault="0023784F" w:rsidP="009B1ABD">
            <w:pPr>
              <w:rPr>
                <w:rFonts w:ascii="Times New Roman" w:hAnsi="Times New Roman" w:cs="Times New Roman"/>
                <w:b/>
                <w:bCs/>
                <w:color w:val="auto"/>
              </w:rPr>
            </w:pPr>
          </w:p>
        </w:tc>
      </w:tr>
      <w:tr w:rsidR="00AE2A5A" w:rsidRPr="003301A4" w14:paraId="6A738BF2" w14:textId="77777777" w:rsidTr="009B79CB">
        <w:tc>
          <w:tcPr>
            <w:tcW w:w="184" w:type="dxa"/>
            <w:tcBorders>
              <w:top w:val="nil"/>
              <w:left w:val="nil"/>
              <w:bottom w:val="nil"/>
              <w:right w:val="nil"/>
            </w:tcBorders>
            <w:tcMar>
              <w:top w:w="50" w:type="dxa"/>
              <w:left w:w="50" w:type="dxa"/>
              <w:bottom w:w="50" w:type="dxa"/>
              <w:right w:w="50" w:type="dxa"/>
            </w:tcMar>
            <w:vAlign w:val="center"/>
          </w:tcPr>
          <w:p w14:paraId="4C2D7BC5"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07F2232A" w14:textId="77777777" w:rsidR="0067106E" w:rsidRPr="003301A4" w:rsidRDefault="00C92BD9" w:rsidP="009B1ABD">
            <w:pPr>
              <w:rPr>
                <w:rFonts w:ascii="Times New Roman" w:hAnsi="Times New Roman" w:cs="Times New Roman"/>
                <w:b/>
                <w:bCs/>
                <w:color w:val="auto"/>
              </w:rPr>
            </w:pPr>
            <w:r w:rsidRPr="003301A4">
              <w:rPr>
                <w:rFonts w:ascii="Times New Roman" w:hAnsi="Times New Roman" w:cs="Times New Roman"/>
                <w:b/>
                <w:bCs/>
                <w:color w:val="auto"/>
                <w:sz w:val="22"/>
                <w:szCs w:val="22"/>
              </w:rPr>
              <w:t>D. Project Description</w:t>
            </w:r>
          </w:p>
          <w:p w14:paraId="6F3BB9A1" w14:textId="77777777" w:rsidR="00E67D1B" w:rsidRPr="003301A4" w:rsidRDefault="00E67D1B" w:rsidP="009B1ABD">
            <w:pPr>
              <w:rPr>
                <w:rFonts w:ascii="Times New Roman" w:hAnsi="Times New Roman" w:cs="Times New Roman"/>
                <w:color w:val="auto"/>
              </w:rPr>
            </w:pPr>
          </w:p>
          <w:p w14:paraId="614D383E" w14:textId="77777777" w:rsidR="00E67D1B" w:rsidRPr="003301A4" w:rsidRDefault="00752ABF" w:rsidP="00E67D1B">
            <w:pPr>
              <w:jc w:val="both"/>
            </w:pPr>
            <w:r w:rsidRPr="003301A4">
              <w:rPr>
                <w:rFonts w:ascii="Times New Roman" w:hAnsi="Times New Roman" w:cs="Times New Roman"/>
                <w:color w:val="auto"/>
                <w:sz w:val="22"/>
                <w:szCs w:val="22"/>
              </w:rPr>
              <w:t>The proposed additional financing (AF) credit and grant would help to cover the costs associated with scaling up of health systems strengthening activities initiated under the Original Credit (OC) of EHSAP and with investing in supply-side readiness, namely to fill primary health care infrastructure gaps in selected townships in Ayeyarwady Region and Shan State.  The support will contribute to the achievement of National Health Plan goal of extending access to a basic Essential Package of Health Services to the entire population.</w:t>
            </w:r>
          </w:p>
        </w:tc>
      </w:tr>
      <w:tr w:rsidR="00AE2A5A" w:rsidRPr="003301A4" w14:paraId="5BCDBA0B" w14:textId="77777777" w:rsidTr="009B79CB">
        <w:tc>
          <w:tcPr>
            <w:tcW w:w="184" w:type="dxa"/>
            <w:tcBorders>
              <w:top w:val="nil"/>
              <w:left w:val="nil"/>
              <w:bottom w:val="nil"/>
              <w:right w:val="nil"/>
            </w:tcBorders>
            <w:tcMar>
              <w:top w:w="50" w:type="dxa"/>
              <w:left w:w="50" w:type="dxa"/>
              <w:bottom w:w="50" w:type="dxa"/>
              <w:right w:w="50" w:type="dxa"/>
            </w:tcMar>
            <w:vAlign w:val="center"/>
          </w:tcPr>
          <w:p w14:paraId="6DCCB28E"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60EAE426" w14:textId="77777777" w:rsidR="00D21C44" w:rsidRPr="003301A4" w:rsidRDefault="00AE2A5A" w:rsidP="0067106E">
            <w:pPr>
              <w:rPr>
                <w:rFonts w:ascii="Times New Roman" w:hAnsi="Times New Roman" w:cs="Times New Roman"/>
                <w:b/>
                <w:bCs/>
                <w:color w:val="FFFFFF"/>
                <w:sz w:val="2"/>
                <w:szCs w:val="2"/>
              </w:rPr>
            </w:pPr>
            <w:r w:rsidRPr="003301A4">
              <w:rPr>
                <w:rFonts w:ascii="Times New Roman" w:hAnsi="Times New Roman" w:cs="Times New Roman"/>
                <w:b/>
                <w:bCs/>
                <w:color w:val="FFFFFF"/>
                <w:sz w:val="2"/>
                <w:szCs w:val="2"/>
              </w:rPr>
              <w:t>PHCOMP</w:t>
            </w:r>
          </w:p>
          <w:tbl>
            <w:tblPr>
              <w:tblW w:w="0" w:type="auto"/>
              <w:tblLayout w:type="fixed"/>
              <w:tblLook w:val="04A0" w:firstRow="1" w:lastRow="0" w:firstColumn="1" w:lastColumn="0" w:noHBand="0" w:noVBand="1"/>
            </w:tblPr>
            <w:tblGrid>
              <w:gridCol w:w="9062"/>
            </w:tblGrid>
            <w:tr w:rsidR="00AE2A5A" w:rsidRPr="003301A4" w14:paraId="54781E3F" w14:textId="77777777" w:rsidTr="003301A4">
              <w:tc>
                <w:tcPr>
                  <w:tcW w:w="9062" w:type="dxa"/>
                  <w:shd w:val="clear" w:color="auto" w:fill="auto"/>
                </w:tcPr>
                <w:p w14:paraId="2E3F7BAB"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Component Name:</w:t>
                  </w:r>
                </w:p>
              </w:tc>
            </w:tr>
            <w:tr w:rsidR="00AE2A5A" w:rsidRPr="003301A4" w14:paraId="229F2DA9" w14:textId="77777777" w:rsidTr="003301A4">
              <w:tc>
                <w:tcPr>
                  <w:tcW w:w="9062" w:type="dxa"/>
                  <w:shd w:val="clear" w:color="auto" w:fill="auto"/>
                </w:tcPr>
                <w:p w14:paraId="1F2D2989" w14:textId="77777777" w:rsidR="00AE2A5A" w:rsidRPr="003301A4" w:rsidRDefault="00AE2A5A" w:rsidP="00E67D1B">
                  <w:pPr>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Strengthening Service Delivery at the Primary Health Care Level</w:t>
                  </w:r>
                </w:p>
              </w:tc>
            </w:tr>
            <w:tr w:rsidR="00AE2A5A" w:rsidRPr="003301A4" w14:paraId="64D06BC4" w14:textId="77777777" w:rsidTr="003301A4">
              <w:tc>
                <w:tcPr>
                  <w:tcW w:w="9062" w:type="dxa"/>
                  <w:shd w:val="clear" w:color="auto" w:fill="auto"/>
                </w:tcPr>
                <w:p w14:paraId="4FA76B69"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Comments ( optional)</w:t>
                  </w:r>
                </w:p>
              </w:tc>
            </w:tr>
            <w:tr w:rsidR="00AE2A5A" w:rsidRPr="003301A4" w14:paraId="1C0D922F" w14:textId="77777777" w:rsidTr="003301A4">
              <w:tc>
                <w:tcPr>
                  <w:tcW w:w="9062" w:type="dxa"/>
                  <w:shd w:val="clear" w:color="auto" w:fill="auto"/>
                </w:tcPr>
                <w:p w14:paraId="2AC32921" w14:textId="77777777" w:rsidR="00AE2A5A" w:rsidRPr="003301A4" w:rsidRDefault="00AE2A5A" w:rsidP="00E67D1B">
                  <w:pPr>
                    <w:jc w:val="both"/>
                    <w:rPr>
                      <w:rFonts w:ascii="Times New Roman" w:hAnsi="Times New Roman" w:cs="Times New Roman"/>
                      <w:bCs/>
                      <w:color w:val="auto"/>
                      <w:sz w:val="22"/>
                      <w:szCs w:val="22"/>
                    </w:rPr>
                  </w:pPr>
                  <w:r w:rsidRPr="003301A4">
                    <w:rPr>
                      <w:rFonts w:ascii="Times New Roman" w:hAnsi="Times New Roman" w:cs="Times New Roman"/>
                      <w:bCs/>
                      <w:color w:val="auto"/>
                      <w:sz w:val="22"/>
                      <w:szCs w:val="22"/>
                    </w:rPr>
                    <w:lastRenderedPageBreak/>
                    <w:t>Component 1 will be re-structured to focus on fully functional health service delivery infrastructure (FFHSDI) in selected townships in Ayeyarwady Region and Shan State.  The investment under this component will ensure that the project-supported health facilities will have functioning delivery rooms and newborn care facilities along with appropriate infection prevention and control measures to enhance the reduction of maternal and newborn mortality.  Investments would include refurbishment of township and station hospitals and re-construction and renovation of health centers below the township, such as rural health centers (RHCs), sub-RHCs, and Maternal and Child Health Centers.</w:t>
                  </w:r>
                </w:p>
              </w:tc>
            </w:tr>
          </w:tbl>
          <w:p w14:paraId="4FADDB95" w14:textId="77777777" w:rsidR="00AE2A5A" w:rsidRPr="003301A4" w:rsidRDefault="00AE2A5A" w:rsidP="0067106E">
            <w:pPr>
              <w:rPr>
                <w:rFonts w:ascii="Times New Roman" w:hAnsi="Times New Roman" w:cs="Times New Roman"/>
                <w:b/>
                <w:bCs/>
                <w:color w:val="auto"/>
              </w:rPr>
            </w:pPr>
          </w:p>
        </w:tc>
      </w:tr>
      <w:tr w:rsidR="00AE2A5A" w:rsidRPr="003301A4" w14:paraId="3FEEF3D4" w14:textId="77777777" w:rsidTr="009B79CB">
        <w:tc>
          <w:tcPr>
            <w:tcW w:w="184" w:type="dxa"/>
            <w:tcBorders>
              <w:top w:val="nil"/>
              <w:left w:val="nil"/>
              <w:bottom w:val="nil"/>
              <w:right w:val="nil"/>
            </w:tcBorders>
            <w:tcMar>
              <w:top w:w="50" w:type="dxa"/>
              <w:left w:w="50" w:type="dxa"/>
              <w:bottom w:w="50" w:type="dxa"/>
              <w:right w:w="50" w:type="dxa"/>
            </w:tcMar>
            <w:vAlign w:val="center"/>
          </w:tcPr>
          <w:p w14:paraId="7E672CCE"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72EE1DB" w14:textId="77777777" w:rsidR="00D21C44" w:rsidRPr="003301A4" w:rsidRDefault="00AE2A5A" w:rsidP="0067106E">
            <w:pPr>
              <w:rPr>
                <w:rFonts w:ascii="Times New Roman" w:hAnsi="Times New Roman" w:cs="Times New Roman"/>
                <w:b/>
                <w:bCs/>
                <w:color w:val="FFFFFF"/>
                <w:sz w:val="2"/>
                <w:szCs w:val="2"/>
              </w:rPr>
            </w:pPr>
            <w:r w:rsidRPr="003301A4">
              <w:rPr>
                <w:rFonts w:ascii="Times New Roman" w:hAnsi="Times New Roman" w:cs="Times New Roman"/>
                <w:b/>
                <w:bCs/>
                <w:color w:val="FFFFFF"/>
                <w:sz w:val="2"/>
                <w:szCs w:val="2"/>
              </w:rPr>
              <w:t>PHCOMP</w:t>
            </w:r>
          </w:p>
          <w:tbl>
            <w:tblPr>
              <w:tblW w:w="0" w:type="auto"/>
              <w:tblLayout w:type="fixed"/>
              <w:tblLook w:val="04A0" w:firstRow="1" w:lastRow="0" w:firstColumn="1" w:lastColumn="0" w:noHBand="0" w:noVBand="1"/>
            </w:tblPr>
            <w:tblGrid>
              <w:gridCol w:w="9062"/>
            </w:tblGrid>
            <w:tr w:rsidR="00AE2A5A" w:rsidRPr="003301A4" w14:paraId="32D84D85" w14:textId="77777777" w:rsidTr="003301A4">
              <w:tc>
                <w:tcPr>
                  <w:tcW w:w="9062" w:type="dxa"/>
                  <w:shd w:val="clear" w:color="auto" w:fill="auto"/>
                </w:tcPr>
                <w:p w14:paraId="3C9B74B0"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Component Name:</w:t>
                  </w:r>
                </w:p>
              </w:tc>
            </w:tr>
            <w:tr w:rsidR="00AE2A5A" w:rsidRPr="003301A4" w14:paraId="5FBB56D8" w14:textId="77777777" w:rsidTr="003301A4">
              <w:tc>
                <w:tcPr>
                  <w:tcW w:w="9062" w:type="dxa"/>
                  <w:shd w:val="clear" w:color="auto" w:fill="auto"/>
                </w:tcPr>
                <w:p w14:paraId="2F22A908" w14:textId="77777777" w:rsidR="00AE2A5A" w:rsidRPr="003301A4" w:rsidRDefault="00AE2A5A" w:rsidP="00E67D1B">
                  <w:pPr>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Systems building, Innovation, and Project Management</w:t>
                  </w:r>
                </w:p>
              </w:tc>
            </w:tr>
            <w:tr w:rsidR="00AE2A5A" w:rsidRPr="003301A4" w14:paraId="56BD6017" w14:textId="77777777" w:rsidTr="003301A4">
              <w:tc>
                <w:tcPr>
                  <w:tcW w:w="9062" w:type="dxa"/>
                  <w:shd w:val="clear" w:color="auto" w:fill="auto"/>
                </w:tcPr>
                <w:p w14:paraId="30FF8C7D"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Comments ( optional)</w:t>
                  </w:r>
                </w:p>
              </w:tc>
            </w:tr>
            <w:tr w:rsidR="00AE2A5A" w:rsidRPr="003301A4" w14:paraId="6CD6B36A" w14:textId="77777777" w:rsidTr="003301A4">
              <w:tc>
                <w:tcPr>
                  <w:tcW w:w="9062" w:type="dxa"/>
                  <w:shd w:val="clear" w:color="auto" w:fill="auto"/>
                </w:tcPr>
                <w:p w14:paraId="3A1C338A" w14:textId="77777777" w:rsidR="00E67D1B" w:rsidRDefault="00AE2A5A" w:rsidP="00E67D1B">
                  <w:pPr>
                    <w:jc w:val="both"/>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The proposed component will continue to scale up systems strengthening activities initiated under OC, strengthen project management and introduce or scale up innovation that takes advantage of the rapid and widespread penetration of ICT.</w:t>
                  </w:r>
                </w:p>
                <w:p w14:paraId="66F1FF29" w14:textId="77777777" w:rsidR="00AE2A5A" w:rsidRPr="003301A4" w:rsidRDefault="00AE2A5A" w:rsidP="00E67D1B">
                  <w:pPr>
                    <w:jc w:val="both"/>
                    <w:rPr>
                      <w:rFonts w:ascii="Times New Roman" w:hAnsi="Times New Roman" w:cs="Times New Roman"/>
                      <w:bCs/>
                      <w:color w:val="auto"/>
                      <w:sz w:val="22"/>
                      <w:szCs w:val="22"/>
                    </w:rPr>
                  </w:pPr>
                  <w:r w:rsidRPr="003301A4">
                    <w:rPr>
                      <w:rFonts w:ascii="Times New Roman" w:hAnsi="Times New Roman" w:cs="Times New Roman"/>
                      <w:bCs/>
                      <w:color w:val="auto"/>
                      <w:sz w:val="22"/>
                      <w:szCs w:val="22"/>
                    </w:rPr>
                    <w:br/>
                    <w:t>Component 2.1, Systems Strengthening, will strengthen human resources at the community level and quality of MNCH care; promote infection prevention and control; institutionalize mechanisms at the region/state level for better collaboration and coordination among multi-stakeholders—government, private, NGOs, and ethnic health providers; and strengthen public finance management and supply chain management.  Component 2.2 will finance activities related to innovation, public-private sector collaboration, M&amp;E and project management.</w:t>
                  </w:r>
                </w:p>
              </w:tc>
            </w:tr>
          </w:tbl>
          <w:p w14:paraId="03ADDC74" w14:textId="77777777" w:rsidR="00AE2A5A" w:rsidRPr="003301A4" w:rsidRDefault="00AE2A5A" w:rsidP="0067106E">
            <w:pPr>
              <w:rPr>
                <w:rFonts w:ascii="Times New Roman" w:hAnsi="Times New Roman" w:cs="Times New Roman"/>
                <w:b/>
                <w:bCs/>
                <w:color w:val="auto"/>
              </w:rPr>
            </w:pPr>
          </w:p>
        </w:tc>
      </w:tr>
      <w:tr w:rsidR="00AE2A5A" w:rsidRPr="003301A4" w14:paraId="0FB876FD" w14:textId="77777777" w:rsidTr="009B79CB">
        <w:tc>
          <w:tcPr>
            <w:tcW w:w="184" w:type="dxa"/>
            <w:tcBorders>
              <w:top w:val="nil"/>
              <w:left w:val="nil"/>
              <w:bottom w:val="nil"/>
              <w:right w:val="nil"/>
            </w:tcBorders>
            <w:tcMar>
              <w:top w:w="50" w:type="dxa"/>
              <w:left w:w="50" w:type="dxa"/>
              <w:bottom w:w="50" w:type="dxa"/>
              <w:right w:w="50" w:type="dxa"/>
            </w:tcMar>
            <w:vAlign w:val="center"/>
          </w:tcPr>
          <w:p w14:paraId="4D0CF3DE"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04F45C0D" w14:textId="77777777" w:rsidR="00D21C44" w:rsidRPr="003301A4" w:rsidRDefault="00AE2A5A" w:rsidP="0067106E">
            <w:pPr>
              <w:rPr>
                <w:rFonts w:ascii="Times New Roman" w:hAnsi="Times New Roman" w:cs="Times New Roman"/>
                <w:b/>
                <w:bCs/>
                <w:color w:val="FFFFFF"/>
                <w:sz w:val="2"/>
                <w:szCs w:val="2"/>
              </w:rPr>
            </w:pPr>
            <w:r w:rsidRPr="003301A4">
              <w:rPr>
                <w:rFonts w:ascii="Times New Roman" w:hAnsi="Times New Roman" w:cs="Times New Roman"/>
                <w:b/>
                <w:bCs/>
                <w:color w:val="FFFFFF"/>
                <w:sz w:val="2"/>
                <w:szCs w:val="2"/>
              </w:rPr>
              <w:t>PHCOMP</w:t>
            </w:r>
          </w:p>
          <w:tbl>
            <w:tblPr>
              <w:tblW w:w="0" w:type="auto"/>
              <w:tblLayout w:type="fixed"/>
              <w:tblLook w:val="04A0" w:firstRow="1" w:lastRow="0" w:firstColumn="1" w:lastColumn="0" w:noHBand="0" w:noVBand="1"/>
            </w:tblPr>
            <w:tblGrid>
              <w:gridCol w:w="9062"/>
            </w:tblGrid>
            <w:tr w:rsidR="00AE2A5A" w:rsidRPr="003301A4" w14:paraId="0B4066CC" w14:textId="77777777" w:rsidTr="003301A4">
              <w:tc>
                <w:tcPr>
                  <w:tcW w:w="9062" w:type="dxa"/>
                  <w:shd w:val="clear" w:color="auto" w:fill="auto"/>
                </w:tcPr>
                <w:p w14:paraId="2D7C0E61"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Component Name:</w:t>
                  </w:r>
                </w:p>
              </w:tc>
            </w:tr>
            <w:tr w:rsidR="00AE2A5A" w:rsidRPr="003301A4" w14:paraId="63A67441" w14:textId="77777777" w:rsidTr="003301A4">
              <w:tc>
                <w:tcPr>
                  <w:tcW w:w="9062" w:type="dxa"/>
                  <w:shd w:val="clear" w:color="auto" w:fill="auto"/>
                </w:tcPr>
                <w:p w14:paraId="40B4657E" w14:textId="77777777" w:rsidR="00AE2A5A" w:rsidRPr="003301A4" w:rsidRDefault="00AE2A5A" w:rsidP="00E67D1B">
                  <w:pPr>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Contingent Emergency Response</w:t>
                  </w:r>
                </w:p>
              </w:tc>
            </w:tr>
            <w:tr w:rsidR="00AE2A5A" w:rsidRPr="003301A4" w14:paraId="7BE0EDFD" w14:textId="77777777" w:rsidTr="003301A4">
              <w:tc>
                <w:tcPr>
                  <w:tcW w:w="9062" w:type="dxa"/>
                  <w:shd w:val="clear" w:color="auto" w:fill="auto"/>
                </w:tcPr>
                <w:p w14:paraId="03C6C785" w14:textId="77777777" w:rsidR="00AE2A5A" w:rsidRPr="003301A4" w:rsidRDefault="00AE2A5A" w:rsidP="00E67D1B">
                  <w:pPr>
                    <w:rPr>
                      <w:rFonts w:ascii="Times New Roman" w:hAnsi="Times New Roman" w:cs="Times New Roman"/>
                      <w:b/>
                      <w:bCs/>
                      <w:color w:val="auto"/>
                      <w:sz w:val="22"/>
                      <w:szCs w:val="22"/>
                    </w:rPr>
                  </w:pPr>
                  <w:r w:rsidRPr="003301A4">
                    <w:rPr>
                      <w:rFonts w:ascii="Times New Roman" w:hAnsi="Times New Roman" w:cs="Times New Roman"/>
                      <w:b/>
                      <w:bCs/>
                      <w:color w:val="auto"/>
                      <w:sz w:val="22"/>
                      <w:szCs w:val="22"/>
                    </w:rPr>
                    <w:t>Comments ( optional)</w:t>
                  </w:r>
                </w:p>
              </w:tc>
            </w:tr>
            <w:tr w:rsidR="00AE2A5A" w:rsidRPr="003301A4" w14:paraId="2F1BF5AA" w14:textId="77777777" w:rsidTr="003301A4">
              <w:tc>
                <w:tcPr>
                  <w:tcW w:w="9062" w:type="dxa"/>
                  <w:shd w:val="clear" w:color="auto" w:fill="auto"/>
                </w:tcPr>
                <w:p w14:paraId="7F16F758" w14:textId="77777777" w:rsidR="00AE2A5A" w:rsidRPr="003301A4" w:rsidRDefault="00AE2A5A" w:rsidP="00E67D1B">
                  <w:pPr>
                    <w:jc w:val="both"/>
                    <w:rPr>
                      <w:rFonts w:ascii="Times New Roman" w:hAnsi="Times New Roman" w:cs="Times New Roman"/>
                      <w:bCs/>
                      <w:color w:val="auto"/>
                      <w:sz w:val="22"/>
                      <w:szCs w:val="22"/>
                    </w:rPr>
                  </w:pPr>
                  <w:r w:rsidRPr="003301A4">
                    <w:rPr>
                      <w:rFonts w:ascii="Times New Roman" w:hAnsi="Times New Roman" w:cs="Times New Roman"/>
                      <w:bCs/>
                      <w:color w:val="auto"/>
                      <w:sz w:val="22"/>
                      <w:szCs w:val="22"/>
                    </w:rPr>
                    <w:t>This is a project-specific Contingent Emergency Response Component that will allow MOHS to rapidly reallocate IDA credit proceeds to respond to health problems and issues arising out of eligible crises or emergencies.  The Component would finance specific set of activities to be implemented only by MOHS to address health emergencies, such as epidemics, or health-related consequences of a natural disaster, such as flooding, landslide, or earthquake.</w:t>
                  </w:r>
                </w:p>
              </w:tc>
            </w:tr>
          </w:tbl>
          <w:p w14:paraId="5EAC36A0" w14:textId="77777777" w:rsidR="00AE2A5A" w:rsidRPr="003301A4" w:rsidRDefault="00AE2A5A" w:rsidP="0067106E">
            <w:pPr>
              <w:rPr>
                <w:rFonts w:ascii="Times New Roman" w:hAnsi="Times New Roman" w:cs="Times New Roman"/>
                <w:b/>
                <w:bCs/>
                <w:color w:val="auto"/>
              </w:rPr>
            </w:pPr>
          </w:p>
        </w:tc>
      </w:tr>
      <w:tr w:rsidR="00AE2A5A" w:rsidRPr="003301A4" w14:paraId="1D5E6B03" w14:textId="77777777" w:rsidTr="009B79CB">
        <w:tc>
          <w:tcPr>
            <w:tcW w:w="184" w:type="dxa"/>
            <w:tcBorders>
              <w:top w:val="nil"/>
              <w:left w:val="nil"/>
              <w:bottom w:val="nil"/>
              <w:right w:val="nil"/>
            </w:tcBorders>
            <w:tcMar>
              <w:top w:w="50" w:type="dxa"/>
              <w:left w:w="50" w:type="dxa"/>
              <w:bottom w:w="50" w:type="dxa"/>
              <w:right w:w="50" w:type="dxa"/>
            </w:tcMar>
            <w:vAlign w:val="center"/>
          </w:tcPr>
          <w:p w14:paraId="32B979BD"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1080197C"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E. Project location and Salient physical characteristics relevant to the safeguard analysis (if known)</w:t>
            </w:r>
          </w:p>
        </w:tc>
      </w:tr>
      <w:tr w:rsidR="00E67D1B" w:rsidRPr="003301A4" w14:paraId="1F3C2623" w14:textId="77777777" w:rsidTr="009B79CB">
        <w:tc>
          <w:tcPr>
            <w:tcW w:w="184" w:type="dxa"/>
            <w:tcBorders>
              <w:top w:val="nil"/>
              <w:left w:val="nil"/>
              <w:bottom w:val="nil"/>
              <w:right w:val="nil"/>
            </w:tcBorders>
            <w:tcMar>
              <w:top w:w="50" w:type="dxa"/>
              <w:left w:w="50" w:type="dxa"/>
              <w:bottom w:w="50" w:type="dxa"/>
              <w:right w:w="50" w:type="dxa"/>
            </w:tcMar>
            <w:vAlign w:val="center"/>
          </w:tcPr>
          <w:p w14:paraId="4A3C1813" w14:textId="77777777" w:rsidR="00E67D1B" w:rsidRPr="003301A4" w:rsidRDefault="00E67D1B" w:rsidP="00E67D1B">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7E745D67" w14:textId="2611937B" w:rsidR="00E67D1B" w:rsidRPr="00E67D1B" w:rsidRDefault="00E67D1B" w:rsidP="00E67D1B">
            <w:pPr>
              <w:spacing w:after="120"/>
              <w:jc w:val="both"/>
              <w:rPr>
                <w:rFonts w:ascii="Times New Roman" w:hAnsi="Times New Roman" w:cs="Times New Roman"/>
                <w:color w:val="auto"/>
                <w:sz w:val="22"/>
                <w:szCs w:val="22"/>
              </w:rPr>
            </w:pPr>
            <w:r w:rsidRPr="003301A4">
              <w:rPr>
                <w:rFonts w:ascii="Times New Roman" w:hAnsi="Times New Roman" w:cs="Times New Roman"/>
                <w:color w:val="auto"/>
                <w:sz w:val="22"/>
                <w:szCs w:val="22"/>
              </w:rPr>
              <w:t xml:space="preserve">Component 1 will focus on fully functional health service delivery infrastructure in selected townships in Ayeyarwady Region and Shan State. Selection of 19 townships was carried out using </w:t>
            </w:r>
            <w:r>
              <w:rPr>
                <w:rFonts w:ascii="Times New Roman" w:hAnsi="Times New Roman" w:cs="Times New Roman"/>
                <w:color w:val="auto"/>
                <w:sz w:val="22"/>
                <w:szCs w:val="22"/>
              </w:rPr>
              <w:t xml:space="preserve">the </w:t>
            </w:r>
            <w:r w:rsidRPr="003301A4">
              <w:rPr>
                <w:rFonts w:ascii="Times New Roman" w:hAnsi="Times New Roman" w:cs="Times New Roman"/>
                <w:color w:val="auto"/>
                <w:sz w:val="22"/>
                <w:szCs w:val="22"/>
              </w:rPr>
              <w:t xml:space="preserve">Multidimensional Disadvantage Index, which measures poverty, health and other social conditions, and </w:t>
            </w:r>
            <w:r>
              <w:rPr>
                <w:rFonts w:ascii="Times New Roman" w:hAnsi="Times New Roman" w:cs="Times New Roman"/>
                <w:color w:val="auto"/>
                <w:sz w:val="22"/>
                <w:szCs w:val="22"/>
              </w:rPr>
              <w:t xml:space="preserve">the </w:t>
            </w:r>
            <w:r w:rsidRPr="003301A4">
              <w:rPr>
                <w:rFonts w:ascii="Times New Roman" w:hAnsi="Times New Roman" w:cs="Times New Roman"/>
                <w:color w:val="auto"/>
                <w:sz w:val="22"/>
                <w:szCs w:val="22"/>
              </w:rPr>
              <w:t xml:space="preserve">Health Input Score index, which measures deficiency in infrastructure and sanctioned positions. After ranking townships based on poverty, social and health needs, an additional screening was done to see whether the townships ranked from the top </w:t>
            </w:r>
            <w:r>
              <w:rPr>
                <w:rFonts w:ascii="Times New Roman" w:hAnsi="Times New Roman" w:cs="Times New Roman"/>
                <w:color w:val="auto"/>
                <w:sz w:val="22"/>
                <w:szCs w:val="22"/>
              </w:rPr>
              <w:t>had</w:t>
            </w:r>
            <w:r w:rsidRPr="003301A4">
              <w:rPr>
                <w:rFonts w:ascii="Times New Roman" w:hAnsi="Times New Roman" w:cs="Times New Roman"/>
                <w:color w:val="auto"/>
                <w:sz w:val="22"/>
                <w:szCs w:val="22"/>
              </w:rPr>
              <w:t xml:space="preserve"> </w:t>
            </w:r>
            <w:r w:rsidRPr="00124E44">
              <w:rPr>
                <w:rFonts w:ascii="Times New Roman" w:hAnsi="Times New Roman" w:cs="Times New Roman"/>
                <w:color w:val="auto"/>
                <w:sz w:val="22"/>
                <w:szCs w:val="22"/>
              </w:rPr>
              <w:t>any active conflict (i.e., armed violence at the time of preliminary township selection) in their areas. Those with active conflicts were excluded from the selection due to inaccessibility to the areas and security concerns for the staff and contractors responsible for implementation and supervision.</w:t>
            </w:r>
            <w:r>
              <w:rPr>
                <w:rFonts w:ascii="Times New Roman" w:hAnsi="Times New Roman" w:cs="Times New Roman"/>
                <w:color w:val="auto"/>
                <w:sz w:val="22"/>
                <w:szCs w:val="22"/>
              </w:rPr>
              <w:t xml:space="preserve">  </w:t>
            </w:r>
            <w:r w:rsidRPr="005665C0">
              <w:rPr>
                <w:rFonts w:ascii="Times New Roman" w:hAnsi="Times New Roman" w:cs="Times New Roman"/>
                <w:color w:val="auto"/>
                <w:sz w:val="22"/>
              </w:rPr>
              <w:t xml:space="preserve">The project will finance construction, renovation and refurbishing of </w:t>
            </w:r>
            <w:r>
              <w:rPr>
                <w:rFonts w:ascii="Times New Roman" w:hAnsi="Times New Roman" w:cs="Times New Roman"/>
                <w:color w:val="auto"/>
                <w:sz w:val="22"/>
              </w:rPr>
              <w:t>health care facilities (HCF)</w:t>
            </w:r>
            <w:r w:rsidRPr="005665C0">
              <w:rPr>
                <w:rFonts w:ascii="Times New Roman" w:hAnsi="Times New Roman" w:cs="Times New Roman"/>
                <w:color w:val="auto"/>
                <w:sz w:val="22"/>
              </w:rPr>
              <w:t xml:space="preserve"> including sub-Rural Health Centers, Rural Health Centers, Maternal and Child Health Centers, Station Hospitals and Township Hospitals. Health centers are </w:t>
            </w:r>
            <w:proofErr w:type="gramStart"/>
            <w:r w:rsidRPr="005665C0">
              <w:rPr>
                <w:rFonts w:ascii="Times New Roman" w:hAnsi="Times New Roman" w:cs="Times New Roman"/>
                <w:color w:val="auto"/>
                <w:sz w:val="22"/>
              </w:rPr>
              <w:t xml:space="preserve">small </w:t>
            </w:r>
            <w:r>
              <w:rPr>
                <w:rFonts w:ascii="Times New Roman" w:hAnsi="Times New Roman" w:cs="Times New Roman"/>
                <w:color w:val="auto"/>
                <w:sz w:val="22"/>
              </w:rPr>
              <w:t>in size</w:t>
            </w:r>
            <w:proofErr w:type="gramEnd"/>
            <w:r>
              <w:rPr>
                <w:rFonts w:ascii="Times New Roman" w:hAnsi="Times New Roman" w:cs="Times New Roman"/>
                <w:color w:val="auto"/>
                <w:sz w:val="22"/>
              </w:rPr>
              <w:t xml:space="preserve"> </w:t>
            </w:r>
            <w:r w:rsidRPr="005665C0">
              <w:rPr>
                <w:rFonts w:ascii="Times New Roman" w:hAnsi="Times New Roman" w:cs="Times New Roman"/>
                <w:color w:val="auto"/>
                <w:sz w:val="22"/>
              </w:rPr>
              <w:t>with no</w:t>
            </w:r>
            <w:r>
              <w:rPr>
                <w:rFonts w:ascii="Times New Roman" w:hAnsi="Times New Roman" w:cs="Times New Roman"/>
                <w:color w:val="auto"/>
                <w:sz w:val="22"/>
              </w:rPr>
              <w:t xml:space="preserve"> in-patient</w:t>
            </w:r>
            <w:r w:rsidRPr="005665C0">
              <w:rPr>
                <w:rFonts w:ascii="Times New Roman" w:hAnsi="Times New Roman" w:cs="Times New Roman"/>
                <w:color w:val="auto"/>
                <w:sz w:val="22"/>
              </w:rPr>
              <w:t xml:space="preserve"> beds. A station hospital has up to 16 beds and a Township hospital has more</w:t>
            </w:r>
            <w:r>
              <w:rPr>
                <w:rFonts w:ascii="Times New Roman" w:hAnsi="Times New Roman" w:cs="Times New Roman"/>
                <w:color w:val="auto"/>
                <w:sz w:val="22"/>
              </w:rPr>
              <w:t>,</w:t>
            </w:r>
            <w:r w:rsidRPr="005665C0">
              <w:rPr>
                <w:rFonts w:ascii="Times New Roman" w:hAnsi="Times New Roman" w:cs="Times New Roman"/>
                <w:color w:val="auto"/>
                <w:sz w:val="22"/>
              </w:rPr>
              <w:t xml:space="preserve"> ranging from 25-100 beds. There will be about </w:t>
            </w:r>
            <w:r>
              <w:rPr>
                <w:rFonts w:ascii="Times New Roman" w:hAnsi="Times New Roman" w:cs="Times New Roman"/>
                <w:color w:val="auto"/>
                <w:sz w:val="22"/>
              </w:rPr>
              <w:t>19</w:t>
            </w:r>
            <w:r w:rsidRPr="005665C0">
              <w:rPr>
                <w:rFonts w:ascii="Times New Roman" w:hAnsi="Times New Roman" w:cs="Times New Roman"/>
                <w:color w:val="auto"/>
                <w:sz w:val="22"/>
              </w:rPr>
              <w:t xml:space="preserve"> township hospitals (roughly one in each township) and about 40 station hospitals (between </w:t>
            </w:r>
            <w:r>
              <w:rPr>
                <w:rFonts w:ascii="Times New Roman" w:hAnsi="Times New Roman" w:cs="Times New Roman"/>
                <w:color w:val="auto"/>
                <w:sz w:val="22"/>
              </w:rPr>
              <w:t>one</w:t>
            </w:r>
            <w:r w:rsidRPr="005665C0">
              <w:rPr>
                <w:rFonts w:ascii="Times New Roman" w:hAnsi="Times New Roman" w:cs="Times New Roman"/>
                <w:color w:val="auto"/>
                <w:sz w:val="22"/>
              </w:rPr>
              <w:t xml:space="preserve"> and </w:t>
            </w:r>
            <w:r>
              <w:rPr>
                <w:rFonts w:ascii="Times New Roman" w:hAnsi="Times New Roman" w:cs="Times New Roman"/>
                <w:color w:val="auto"/>
                <w:sz w:val="22"/>
              </w:rPr>
              <w:t>three</w:t>
            </w:r>
            <w:r w:rsidRPr="005665C0">
              <w:rPr>
                <w:rFonts w:ascii="Times New Roman" w:hAnsi="Times New Roman" w:cs="Times New Roman"/>
                <w:color w:val="auto"/>
                <w:sz w:val="22"/>
              </w:rPr>
              <w:t xml:space="preserve"> in each township)</w:t>
            </w:r>
            <w:r>
              <w:rPr>
                <w:rFonts w:ascii="Times New Roman" w:hAnsi="Times New Roman" w:cs="Times New Roman"/>
                <w:color w:val="auto"/>
                <w:sz w:val="22"/>
              </w:rPr>
              <w:t xml:space="preserve"> supported under the Component 1</w:t>
            </w:r>
            <w:r w:rsidRPr="005665C0">
              <w:rPr>
                <w:rFonts w:ascii="Times New Roman" w:hAnsi="Times New Roman" w:cs="Times New Roman"/>
                <w:color w:val="auto"/>
                <w:sz w:val="22"/>
              </w:rPr>
              <w:t xml:space="preserve">. For these hospitals, the project will only </w:t>
            </w:r>
            <w:r>
              <w:rPr>
                <w:rFonts w:ascii="Times New Roman" w:hAnsi="Times New Roman" w:cs="Times New Roman"/>
                <w:color w:val="auto"/>
                <w:sz w:val="22"/>
              </w:rPr>
              <w:t>finance</w:t>
            </w:r>
            <w:r w:rsidRPr="005665C0">
              <w:rPr>
                <w:rFonts w:ascii="Times New Roman" w:hAnsi="Times New Roman" w:cs="Times New Roman"/>
                <w:color w:val="auto"/>
                <w:sz w:val="22"/>
              </w:rPr>
              <w:t xml:space="preserve"> upgrades to a portion of the facility that will directly benefit maternal and child health—for example, </w:t>
            </w:r>
            <w:r>
              <w:rPr>
                <w:rFonts w:ascii="Times New Roman" w:hAnsi="Times New Roman" w:cs="Times New Roman"/>
                <w:color w:val="auto"/>
                <w:sz w:val="22"/>
              </w:rPr>
              <w:t xml:space="preserve">rooms for </w:t>
            </w:r>
            <w:r w:rsidRPr="005665C0">
              <w:rPr>
                <w:rFonts w:ascii="Times New Roman" w:hAnsi="Times New Roman" w:cs="Times New Roman"/>
                <w:color w:val="auto"/>
                <w:sz w:val="22"/>
              </w:rPr>
              <w:t>delivery</w:t>
            </w:r>
            <w:r>
              <w:rPr>
                <w:rFonts w:ascii="Times New Roman" w:hAnsi="Times New Roman" w:cs="Times New Roman"/>
                <w:color w:val="auto"/>
                <w:sz w:val="22"/>
              </w:rPr>
              <w:t xml:space="preserve">, newborn, and emergency care, </w:t>
            </w:r>
            <w:r w:rsidRPr="005665C0">
              <w:rPr>
                <w:rFonts w:ascii="Times New Roman" w:hAnsi="Times New Roman" w:cs="Times New Roman"/>
                <w:color w:val="auto"/>
                <w:sz w:val="22"/>
              </w:rPr>
              <w:t>operation theate</w:t>
            </w:r>
            <w:r w:rsidR="00D63A14">
              <w:rPr>
                <w:rFonts w:ascii="Times New Roman" w:hAnsi="Times New Roman" w:cs="Times New Roman"/>
                <w:color w:val="auto"/>
                <w:sz w:val="22"/>
              </w:rPr>
              <w:t>r</w:t>
            </w:r>
            <w:r>
              <w:rPr>
                <w:rFonts w:ascii="Times New Roman" w:hAnsi="Times New Roman" w:cs="Times New Roman"/>
                <w:color w:val="auto"/>
                <w:sz w:val="22"/>
              </w:rPr>
              <w:t>s</w:t>
            </w:r>
            <w:r w:rsidRPr="005665C0">
              <w:rPr>
                <w:rFonts w:ascii="Times New Roman" w:hAnsi="Times New Roman" w:cs="Times New Roman"/>
                <w:color w:val="auto"/>
                <w:sz w:val="22"/>
              </w:rPr>
              <w:t>,</w:t>
            </w:r>
            <w:r>
              <w:rPr>
                <w:rFonts w:ascii="Times New Roman" w:hAnsi="Times New Roman" w:cs="Times New Roman"/>
                <w:color w:val="auto"/>
                <w:sz w:val="22"/>
              </w:rPr>
              <w:t xml:space="preserve"> and</w:t>
            </w:r>
            <w:r w:rsidRPr="005665C0">
              <w:rPr>
                <w:rFonts w:ascii="Times New Roman" w:hAnsi="Times New Roman" w:cs="Times New Roman"/>
                <w:color w:val="auto"/>
                <w:sz w:val="22"/>
              </w:rPr>
              <w:t xml:space="preserve"> water and sanitation facilities. For health centers,</w:t>
            </w:r>
            <w:r>
              <w:rPr>
                <w:rFonts w:ascii="Times New Roman" w:hAnsi="Times New Roman" w:cs="Times New Roman"/>
                <w:color w:val="auto"/>
                <w:sz w:val="22"/>
              </w:rPr>
              <w:t xml:space="preserve"> it is estimated that </w:t>
            </w:r>
            <w:r w:rsidRPr="005665C0">
              <w:rPr>
                <w:rFonts w:ascii="Times New Roman" w:hAnsi="Times New Roman" w:cs="Times New Roman"/>
                <w:color w:val="auto"/>
                <w:sz w:val="22"/>
              </w:rPr>
              <w:t>the project</w:t>
            </w:r>
            <w:r>
              <w:rPr>
                <w:rFonts w:ascii="Times New Roman" w:hAnsi="Times New Roman" w:cs="Times New Roman"/>
                <w:color w:val="auto"/>
                <w:sz w:val="22"/>
              </w:rPr>
              <w:t xml:space="preserve"> will finance around 350 facilities</w:t>
            </w:r>
            <w:r w:rsidRPr="005665C0">
              <w:rPr>
                <w:rFonts w:ascii="Times New Roman" w:hAnsi="Times New Roman" w:cs="Times New Roman"/>
                <w:color w:val="auto"/>
                <w:sz w:val="22"/>
              </w:rPr>
              <w:t xml:space="preserve"> </w:t>
            </w:r>
            <w:r>
              <w:rPr>
                <w:rFonts w:ascii="Times New Roman" w:hAnsi="Times New Roman" w:cs="Times New Roman"/>
                <w:color w:val="auto"/>
                <w:sz w:val="22"/>
              </w:rPr>
              <w:t xml:space="preserve">with </w:t>
            </w:r>
            <w:r w:rsidRPr="005665C0">
              <w:rPr>
                <w:rFonts w:ascii="Times New Roman" w:hAnsi="Times New Roman" w:cs="Times New Roman"/>
                <w:color w:val="auto"/>
                <w:sz w:val="22"/>
              </w:rPr>
              <w:t xml:space="preserve">renovations or re-building within </w:t>
            </w:r>
            <w:r>
              <w:rPr>
                <w:rFonts w:ascii="Times New Roman" w:hAnsi="Times New Roman" w:cs="Times New Roman"/>
                <w:color w:val="auto"/>
                <w:sz w:val="22"/>
              </w:rPr>
              <w:t xml:space="preserve">existing </w:t>
            </w:r>
            <w:r w:rsidRPr="005665C0">
              <w:rPr>
                <w:rFonts w:ascii="Times New Roman" w:hAnsi="Times New Roman" w:cs="Times New Roman"/>
                <w:color w:val="auto"/>
                <w:sz w:val="22"/>
              </w:rPr>
              <w:t>boundar</w:t>
            </w:r>
            <w:r>
              <w:rPr>
                <w:rFonts w:ascii="Times New Roman" w:hAnsi="Times New Roman" w:cs="Times New Roman"/>
                <w:color w:val="auto"/>
                <w:sz w:val="22"/>
              </w:rPr>
              <w:t>ies</w:t>
            </w:r>
            <w:r w:rsidRPr="005665C0">
              <w:rPr>
                <w:rFonts w:ascii="Times New Roman" w:hAnsi="Times New Roman" w:cs="Times New Roman"/>
                <w:color w:val="auto"/>
                <w:sz w:val="22"/>
              </w:rPr>
              <w:t>. A facility assessment</w:t>
            </w:r>
            <w:r>
              <w:rPr>
                <w:rFonts w:ascii="Times New Roman" w:hAnsi="Times New Roman" w:cs="Times New Roman"/>
                <w:color w:val="auto"/>
                <w:sz w:val="22"/>
              </w:rPr>
              <w:t xml:space="preserve"> </w:t>
            </w:r>
            <w:r>
              <w:rPr>
                <w:rFonts w:ascii="Times New Roman" w:hAnsi="Times New Roman" w:cs="Times New Roman"/>
                <w:color w:val="auto"/>
                <w:sz w:val="22"/>
              </w:rPr>
              <w:lastRenderedPageBreak/>
              <w:t>will provide better information on the number of health centers</w:t>
            </w:r>
            <w:r w:rsidRPr="005665C0">
              <w:rPr>
                <w:rFonts w:ascii="Times New Roman" w:hAnsi="Times New Roman" w:cs="Times New Roman"/>
                <w:color w:val="auto"/>
                <w:sz w:val="22"/>
              </w:rPr>
              <w:t xml:space="preserve"> </w:t>
            </w:r>
            <w:r>
              <w:rPr>
                <w:rFonts w:ascii="Times New Roman" w:hAnsi="Times New Roman" w:cs="Times New Roman"/>
                <w:color w:val="auto"/>
                <w:sz w:val="22"/>
              </w:rPr>
              <w:t>in</w:t>
            </w:r>
            <w:r w:rsidRPr="005665C0">
              <w:rPr>
                <w:rFonts w:ascii="Times New Roman" w:hAnsi="Times New Roman" w:cs="Times New Roman"/>
                <w:color w:val="auto"/>
                <w:sz w:val="22"/>
              </w:rPr>
              <w:t xml:space="preserve"> </w:t>
            </w:r>
            <w:r>
              <w:rPr>
                <w:rFonts w:ascii="Times New Roman" w:hAnsi="Times New Roman" w:cs="Times New Roman"/>
                <w:color w:val="auto"/>
                <w:sz w:val="22"/>
              </w:rPr>
              <w:t>need of</w:t>
            </w:r>
            <w:r w:rsidRPr="005665C0">
              <w:rPr>
                <w:rFonts w:ascii="Times New Roman" w:hAnsi="Times New Roman" w:cs="Times New Roman"/>
                <w:color w:val="auto"/>
                <w:sz w:val="22"/>
              </w:rPr>
              <w:t xml:space="preserve"> rehabilitat</w:t>
            </w:r>
            <w:r>
              <w:rPr>
                <w:rFonts w:ascii="Times New Roman" w:hAnsi="Times New Roman" w:cs="Times New Roman"/>
                <w:color w:val="auto"/>
                <w:sz w:val="22"/>
              </w:rPr>
              <w:t>ion and re-</w:t>
            </w:r>
            <w:r w:rsidRPr="005665C0">
              <w:rPr>
                <w:rFonts w:ascii="Times New Roman" w:hAnsi="Times New Roman" w:cs="Times New Roman"/>
                <w:color w:val="auto"/>
                <w:sz w:val="22"/>
              </w:rPr>
              <w:t>construct</w:t>
            </w:r>
            <w:r>
              <w:rPr>
                <w:rFonts w:ascii="Times New Roman" w:hAnsi="Times New Roman" w:cs="Times New Roman"/>
                <w:color w:val="auto"/>
                <w:sz w:val="22"/>
              </w:rPr>
              <w:t>ion</w:t>
            </w:r>
            <w:r w:rsidRPr="005665C0">
              <w:rPr>
                <w:rFonts w:ascii="Times New Roman" w:hAnsi="Times New Roman" w:cs="Times New Roman"/>
                <w:color w:val="auto"/>
                <w:sz w:val="22"/>
              </w:rPr>
              <w:t xml:space="preserve"> and what part of township and station hospitals will benefit from renovation. </w:t>
            </w:r>
            <w:r>
              <w:rPr>
                <w:rFonts w:ascii="Times New Roman" w:hAnsi="Times New Roman" w:cs="Times New Roman"/>
                <w:color w:val="auto"/>
                <w:sz w:val="22"/>
              </w:rPr>
              <w:t xml:space="preserve">The first phase of the </w:t>
            </w:r>
            <w:r w:rsidRPr="005665C0">
              <w:rPr>
                <w:rFonts w:ascii="Times New Roman" w:hAnsi="Times New Roman" w:cs="Times New Roman"/>
                <w:color w:val="auto"/>
                <w:sz w:val="22"/>
              </w:rPr>
              <w:t>facility assessment</w:t>
            </w:r>
            <w:r>
              <w:rPr>
                <w:rFonts w:ascii="Times New Roman" w:hAnsi="Times New Roman" w:cs="Times New Roman"/>
                <w:color w:val="auto"/>
                <w:sz w:val="22"/>
              </w:rPr>
              <w:t xml:space="preserve"> (data collection from townships) is ongoing.  Once the second phase of the facility (field-based) assessment has been completed, this information will be shared and discussed for the development of </w:t>
            </w:r>
            <w:r>
              <w:rPr>
                <w:rFonts w:ascii="Times New Roman" w:hAnsi="Times New Roman" w:cs="Times New Roman"/>
                <w:color w:val="auto"/>
                <w:sz w:val="22"/>
                <w:szCs w:val="22"/>
              </w:rPr>
              <w:t>Township Investment Plans.  These plans will be formulated using an intensive participatory consultation process, including key stakeholders such Region/State and township government authorities, NGOs, and Ethnic Health Providers (EHPs), in decision-</w:t>
            </w:r>
            <w:r w:rsidRPr="00E67D1B">
              <w:rPr>
                <w:rFonts w:ascii="Times New Roman" w:hAnsi="Times New Roman" w:cs="Times New Roman"/>
                <w:color w:val="auto"/>
                <w:sz w:val="22"/>
                <w:szCs w:val="22"/>
              </w:rPr>
              <w:t xml:space="preserve">making about the allocation of resources for investment.  Conflict sensitivity will also be integrated into the planned development process in Shan State.   EHPs are involved in the health service delivery in areas where </w:t>
            </w:r>
            <w:proofErr w:type="gramStart"/>
            <w:r w:rsidRPr="00E67D1B">
              <w:rPr>
                <w:rFonts w:ascii="Times New Roman" w:hAnsi="Times New Roman" w:cs="Times New Roman"/>
                <w:color w:val="auto"/>
                <w:sz w:val="22"/>
                <w:szCs w:val="22"/>
              </w:rPr>
              <w:t>a majority of</w:t>
            </w:r>
            <w:proofErr w:type="gramEnd"/>
            <w:r w:rsidRPr="00E67D1B">
              <w:rPr>
                <w:rFonts w:ascii="Times New Roman" w:hAnsi="Times New Roman" w:cs="Times New Roman"/>
                <w:color w:val="auto"/>
                <w:sz w:val="22"/>
                <w:szCs w:val="22"/>
              </w:rPr>
              <w:t xml:space="preserve"> ethnic nationalities reside, both in areas under government control and areas under non-government control. While the project will not send funds or provide material support to ethnic health providers, the project will engage with ethnic providers through consultation, dialogue and support for joint decision-making, as well as knowledge sharing and learning through joint training. </w:t>
            </w:r>
          </w:p>
          <w:p w14:paraId="513023B7" w14:textId="77777777" w:rsidR="00E67D1B" w:rsidRPr="00E67D1B" w:rsidRDefault="00E67D1B" w:rsidP="00E67D1B">
            <w:pPr>
              <w:spacing w:after="120"/>
              <w:jc w:val="both"/>
              <w:rPr>
                <w:rFonts w:ascii="Times New Roman" w:hAnsi="Times New Roman" w:cs="Times New Roman"/>
                <w:color w:val="auto"/>
                <w:sz w:val="22"/>
                <w:szCs w:val="22"/>
              </w:rPr>
            </w:pPr>
            <w:r w:rsidRPr="00E67D1B">
              <w:rPr>
                <w:rFonts w:ascii="Times New Roman" w:hAnsi="Times New Roman" w:cs="Times New Roman"/>
                <w:color w:val="auto"/>
                <w:sz w:val="22"/>
                <w:szCs w:val="22"/>
              </w:rPr>
              <w:t xml:space="preserve">Specifically, under the Component 1, the project will not finance infrastructure in non-government- controlled areas.   However, EHPs will be consulted to seek their inputs during the process of field assessment, planning and review of the implementation progress on the fully functional health service delivery infrastructure. </w:t>
            </w:r>
          </w:p>
          <w:p w14:paraId="3ED70184" w14:textId="229741D6" w:rsidR="00E67D1B" w:rsidRDefault="00E67D1B" w:rsidP="00E67D1B">
            <w:pPr>
              <w:jc w:val="both"/>
              <w:rPr>
                <w:rFonts w:ascii="Times New Roman" w:hAnsi="Times New Roman" w:cs="Times New Roman"/>
                <w:color w:val="auto"/>
                <w:sz w:val="22"/>
                <w:szCs w:val="22"/>
              </w:rPr>
            </w:pPr>
            <w:r w:rsidRPr="00E67D1B">
              <w:rPr>
                <w:rFonts w:ascii="Times New Roman" w:hAnsi="Times New Roman" w:cs="Times New Roman"/>
                <w:color w:val="auto"/>
                <w:sz w:val="22"/>
                <w:szCs w:val="22"/>
              </w:rPr>
              <w:t xml:space="preserve">Component 2 </w:t>
            </w:r>
            <w:bookmarkStart w:id="0" w:name="_GoBack"/>
            <w:bookmarkEnd w:id="0"/>
            <w:r w:rsidRPr="00E67D1B">
              <w:rPr>
                <w:rFonts w:ascii="Times New Roman" w:hAnsi="Times New Roman" w:cs="Times New Roman"/>
                <w:color w:val="auto"/>
                <w:sz w:val="22"/>
                <w:szCs w:val="22"/>
              </w:rPr>
              <w:t>finances priority health systems strengthening interventions at the union and region/state levels. It will aim to improve quality of RMNCH care, human resources available at the community level, and infection control standards at the PHC facilities. Moreover, it will strengthen institutional mechanisms at all regions/states for multi-stakeholder planning, dialogue, and reviews to promote inclusion and peace, and to enhance health system efficiency nationwide through better information management in public finance management and supply chain systems.  Component 2.2 on Innovation and Project Management includes piloting and scaling up ICT-based innovations, such as telehealth, ICT based training and beneficiary feedback.</w:t>
            </w:r>
            <w:r w:rsidRPr="00E67D1B">
              <w:rPr>
                <w:rFonts w:ascii="Times New Roman" w:hAnsi="Times New Roman" w:cs="Times New Roman"/>
                <w:color w:val="auto"/>
                <w:sz w:val="22"/>
                <w:szCs w:val="22"/>
              </w:rPr>
              <w:br/>
            </w:r>
            <w:r w:rsidRPr="00E67D1B">
              <w:rPr>
                <w:rFonts w:ascii="Times New Roman" w:hAnsi="Times New Roman" w:cs="Times New Roman"/>
                <w:color w:val="auto"/>
                <w:sz w:val="22"/>
                <w:szCs w:val="22"/>
              </w:rPr>
              <w:br/>
              <w:t xml:space="preserve">Component 2 does not involve any civil works and is limited to procurement of goods, services and incremental operating costs.  Activities would be mainly related to procurement of services (individuals and/or firms) that will provide technical assistance for information systems design, pilot and roll out, development of training curriculum and delivery of training for local volunteers, and facilitation of multi-stakeholder participatory platform/meetings. The support will also cover printing, trainings/workshops, and supervision and oversight of the activities.  Social risks associated with such activities are minor but may involve local exclusion from participation in the benefits of these systems interventions.  Risk of exclusion is partially mitigated by design.  Component 2.1 finances the development of guidelines for subnational level multi-stakeholder coordination platform as well as state/region and township level trainings on community engagement and participatory township investment planning.  It also finances recruitment and training of the local volunteers from the same ethno-linguistic and cultural backgrounds as community-based health workers in order to enhance community participation and expand coverage through community outreach. NGOs, CSOs, and Ethnic Health Providers would benefit from these systems strengthening activities, particularly with regards to community engagement and multi-stakeholder platform that foster joint reviews, joint decision making and joint learning.  </w:t>
            </w:r>
            <w:r w:rsidRPr="00E67D1B">
              <w:rPr>
                <w:rFonts w:ascii="Times New Roman" w:hAnsi="Times New Roman" w:cs="Times New Roman"/>
                <w:bCs/>
                <w:color w:val="auto"/>
                <w:sz w:val="22"/>
                <w:szCs w:val="22"/>
              </w:rPr>
              <w:t>Joint decision-making refers to dialogue and information sharing on service coverage gaps and quality issues in respective geographical areas and then on discussing and agreeing on how these gaps and issues will be addressed.</w:t>
            </w:r>
            <w:r>
              <w:rPr>
                <w:rFonts w:ascii="Times New Roman" w:hAnsi="Times New Roman" w:cs="Times New Roman"/>
                <w:bCs/>
                <w:color w:val="auto"/>
                <w:sz w:val="22"/>
                <w:szCs w:val="22"/>
              </w:rPr>
              <w:t xml:space="preserve">  </w:t>
            </w:r>
            <w:r w:rsidRPr="003301A4">
              <w:rPr>
                <w:rFonts w:ascii="Times New Roman" w:hAnsi="Times New Roman" w:cs="Times New Roman"/>
                <w:color w:val="auto"/>
                <w:sz w:val="22"/>
                <w:szCs w:val="22"/>
              </w:rPr>
              <w:t>Application of the CEPF to inform these engagement activities to ensure participation of ethnic minorities and vulnerable groups will further mitigate these risks.</w:t>
            </w:r>
          </w:p>
          <w:p w14:paraId="5961FD38" w14:textId="77777777" w:rsidR="00E67D1B" w:rsidRPr="00D11D1C" w:rsidRDefault="00E67D1B" w:rsidP="00E67D1B">
            <w:pPr>
              <w:jc w:val="both"/>
              <w:rPr>
                <w:rFonts w:ascii="Times New Roman" w:hAnsi="Times New Roman" w:cs="Times New Roman"/>
                <w:color w:val="auto"/>
              </w:rPr>
            </w:pPr>
            <w:r w:rsidRPr="003301A4">
              <w:rPr>
                <w:rFonts w:ascii="Times New Roman" w:hAnsi="Times New Roman" w:cs="Times New Roman"/>
                <w:color w:val="auto"/>
                <w:sz w:val="22"/>
                <w:szCs w:val="22"/>
              </w:rPr>
              <w:br/>
              <w:t>As it will be important to ensure that basic services are available and accessible in an equitable manner to the entire population including remote populations and ethnic minorities, the project will support collection of disaggregated data on geographic location, ethn</w:t>
            </w:r>
            <w:r>
              <w:rPr>
                <w:rFonts w:ascii="Times New Roman" w:hAnsi="Times New Roman" w:cs="Times New Roman"/>
                <w:color w:val="auto"/>
                <w:sz w:val="22"/>
                <w:szCs w:val="22"/>
              </w:rPr>
              <w:t>o</w:t>
            </w:r>
            <w:r w:rsidRPr="003301A4">
              <w:rPr>
                <w:rFonts w:ascii="Times New Roman" w:hAnsi="Times New Roman" w:cs="Times New Roman"/>
                <w:color w:val="auto"/>
                <w:sz w:val="22"/>
                <w:szCs w:val="22"/>
              </w:rPr>
              <w:t xml:space="preserve">-linguistic or religious composition and </w:t>
            </w:r>
            <w:r w:rsidRPr="003301A4">
              <w:rPr>
                <w:rFonts w:ascii="Times New Roman" w:hAnsi="Times New Roman" w:cs="Times New Roman"/>
                <w:color w:val="auto"/>
                <w:sz w:val="22"/>
                <w:szCs w:val="22"/>
              </w:rPr>
              <w:lastRenderedPageBreak/>
              <w:t>gender on beneficiary communities and on efforts to recruit, train and retain frontline health staff and volunteers from the same communities would assist with monitoring and verification. Systems interventions that pilot innovation, such as telehealth and other ICT solutions, also require stakeholder engagement and awareness raising attention to ensure benefits for the poor and marginalized are maximized. While they are expected to improve equitable application across different social groups, they should be designed and piloted with an accessibility focus in a culturally and linguistically appropriate manner for ethnic groups. OP 4.10 is triggered and specific social safeguard measures will be applied under the project as described in the</w:t>
            </w:r>
            <w:r>
              <w:rPr>
                <w:rFonts w:ascii="Times New Roman" w:hAnsi="Times New Roman" w:cs="Times New Roman"/>
                <w:color w:val="auto"/>
              </w:rPr>
              <w:t xml:space="preserve"> </w:t>
            </w:r>
            <w:r w:rsidRPr="003301A4">
              <w:rPr>
                <w:rFonts w:ascii="Times New Roman" w:hAnsi="Times New Roman" w:cs="Times New Roman"/>
                <w:color w:val="auto"/>
                <w:sz w:val="22"/>
                <w:szCs w:val="22"/>
              </w:rPr>
              <w:t>CEPF.</w:t>
            </w:r>
          </w:p>
        </w:tc>
      </w:tr>
      <w:tr w:rsidR="00C92BD9" w:rsidRPr="003301A4" w14:paraId="6434394E"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618FC98E"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lastRenderedPageBreak/>
              <w:t>.</w:t>
            </w:r>
          </w:p>
        </w:tc>
      </w:tr>
      <w:tr w:rsidR="00C92BD9" w:rsidRPr="003301A4" w14:paraId="102D16D4" w14:textId="77777777" w:rsidTr="009B79CB">
        <w:tc>
          <w:tcPr>
            <w:tcW w:w="184" w:type="dxa"/>
            <w:tcBorders>
              <w:top w:val="nil"/>
              <w:left w:val="nil"/>
              <w:bottom w:val="nil"/>
              <w:right w:val="nil"/>
            </w:tcBorders>
            <w:tcMar>
              <w:top w:w="50" w:type="dxa"/>
              <w:left w:w="50" w:type="dxa"/>
              <w:bottom w:w="50" w:type="dxa"/>
              <w:right w:w="50" w:type="dxa"/>
            </w:tcMar>
            <w:vAlign w:val="center"/>
          </w:tcPr>
          <w:p w14:paraId="428754AE"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14:paraId="5CC86DE7" w14:textId="77777777" w:rsidR="00C92BD9" w:rsidRPr="003301A4" w:rsidRDefault="00C92BD9" w:rsidP="003C7CD4">
            <w:pPr>
              <w:rPr>
                <w:rFonts w:ascii="Times New Roman" w:hAnsi="Times New Roman" w:cs="Times New Roman"/>
                <w:color w:val="auto"/>
              </w:rPr>
            </w:pPr>
            <w:r w:rsidRPr="003301A4">
              <w:rPr>
                <w:rFonts w:ascii="Times New Roman" w:hAnsi="Times New Roman" w:cs="Times New Roman"/>
                <w:b/>
                <w:bCs/>
                <w:color w:val="auto"/>
              </w:rPr>
              <w:t xml:space="preserve">F. </w:t>
            </w:r>
            <w:r w:rsidR="003C7CD4" w:rsidRPr="003301A4">
              <w:rPr>
                <w:rFonts w:ascii="Times New Roman" w:hAnsi="Times New Roman" w:cs="Times New Roman"/>
                <w:b/>
                <w:bCs/>
                <w:color w:val="auto"/>
              </w:rPr>
              <w:t>Environmental and Social Safeguards Specialists on the Team</w:t>
            </w:r>
          </w:p>
        </w:tc>
      </w:tr>
      <w:tr w:rsidR="00C92BD9" w:rsidRPr="003301A4" w14:paraId="7D9CFBE5" w14:textId="77777777" w:rsidTr="009B79CB">
        <w:tc>
          <w:tcPr>
            <w:tcW w:w="184" w:type="dxa"/>
            <w:tcBorders>
              <w:top w:val="nil"/>
              <w:left w:val="nil"/>
              <w:bottom w:val="nil"/>
              <w:right w:val="nil"/>
            </w:tcBorders>
            <w:tcMar>
              <w:top w:w="50" w:type="dxa"/>
              <w:left w:w="50" w:type="dxa"/>
              <w:bottom w:w="50" w:type="dxa"/>
              <w:right w:w="50" w:type="dxa"/>
            </w:tcMar>
            <w:vAlign w:val="center"/>
          </w:tcPr>
          <w:p w14:paraId="2CD189AD"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3301A4" w14:paraId="4F317FD0" w14:textId="77777777" w:rsidTr="003301A4">
              <w:tc>
                <w:tcPr>
                  <w:tcW w:w="9062" w:type="dxa"/>
                  <w:shd w:val="clear" w:color="auto" w:fill="auto"/>
                </w:tcPr>
                <w:p w14:paraId="7D9B7056" w14:textId="77777777" w:rsidR="00A54D71" w:rsidRPr="003301A4" w:rsidRDefault="00A54D71">
                  <w:pPr>
                    <w:rPr>
                      <w:rFonts w:ascii="Times New Roman" w:hAnsi="Times New Roman" w:cs="Times New Roman"/>
                      <w:color w:val="auto"/>
                      <w:sz w:val="22"/>
                      <w:szCs w:val="22"/>
                    </w:rPr>
                  </w:pPr>
                  <w:r w:rsidRPr="003301A4">
                    <w:rPr>
                      <w:rFonts w:ascii="Times New Roman" w:hAnsi="Times New Roman" w:cs="Times New Roman"/>
                      <w:color w:val="auto"/>
                      <w:sz w:val="22"/>
                      <w:szCs w:val="22"/>
                    </w:rPr>
                    <w:t>Sang Minh Le, Environmental Specialist</w:t>
                  </w:r>
                </w:p>
              </w:tc>
            </w:tr>
          </w:tbl>
          <w:p w14:paraId="3901300C" w14:textId="77777777" w:rsidR="00C92BD9" w:rsidRPr="003301A4" w:rsidRDefault="00C92BD9">
            <w:pPr>
              <w:rPr>
                <w:rFonts w:ascii="Times New Roman" w:hAnsi="Times New Roman" w:cs="Times New Roman"/>
                <w:color w:val="auto"/>
              </w:rPr>
            </w:pPr>
          </w:p>
        </w:tc>
      </w:tr>
      <w:tr w:rsidR="00C92BD9" w:rsidRPr="003301A4" w14:paraId="4CD78A43" w14:textId="77777777" w:rsidTr="009B79CB">
        <w:tc>
          <w:tcPr>
            <w:tcW w:w="184" w:type="dxa"/>
            <w:tcBorders>
              <w:top w:val="nil"/>
              <w:left w:val="nil"/>
              <w:bottom w:val="nil"/>
              <w:right w:val="nil"/>
            </w:tcBorders>
            <w:tcMar>
              <w:top w:w="50" w:type="dxa"/>
              <w:left w:w="50" w:type="dxa"/>
              <w:bottom w:w="50" w:type="dxa"/>
              <w:right w:w="50" w:type="dxa"/>
            </w:tcMar>
            <w:vAlign w:val="center"/>
          </w:tcPr>
          <w:p w14:paraId="0A788199" w14:textId="77777777" w:rsidR="00C92BD9" w:rsidRPr="003301A4" w:rsidRDefault="00C92BD9">
            <w:pPr>
              <w:rPr>
                <w:rFonts w:ascii="Times New Roman" w:hAnsi="Times New Roman" w:cs="Times New Roman"/>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tbl>
            <w:tblPr>
              <w:tblW w:w="0" w:type="auto"/>
              <w:tblLayout w:type="fixed"/>
              <w:tblLook w:val="04A0" w:firstRow="1" w:lastRow="0" w:firstColumn="1" w:lastColumn="0" w:noHBand="0" w:noVBand="1"/>
            </w:tblPr>
            <w:tblGrid>
              <w:gridCol w:w="9062"/>
            </w:tblGrid>
            <w:tr w:rsidR="00A54D71" w:rsidRPr="003301A4" w14:paraId="2E006B4C" w14:textId="77777777" w:rsidTr="003301A4">
              <w:tc>
                <w:tcPr>
                  <w:tcW w:w="9062" w:type="dxa"/>
                  <w:shd w:val="clear" w:color="auto" w:fill="auto"/>
                </w:tcPr>
                <w:p w14:paraId="4C10725E" w14:textId="77777777" w:rsidR="00A54D71" w:rsidRPr="003301A4" w:rsidRDefault="00A54D71">
                  <w:pPr>
                    <w:rPr>
                      <w:rFonts w:ascii="Times New Roman" w:hAnsi="Times New Roman" w:cs="Times New Roman"/>
                      <w:color w:val="auto"/>
                      <w:sz w:val="22"/>
                      <w:szCs w:val="22"/>
                    </w:rPr>
                  </w:pPr>
                  <w:r w:rsidRPr="003301A4">
                    <w:rPr>
                      <w:rFonts w:ascii="Times New Roman" w:hAnsi="Times New Roman" w:cs="Times New Roman"/>
                      <w:color w:val="auto"/>
                      <w:sz w:val="22"/>
                      <w:szCs w:val="22"/>
                    </w:rPr>
                    <w:t>Warren Paul Mayes, Social Specialist</w:t>
                  </w:r>
                </w:p>
              </w:tc>
            </w:tr>
          </w:tbl>
          <w:p w14:paraId="612112B5" w14:textId="77777777" w:rsidR="00C92BD9" w:rsidRPr="003301A4" w:rsidRDefault="00C92BD9">
            <w:pPr>
              <w:rPr>
                <w:rFonts w:ascii="Times New Roman" w:hAnsi="Times New Roman" w:cs="Times New Roman"/>
                <w:color w:val="auto"/>
              </w:rPr>
            </w:pPr>
          </w:p>
        </w:tc>
      </w:tr>
      <w:tr w:rsidR="00C92BD9" w:rsidRPr="003301A4" w14:paraId="71016F9D"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03E00462" w14:textId="77777777" w:rsidR="00C92BD9" w:rsidRPr="003301A4" w:rsidRDefault="00C92BD9" w:rsidP="007F3A46">
            <w:pPr>
              <w:rPr>
                <w:rFonts w:ascii="Times New Roman" w:hAnsi="Times New Roman" w:cs="Times New Roman"/>
                <w:b/>
                <w:bCs/>
                <w:color w:val="auto"/>
              </w:rPr>
            </w:pPr>
            <w:r w:rsidRPr="003301A4">
              <w:rPr>
                <w:rFonts w:ascii="Times New Roman" w:hAnsi="Times New Roman" w:cs="Times New Roman"/>
                <w:b/>
                <w:bCs/>
                <w:color w:val="auto"/>
              </w:rPr>
              <w:t>II. IMPLEMENTATION</w:t>
            </w:r>
          </w:p>
          <w:p w14:paraId="4414E77D" w14:textId="77777777" w:rsidR="00E172FA" w:rsidRPr="003301A4" w:rsidRDefault="00E172FA" w:rsidP="007F3A46">
            <w:pPr>
              <w:rPr>
                <w:rFonts w:ascii="Times New Roman" w:hAnsi="Times New Roman" w:cs="Times New Roman"/>
                <w:color w:val="auto"/>
              </w:rPr>
            </w:pPr>
            <w:r w:rsidRPr="003301A4">
              <w:rPr>
                <w:rFonts w:ascii="Times New Roman" w:hAnsi="Times New Roman" w:cs="Times New Roman"/>
                <w:color w:val="auto"/>
              </w:rPr>
              <w:t>The project will continue to be implemented by MOHS, namely the Department of Public Health and Department of Medical Services.</w:t>
            </w:r>
          </w:p>
        </w:tc>
      </w:tr>
      <w:tr w:rsidR="00C92BD9" w:rsidRPr="003301A4" w14:paraId="7A61AB65"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5F23C5A1" w14:textId="77777777" w:rsidR="00C92BD9" w:rsidRPr="003301A4" w:rsidRDefault="00C92BD9">
            <w:pPr>
              <w:rPr>
                <w:rFonts w:ascii="Times New Roman" w:hAnsi="Times New Roman" w:cs="Times New Roman"/>
                <w:color w:val="auto"/>
                <w:sz w:val="4"/>
                <w:szCs w:val="4"/>
              </w:rPr>
            </w:pPr>
          </w:p>
        </w:tc>
      </w:tr>
      <w:tr w:rsidR="00C92BD9" w:rsidRPr="003301A4" w14:paraId="65ACFF2E"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0FF92FD7"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2EFABFFD"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38C66AC4"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rPr>
              <w:t>III. SAFEGUARD POLICIES THAT MIGHT APPLY</w:t>
            </w:r>
          </w:p>
        </w:tc>
      </w:tr>
      <w:tr w:rsidR="00C92BD9" w:rsidRPr="003301A4" w14:paraId="13AE7204" w14:textId="77777777" w:rsidTr="00C00508">
        <w:tc>
          <w:tcPr>
            <w:tcW w:w="184" w:type="dxa"/>
            <w:tcBorders>
              <w:top w:val="nil"/>
              <w:left w:val="nil"/>
              <w:bottom w:val="nil"/>
              <w:right w:val="nil"/>
            </w:tcBorders>
            <w:tcMar>
              <w:top w:w="50" w:type="dxa"/>
              <w:left w:w="50" w:type="dxa"/>
              <w:bottom w:w="50" w:type="dxa"/>
              <w:right w:w="50" w:type="dxa"/>
            </w:tcMar>
            <w:vAlign w:val="center"/>
          </w:tcPr>
          <w:p w14:paraId="64A41E21"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724D44C"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Safeguard Policies</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AF12833"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Triggered?</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09FF609" w14:textId="77777777" w:rsidR="00C92BD9" w:rsidRPr="003301A4" w:rsidRDefault="00C92BD9">
            <w:pPr>
              <w:rPr>
                <w:rFonts w:ascii="Times New Roman" w:hAnsi="Times New Roman" w:cs="Times New Roman"/>
                <w:color w:val="auto"/>
              </w:rPr>
            </w:pPr>
            <w:r w:rsidRPr="003301A4">
              <w:rPr>
                <w:rFonts w:ascii="Times New Roman" w:hAnsi="Times New Roman" w:cs="Times New Roman"/>
                <w:b/>
                <w:bCs/>
                <w:color w:val="auto"/>
                <w:sz w:val="22"/>
                <w:szCs w:val="22"/>
              </w:rPr>
              <w:t>Explanation (Optional)</w:t>
            </w:r>
          </w:p>
        </w:tc>
      </w:tr>
      <w:tr w:rsidR="00C92BD9" w:rsidRPr="003301A4" w14:paraId="620DECD0" w14:textId="77777777" w:rsidTr="00C00508">
        <w:tc>
          <w:tcPr>
            <w:tcW w:w="184" w:type="dxa"/>
            <w:tcBorders>
              <w:top w:val="nil"/>
              <w:left w:val="nil"/>
              <w:bottom w:val="nil"/>
              <w:right w:val="nil"/>
            </w:tcBorders>
            <w:tcMar>
              <w:top w:w="50" w:type="dxa"/>
              <w:left w:w="50" w:type="dxa"/>
              <w:bottom w:w="50" w:type="dxa"/>
              <w:right w:w="50" w:type="dxa"/>
            </w:tcMar>
            <w:vAlign w:val="center"/>
          </w:tcPr>
          <w:p w14:paraId="2658C684"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6C48ABC"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Environmental Assessment OP/BP 4.01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D0B2926"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Yes</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03666AE"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OP 4.01 is triggered as the project may increase health care waste and create minor environmental impacts associated with small scale renovation, refurbishment and reconstruction activities in selected health care facilities.</w:t>
            </w:r>
          </w:p>
        </w:tc>
      </w:tr>
      <w:tr w:rsidR="00C92BD9" w:rsidRPr="003301A4" w14:paraId="1C9B43D2" w14:textId="77777777" w:rsidTr="00C00508">
        <w:tc>
          <w:tcPr>
            <w:tcW w:w="184" w:type="dxa"/>
            <w:tcBorders>
              <w:top w:val="nil"/>
              <w:left w:val="nil"/>
              <w:bottom w:val="nil"/>
              <w:right w:val="nil"/>
            </w:tcBorders>
            <w:tcMar>
              <w:top w:w="50" w:type="dxa"/>
              <w:left w:w="50" w:type="dxa"/>
              <w:bottom w:w="50" w:type="dxa"/>
              <w:right w:w="50" w:type="dxa"/>
            </w:tcMar>
            <w:vAlign w:val="center"/>
          </w:tcPr>
          <w:p w14:paraId="4B42CBF7"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5C97ABDA"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Performance Standards for Private Sector Activities OP/BP 4.03</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1A8C454"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0280A735"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healthcare facilities supported by the project are fully owned and operated by the public sector.</w:t>
            </w:r>
          </w:p>
        </w:tc>
      </w:tr>
      <w:tr w:rsidR="00C92BD9" w:rsidRPr="003301A4" w14:paraId="10CCB941" w14:textId="77777777" w:rsidTr="00C00508">
        <w:tc>
          <w:tcPr>
            <w:tcW w:w="184" w:type="dxa"/>
            <w:tcBorders>
              <w:top w:val="nil"/>
              <w:left w:val="nil"/>
              <w:bottom w:val="nil"/>
              <w:right w:val="nil"/>
            </w:tcBorders>
            <w:tcMar>
              <w:top w:w="50" w:type="dxa"/>
              <w:left w:w="50" w:type="dxa"/>
              <w:bottom w:w="50" w:type="dxa"/>
              <w:right w:w="50" w:type="dxa"/>
            </w:tcMar>
            <w:vAlign w:val="center"/>
          </w:tcPr>
          <w:p w14:paraId="0B857F2D"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B6C8817"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Natural Habitats OP/BP 4.04</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DAD8A50"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59FDC20"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Although the parent project covers the entire country, the additional financing focuses on primary health care infrastructure development in Ayeyarwady and Shan. The project interventions linked to health care facilities are not located in or nearby protected areas or in areas with natural habitats. The Component 1 will finance only the construction of new, or expansion of existing building, within the existing boundary of health facilities.</w:t>
            </w:r>
          </w:p>
        </w:tc>
      </w:tr>
      <w:tr w:rsidR="00C92BD9" w:rsidRPr="003301A4" w14:paraId="74D27A3A" w14:textId="77777777" w:rsidTr="00C00508">
        <w:tc>
          <w:tcPr>
            <w:tcW w:w="184" w:type="dxa"/>
            <w:tcBorders>
              <w:top w:val="nil"/>
              <w:left w:val="nil"/>
              <w:bottom w:val="nil"/>
              <w:right w:val="nil"/>
            </w:tcBorders>
            <w:tcMar>
              <w:top w:w="50" w:type="dxa"/>
              <w:left w:w="50" w:type="dxa"/>
              <w:bottom w:w="50" w:type="dxa"/>
              <w:right w:w="50" w:type="dxa"/>
            </w:tcMar>
            <w:vAlign w:val="center"/>
          </w:tcPr>
          <w:p w14:paraId="18EBAF62"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4B401FE"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Forests OP/BP 4.36</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8BD3A60"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7E754B30"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project does not include any activities that could affect forest, forest health and forest-dependent communities.</w:t>
            </w:r>
          </w:p>
        </w:tc>
      </w:tr>
      <w:tr w:rsidR="00C92BD9" w:rsidRPr="003301A4" w14:paraId="7F6D486D" w14:textId="77777777" w:rsidTr="00C00508">
        <w:tc>
          <w:tcPr>
            <w:tcW w:w="184" w:type="dxa"/>
            <w:tcBorders>
              <w:top w:val="nil"/>
              <w:left w:val="nil"/>
              <w:bottom w:val="nil"/>
              <w:right w:val="nil"/>
            </w:tcBorders>
            <w:tcMar>
              <w:top w:w="50" w:type="dxa"/>
              <w:left w:w="50" w:type="dxa"/>
              <w:bottom w:w="50" w:type="dxa"/>
              <w:right w:w="50" w:type="dxa"/>
            </w:tcMar>
            <w:vAlign w:val="center"/>
          </w:tcPr>
          <w:p w14:paraId="49A804C5"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DCBE397"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Pest Management OP 4.09</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1E6F285"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3F2A9EA"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project will not finance pesticides, such as for control of vector-borne diseases such as malaria and dengue.</w:t>
            </w:r>
          </w:p>
        </w:tc>
      </w:tr>
      <w:tr w:rsidR="00C92BD9" w:rsidRPr="003301A4" w14:paraId="7E70AD70" w14:textId="77777777" w:rsidTr="00C00508">
        <w:tc>
          <w:tcPr>
            <w:tcW w:w="184" w:type="dxa"/>
            <w:tcBorders>
              <w:top w:val="nil"/>
              <w:left w:val="nil"/>
              <w:bottom w:val="nil"/>
              <w:right w:val="nil"/>
            </w:tcBorders>
            <w:tcMar>
              <w:top w:w="50" w:type="dxa"/>
              <w:left w:w="50" w:type="dxa"/>
              <w:bottom w:w="50" w:type="dxa"/>
              <w:right w:w="50" w:type="dxa"/>
            </w:tcMar>
            <w:vAlign w:val="center"/>
          </w:tcPr>
          <w:p w14:paraId="1E80764F"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1478027"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Physical Cultural Resources OP/BP 4.11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F0C2EA2"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165EE38"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 xml:space="preserve">As there will be no new constructions or expansions of health facilities beyond the </w:t>
            </w:r>
            <w:r w:rsidRPr="003301A4">
              <w:rPr>
                <w:rFonts w:ascii="Times New Roman" w:hAnsi="Times New Roman" w:cs="Times New Roman"/>
                <w:color w:val="auto"/>
                <w:sz w:val="22"/>
                <w:szCs w:val="22"/>
              </w:rPr>
              <w:lastRenderedPageBreak/>
              <w:t>boundary of the existing health facilities, it is highly unlikely that the project will affect any physical cultural resources.  There are no township hospitals or lower level hospitals or health care centers which are on a national or international heritage list. As such, the project will not adversely affect sites with archeological, paleontological, historical, religious, or unique natural values.</w:t>
            </w:r>
          </w:p>
        </w:tc>
      </w:tr>
      <w:tr w:rsidR="00C92BD9" w:rsidRPr="003301A4" w14:paraId="2303C2F0" w14:textId="77777777" w:rsidTr="00C00508">
        <w:tc>
          <w:tcPr>
            <w:tcW w:w="184" w:type="dxa"/>
            <w:tcBorders>
              <w:top w:val="nil"/>
              <w:left w:val="nil"/>
              <w:bottom w:val="nil"/>
              <w:right w:val="nil"/>
            </w:tcBorders>
            <w:tcMar>
              <w:top w:w="50" w:type="dxa"/>
              <w:left w:w="50" w:type="dxa"/>
              <w:bottom w:w="50" w:type="dxa"/>
              <w:right w:w="50" w:type="dxa"/>
            </w:tcMar>
            <w:vAlign w:val="center"/>
          </w:tcPr>
          <w:p w14:paraId="43BA8C63"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6A87E9D"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Indigenous Peoples OP/BP 4.10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90E4644"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Yes</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3AA9ADC"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provision of health services supported by the project is not expected to have adverse impacts on ethnic minorities. However, issues related to equity in access and culturally appropriate delivery of services in areas with ethnic minorities, as well as other vulnerable population groups such as internally displaced persons, remain a challenge.  A social assessment (SA) was undertaken during project preparation of the parent project, along with consultations with various stakeholders, including organizations representing and working with ethnic minorities.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A Community Engagement Planning Framework (CEPF) was prepared based on the SA and consultation process. The Framework includes the elements of an Indigenous Peoples Planning Framework as required under OP 4.10, but also addresses broader social issues and potential impacts for all communities. It contains procedures for a practical and site-specific participatory planning process involving free, prior and consultations, social analysis and preparation of site-specific plans incorporating findings from the consultation and assessment process.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The CEPF has been updated with new guidelines on community engagement to address challenges documented in previous consultations, and guidance on enhancing and maintaining an accessible grievance redress mechanism.</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 xml:space="preserve">Efforts will be required to ensure that the GRM is deployed below township level to ensure easily accessible entry points and that data on ethno-linguistics and gender of complainants is disaggregated and reported. The CEPF adapts existing procedures, applied to the Township </w:t>
            </w:r>
            <w:r w:rsidRPr="003301A4">
              <w:rPr>
                <w:rFonts w:ascii="Times New Roman" w:hAnsi="Times New Roman" w:cs="Times New Roman"/>
                <w:color w:val="auto"/>
                <w:sz w:val="22"/>
                <w:szCs w:val="22"/>
              </w:rPr>
              <w:lastRenderedPageBreak/>
              <w:t>Investment Plans, to meet OP 4.10 requirements for providing culturally appropriate engagement and benefits to ethnic minorities. The Township Investment Plan is to be designed to addresses the concerns of other ethnic nationalities and other vulnerable and under-served population groups based on the community engagement process described in the CEPF. The CEPF envisages that broad community support to Township Investment Plans will be achieved through the participatory planning process and the involvement of township and village health committees.</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 xml:space="preserve">Township Investment Plans will be reviewed for the quality of community engagement activities reflecting inclusiveness of vulnerable groups by a verification agency. Special attention will be paid in supervision to root causes of any deficiency in documentation or engagement with a view to remedy this in the next township planning exercise. A simple guideline for community engagement within the township health planning process, including a checklist on how to organize and record community consultation meetings, has been developed and townships will be trained on how to use these guidelines. There are ongoing challenges to implementation of CEPF. Challenges include reaching out to ethnic nationalities or minorities where ethnic health providers do not exist due to language, physical accessibility and representation. The project is working with other donors and NGOs who are more active in reaching out to ethnic nationalities to partner with them on outreach to communities. Well established ethnic health providers have been involved not only in the relevant townships and states/regions, but also at the National level, in particular the formulation of the National Health Plan (NHP). Ethnic health providers are recognized as important providers of health services and the plan identifies greater dialogue and coordination moving towards Universal Health Coverage. Despite the progress, there continues to be a need to ensure better assessment of specific access constraints faced by marginalized populations and minorities </w:t>
            </w:r>
            <w:r w:rsidRPr="003301A4">
              <w:rPr>
                <w:rFonts w:ascii="Times New Roman" w:hAnsi="Times New Roman" w:cs="Times New Roman"/>
                <w:color w:val="auto"/>
                <w:sz w:val="22"/>
                <w:szCs w:val="22"/>
              </w:rPr>
              <w:lastRenderedPageBreak/>
              <w:t>and establishment of broad community support.</w:t>
            </w:r>
            <w:r w:rsidRPr="003301A4">
              <w:rPr>
                <w:rFonts w:ascii="Times New Roman" w:hAnsi="Times New Roman" w:cs="Times New Roman"/>
                <w:color w:val="auto"/>
                <w:sz w:val="22"/>
                <w:szCs w:val="22"/>
              </w:rPr>
              <w:br/>
            </w:r>
            <w:r w:rsidRPr="003301A4">
              <w:rPr>
                <w:rFonts w:ascii="Times New Roman" w:hAnsi="Times New Roman" w:cs="Times New Roman"/>
                <w:color w:val="auto"/>
                <w:sz w:val="22"/>
                <w:szCs w:val="22"/>
              </w:rPr>
              <w:br/>
              <w:t>Under Component 1 of the AF, broad community support for Township Investment Plans as per requirements under OP4.10 is to be demonstrated through ensuring that townships with minority populations are included in the priority list, participatory involvement and documented agreement of ethnic organizations and CSOs in the planning, and disaggregated data is collected to monitor inclusion. Plans should be informed by the project CEPF to ensure that they have involved participation and consideration of the needs of ethnic communities and other vulnerable groups. During implementation, third party monitoring, where relevant in non-government-controlled areas and self-administered areas, and beneficiary reviews will be used to ensure that all activities are subject to the enhanced consultation process of the CEPF and undertaken in a manner inclusive and accessible to targeted communities.</w:t>
            </w:r>
          </w:p>
        </w:tc>
      </w:tr>
      <w:tr w:rsidR="00C92BD9" w:rsidRPr="003301A4" w14:paraId="00C08491" w14:textId="77777777" w:rsidTr="00C00508">
        <w:tc>
          <w:tcPr>
            <w:tcW w:w="184" w:type="dxa"/>
            <w:tcBorders>
              <w:top w:val="nil"/>
              <w:left w:val="nil"/>
              <w:bottom w:val="nil"/>
              <w:right w:val="nil"/>
            </w:tcBorders>
            <w:tcMar>
              <w:top w:w="50" w:type="dxa"/>
              <w:left w:w="50" w:type="dxa"/>
              <w:bottom w:w="50" w:type="dxa"/>
              <w:right w:w="50" w:type="dxa"/>
            </w:tcMar>
            <w:vAlign w:val="center"/>
          </w:tcPr>
          <w:p w14:paraId="625A42EF"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BC6AB2F"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Involuntary Resettlement OP/BP 4.12</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FA1F42D"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32154D7"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additional financing project will not finance construction of new, or expansion of existing, building beyond the boundary of existing health facilities and will therefore not involve any land acquisition. To date, none of the activities implemented or planned require land acquisition or resettlement. The project will only finance activities that have short-term minor impacts associated with the minor renovation and refurbishment of the HCFs financed under Component 1. The renovation and refurbishment activities would be done in within existing boundary of health facilities. Therefore, the policy will not be triggered for the purposes of the additional finance.</w:t>
            </w:r>
          </w:p>
        </w:tc>
      </w:tr>
      <w:tr w:rsidR="00C92BD9" w:rsidRPr="003301A4" w14:paraId="0235F8CE" w14:textId="77777777" w:rsidTr="00C00508">
        <w:tc>
          <w:tcPr>
            <w:tcW w:w="184" w:type="dxa"/>
            <w:tcBorders>
              <w:top w:val="nil"/>
              <w:left w:val="nil"/>
              <w:bottom w:val="nil"/>
              <w:right w:val="nil"/>
            </w:tcBorders>
            <w:tcMar>
              <w:top w:w="50" w:type="dxa"/>
              <w:left w:w="50" w:type="dxa"/>
              <w:bottom w:w="50" w:type="dxa"/>
              <w:right w:w="50" w:type="dxa"/>
            </w:tcMar>
            <w:vAlign w:val="center"/>
          </w:tcPr>
          <w:p w14:paraId="74AA5496"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57BFB40"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Safety of Dams OP/BP 4.37</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406295E6"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11D759E" w14:textId="77777777" w:rsidR="00C92BD9" w:rsidRPr="003301A4" w:rsidRDefault="0098558E" w:rsidP="005230FC">
            <w:pPr>
              <w:jc w:val="both"/>
              <w:rPr>
                <w:rFonts w:ascii="Times New Roman" w:hAnsi="Times New Roman" w:cs="Times New Roman"/>
                <w:color w:val="auto"/>
              </w:rPr>
            </w:pPr>
            <w:r w:rsidRPr="003301A4">
              <w:rPr>
                <w:rFonts w:ascii="Times New Roman" w:hAnsi="Times New Roman" w:cs="Times New Roman"/>
                <w:color w:val="auto"/>
                <w:sz w:val="22"/>
                <w:szCs w:val="22"/>
              </w:rPr>
              <w:t>The Project will not finance any activities related to the construction of dams nor affect operations of existing dams or affiliated reservoirs.</w:t>
            </w:r>
          </w:p>
        </w:tc>
      </w:tr>
      <w:tr w:rsidR="00C92BD9" w:rsidRPr="003301A4" w14:paraId="2A0B8730" w14:textId="77777777" w:rsidTr="00C00508">
        <w:tc>
          <w:tcPr>
            <w:tcW w:w="184" w:type="dxa"/>
            <w:tcBorders>
              <w:top w:val="nil"/>
              <w:left w:val="nil"/>
              <w:bottom w:val="nil"/>
              <w:right w:val="nil"/>
            </w:tcBorders>
            <w:tcMar>
              <w:top w:w="50" w:type="dxa"/>
              <w:left w:w="50" w:type="dxa"/>
              <w:bottom w:w="50" w:type="dxa"/>
              <w:right w:w="50" w:type="dxa"/>
            </w:tcMar>
            <w:vAlign w:val="center"/>
          </w:tcPr>
          <w:p w14:paraId="6B96B879"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02FD84C"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Projects on International Waterways OP/BP 7.50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16899A07"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7E6BDC9"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The project will not affect international waterways.</w:t>
            </w:r>
          </w:p>
        </w:tc>
      </w:tr>
      <w:tr w:rsidR="00C92BD9" w:rsidRPr="003301A4" w14:paraId="065152FD" w14:textId="77777777" w:rsidTr="00C00508">
        <w:tc>
          <w:tcPr>
            <w:tcW w:w="184" w:type="dxa"/>
            <w:tcBorders>
              <w:top w:val="nil"/>
              <w:left w:val="nil"/>
              <w:bottom w:val="nil"/>
              <w:right w:val="nil"/>
            </w:tcBorders>
            <w:tcMar>
              <w:top w:w="50" w:type="dxa"/>
              <w:left w:w="50" w:type="dxa"/>
              <w:bottom w:w="50" w:type="dxa"/>
              <w:right w:w="50" w:type="dxa"/>
            </w:tcMar>
            <w:vAlign w:val="center"/>
          </w:tcPr>
          <w:p w14:paraId="174DF4A3" w14:textId="77777777" w:rsidR="00C92BD9" w:rsidRPr="003301A4" w:rsidRDefault="00C92BD9">
            <w:pPr>
              <w:rPr>
                <w:rFonts w:ascii="Times New Roman" w:hAnsi="Times New Roman" w:cs="Times New Roman"/>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24AECD89"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Projects in Disputed Areas OP/BP 7.60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610FBCB6"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3C777F2" w14:textId="77777777" w:rsidR="00C92BD9" w:rsidRPr="003301A4" w:rsidRDefault="0098558E">
            <w:pPr>
              <w:rPr>
                <w:rFonts w:ascii="Times New Roman" w:hAnsi="Times New Roman" w:cs="Times New Roman"/>
                <w:color w:val="auto"/>
              </w:rPr>
            </w:pPr>
            <w:r w:rsidRPr="003301A4">
              <w:rPr>
                <w:rFonts w:ascii="Times New Roman" w:hAnsi="Times New Roman" w:cs="Times New Roman"/>
                <w:color w:val="auto"/>
                <w:sz w:val="22"/>
                <w:szCs w:val="22"/>
              </w:rPr>
              <w:t>No activities are planned in any disputed areas.</w:t>
            </w:r>
          </w:p>
        </w:tc>
      </w:tr>
      <w:tr w:rsidR="00C92BD9" w:rsidRPr="003301A4" w14:paraId="2C0ADFD4"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8E95FBD" w14:textId="77777777" w:rsidR="00C92BD9" w:rsidRPr="003301A4" w:rsidRDefault="00C92BD9">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15B2A3DB"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38399FC2" w14:textId="77777777" w:rsidR="00C92BD9" w:rsidRPr="003301A4" w:rsidRDefault="00C92BD9" w:rsidP="007F3A46">
            <w:pPr>
              <w:rPr>
                <w:rFonts w:ascii="Times New Roman" w:hAnsi="Times New Roman" w:cs="Times New Roman"/>
                <w:color w:val="auto"/>
              </w:rPr>
            </w:pPr>
            <w:r w:rsidRPr="003301A4">
              <w:rPr>
                <w:rFonts w:ascii="Times New Roman" w:hAnsi="Times New Roman" w:cs="Times New Roman"/>
                <w:b/>
                <w:bCs/>
                <w:color w:val="auto"/>
              </w:rPr>
              <w:t>IV. Key Safeguard Policy Issues and Their Management</w:t>
            </w:r>
          </w:p>
        </w:tc>
      </w:tr>
      <w:tr w:rsidR="00C92BD9" w:rsidRPr="003301A4" w14:paraId="2EC90129" w14:textId="77777777" w:rsidTr="009B79CB">
        <w:tc>
          <w:tcPr>
            <w:tcW w:w="184" w:type="dxa"/>
            <w:tcBorders>
              <w:top w:val="nil"/>
              <w:left w:val="nil"/>
              <w:bottom w:val="nil"/>
              <w:right w:val="nil"/>
            </w:tcBorders>
            <w:tcMar>
              <w:top w:w="50" w:type="dxa"/>
              <w:left w:w="50" w:type="dxa"/>
              <w:bottom w:w="50" w:type="dxa"/>
              <w:right w:w="50" w:type="dxa"/>
            </w:tcMar>
            <w:vAlign w:val="center"/>
          </w:tcPr>
          <w:p w14:paraId="0144BBE3"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single" w:sz="2" w:space="0" w:color="auto"/>
              <w:right w:val="nil"/>
            </w:tcBorders>
            <w:tcMar>
              <w:top w:w="50" w:type="dxa"/>
              <w:left w:w="50" w:type="dxa"/>
              <w:bottom w:w="50" w:type="dxa"/>
              <w:right w:w="50" w:type="dxa"/>
            </w:tcMar>
            <w:vAlign w:val="center"/>
          </w:tcPr>
          <w:p w14:paraId="44E8B733" w14:textId="77777777" w:rsidR="00C92BD9" w:rsidRPr="003301A4" w:rsidRDefault="00C92BD9" w:rsidP="0066256D">
            <w:pPr>
              <w:rPr>
                <w:rFonts w:ascii="Times New Roman" w:hAnsi="Times New Roman" w:cs="Times New Roman"/>
                <w:color w:val="auto"/>
              </w:rPr>
            </w:pPr>
            <w:r w:rsidRPr="003301A4">
              <w:rPr>
                <w:rFonts w:ascii="Times New Roman" w:hAnsi="Times New Roman" w:cs="Times New Roman"/>
                <w:b/>
                <w:bCs/>
                <w:i/>
                <w:iCs/>
                <w:color w:val="auto"/>
                <w:sz w:val="22"/>
                <w:szCs w:val="22"/>
              </w:rPr>
              <w:t xml:space="preserve">A. </w:t>
            </w:r>
            <w:r w:rsidR="0066256D" w:rsidRPr="003301A4">
              <w:rPr>
                <w:rFonts w:ascii="Times New Roman" w:hAnsi="Times New Roman" w:cs="Times New Roman"/>
                <w:b/>
                <w:bCs/>
                <w:i/>
                <w:iCs/>
                <w:color w:val="auto"/>
                <w:sz w:val="22"/>
                <w:szCs w:val="22"/>
              </w:rPr>
              <w:t>Summary of Key Safeguard Issues</w:t>
            </w:r>
          </w:p>
        </w:tc>
      </w:tr>
      <w:tr w:rsidR="00C92BD9" w:rsidRPr="003301A4" w14:paraId="727B68F1"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703E5AD5"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32F8E86"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1. Describe any safeguard issues and impacts associated with the proposed project. Identify and describe any potential large scale,  significant and/or irreversible impacts:</w:t>
            </w:r>
          </w:p>
        </w:tc>
      </w:tr>
      <w:tr w:rsidR="00C92BD9" w:rsidRPr="003301A4" w14:paraId="4A102F52"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375E396"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CA892AF" w14:textId="77777777" w:rsidR="00C92BD9" w:rsidRPr="003301A4" w:rsidRDefault="00CD4FB7" w:rsidP="005230FC">
            <w:pPr>
              <w:jc w:val="both"/>
              <w:rPr>
                <w:rFonts w:ascii="Times New Roman" w:hAnsi="Times New Roman" w:cs="Times New Roman"/>
                <w:color w:val="auto"/>
              </w:rPr>
            </w:pPr>
            <w:r w:rsidRPr="003301A4">
              <w:rPr>
                <w:rFonts w:ascii="Times New Roman" w:hAnsi="Times New Roman" w:cs="Times New Roman"/>
                <w:color w:val="auto"/>
              </w:rPr>
              <w:t>Environmental Safeguard Issues</w:t>
            </w:r>
            <w:r w:rsidRPr="003301A4">
              <w:rPr>
                <w:rFonts w:ascii="Times New Roman" w:hAnsi="Times New Roman" w:cs="Times New Roman"/>
                <w:color w:val="auto"/>
              </w:rPr>
              <w:br/>
              <w:t>Project triggers the Environmental Assessment OP/BP 4.01 safeguard policy. The project will finance construction, renovation and refurbishing of HCFs including sub-Rural Health Centers, Rural Health Centers, Maternal and Child Health Centers, Station Hospitals and Township Hospitals. Health centers are small sized facilities with no in-patient beds. A station hospital has up to 16 beds and a Township hospital has more beds, ranging from 25-100 beds. There will be about 19 township hospitals (roughly one in each township) and about 40 station hospitals (between 1 and 3 in each township). For these hospitals, the project will only be financing upgrades to a portion of the facility that will directly benefit maternal and child health—for example, rooms for delivery, newborn, and emergency care, operation theatre, water and sanitation facilities. For health centers, the project is estimated to finance about 350 facilities with renovations or re-building within the same boundary. The construction and renovation activities, which are deemed to be small scale, may generate limited adverse environmental impacts, such as dust, noise, vibration, waste, solid waste and safety issues. Without proper design, basic environmental hygiene facilities (hand washing facilities, toilets and waste disposal facility) may be neglected. Also, there could be isolated health risks associated with exposure to asbestos containing materials in the case of old facilities that are using asbestos roofs. Additionally, in the case of building renovation activities including changes of internal layout (e.g., walls), there is a potential risk on the structure and safety of the existing buildings. It is anticipated that the potential impacts of construction/renovation will be minor, site specific and manageable by mitigation measures.</w:t>
            </w:r>
            <w:r w:rsidRPr="003301A4">
              <w:rPr>
                <w:rFonts w:ascii="Times New Roman" w:hAnsi="Times New Roman" w:cs="Times New Roman"/>
                <w:color w:val="auto"/>
              </w:rPr>
              <w:br/>
              <w:t>The project will improve healthcare service delivery at the local level, therefore, increase generation of healthcare waste and relevant wastewater. Per World Health Organization assessment, only 10-25% of solid healthcare waste at primary healthcare settings is regarded as “hazardous waste,” including sharps, infectious wastes, anatomical waste (placenta), and small amount of pharmaceutical waste. Given the amount of healthcare waste and wastewater from HCFs is expected to be limited, potential impacts on the environment are deemed to be minor, site specific, and for which mitigation measures can be readily designed.</w:t>
            </w:r>
            <w:r w:rsidRPr="003301A4">
              <w:rPr>
                <w:rFonts w:ascii="Times New Roman" w:hAnsi="Times New Roman" w:cs="Times New Roman"/>
                <w:color w:val="auto"/>
              </w:rPr>
              <w:br/>
            </w:r>
            <w:r w:rsidRPr="003301A4">
              <w:rPr>
                <w:rFonts w:ascii="Times New Roman" w:hAnsi="Times New Roman" w:cs="Times New Roman"/>
                <w:color w:val="auto"/>
              </w:rPr>
              <w:br/>
              <w:t>Social Safeguard Issues</w:t>
            </w:r>
            <w:r w:rsidRPr="003301A4">
              <w:rPr>
                <w:rFonts w:ascii="Times New Roman" w:hAnsi="Times New Roman" w:cs="Times New Roman"/>
                <w:color w:val="auto"/>
              </w:rPr>
              <w:br/>
              <w:t>The project will support geographical areas with ethnic minorities. Overall, communities will benefit from enhanced supply side readiness of health facilities and will be encouraged to engage in a participatory planning process to improve health services at townships and village levels. However, in the absence of culturally and linguistically appropriate mechanisms of participation there is a risk of exclusion for ethnic group beneficiaries. The CEPF adapts existing procedures, informing the Township Investment Plans, to meet OP 4.10 requirements for providing culturally appropriate engagement and benefits to ethnic minorities. The Township Investment Plan is adapted to addresses the concerns of ethnic minorities and other vulnerable and under-served population groups based on the community engagement process described in the CEPF.</w:t>
            </w:r>
            <w:r w:rsidRPr="003301A4">
              <w:rPr>
                <w:rFonts w:ascii="Times New Roman" w:hAnsi="Times New Roman" w:cs="Times New Roman"/>
                <w:color w:val="auto"/>
              </w:rPr>
              <w:br/>
            </w:r>
            <w:r w:rsidRPr="003301A4">
              <w:rPr>
                <w:rFonts w:ascii="Times New Roman" w:hAnsi="Times New Roman" w:cs="Times New Roman"/>
                <w:color w:val="auto"/>
              </w:rPr>
              <w:br/>
              <w:t xml:space="preserve">There are many access and inclusion challenges, including poor primary health care </w:t>
            </w:r>
            <w:r w:rsidRPr="003301A4">
              <w:rPr>
                <w:rFonts w:ascii="Times New Roman" w:hAnsi="Times New Roman" w:cs="Times New Roman"/>
                <w:color w:val="auto"/>
              </w:rPr>
              <w:lastRenderedPageBreak/>
              <w:t>infrastructure, conflict, security and safety issues, community tensions and violence, and low retention of health work force due to security concerns and hardship living conditions. There are risks associated with unequal participation in decision-making for township health plans and exclusion of ethnic minorities and other vulnerable groups in prioritization of investments. There are also conflict sensitivity risks associated with failure to engage ethnic organizations and CSOs in project areas, including coordinating engagement for internally displaced persons, and challenges with maintaining an accessible grievance redress system to address complaints of marginalized groups. The project will not trigger Involuntary Resettlement OP/BP 4.12 safeguard policy because the construction, renovation and refurbishment will be within the boundary of existing health facilities and will not involve any land acquisition.</w:t>
            </w:r>
          </w:p>
        </w:tc>
      </w:tr>
      <w:tr w:rsidR="00C92BD9" w:rsidRPr="003301A4" w14:paraId="2A157F22"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69F43E45"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A05C2F8"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2. Describe any potential indirect and/or long term impacts due to anticipated future activities in the project area:</w:t>
            </w:r>
          </w:p>
        </w:tc>
      </w:tr>
      <w:tr w:rsidR="00C92BD9" w:rsidRPr="003301A4" w14:paraId="27BD6C84"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5BB096E"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3657EC7"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color w:val="auto"/>
              </w:rPr>
              <w:t>There are no indirect or long term impacts due to anticipated future activities in participating townships.</w:t>
            </w:r>
          </w:p>
        </w:tc>
      </w:tr>
      <w:tr w:rsidR="00C92BD9" w:rsidRPr="003301A4" w14:paraId="50B5870E"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28F8BDB9"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9933DC4"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3. Describe any project alternatives (if relevant) considered to help avoid or minimize adverse impacts.</w:t>
            </w:r>
          </w:p>
        </w:tc>
      </w:tr>
      <w:tr w:rsidR="00C92BD9" w:rsidRPr="003301A4" w14:paraId="4EA481FB"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5F0B11C8"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6B5FC80"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color w:val="auto"/>
              </w:rPr>
              <w:t>Not applicable</w:t>
            </w:r>
          </w:p>
        </w:tc>
      </w:tr>
      <w:tr w:rsidR="00C92BD9" w:rsidRPr="003301A4" w14:paraId="22F457A0"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81B5EF7"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D16E8F8"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4. Describe measures taken by the borrower to address safeguard policy issues. Provide an assessment of borrower capacity to plan and implement the measures described.</w:t>
            </w:r>
          </w:p>
        </w:tc>
      </w:tr>
      <w:tr w:rsidR="00E67D1B" w:rsidRPr="003301A4" w14:paraId="4396FD96"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2D24D66" w14:textId="77777777" w:rsidR="00E67D1B" w:rsidRPr="003301A4" w:rsidRDefault="00E67D1B" w:rsidP="00E67D1B">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8F00558" w14:textId="77777777" w:rsidR="00E67D1B" w:rsidRPr="00080E1D" w:rsidRDefault="00E67D1B" w:rsidP="00E67D1B">
            <w:pPr>
              <w:jc w:val="both"/>
              <w:rPr>
                <w:rFonts w:ascii="Times New Roman" w:hAnsi="Times New Roman" w:cs="Times New Roman"/>
                <w:color w:val="auto"/>
                <w:sz w:val="22"/>
                <w:szCs w:val="22"/>
              </w:rPr>
            </w:pPr>
            <w:r w:rsidRPr="00080E1D">
              <w:rPr>
                <w:rFonts w:ascii="Times New Roman" w:hAnsi="Times New Roman" w:cs="Times New Roman"/>
                <w:b/>
                <w:color w:val="auto"/>
                <w:sz w:val="22"/>
                <w:szCs w:val="22"/>
              </w:rPr>
              <w:t>Environmental safeguards:</w:t>
            </w:r>
            <w:r w:rsidRPr="00080E1D">
              <w:rPr>
                <w:rFonts w:ascii="Times New Roman" w:hAnsi="Times New Roman" w:cs="Times New Roman"/>
                <w:color w:val="auto"/>
                <w:sz w:val="22"/>
                <w:szCs w:val="22"/>
              </w:rPr>
              <w:br/>
            </w:r>
          </w:p>
          <w:p w14:paraId="1B09B8CB" w14:textId="77777777" w:rsidR="00E67D1B" w:rsidRPr="00080E1D" w:rsidRDefault="00E67D1B" w:rsidP="00E67D1B">
            <w:pPr>
              <w:jc w:val="both"/>
              <w:rPr>
                <w:rFonts w:ascii="Times New Roman" w:hAnsi="Times New Roman" w:cs="Times New Roman"/>
                <w:color w:val="auto"/>
                <w:sz w:val="22"/>
                <w:szCs w:val="22"/>
              </w:rPr>
            </w:pPr>
            <w:r w:rsidRPr="00080E1D">
              <w:rPr>
                <w:rFonts w:ascii="Times New Roman" w:hAnsi="Times New Roman" w:cs="Times New Roman"/>
                <w:color w:val="auto"/>
                <w:sz w:val="22"/>
                <w:szCs w:val="22"/>
              </w:rPr>
              <w:t>MOHS has developed experience with implementing World Bank-financed project requirements regarding Safeguard Policies. Under the EHSAP Original Credit, MOHS has been implementing an Environmental Management Plan (EMP) including (i) application of specific Environmental Code of Practices (ECOPs) to address potential adverse environmental impacts linked to planned renovation and refurbishment works, and (ii) deployment of Healthcare waste management (HCWM) plan to address solid and liquid wastes that will be generated by the HCFs.  Furthermore, with the support of the Original Credit MOHS developed HCWM guidelines/SOPs and finalized training modules. The current rating of environmental safeguard compliance is moderately satisfactory.</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t>As part of the additional financing preparation, the EMP has been revisited by MOHS. Scope of EMP revision include: (a) updating ECOPs to reflect the good practices for managing environmental risks of health infrastructure expansion; (b) updating HCWM SOPs to be in line with newly developed HCWM guidelines; and (d) adding a section on environmental management capacity building and monitoring. The MOHS will provide the necessary training for Township Medical Officers and other relevant stakeholders including among other aspects capacity building for HCWM and project safeguards management in line with the applicable safeguard documents targeting strengthening of related procedures and regulations; and providing initial supplies to allow proper implementation of procedures in the HCFs.</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t>Furthermore, the additional financing has a specific disbursement link indicator related the implementation of a Infection Prevention and Control (IPC) and Health Care Waste Management (HCWM) system in the HCFs. The objective is that by 2024, 180 townships will have trained staff, and all township hospitals, and 70% station hospitals and 50% primary health facilities in the 180 townships are in compliance with HCWM and infection control measures according to SOP.</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t xml:space="preserve">MOHS will contract United Nations Office for Project Services (UNOPS), an agency with successful </w:t>
            </w:r>
            <w:r w:rsidRPr="00080E1D">
              <w:rPr>
                <w:rFonts w:ascii="Times New Roman" w:hAnsi="Times New Roman" w:cs="Times New Roman"/>
                <w:color w:val="auto"/>
                <w:sz w:val="22"/>
                <w:szCs w:val="22"/>
              </w:rPr>
              <w:lastRenderedPageBreak/>
              <w:t>track record, to oversee and manage the delivery of rural health infrastructure. This component would involve an output-based contract between MOHS and UNOPS, with direct payment to be made from WB to UNOPS. UNPOS has experience in managing and implementing the large development funds in Myanmar, including the Livelihoods and Food Security Trust Fund (LIFT), Access to Health Fund (ACCESS) and the Joint Peace Fund (JPF). Furthermore, UNOPS is the Principal Recipient for the Global Fund to Fight AIDS, Tuberculosis and Malaria (Global Fund) in Myanmar and manages the Regional Artemisinin-Resistance Initiative Towards Elimination of Malaria (RAI2E). It has also experience in implementing health and rural road infrastructure projects with financing from Asia Development Bank (ADB). UNOPS has extensive experience developing rural health infrastructure in diverse settings across the country, working with a variety of stakeholders, including ethnic health providers, and has a solid track record of producing results appreciated by the government, providers, and communities. UNOPS had to-date built over 140 rural health facilities across the country, of which 46 are in conflict-affected areas including in Shan. The inclusion of an experienced agency (UNOPS) and their agreement to implement project safeguards policy requirements will add capacity and assist with mitigation of risks associated with Component 1-supported fully functional health service delivery infrastructure. The safeguard responsibilities of UNOPS will include, but not limit, the following: (i) risk screening or impact assessment for each HCF, (ii) site-specific EMP for each HCF to mitigate potential impacts, (iii) site-specific EHS performance monitoring and supervision, (iv) training and communication, (v) auditing and monitoring, etc. Detailed safeguard responsibilities of UNOPS be described in the TOR of the contract they will sign with the Government. The Bank will continue providing capacity building and operational support to the implementation of the Project, including safeguards, and UNOPS will be required to follow World Bank safeguards policy in their contractual arrangements entered for the fully functional health service delivery infrastructure.</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r>
            <w:r w:rsidRPr="00080E1D">
              <w:rPr>
                <w:rFonts w:ascii="Times New Roman" w:hAnsi="Times New Roman" w:cs="Times New Roman"/>
                <w:b/>
                <w:color w:val="auto"/>
                <w:sz w:val="22"/>
                <w:szCs w:val="22"/>
              </w:rPr>
              <w:t>Social Safeguards:</w:t>
            </w:r>
          </w:p>
          <w:p w14:paraId="5F030395" w14:textId="77777777" w:rsidR="00E67D1B" w:rsidRPr="00080E1D" w:rsidRDefault="00E67D1B" w:rsidP="00E67D1B">
            <w:pPr>
              <w:jc w:val="both"/>
              <w:rPr>
                <w:rFonts w:ascii="Times New Roman" w:hAnsi="Times New Roman" w:cs="Times New Roman"/>
                <w:color w:val="auto"/>
                <w:sz w:val="22"/>
                <w:szCs w:val="22"/>
              </w:rPr>
            </w:pPr>
            <w:r w:rsidRPr="00080E1D">
              <w:rPr>
                <w:rFonts w:ascii="Times New Roman" w:hAnsi="Times New Roman" w:cs="Times New Roman"/>
                <w:color w:val="auto"/>
                <w:sz w:val="22"/>
                <w:szCs w:val="22"/>
              </w:rPr>
              <w:br/>
              <w:t xml:space="preserve">The CEPF, prepared for the project, includes a participatory consultation and community engagement process to address such concerns at the State/Region, Township and Village level. The CEPF envisages that the Township Investment Plans will be prepared through this community engagement process and with the involvement of key stakeholders, which will ensure broad support.  </w:t>
            </w:r>
            <w:r w:rsidRPr="005230FC">
              <w:rPr>
                <w:rFonts w:ascii="Times New Roman" w:hAnsi="Times New Roman" w:cs="Times New Roman"/>
                <w:color w:val="auto"/>
                <w:sz w:val="22"/>
                <w:szCs w:val="22"/>
              </w:rPr>
              <w:t>Furthermore, UNOPS will adhere to CEPF as it oversees implementation for Component 1. Its responsibilities include participation in the Township Investment Planning Process, taking into consideration the findings of Village/village tract-level community assessments, conducting site-specific consultations, monitoring and supervision, and reporting on grievances. Detailed social safeguards responsibilities and resourcing requirements will be described in the Terms of Reference (</w:t>
            </w:r>
            <w:proofErr w:type="spellStart"/>
            <w:r w:rsidRPr="005230FC">
              <w:rPr>
                <w:rFonts w:ascii="Times New Roman" w:hAnsi="Times New Roman" w:cs="Times New Roman"/>
                <w:color w:val="auto"/>
                <w:sz w:val="22"/>
                <w:szCs w:val="22"/>
              </w:rPr>
              <w:t>ToR</w:t>
            </w:r>
            <w:proofErr w:type="spellEnd"/>
            <w:r w:rsidRPr="005230FC">
              <w:rPr>
                <w:rFonts w:ascii="Times New Roman" w:hAnsi="Times New Roman" w:cs="Times New Roman"/>
                <w:color w:val="auto"/>
                <w:sz w:val="22"/>
                <w:szCs w:val="22"/>
              </w:rPr>
              <w:t>) of the contract UNOPS will sign with the Government.</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t>Throughout the implementation of the parent project, the MOHS has developed guidelines for community engagement in Township Health Plans and has trained township health departments in integrating community engagement into the township planning process. These guidelines have been incorporated into the revised CEPF under the Additional Financing to ensure that the planning process is meaningfully accessible to ethnic groups in a culturally appropriate manner and in the appropriate language.</w:t>
            </w:r>
          </w:p>
          <w:p w14:paraId="11AD620B" w14:textId="77777777" w:rsidR="00E67D1B" w:rsidRPr="00080E1D" w:rsidRDefault="00E67D1B" w:rsidP="00E67D1B">
            <w:pPr>
              <w:jc w:val="both"/>
              <w:rPr>
                <w:rFonts w:ascii="Times New Roman" w:hAnsi="Times New Roman" w:cs="Times New Roman"/>
                <w:color w:val="auto"/>
                <w:sz w:val="22"/>
                <w:szCs w:val="22"/>
              </w:rPr>
            </w:pPr>
            <w:r w:rsidRPr="00080E1D">
              <w:rPr>
                <w:rFonts w:ascii="Times New Roman" w:hAnsi="Times New Roman" w:cs="Times New Roman"/>
                <w:color w:val="auto"/>
                <w:sz w:val="22"/>
                <w:szCs w:val="22"/>
              </w:rPr>
              <w:br/>
              <w:t>The Township Investment Planning Process under Additional Financing will comprise engagement steps undertaken in accordance with the revised CEPF. These include multi-stakeholder meetings between ethnic health providers, NGOs, CSOs, Members of Parliaments and relevant government committees and departments to select and prioritize investments. Plans would be reviewed as ground-level situations change, for example if conflict were to break out or EAOs/ethnic health providers do not agree to the development of government infrastructure in non-government areas.</w:t>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br/>
            </w:r>
            <w:r w:rsidRPr="00080E1D">
              <w:rPr>
                <w:rFonts w:ascii="Times New Roman" w:hAnsi="Times New Roman" w:cs="Times New Roman"/>
                <w:color w:val="auto"/>
                <w:sz w:val="22"/>
                <w:szCs w:val="22"/>
              </w:rPr>
              <w:lastRenderedPageBreak/>
              <w:t>Implementation experience on establishing a grievance handling and community feedback mechanism has been uneven in townships and not systematized across the project. Existing guidelines for improving communities’ role in providing feedback and oversight are being reviewed for improvement and will be implemented under the additional financing, with attendant emphasis on timely and effective government responsiveness. Communication and outreach materials in major ethnic languages would be developed to ensure that the grievance mechanism inclusive and accessible for all communities.</w:t>
            </w:r>
          </w:p>
        </w:tc>
      </w:tr>
      <w:tr w:rsidR="00C92BD9" w:rsidRPr="003301A4" w14:paraId="2C4FD057"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28B492C"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482E31F" w14:textId="77777777" w:rsidR="00C92BD9" w:rsidRPr="003301A4" w:rsidRDefault="00CD4FB7" w:rsidP="00BF557E">
            <w:pPr>
              <w:rPr>
                <w:rFonts w:ascii="Times New Roman" w:hAnsi="Times New Roman" w:cs="Times New Roman"/>
                <w:color w:val="auto"/>
              </w:rPr>
            </w:pPr>
            <w:r w:rsidRPr="003301A4">
              <w:rPr>
                <w:rFonts w:ascii="Times New Roman" w:hAnsi="Times New Roman" w:cs="Times New Roman"/>
                <w:b/>
                <w:bCs/>
                <w:color w:val="auto"/>
                <w:sz w:val="22"/>
                <w:szCs w:val="22"/>
              </w:rPr>
              <w:t>5. Identify the key stakeholders and describe the mechanisms for consultation and disclosure on safeguard policies, with an emphasis on potentially affected people.</w:t>
            </w:r>
          </w:p>
        </w:tc>
      </w:tr>
      <w:tr w:rsidR="00C92BD9" w:rsidRPr="003301A4" w14:paraId="2D38ADF4"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CF8564D"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E138065" w14:textId="77777777" w:rsidR="005230FC" w:rsidRDefault="00CD4FB7" w:rsidP="005230FC">
            <w:pPr>
              <w:jc w:val="both"/>
              <w:rPr>
                <w:rFonts w:ascii="Times New Roman" w:hAnsi="Times New Roman" w:cs="Times New Roman"/>
                <w:color w:val="auto"/>
              </w:rPr>
            </w:pPr>
            <w:r w:rsidRPr="003301A4">
              <w:rPr>
                <w:rFonts w:ascii="Times New Roman" w:hAnsi="Times New Roman" w:cs="Times New Roman"/>
                <w:color w:val="auto"/>
              </w:rPr>
              <w:t>Key stakeholders include: (i) MOHS and project implementing agencies; (ii) Region/State and Township authorities, including health administrators and local government; (iii) public health care providers (hospitals, health care centers); (iv) private sector, City Development Committees (Pollution Control and Cleansing Department), NGOs, CSOs, and ethnic health providers; (v) UN agencies, including UNOPS, donors—</w:t>
            </w:r>
            <w:proofErr w:type="spellStart"/>
            <w:r w:rsidRPr="003301A4">
              <w:rPr>
                <w:rFonts w:ascii="Times New Roman" w:hAnsi="Times New Roman" w:cs="Times New Roman"/>
                <w:color w:val="auto"/>
              </w:rPr>
              <w:t>bilaterals</w:t>
            </w:r>
            <w:proofErr w:type="spellEnd"/>
            <w:r w:rsidRPr="003301A4">
              <w:rPr>
                <w:rFonts w:ascii="Times New Roman" w:hAnsi="Times New Roman" w:cs="Times New Roman"/>
                <w:color w:val="auto"/>
              </w:rPr>
              <w:t xml:space="preserve"> and multilaterals; and (vi) private providers, ethnic health providers providing health services in some ethnic nationality/minority areas which are not covered by the Government; professional organizations; NGOs and civil society organizations with an interest in the health care sector; and local communities at township and village levels, including vulnerable and under-served population groups such as ethnic minorities.</w:t>
            </w:r>
            <w:r w:rsidRPr="003301A4">
              <w:rPr>
                <w:rFonts w:ascii="Times New Roman" w:hAnsi="Times New Roman" w:cs="Times New Roman"/>
                <w:color w:val="auto"/>
              </w:rPr>
              <w:br/>
            </w:r>
            <w:r w:rsidRPr="003301A4">
              <w:rPr>
                <w:rFonts w:ascii="Times New Roman" w:hAnsi="Times New Roman" w:cs="Times New Roman"/>
                <w:color w:val="auto"/>
              </w:rPr>
              <w:br/>
              <w:t xml:space="preserve">In order to address the safeguard policy OP 4.01 requirements, MOHS updated the EMP that includes: (i) specific </w:t>
            </w:r>
            <w:proofErr w:type="spellStart"/>
            <w:r w:rsidRPr="003301A4">
              <w:rPr>
                <w:rFonts w:ascii="Times New Roman" w:hAnsi="Times New Roman" w:cs="Times New Roman"/>
                <w:color w:val="auto"/>
              </w:rPr>
              <w:t>ECoPs</w:t>
            </w:r>
            <w:proofErr w:type="spellEnd"/>
            <w:r w:rsidRPr="003301A4">
              <w:rPr>
                <w:rFonts w:ascii="Times New Roman" w:hAnsi="Times New Roman" w:cs="Times New Roman"/>
                <w:color w:val="auto"/>
              </w:rPr>
              <w:t xml:space="preserve"> to address impacts linked to planned minor refurbishment, renovation and works; and (ii) HCWM Plan and Standard Operating procedures adapted to the project that will ensure proper HCWM. During the revision of the EMP, meaningful consultations were conducted. Consultative workshops with stakeholders were held in April 2017 to discuss HCWM guidelines development.</w:t>
            </w:r>
          </w:p>
          <w:p w14:paraId="3D3173EA" w14:textId="77777777" w:rsidR="00C92BD9" w:rsidRPr="003301A4" w:rsidRDefault="00CD4FB7" w:rsidP="005230FC">
            <w:pPr>
              <w:jc w:val="both"/>
              <w:rPr>
                <w:rFonts w:ascii="Times New Roman" w:hAnsi="Times New Roman" w:cs="Times New Roman"/>
                <w:color w:val="auto"/>
              </w:rPr>
            </w:pPr>
            <w:r w:rsidRPr="003301A4">
              <w:rPr>
                <w:rFonts w:ascii="Times New Roman" w:hAnsi="Times New Roman" w:cs="Times New Roman"/>
                <w:color w:val="auto"/>
              </w:rPr>
              <w:br/>
              <w:t xml:space="preserve">The updated EMP, including the </w:t>
            </w:r>
            <w:proofErr w:type="spellStart"/>
            <w:r w:rsidRPr="003301A4">
              <w:rPr>
                <w:rFonts w:ascii="Times New Roman" w:hAnsi="Times New Roman" w:cs="Times New Roman"/>
                <w:color w:val="auto"/>
              </w:rPr>
              <w:t>ECoPs</w:t>
            </w:r>
            <w:proofErr w:type="spellEnd"/>
            <w:r w:rsidRPr="003301A4">
              <w:rPr>
                <w:rFonts w:ascii="Times New Roman" w:hAnsi="Times New Roman" w:cs="Times New Roman"/>
                <w:color w:val="auto"/>
              </w:rPr>
              <w:t xml:space="preserve"> and the HCWM Plan and CEPF, were disclosed in country on May 29, 2019.  Public consultations were undertaken in Taunggyi (Shan State) on 22 October 2019 and in Pathein (Ayeyarwady Region) on 23 October 2019 to review the revised safeguards documents as well as non-technical summary of additional comments from Regional Safeguards. On updated CEPF, participants commented on the need for more awareness raising and orientation on the GRM – its various tools and channels for reporting – among the beneficiary communities and project implementers, and the practicability of community engagement activities or approaches at the ground level for sustainability beyond the project period. Comments on updated EMP included the infrastructure supported under the project to be disability-friendly and have an appropriate healthcare waste management arrangement/facility.</w:t>
            </w:r>
          </w:p>
        </w:tc>
      </w:tr>
      <w:tr w:rsidR="00C92BD9" w:rsidRPr="003301A4" w14:paraId="3A3EE2F0"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72762A3A"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1172C9A8" w14:textId="77777777" w:rsidTr="009B79CB">
        <w:tc>
          <w:tcPr>
            <w:tcW w:w="184" w:type="dxa"/>
            <w:tcBorders>
              <w:top w:val="nil"/>
              <w:left w:val="nil"/>
              <w:bottom w:val="nil"/>
              <w:right w:val="nil"/>
            </w:tcBorders>
            <w:tcMar>
              <w:top w:w="50" w:type="dxa"/>
              <w:left w:w="50" w:type="dxa"/>
              <w:bottom w:w="50" w:type="dxa"/>
              <w:right w:w="50" w:type="dxa"/>
            </w:tcMar>
            <w:vAlign w:val="center"/>
          </w:tcPr>
          <w:p w14:paraId="1994F25F"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single" w:sz="2" w:space="0" w:color="auto"/>
              <w:right w:val="nil"/>
            </w:tcBorders>
            <w:tcMar>
              <w:top w:w="50" w:type="dxa"/>
              <w:left w:w="50" w:type="dxa"/>
              <w:bottom w:w="50" w:type="dxa"/>
              <w:right w:w="50" w:type="dxa"/>
            </w:tcMar>
            <w:vAlign w:val="center"/>
          </w:tcPr>
          <w:p w14:paraId="0222F08C"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i/>
                <w:iCs/>
                <w:color w:val="auto"/>
                <w:sz w:val="22"/>
                <w:szCs w:val="22"/>
              </w:rPr>
              <w:t>B. Disclosure Requirements (N.B. The sections below appear only if corresponding safeguard policy is triggered)</w:t>
            </w:r>
          </w:p>
        </w:tc>
      </w:tr>
      <w:tr w:rsidR="00C92BD9" w:rsidRPr="003301A4" w14:paraId="292CC39D"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7BAEFE9B"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36A8995"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Environmental Assessment/Audit/Management Plan/</w:t>
            </w:r>
            <w:proofErr w:type="spellStart"/>
            <w:r w:rsidRPr="003301A4">
              <w:rPr>
                <w:rFonts w:ascii="Times New Roman" w:hAnsi="Times New Roman" w:cs="Times New Roman"/>
                <w:b/>
                <w:bCs/>
                <w:sz w:val="22"/>
                <w:szCs w:val="22"/>
              </w:rPr>
              <w:t>Other</w:t>
            </w:r>
            <w:r w:rsidR="00BD4E97" w:rsidRPr="003301A4">
              <w:rPr>
                <w:rFonts w:ascii="Times New Roman" w:hAnsi="Times New Roman" w:cs="Times New Roman"/>
                <w:b/>
                <w:bCs/>
                <w:color w:val="FFFFFF"/>
                <w:sz w:val="22"/>
                <w:szCs w:val="22"/>
              </w:rPr>
              <w:t>PHEnvDelete</w:t>
            </w:r>
            <w:proofErr w:type="spellEnd"/>
          </w:p>
        </w:tc>
      </w:tr>
      <w:tr w:rsidR="00C92BD9" w:rsidRPr="003301A4" w14:paraId="11B4C1F7"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35593780" w14:textId="77777777"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AB2FEB2"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FE1BA4B"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01-May-2019</w:t>
            </w:r>
          </w:p>
        </w:tc>
      </w:tr>
      <w:tr w:rsidR="00C92BD9" w:rsidRPr="003301A4" w14:paraId="1E7DD25F"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5E81D7CD" w14:textId="77777777"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640C0B8"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submission to InfoShop</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D2E263D"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24-Aug-2014</w:t>
            </w:r>
          </w:p>
        </w:tc>
      </w:tr>
      <w:tr w:rsidR="00C92BD9" w:rsidRPr="003301A4" w14:paraId="55835D23"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5BFC42AE" w14:textId="77777777"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796E194"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For category A projects, date of distributing the Executive Summary of the EA to the Executive Directors</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258D8D5" w14:textId="77777777" w:rsidR="00C92BD9" w:rsidRPr="003301A4" w:rsidRDefault="00C92BD9" w:rsidP="00BF557E">
            <w:pPr>
              <w:rPr>
                <w:rFonts w:ascii="Times New Roman" w:hAnsi="Times New Roman" w:cs="Times New Roman"/>
                <w:color w:val="auto"/>
              </w:rPr>
            </w:pPr>
          </w:p>
        </w:tc>
      </w:tr>
      <w:tr w:rsidR="00C92BD9" w:rsidRPr="003301A4" w14:paraId="09FD0DF7"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2B98E800"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4090B23"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B40CC4" w:rsidRPr="003301A4" w14:paraId="3262E829"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C0D84D0" w14:textId="77777777" w:rsidR="00B40CC4" w:rsidRPr="003301A4" w:rsidRDefault="00B40CC4"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DACEF5D" w14:textId="77777777" w:rsidR="00B40CC4" w:rsidRPr="003301A4" w:rsidRDefault="002C6762" w:rsidP="00BF557E">
            <w:pPr>
              <w:rPr>
                <w:rFonts w:ascii="Times New Roman" w:hAnsi="Times New Roman" w:cs="Times New Roman"/>
                <w:color w:val="FFFFFF"/>
                <w:sz w:val="2"/>
                <w:szCs w:val="2"/>
              </w:rPr>
            </w:pPr>
            <w:proofErr w:type="spellStart"/>
            <w:r w:rsidRPr="003301A4">
              <w:rPr>
                <w:rFonts w:ascii="Times New Roman" w:hAnsi="Times New Roman" w:cs="Times New Roman"/>
                <w:color w:val="FFFFFF"/>
                <w:sz w:val="2"/>
                <w:szCs w:val="2"/>
              </w:rPr>
              <w:t>PHEnvCtry</w:t>
            </w:r>
            <w:proofErr w:type="spellEnd"/>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2C6762" w:rsidRPr="003301A4" w14:paraId="57599771" w14:textId="77777777" w:rsidTr="003301A4">
              <w:trPr>
                <w:trHeight w:val="320"/>
              </w:trPr>
              <w:tc>
                <w:tcPr>
                  <w:tcW w:w="6785" w:type="dxa"/>
                  <w:tcBorders>
                    <w:top w:val="nil"/>
                    <w:left w:val="nil"/>
                    <w:right w:val="single" w:sz="4" w:space="0" w:color="auto"/>
                  </w:tcBorders>
                  <w:shd w:val="clear" w:color="auto" w:fill="auto"/>
                </w:tcPr>
                <w:p w14:paraId="2E67876C" w14:textId="77777777"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World</w:t>
                  </w:r>
                </w:p>
              </w:tc>
              <w:tc>
                <w:tcPr>
                  <w:tcW w:w="2328" w:type="dxa"/>
                  <w:tcBorders>
                    <w:top w:val="nil"/>
                    <w:left w:val="single" w:sz="4" w:space="0" w:color="auto"/>
                    <w:right w:val="nil"/>
                  </w:tcBorders>
                  <w:shd w:val="clear" w:color="auto" w:fill="auto"/>
                </w:tcPr>
                <w:p w14:paraId="54C2FC65" w14:textId="77777777"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29-May-2019</w:t>
                  </w:r>
                </w:p>
              </w:tc>
            </w:tr>
            <w:tr w:rsidR="002C6762" w:rsidRPr="003301A4" w14:paraId="432177E6" w14:textId="77777777" w:rsidTr="003301A4">
              <w:trPr>
                <w:trHeight w:val="320"/>
              </w:trPr>
              <w:tc>
                <w:tcPr>
                  <w:tcW w:w="9113" w:type="dxa"/>
                  <w:gridSpan w:val="2"/>
                  <w:tcBorders>
                    <w:left w:val="nil"/>
                    <w:bottom w:val="nil"/>
                    <w:right w:val="nil"/>
                  </w:tcBorders>
                  <w:shd w:val="clear" w:color="auto" w:fill="auto"/>
                </w:tcPr>
                <w:p w14:paraId="2313A158" w14:textId="77777777" w:rsidR="002C6762" w:rsidRPr="003301A4" w:rsidRDefault="002C6762" w:rsidP="00BF557E">
                  <w:pPr>
                    <w:rPr>
                      <w:rFonts w:ascii="Times New Roman" w:hAnsi="Times New Roman" w:cs="Times New Roman"/>
                      <w:sz w:val="22"/>
                      <w:szCs w:val="22"/>
                    </w:rPr>
                  </w:pPr>
                  <w:proofErr w:type="spellStart"/>
                  <w:r w:rsidRPr="003301A4">
                    <w:rPr>
                      <w:rFonts w:ascii="Times New Roman" w:hAnsi="Times New Roman" w:cs="Times New Roman"/>
                      <w:i/>
                      <w:iCs/>
                      <w:sz w:val="22"/>
                      <w:szCs w:val="22"/>
                    </w:rPr>
                    <w:t>Comments:</w:t>
                  </w:r>
                  <w:r w:rsidRPr="003301A4">
                    <w:rPr>
                      <w:rFonts w:ascii="Times New Roman" w:hAnsi="Times New Roman" w:cs="Times New Roman"/>
                      <w:sz w:val="22"/>
                      <w:szCs w:val="22"/>
                    </w:rPr>
                    <w:t>The</w:t>
                  </w:r>
                  <w:proofErr w:type="spellEnd"/>
                  <w:r w:rsidRPr="003301A4">
                    <w:rPr>
                      <w:rFonts w:ascii="Times New Roman" w:hAnsi="Times New Roman" w:cs="Times New Roman"/>
                      <w:sz w:val="22"/>
                      <w:szCs w:val="22"/>
                    </w:rPr>
                    <w:t xml:space="preserve"> EMP has been updated and re-disclosed.</w:t>
                  </w:r>
                </w:p>
              </w:tc>
            </w:tr>
          </w:tbl>
          <w:p w14:paraId="76017E9B" w14:textId="77777777" w:rsidR="002C6762" w:rsidRPr="003301A4" w:rsidRDefault="002C6762" w:rsidP="00BF557E">
            <w:pPr>
              <w:rPr>
                <w:rFonts w:ascii="Times New Roman" w:hAnsi="Times New Roman" w:cs="Times New Roman"/>
              </w:rPr>
            </w:pPr>
          </w:p>
        </w:tc>
      </w:tr>
      <w:tr w:rsidR="00B40CC4" w:rsidRPr="003301A4" w14:paraId="05031E79"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17713D72" w14:textId="77777777" w:rsidR="00B40CC4" w:rsidRPr="003301A4" w:rsidRDefault="00B40CC4"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E4EFC01" w14:textId="77777777" w:rsidR="00B40CC4" w:rsidRPr="003301A4" w:rsidRDefault="002C6762" w:rsidP="00BF557E">
            <w:pPr>
              <w:rPr>
                <w:rFonts w:ascii="Times New Roman" w:hAnsi="Times New Roman" w:cs="Times New Roman"/>
                <w:color w:val="FFFFFF"/>
                <w:sz w:val="2"/>
                <w:szCs w:val="2"/>
              </w:rPr>
            </w:pPr>
            <w:proofErr w:type="spellStart"/>
            <w:r w:rsidRPr="003301A4">
              <w:rPr>
                <w:rFonts w:ascii="Times New Roman" w:hAnsi="Times New Roman" w:cs="Times New Roman"/>
                <w:color w:val="FFFFFF"/>
                <w:sz w:val="2"/>
                <w:szCs w:val="2"/>
              </w:rPr>
              <w:t>PHEnvCtry</w:t>
            </w:r>
            <w:proofErr w:type="spellEnd"/>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2C6762" w:rsidRPr="003301A4" w14:paraId="76DF404B" w14:textId="77777777" w:rsidTr="003301A4">
              <w:trPr>
                <w:trHeight w:val="320"/>
              </w:trPr>
              <w:tc>
                <w:tcPr>
                  <w:tcW w:w="6785" w:type="dxa"/>
                  <w:tcBorders>
                    <w:top w:val="nil"/>
                    <w:left w:val="nil"/>
                    <w:right w:val="single" w:sz="4" w:space="0" w:color="auto"/>
                  </w:tcBorders>
                  <w:shd w:val="clear" w:color="auto" w:fill="auto"/>
                </w:tcPr>
                <w:p w14:paraId="6726980A" w14:textId="77777777"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Myanmar</w:t>
                  </w:r>
                </w:p>
              </w:tc>
              <w:tc>
                <w:tcPr>
                  <w:tcW w:w="2328" w:type="dxa"/>
                  <w:tcBorders>
                    <w:top w:val="nil"/>
                    <w:left w:val="single" w:sz="4" w:space="0" w:color="auto"/>
                    <w:right w:val="nil"/>
                  </w:tcBorders>
                  <w:shd w:val="clear" w:color="auto" w:fill="auto"/>
                </w:tcPr>
                <w:p w14:paraId="4EA3A434" w14:textId="77777777" w:rsidR="002C6762" w:rsidRPr="003301A4" w:rsidRDefault="002C6762" w:rsidP="00BF557E">
                  <w:pPr>
                    <w:rPr>
                      <w:rFonts w:ascii="Times New Roman" w:hAnsi="Times New Roman" w:cs="Times New Roman"/>
                      <w:sz w:val="22"/>
                      <w:szCs w:val="22"/>
                    </w:rPr>
                  </w:pPr>
                  <w:r w:rsidRPr="003301A4">
                    <w:rPr>
                      <w:rFonts w:ascii="Times New Roman" w:hAnsi="Times New Roman" w:cs="Times New Roman"/>
                      <w:sz w:val="22"/>
                      <w:szCs w:val="22"/>
                    </w:rPr>
                    <w:t>29-May-2019</w:t>
                  </w:r>
                </w:p>
              </w:tc>
            </w:tr>
            <w:tr w:rsidR="002C6762" w:rsidRPr="003301A4" w14:paraId="7446EDBA" w14:textId="77777777" w:rsidTr="003301A4">
              <w:trPr>
                <w:trHeight w:val="320"/>
              </w:trPr>
              <w:tc>
                <w:tcPr>
                  <w:tcW w:w="9113" w:type="dxa"/>
                  <w:gridSpan w:val="2"/>
                  <w:tcBorders>
                    <w:left w:val="nil"/>
                    <w:bottom w:val="nil"/>
                    <w:right w:val="nil"/>
                  </w:tcBorders>
                  <w:shd w:val="clear" w:color="auto" w:fill="auto"/>
                </w:tcPr>
                <w:p w14:paraId="6DB2828B" w14:textId="77777777" w:rsidR="002C6762" w:rsidRPr="003301A4" w:rsidRDefault="002C6762" w:rsidP="00BF557E">
                  <w:pPr>
                    <w:rPr>
                      <w:rFonts w:ascii="Times New Roman" w:hAnsi="Times New Roman" w:cs="Times New Roman"/>
                      <w:sz w:val="22"/>
                      <w:szCs w:val="22"/>
                    </w:rPr>
                  </w:pPr>
                  <w:proofErr w:type="spellStart"/>
                  <w:r w:rsidRPr="003301A4">
                    <w:rPr>
                      <w:rFonts w:ascii="Times New Roman" w:hAnsi="Times New Roman" w:cs="Times New Roman"/>
                      <w:i/>
                      <w:iCs/>
                      <w:sz w:val="22"/>
                      <w:szCs w:val="22"/>
                    </w:rPr>
                    <w:t>Comments:</w:t>
                  </w:r>
                  <w:r w:rsidRPr="003301A4">
                    <w:rPr>
                      <w:rFonts w:ascii="Times New Roman" w:hAnsi="Times New Roman" w:cs="Times New Roman"/>
                      <w:sz w:val="22"/>
                      <w:szCs w:val="22"/>
                    </w:rPr>
                    <w:t>The</w:t>
                  </w:r>
                  <w:proofErr w:type="spellEnd"/>
                  <w:r w:rsidRPr="003301A4">
                    <w:rPr>
                      <w:rFonts w:ascii="Times New Roman" w:hAnsi="Times New Roman" w:cs="Times New Roman"/>
                      <w:sz w:val="22"/>
                      <w:szCs w:val="22"/>
                    </w:rPr>
                    <w:t xml:space="preserve"> EMP has been updated and re-disclosed.</w:t>
                  </w:r>
                </w:p>
              </w:tc>
            </w:tr>
          </w:tbl>
          <w:p w14:paraId="601AF3AD" w14:textId="77777777" w:rsidR="002C6762" w:rsidRPr="003301A4" w:rsidRDefault="002C6762" w:rsidP="00BF557E">
            <w:pPr>
              <w:rPr>
                <w:rFonts w:ascii="Times New Roman" w:hAnsi="Times New Roman" w:cs="Times New Roman"/>
              </w:rPr>
            </w:pPr>
          </w:p>
        </w:tc>
      </w:tr>
      <w:tr w:rsidR="00C92BD9" w:rsidRPr="003301A4" w14:paraId="3CC42D7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63B4CDA3"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A41E392"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Indigenous Peoples Development Plan/</w:t>
            </w:r>
            <w:proofErr w:type="spellStart"/>
            <w:r w:rsidRPr="003301A4">
              <w:rPr>
                <w:rFonts w:ascii="Times New Roman" w:hAnsi="Times New Roman" w:cs="Times New Roman"/>
                <w:b/>
                <w:bCs/>
                <w:sz w:val="22"/>
                <w:szCs w:val="22"/>
              </w:rPr>
              <w:t>Framework</w:t>
            </w:r>
            <w:r w:rsidR="00BD4E97" w:rsidRPr="003301A4">
              <w:rPr>
                <w:rFonts w:ascii="Times New Roman" w:hAnsi="Times New Roman" w:cs="Times New Roman"/>
                <w:b/>
                <w:bCs/>
                <w:color w:val="FFFFFF"/>
                <w:sz w:val="22"/>
                <w:szCs w:val="22"/>
              </w:rPr>
              <w:t>PHIndDelete</w:t>
            </w:r>
            <w:proofErr w:type="spellEnd"/>
          </w:p>
        </w:tc>
      </w:tr>
      <w:tr w:rsidR="00C92BD9" w:rsidRPr="003301A4" w14:paraId="6A20EB9E"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4D10BE0A" w14:textId="77777777"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6576BFD"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receipt by the Bank</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2D68108"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01-May-2019</w:t>
            </w:r>
          </w:p>
        </w:tc>
      </w:tr>
      <w:tr w:rsidR="00C92BD9" w:rsidRPr="003301A4" w14:paraId="285404DC" w14:textId="77777777" w:rsidTr="00C00508">
        <w:tc>
          <w:tcPr>
            <w:tcW w:w="184" w:type="dxa"/>
            <w:tcBorders>
              <w:top w:val="nil"/>
              <w:left w:val="nil"/>
              <w:bottom w:val="nil"/>
              <w:right w:val="single" w:sz="2" w:space="0" w:color="auto"/>
            </w:tcBorders>
            <w:tcMar>
              <w:top w:w="50" w:type="dxa"/>
              <w:left w:w="50" w:type="dxa"/>
              <w:bottom w:w="50" w:type="dxa"/>
              <w:right w:w="50" w:type="dxa"/>
            </w:tcMar>
            <w:vAlign w:val="center"/>
          </w:tcPr>
          <w:p w14:paraId="0BFBF2D4" w14:textId="77777777" w:rsidR="00C92BD9" w:rsidRPr="003301A4" w:rsidRDefault="00C92BD9" w:rsidP="00BF557E">
            <w:pPr>
              <w:rPr>
                <w:rFonts w:ascii="Times New Roman" w:hAnsi="Times New Roman" w:cs="Times New Roman"/>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B9F6E1B"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Date of submission to InfoShop</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E4FD967"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sz w:val="22"/>
                <w:szCs w:val="22"/>
              </w:rPr>
              <w:t>24-Aug-2014</w:t>
            </w:r>
          </w:p>
        </w:tc>
      </w:tr>
      <w:tr w:rsidR="00C92BD9" w:rsidRPr="003301A4" w14:paraId="01CD2E28"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3A4B277E"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036CFC2" w14:textId="77777777" w:rsidR="00C92BD9" w:rsidRPr="003301A4" w:rsidRDefault="00753086" w:rsidP="005C7438">
            <w:pPr>
              <w:rPr>
                <w:rFonts w:ascii="Times New Roman" w:hAnsi="Times New Roman" w:cs="Times New Roman"/>
                <w:color w:val="auto"/>
              </w:rPr>
            </w:pPr>
            <w:r w:rsidRPr="003301A4">
              <w:rPr>
                <w:rFonts w:ascii="Times New Roman" w:hAnsi="Times New Roman" w:cs="Times New Roman"/>
                <w:sz w:val="22"/>
                <w:szCs w:val="22"/>
              </w:rPr>
              <w:t>"In country" Disclosure</w:t>
            </w:r>
          </w:p>
        </w:tc>
      </w:tr>
      <w:tr w:rsidR="006C3A14" w:rsidRPr="003301A4" w14:paraId="3DBE58DE"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37705E91" w14:textId="77777777" w:rsidR="006C3A14" w:rsidRPr="003301A4" w:rsidRDefault="006C3A14"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CE8B6B2" w14:textId="77777777" w:rsidR="006C3A14" w:rsidRPr="003301A4" w:rsidRDefault="006C3A14" w:rsidP="005C7438">
            <w:pPr>
              <w:rPr>
                <w:rFonts w:ascii="Times New Roman" w:hAnsi="Times New Roman" w:cs="Times New Roman"/>
                <w:color w:val="FFFFFF"/>
                <w:sz w:val="2"/>
                <w:szCs w:val="2"/>
              </w:rPr>
            </w:pPr>
            <w:proofErr w:type="spellStart"/>
            <w:r w:rsidRPr="003301A4">
              <w:rPr>
                <w:rFonts w:ascii="Times New Roman" w:hAnsi="Times New Roman" w:cs="Times New Roman"/>
                <w:color w:val="FFFFFF"/>
                <w:sz w:val="2"/>
                <w:szCs w:val="2"/>
              </w:rPr>
              <w:t>PHIndCtry</w:t>
            </w:r>
            <w:proofErr w:type="spellEnd"/>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6C3A14" w:rsidRPr="003301A4" w14:paraId="497EC203" w14:textId="77777777" w:rsidTr="003301A4">
              <w:trPr>
                <w:trHeight w:val="320"/>
              </w:trPr>
              <w:tc>
                <w:tcPr>
                  <w:tcW w:w="6785" w:type="dxa"/>
                  <w:tcBorders>
                    <w:top w:val="nil"/>
                    <w:left w:val="nil"/>
                    <w:right w:val="single" w:sz="4" w:space="0" w:color="auto"/>
                  </w:tcBorders>
                  <w:shd w:val="clear" w:color="auto" w:fill="auto"/>
                </w:tcPr>
                <w:p w14:paraId="36B5A939" w14:textId="77777777" w:rsidR="006C3A14" w:rsidRPr="003301A4" w:rsidRDefault="006C3A14" w:rsidP="00E67D1B">
                  <w:pPr>
                    <w:rPr>
                      <w:rFonts w:ascii="Times New Roman" w:hAnsi="Times New Roman" w:cs="Times New Roman"/>
                      <w:sz w:val="22"/>
                      <w:szCs w:val="22"/>
                    </w:rPr>
                  </w:pPr>
                  <w:r w:rsidRPr="003301A4">
                    <w:rPr>
                      <w:rFonts w:ascii="Times New Roman" w:hAnsi="Times New Roman" w:cs="Times New Roman"/>
                      <w:sz w:val="22"/>
                      <w:szCs w:val="22"/>
                    </w:rPr>
                    <w:t>World</w:t>
                  </w:r>
                </w:p>
              </w:tc>
              <w:tc>
                <w:tcPr>
                  <w:tcW w:w="2328" w:type="dxa"/>
                  <w:tcBorders>
                    <w:top w:val="nil"/>
                    <w:left w:val="single" w:sz="4" w:space="0" w:color="auto"/>
                    <w:right w:val="nil"/>
                  </w:tcBorders>
                  <w:shd w:val="clear" w:color="auto" w:fill="auto"/>
                </w:tcPr>
                <w:p w14:paraId="7229D289" w14:textId="77777777" w:rsidR="006C3A14" w:rsidRPr="003301A4" w:rsidRDefault="006C3A14" w:rsidP="00E67D1B">
                  <w:pPr>
                    <w:rPr>
                      <w:rFonts w:ascii="Times New Roman" w:hAnsi="Times New Roman" w:cs="Times New Roman"/>
                      <w:sz w:val="22"/>
                      <w:szCs w:val="22"/>
                    </w:rPr>
                  </w:pPr>
                  <w:r w:rsidRPr="003301A4">
                    <w:rPr>
                      <w:rFonts w:ascii="Times New Roman" w:hAnsi="Times New Roman" w:cs="Times New Roman"/>
                      <w:sz w:val="22"/>
                      <w:szCs w:val="22"/>
                    </w:rPr>
                    <w:t>29-May-2019</w:t>
                  </w:r>
                </w:p>
              </w:tc>
            </w:tr>
            <w:tr w:rsidR="006C3A14" w:rsidRPr="003301A4" w14:paraId="70A2E368" w14:textId="77777777" w:rsidTr="003301A4">
              <w:trPr>
                <w:trHeight w:val="320"/>
              </w:trPr>
              <w:tc>
                <w:tcPr>
                  <w:tcW w:w="9113" w:type="dxa"/>
                  <w:gridSpan w:val="2"/>
                  <w:tcBorders>
                    <w:left w:val="nil"/>
                    <w:bottom w:val="nil"/>
                    <w:right w:val="nil"/>
                  </w:tcBorders>
                  <w:shd w:val="clear" w:color="auto" w:fill="auto"/>
                </w:tcPr>
                <w:p w14:paraId="1EE5CAD4" w14:textId="77777777" w:rsidR="006C3A14" w:rsidRPr="003301A4" w:rsidRDefault="006C3A14" w:rsidP="00E67D1B">
                  <w:pPr>
                    <w:rPr>
                      <w:rFonts w:ascii="Times New Roman" w:hAnsi="Times New Roman" w:cs="Times New Roman"/>
                      <w:sz w:val="22"/>
                      <w:szCs w:val="22"/>
                    </w:rPr>
                  </w:pPr>
                  <w:proofErr w:type="spellStart"/>
                  <w:r w:rsidRPr="003301A4">
                    <w:rPr>
                      <w:rFonts w:ascii="Times New Roman" w:hAnsi="Times New Roman" w:cs="Times New Roman"/>
                      <w:i/>
                      <w:iCs/>
                      <w:sz w:val="22"/>
                      <w:szCs w:val="22"/>
                    </w:rPr>
                    <w:t>Comments:</w:t>
                  </w:r>
                  <w:r w:rsidRPr="003301A4">
                    <w:rPr>
                      <w:rFonts w:ascii="Times New Roman" w:hAnsi="Times New Roman" w:cs="Times New Roman"/>
                      <w:sz w:val="22"/>
                      <w:szCs w:val="22"/>
                    </w:rPr>
                    <w:t>Community</w:t>
                  </w:r>
                  <w:proofErr w:type="spellEnd"/>
                  <w:r w:rsidRPr="003301A4">
                    <w:rPr>
                      <w:rFonts w:ascii="Times New Roman" w:hAnsi="Times New Roman" w:cs="Times New Roman"/>
                      <w:sz w:val="22"/>
                      <w:szCs w:val="22"/>
                    </w:rPr>
                    <w:t xml:space="preserve"> Engagement Planning Framework has been updated and re-disclosed.</w:t>
                  </w:r>
                </w:p>
              </w:tc>
            </w:tr>
          </w:tbl>
          <w:p w14:paraId="33FAF60E" w14:textId="77777777" w:rsidR="006C3A14" w:rsidRPr="003301A4" w:rsidRDefault="006C3A14" w:rsidP="005C7438">
            <w:pPr>
              <w:rPr>
                <w:rFonts w:ascii="Times New Roman" w:hAnsi="Times New Roman" w:cs="Times New Roman"/>
              </w:rPr>
            </w:pPr>
          </w:p>
        </w:tc>
      </w:tr>
      <w:tr w:rsidR="006C3A14" w:rsidRPr="003301A4" w14:paraId="1D1D2A7F"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4A641810" w14:textId="77777777" w:rsidR="006C3A14" w:rsidRPr="003301A4" w:rsidRDefault="006C3A14"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CFBE85D" w14:textId="77777777" w:rsidR="006C3A14" w:rsidRPr="003301A4" w:rsidRDefault="006C3A14" w:rsidP="005C7438">
            <w:pPr>
              <w:rPr>
                <w:rFonts w:ascii="Times New Roman" w:hAnsi="Times New Roman" w:cs="Times New Roman"/>
                <w:color w:val="FFFFFF"/>
                <w:sz w:val="2"/>
                <w:szCs w:val="2"/>
              </w:rPr>
            </w:pPr>
            <w:proofErr w:type="spellStart"/>
            <w:r w:rsidRPr="003301A4">
              <w:rPr>
                <w:rFonts w:ascii="Times New Roman" w:hAnsi="Times New Roman" w:cs="Times New Roman"/>
                <w:color w:val="FFFFFF"/>
                <w:sz w:val="2"/>
                <w:szCs w:val="2"/>
              </w:rPr>
              <w:t>PHIndCtry</w:t>
            </w:r>
            <w:proofErr w:type="spellEnd"/>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6C3A14" w:rsidRPr="003301A4" w14:paraId="726E603C" w14:textId="77777777" w:rsidTr="003301A4">
              <w:trPr>
                <w:trHeight w:val="320"/>
              </w:trPr>
              <w:tc>
                <w:tcPr>
                  <w:tcW w:w="6785" w:type="dxa"/>
                  <w:tcBorders>
                    <w:top w:val="nil"/>
                    <w:left w:val="nil"/>
                    <w:right w:val="single" w:sz="4" w:space="0" w:color="auto"/>
                  </w:tcBorders>
                  <w:shd w:val="clear" w:color="auto" w:fill="auto"/>
                </w:tcPr>
                <w:p w14:paraId="670E2DB8" w14:textId="77777777" w:rsidR="006C3A14" w:rsidRPr="003301A4" w:rsidRDefault="006C3A14" w:rsidP="00E67D1B">
                  <w:pPr>
                    <w:rPr>
                      <w:rFonts w:ascii="Times New Roman" w:hAnsi="Times New Roman" w:cs="Times New Roman"/>
                      <w:sz w:val="22"/>
                      <w:szCs w:val="22"/>
                    </w:rPr>
                  </w:pPr>
                  <w:r w:rsidRPr="003301A4">
                    <w:rPr>
                      <w:rFonts w:ascii="Times New Roman" w:hAnsi="Times New Roman" w:cs="Times New Roman"/>
                      <w:sz w:val="22"/>
                      <w:szCs w:val="22"/>
                    </w:rPr>
                    <w:t>Myanmar</w:t>
                  </w:r>
                </w:p>
              </w:tc>
              <w:tc>
                <w:tcPr>
                  <w:tcW w:w="2328" w:type="dxa"/>
                  <w:tcBorders>
                    <w:top w:val="nil"/>
                    <w:left w:val="single" w:sz="4" w:space="0" w:color="auto"/>
                    <w:right w:val="nil"/>
                  </w:tcBorders>
                  <w:shd w:val="clear" w:color="auto" w:fill="auto"/>
                </w:tcPr>
                <w:p w14:paraId="25FCE874" w14:textId="77777777" w:rsidR="006C3A14" w:rsidRPr="003301A4" w:rsidRDefault="006C3A14" w:rsidP="00E67D1B">
                  <w:pPr>
                    <w:rPr>
                      <w:rFonts w:ascii="Times New Roman" w:hAnsi="Times New Roman" w:cs="Times New Roman"/>
                      <w:sz w:val="22"/>
                      <w:szCs w:val="22"/>
                    </w:rPr>
                  </w:pPr>
                  <w:r w:rsidRPr="003301A4">
                    <w:rPr>
                      <w:rFonts w:ascii="Times New Roman" w:hAnsi="Times New Roman" w:cs="Times New Roman"/>
                      <w:sz w:val="22"/>
                      <w:szCs w:val="22"/>
                    </w:rPr>
                    <w:t>29-May-2019</w:t>
                  </w:r>
                </w:p>
              </w:tc>
            </w:tr>
            <w:tr w:rsidR="006C3A14" w:rsidRPr="003301A4" w14:paraId="2C1C2E2E" w14:textId="77777777" w:rsidTr="003301A4">
              <w:trPr>
                <w:trHeight w:val="320"/>
              </w:trPr>
              <w:tc>
                <w:tcPr>
                  <w:tcW w:w="9113" w:type="dxa"/>
                  <w:gridSpan w:val="2"/>
                  <w:tcBorders>
                    <w:left w:val="nil"/>
                    <w:bottom w:val="nil"/>
                    <w:right w:val="nil"/>
                  </w:tcBorders>
                  <w:shd w:val="clear" w:color="auto" w:fill="auto"/>
                </w:tcPr>
                <w:p w14:paraId="0F6EE38C" w14:textId="77777777" w:rsidR="006C3A14" w:rsidRPr="003301A4" w:rsidRDefault="006C3A14" w:rsidP="00E67D1B">
                  <w:pPr>
                    <w:rPr>
                      <w:rFonts w:ascii="Times New Roman" w:hAnsi="Times New Roman" w:cs="Times New Roman"/>
                      <w:sz w:val="22"/>
                      <w:szCs w:val="22"/>
                    </w:rPr>
                  </w:pPr>
                  <w:proofErr w:type="spellStart"/>
                  <w:r w:rsidRPr="003301A4">
                    <w:rPr>
                      <w:rFonts w:ascii="Times New Roman" w:hAnsi="Times New Roman" w:cs="Times New Roman"/>
                      <w:i/>
                      <w:iCs/>
                      <w:sz w:val="22"/>
                      <w:szCs w:val="22"/>
                    </w:rPr>
                    <w:t>Comments:</w:t>
                  </w:r>
                  <w:r w:rsidRPr="003301A4">
                    <w:rPr>
                      <w:rFonts w:ascii="Times New Roman" w:hAnsi="Times New Roman" w:cs="Times New Roman"/>
                      <w:sz w:val="22"/>
                      <w:szCs w:val="22"/>
                    </w:rPr>
                    <w:t>Community</w:t>
                  </w:r>
                  <w:proofErr w:type="spellEnd"/>
                  <w:r w:rsidRPr="003301A4">
                    <w:rPr>
                      <w:rFonts w:ascii="Times New Roman" w:hAnsi="Times New Roman" w:cs="Times New Roman"/>
                      <w:sz w:val="22"/>
                      <w:szCs w:val="22"/>
                    </w:rPr>
                    <w:t xml:space="preserve"> Engagement Planning Framework has been updated and re-disclosed.</w:t>
                  </w:r>
                </w:p>
              </w:tc>
            </w:tr>
          </w:tbl>
          <w:p w14:paraId="502456A7" w14:textId="77777777" w:rsidR="006C3A14" w:rsidRPr="003301A4" w:rsidRDefault="006C3A14" w:rsidP="005C7438">
            <w:pPr>
              <w:rPr>
                <w:rFonts w:ascii="Times New Roman" w:hAnsi="Times New Roman" w:cs="Times New Roman"/>
              </w:rPr>
            </w:pPr>
          </w:p>
        </w:tc>
      </w:tr>
      <w:tr w:rsidR="00C92BD9" w:rsidRPr="003301A4" w14:paraId="746C849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2F41E36"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A37A973"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C92BD9" w:rsidRPr="003301A4" w14:paraId="496D77D5"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22736E1"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570F4D6" w14:textId="77777777" w:rsidR="00C92BD9" w:rsidRPr="003301A4" w:rsidRDefault="00753086" w:rsidP="00BF557E">
            <w:pPr>
              <w:rPr>
                <w:rFonts w:ascii="Times New Roman" w:hAnsi="Times New Roman" w:cs="Times New Roman"/>
                <w:color w:val="auto"/>
              </w:rPr>
            </w:pPr>
            <w:r w:rsidRPr="003301A4">
              <w:rPr>
                <w:rFonts w:ascii="Times New Roman" w:hAnsi="Times New Roman" w:cs="Times New Roman"/>
                <w:b/>
                <w:bCs/>
                <w:sz w:val="22"/>
                <w:szCs w:val="22"/>
              </w:rPr>
              <w:t>If in-country disclosure of any of the above documents is not expected, please explain why:</w:t>
            </w:r>
            <w:r w:rsidR="00C92BD9" w:rsidRPr="003301A4">
              <w:rPr>
                <w:rFonts w:ascii="Times New Roman" w:hAnsi="Times New Roman" w:cs="Times New Roman"/>
                <w:b/>
                <w:bCs/>
                <w:color w:val="auto"/>
                <w:sz w:val="22"/>
                <w:szCs w:val="22"/>
              </w:rPr>
              <w:t>:</w:t>
            </w:r>
          </w:p>
        </w:tc>
      </w:tr>
      <w:tr w:rsidR="00C92BD9" w:rsidRPr="003301A4" w14:paraId="5A3E1DAA" w14:textId="77777777" w:rsidTr="009B79CB">
        <w:tc>
          <w:tcPr>
            <w:tcW w:w="184" w:type="dxa"/>
            <w:tcBorders>
              <w:top w:val="nil"/>
              <w:left w:val="nil"/>
              <w:bottom w:val="nil"/>
              <w:right w:val="single" w:sz="2" w:space="0" w:color="auto"/>
            </w:tcBorders>
            <w:tcMar>
              <w:top w:w="50" w:type="dxa"/>
              <w:left w:w="50" w:type="dxa"/>
              <w:bottom w:w="50" w:type="dxa"/>
              <w:right w:w="50" w:type="dxa"/>
            </w:tcMar>
            <w:vAlign w:val="center"/>
          </w:tcPr>
          <w:p w14:paraId="079AF8CE"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F47A2D1" w14:textId="77777777" w:rsidR="00C92BD9" w:rsidRPr="003301A4" w:rsidRDefault="00C92BD9" w:rsidP="00BF557E">
            <w:pPr>
              <w:rPr>
                <w:rFonts w:ascii="Times New Roman" w:hAnsi="Times New Roman" w:cs="Times New Roman"/>
                <w:color w:val="auto"/>
              </w:rPr>
            </w:pPr>
          </w:p>
        </w:tc>
      </w:tr>
      <w:tr w:rsidR="00C92BD9" w:rsidRPr="003301A4" w14:paraId="05C2BAE4"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1C04F89F"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A83832" w:rsidRPr="003301A4" w14:paraId="7E353E6B"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1A88691D" w14:textId="77777777" w:rsidR="00A83832" w:rsidRPr="003301A4" w:rsidRDefault="00A83832" w:rsidP="00BF557E">
            <w:pPr>
              <w:rPr>
                <w:rFonts w:ascii="Times New Roman" w:hAnsi="Times New Roman" w:cs="Times New Roman"/>
                <w:color w:val="auto"/>
                <w:sz w:val="4"/>
                <w:szCs w:val="4"/>
              </w:rPr>
            </w:pPr>
          </w:p>
        </w:tc>
      </w:tr>
      <w:tr w:rsidR="00CE2319" w:rsidRPr="003301A4" w14:paraId="6E4049BB" w14:textId="77777777" w:rsidTr="009B79CB">
        <w:tc>
          <w:tcPr>
            <w:tcW w:w="9362" w:type="dxa"/>
            <w:gridSpan w:val="13"/>
            <w:tcBorders>
              <w:top w:val="nil"/>
              <w:left w:val="nil"/>
              <w:bottom w:val="single" w:sz="4" w:space="0" w:color="auto"/>
              <w:right w:val="nil"/>
            </w:tcBorders>
            <w:tcMar>
              <w:top w:w="50" w:type="dxa"/>
              <w:left w:w="50" w:type="dxa"/>
              <w:bottom w:w="50" w:type="dxa"/>
              <w:right w:w="50" w:type="dxa"/>
            </w:tcMar>
            <w:vAlign w:val="center"/>
          </w:tcPr>
          <w:p w14:paraId="5BA89A9C" w14:textId="77777777" w:rsidR="00CE2319" w:rsidRPr="003301A4" w:rsidRDefault="00CE2319" w:rsidP="00BF557E">
            <w:pPr>
              <w:rPr>
                <w:rFonts w:ascii="Times New Roman" w:hAnsi="Times New Roman" w:cs="Times New Roman"/>
                <w:b/>
                <w:bCs/>
                <w:i/>
                <w:iCs/>
                <w:color w:val="auto"/>
              </w:rPr>
            </w:pPr>
            <w:r w:rsidRPr="003301A4">
              <w:rPr>
                <w:rFonts w:ascii="Times New Roman" w:hAnsi="Times New Roman" w:cs="Times New Roman"/>
                <w:b/>
                <w:bCs/>
                <w:i/>
                <w:iCs/>
                <w:color w:val="auto"/>
                <w:sz w:val="22"/>
                <w:szCs w:val="22"/>
              </w:rPr>
              <w:t>C. Compliance Monitoring Indicators at the Corporate Level (to be filled in when the ISDS is finalized by the project decision meeting) (N.B. The sections below appear only if corresponding safeguard policy is triggered)</w:t>
            </w:r>
          </w:p>
        </w:tc>
      </w:tr>
      <w:tr w:rsidR="00A83832" w:rsidRPr="003301A4" w14:paraId="07B7575A" w14:textId="77777777"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33597CD3"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14:paraId="7A6FA13C" w14:textId="77777777" w:rsidTr="003301A4">
              <w:tc>
                <w:tcPr>
                  <w:tcW w:w="9247" w:type="dxa"/>
                  <w:gridSpan w:val="7"/>
                  <w:shd w:val="clear" w:color="auto" w:fill="auto"/>
                </w:tcPr>
                <w:p w14:paraId="0B168817" w14:textId="77777777" w:rsidR="00817851" w:rsidRPr="003301A4" w:rsidRDefault="00817851" w:rsidP="00E67D1B">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OP/BP/GP 4.01 - Environment Assessment</w:t>
                  </w:r>
                </w:p>
              </w:tc>
            </w:tr>
            <w:tr w:rsidR="003301A4" w:rsidRPr="003301A4" w14:paraId="48FCED2C" w14:textId="77777777" w:rsidTr="003301A4">
              <w:trPr>
                <w:trHeight w:val="530"/>
              </w:trPr>
              <w:tc>
                <w:tcPr>
                  <w:tcW w:w="5255" w:type="dxa"/>
                  <w:shd w:val="clear" w:color="auto" w:fill="auto"/>
                </w:tcPr>
                <w:p w14:paraId="2789748F"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Does the project require a stand-alone EA (including EMP) report?</w:t>
                  </w:r>
                </w:p>
              </w:tc>
              <w:tc>
                <w:tcPr>
                  <w:tcW w:w="630" w:type="dxa"/>
                  <w:shd w:val="clear" w:color="auto" w:fill="auto"/>
                  <w:vAlign w:val="center"/>
                </w:tcPr>
                <w:p w14:paraId="5F494BDE"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19F06D26"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37981B0E"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6152B02A"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3C3D316C"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129DC0DF"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54611969" w14:textId="77777777" w:rsidTr="003301A4">
              <w:trPr>
                <w:trHeight w:val="530"/>
              </w:trPr>
              <w:tc>
                <w:tcPr>
                  <w:tcW w:w="5255" w:type="dxa"/>
                  <w:shd w:val="clear" w:color="auto" w:fill="auto"/>
                </w:tcPr>
                <w:p w14:paraId="2A2399BC"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If yes, then did the Regional Environment Unit or Practice Manager (PM) review and approve the EA report?</w:t>
                  </w:r>
                </w:p>
              </w:tc>
              <w:tc>
                <w:tcPr>
                  <w:tcW w:w="630" w:type="dxa"/>
                  <w:shd w:val="clear" w:color="auto" w:fill="auto"/>
                  <w:vAlign w:val="center"/>
                </w:tcPr>
                <w:p w14:paraId="32CD9897"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1463A3C9"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4D8F2212"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071AF465"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301E70BA"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1AD76597"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025C68B4" w14:textId="77777777" w:rsidTr="003301A4">
              <w:trPr>
                <w:trHeight w:val="530"/>
              </w:trPr>
              <w:tc>
                <w:tcPr>
                  <w:tcW w:w="5255" w:type="dxa"/>
                  <w:shd w:val="clear" w:color="auto" w:fill="auto"/>
                </w:tcPr>
                <w:p w14:paraId="2C18BCE5"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Are the cost and the accountabilities for the EMP incorporated in the credit/loan?</w:t>
                  </w:r>
                </w:p>
              </w:tc>
              <w:tc>
                <w:tcPr>
                  <w:tcW w:w="630" w:type="dxa"/>
                  <w:shd w:val="clear" w:color="auto" w:fill="auto"/>
                  <w:vAlign w:val="center"/>
                </w:tcPr>
                <w:p w14:paraId="4C13584F"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1D2FB49B"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4A3052FC"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3AEC5B9F"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1883C6F2"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1273DFC6"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14:paraId="2E297697" w14:textId="77777777" w:rsidR="00496270" w:rsidRPr="003301A4" w:rsidRDefault="00496270" w:rsidP="00817851">
            <w:pPr>
              <w:rPr>
                <w:rFonts w:ascii="Times New Roman" w:hAnsi="Times New Roman" w:cs="Times New Roman"/>
                <w:color w:val="auto"/>
              </w:rPr>
            </w:pPr>
          </w:p>
        </w:tc>
      </w:tr>
      <w:tr w:rsidR="00A83832" w:rsidRPr="003301A4" w14:paraId="4297EA53" w14:textId="77777777"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1F9ECFAB"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14:paraId="2FD65FDD" w14:textId="77777777" w:rsidTr="003301A4">
              <w:tc>
                <w:tcPr>
                  <w:tcW w:w="9247" w:type="dxa"/>
                  <w:gridSpan w:val="7"/>
                  <w:shd w:val="clear" w:color="auto" w:fill="auto"/>
                </w:tcPr>
                <w:p w14:paraId="2A91A0E6" w14:textId="77777777" w:rsidR="00817851" w:rsidRPr="003301A4" w:rsidRDefault="00817851" w:rsidP="00E67D1B">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OP/BP 4.10 - Indigenous Peoples</w:t>
                  </w:r>
                </w:p>
              </w:tc>
            </w:tr>
            <w:tr w:rsidR="003301A4" w:rsidRPr="003301A4" w14:paraId="66563F31" w14:textId="77777777" w:rsidTr="003301A4">
              <w:trPr>
                <w:trHeight w:val="530"/>
              </w:trPr>
              <w:tc>
                <w:tcPr>
                  <w:tcW w:w="5255" w:type="dxa"/>
                  <w:shd w:val="clear" w:color="auto" w:fill="auto"/>
                </w:tcPr>
                <w:p w14:paraId="4E285FA0"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Has a separate Indigenous Peoples Plan/Planning Framework (as appropriate) been prepared in consultation with affected Indigenous Peoples?</w:t>
                  </w:r>
                </w:p>
              </w:tc>
              <w:tc>
                <w:tcPr>
                  <w:tcW w:w="630" w:type="dxa"/>
                  <w:shd w:val="clear" w:color="auto" w:fill="auto"/>
                  <w:vAlign w:val="center"/>
                </w:tcPr>
                <w:p w14:paraId="7DE95BC2"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7C720B1F"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3E21A8F6"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2C5BB338"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54F73A9E"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2B909FFC"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08FB199F" w14:textId="77777777" w:rsidTr="003301A4">
              <w:trPr>
                <w:trHeight w:val="530"/>
              </w:trPr>
              <w:tc>
                <w:tcPr>
                  <w:tcW w:w="5255" w:type="dxa"/>
                  <w:shd w:val="clear" w:color="auto" w:fill="auto"/>
                </w:tcPr>
                <w:p w14:paraId="15C320EE"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If yes, then did the Regional unit responsible for safeguards or Practice Manager review the plan?</w:t>
                  </w:r>
                </w:p>
              </w:tc>
              <w:tc>
                <w:tcPr>
                  <w:tcW w:w="630" w:type="dxa"/>
                  <w:shd w:val="clear" w:color="auto" w:fill="auto"/>
                  <w:vAlign w:val="center"/>
                </w:tcPr>
                <w:p w14:paraId="79D3140A"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31B4ABB6"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7B2C2421"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6772FCF9"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415FC761"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1270B5CC"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0F0F0818" w14:textId="77777777" w:rsidTr="003301A4">
              <w:trPr>
                <w:trHeight w:val="530"/>
              </w:trPr>
              <w:tc>
                <w:tcPr>
                  <w:tcW w:w="5255" w:type="dxa"/>
                  <w:shd w:val="clear" w:color="auto" w:fill="auto"/>
                </w:tcPr>
                <w:p w14:paraId="24129951"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lastRenderedPageBreak/>
                    <w:t>If the whole project is designed to benefit IP, has the design been reviewed and approved by the Regional Social Development Unit or Practice Manager?</w:t>
                  </w:r>
                </w:p>
              </w:tc>
              <w:tc>
                <w:tcPr>
                  <w:tcW w:w="630" w:type="dxa"/>
                  <w:shd w:val="clear" w:color="auto" w:fill="auto"/>
                  <w:vAlign w:val="center"/>
                </w:tcPr>
                <w:p w14:paraId="789086DF"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5B932008"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3640B909"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6C0757D9"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70C207E8"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5EB634A8"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14:paraId="4EB64C3F" w14:textId="77777777" w:rsidR="00496270" w:rsidRPr="003301A4" w:rsidRDefault="00496270" w:rsidP="00817851">
            <w:pPr>
              <w:rPr>
                <w:rFonts w:ascii="Times New Roman" w:hAnsi="Times New Roman" w:cs="Times New Roman"/>
                <w:color w:val="auto"/>
              </w:rPr>
            </w:pPr>
          </w:p>
        </w:tc>
      </w:tr>
      <w:tr w:rsidR="00A83832" w:rsidRPr="003301A4" w14:paraId="703D35BF" w14:textId="77777777"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59053909"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lastRenderedPageBreak/>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14:paraId="510316F7" w14:textId="77777777" w:rsidTr="003301A4">
              <w:tc>
                <w:tcPr>
                  <w:tcW w:w="9247" w:type="dxa"/>
                  <w:gridSpan w:val="7"/>
                  <w:shd w:val="clear" w:color="auto" w:fill="auto"/>
                </w:tcPr>
                <w:p w14:paraId="3869E1AA" w14:textId="77777777" w:rsidR="00817851" w:rsidRPr="003301A4" w:rsidRDefault="00817851" w:rsidP="00E67D1B">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The World Bank Policy on Disclosure of Information</w:t>
                  </w:r>
                </w:p>
              </w:tc>
            </w:tr>
            <w:tr w:rsidR="003301A4" w:rsidRPr="003301A4" w14:paraId="6ACF1F46" w14:textId="77777777" w:rsidTr="003301A4">
              <w:trPr>
                <w:trHeight w:val="530"/>
              </w:trPr>
              <w:tc>
                <w:tcPr>
                  <w:tcW w:w="5255" w:type="dxa"/>
                  <w:shd w:val="clear" w:color="auto" w:fill="auto"/>
                </w:tcPr>
                <w:p w14:paraId="7E94E442"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 xml:space="preserve">Have relevant safeguard policies documents been sent to the World Bank's </w:t>
                  </w:r>
                  <w:proofErr w:type="spellStart"/>
                  <w:r w:rsidRPr="003301A4">
                    <w:rPr>
                      <w:rFonts w:ascii="Times New Roman" w:hAnsi="Times New Roman" w:cs="Times New Roman"/>
                      <w:color w:val="auto"/>
                      <w:sz w:val="26"/>
                      <w:szCs w:val="26"/>
                    </w:rPr>
                    <w:t>Infoshop</w:t>
                  </w:r>
                  <w:proofErr w:type="spellEnd"/>
                  <w:r w:rsidRPr="003301A4">
                    <w:rPr>
                      <w:rFonts w:ascii="Times New Roman" w:hAnsi="Times New Roman" w:cs="Times New Roman"/>
                      <w:color w:val="auto"/>
                      <w:sz w:val="26"/>
                      <w:szCs w:val="26"/>
                    </w:rPr>
                    <w:t>?</w:t>
                  </w:r>
                </w:p>
              </w:tc>
              <w:tc>
                <w:tcPr>
                  <w:tcW w:w="630" w:type="dxa"/>
                  <w:shd w:val="clear" w:color="auto" w:fill="auto"/>
                  <w:vAlign w:val="center"/>
                </w:tcPr>
                <w:p w14:paraId="3105B2B6"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42A5B7F9"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6A8FACB6"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24E1B97B"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029564BA"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3845DA29"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36833F97" w14:textId="77777777" w:rsidTr="003301A4">
              <w:trPr>
                <w:trHeight w:val="530"/>
              </w:trPr>
              <w:tc>
                <w:tcPr>
                  <w:tcW w:w="5255" w:type="dxa"/>
                  <w:shd w:val="clear" w:color="auto" w:fill="auto"/>
                </w:tcPr>
                <w:p w14:paraId="26EFC31B"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relevant documents been disclosed in-country in a public place in a form and language that are understandable and accessible to project-affected groups and local NGOs?</w:t>
                  </w:r>
                </w:p>
              </w:tc>
              <w:tc>
                <w:tcPr>
                  <w:tcW w:w="630" w:type="dxa"/>
                  <w:shd w:val="clear" w:color="auto" w:fill="auto"/>
                  <w:vAlign w:val="center"/>
                </w:tcPr>
                <w:p w14:paraId="571CB441"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033C0C77"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31B6E575"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508D8422"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6012F9E5"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5309B576"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14:paraId="642B67E2" w14:textId="77777777" w:rsidR="00496270" w:rsidRPr="003301A4" w:rsidRDefault="00496270" w:rsidP="00817851">
            <w:pPr>
              <w:rPr>
                <w:rFonts w:ascii="Times New Roman" w:hAnsi="Times New Roman" w:cs="Times New Roman"/>
                <w:color w:val="auto"/>
              </w:rPr>
            </w:pPr>
          </w:p>
        </w:tc>
      </w:tr>
      <w:tr w:rsidR="00A83832" w:rsidRPr="003301A4" w14:paraId="32D1F460" w14:textId="77777777"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7743C8C2" w14:textId="77777777" w:rsidR="00EE0C87" w:rsidRPr="003301A4" w:rsidRDefault="00A16030" w:rsidP="00817851">
            <w:pPr>
              <w:rPr>
                <w:rFonts w:ascii="Times New Roman" w:hAnsi="Times New Roman" w:cs="Times New Roman"/>
                <w:color w:val="FFFFFF"/>
                <w:sz w:val="4"/>
                <w:szCs w:val="4"/>
              </w:rPr>
            </w:pPr>
            <w:proofErr w:type="spellStart"/>
            <w:r w:rsidRPr="003301A4">
              <w:rPr>
                <w:rFonts w:ascii="Times New Roman" w:hAnsi="Times New Roman" w:cs="Times New Roman"/>
                <w:color w:val="FFFFFF"/>
                <w:sz w:val="4"/>
                <w:szCs w:val="4"/>
              </w:rPr>
              <w:t>PHCompliance</w:t>
            </w:r>
            <w:proofErr w:type="spell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3301A4" w14:paraId="1F23B526" w14:textId="77777777" w:rsidTr="003301A4">
              <w:tc>
                <w:tcPr>
                  <w:tcW w:w="9247" w:type="dxa"/>
                  <w:gridSpan w:val="7"/>
                  <w:shd w:val="clear" w:color="auto" w:fill="auto"/>
                </w:tcPr>
                <w:p w14:paraId="7E79BBB9" w14:textId="77777777" w:rsidR="00817851" w:rsidRPr="003301A4" w:rsidRDefault="00817851" w:rsidP="00E67D1B">
                  <w:pPr>
                    <w:rPr>
                      <w:rFonts w:ascii="Times New Roman" w:hAnsi="Times New Roman" w:cs="Times New Roman"/>
                      <w:color w:val="auto"/>
                      <w:sz w:val="18"/>
                      <w:szCs w:val="18"/>
                    </w:rPr>
                  </w:pPr>
                  <w:r w:rsidRPr="003301A4">
                    <w:rPr>
                      <w:rFonts w:ascii="Times New Roman" w:hAnsi="Times New Roman" w:cs="Times New Roman"/>
                      <w:b/>
                      <w:bCs/>
                      <w:color w:val="auto"/>
                      <w:sz w:val="22"/>
                      <w:szCs w:val="22"/>
                    </w:rPr>
                    <w:t>All Safeguard Policies</w:t>
                  </w:r>
                </w:p>
              </w:tc>
            </w:tr>
            <w:tr w:rsidR="003301A4" w:rsidRPr="003301A4" w14:paraId="55D18D03" w14:textId="77777777" w:rsidTr="003301A4">
              <w:trPr>
                <w:trHeight w:val="530"/>
              </w:trPr>
              <w:tc>
                <w:tcPr>
                  <w:tcW w:w="5255" w:type="dxa"/>
                  <w:shd w:val="clear" w:color="auto" w:fill="auto"/>
                </w:tcPr>
                <w:p w14:paraId="37E93FE8"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satisfactory calendar, budget and clear institutional responsibilities been prepared for the implementation of measures related to safeguard policies?</w:t>
                  </w:r>
                </w:p>
              </w:tc>
              <w:tc>
                <w:tcPr>
                  <w:tcW w:w="630" w:type="dxa"/>
                  <w:shd w:val="clear" w:color="auto" w:fill="auto"/>
                  <w:vAlign w:val="center"/>
                </w:tcPr>
                <w:p w14:paraId="0A457D9A"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26F03A04"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68EE605A"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1BF33FAE"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5DDEA7AA"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41D2FA1A"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261E90DC" w14:textId="77777777" w:rsidTr="003301A4">
              <w:trPr>
                <w:trHeight w:val="530"/>
              </w:trPr>
              <w:tc>
                <w:tcPr>
                  <w:tcW w:w="5255" w:type="dxa"/>
                  <w:shd w:val="clear" w:color="auto" w:fill="auto"/>
                </w:tcPr>
                <w:p w14:paraId="631B9690"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costs related to safeguard policy measures been included in the project cost?</w:t>
                  </w:r>
                </w:p>
              </w:tc>
              <w:tc>
                <w:tcPr>
                  <w:tcW w:w="630" w:type="dxa"/>
                  <w:shd w:val="clear" w:color="auto" w:fill="auto"/>
                  <w:vAlign w:val="center"/>
                </w:tcPr>
                <w:p w14:paraId="346BF06C"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2BF33E78"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2DB05644"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60EA2BEB"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12A3BF93"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2EF91EC7"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00381940" w14:textId="77777777" w:rsidTr="003301A4">
              <w:trPr>
                <w:trHeight w:val="530"/>
              </w:trPr>
              <w:tc>
                <w:tcPr>
                  <w:tcW w:w="5255" w:type="dxa"/>
                  <w:shd w:val="clear" w:color="auto" w:fill="auto"/>
                </w:tcPr>
                <w:p w14:paraId="7DA81638"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Does the Monitoring and Evaluation system of the project include the monitoring of safeguard impacts and measures related to safeguard policies?</w:t>
                  </w:r>
                </w:p>
              </w:tc>
              <w:tc>
                <w:tcPr>
                  <w:tcW w:w="630" w:type="dxa"/>
                  <w:shd w:val="clear" w:color="auto" w:fill="auto"/>
                  <w:vAlign w:val="center"/>
                </w:tcPr>
                <w:p w14:paraId="34695B6E"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48E552D1"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20A6FD2F"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414BC512"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12D42AF1"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70802C80"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r w:rsidR="003301A4" w:rsidRPr="003301A4" w14:paraId="7BA103B9" w14:textId="77777777" w:rsidTr="003301A4">
              <w:trPr>
                <w:trHeight w:val="530"/>
              </w:trPr>
              <w:tc>
                <w:tcPr>
                  <w:tcW w:w="5255" w:type="dxa"/>
                  <w:shd w:val="clear" w:color="auto" w:fill="auto"/>
                </w:tcPr>
                <w:p w14:paraId="032D4B59" w14:textId="77777777" w:rsidR="00817851" w:rsidRPr="003301A4" w:rsidRDefault="00817851" w:rsidP="00E67D1B">
                  <w:pPr>
                    <w:rPr>
                      <w:rFonts w:ascii="Times New Roman" w:hAnsi="Times New Roman" w:cs="Times New Roman"/>
                      <w:color w:val="auto"/>
                      <w:sz w:val="26"/>
                      <w:szCs w:val="26"/>
                    </w:rPr>
                  </w:pPr>
                  <w:r w:rsidRPr="003301A4">
                    <w:rPr>
                      <w:rFonts w:ascii="Times New Roman" w:hAnsi="Times New Roman" w:cs="Times New Roman"/>
                      <w:color w:val="auto"/>
                      <w:sz w:val="26"/>
                      <w:szCs w:val="26"/>
                    </w:rPr>
                    <w:t>Have satisfactory implementation arrangements been agreed with the borrower and the same been adequately reflected in the project legal documents?</w:t>
                  </w:r>
                </w:p>
              </w:tc>
              <w:tc>
                <w:tcPr>
                  <w:tcW w:w="630" w:type="dxa"/>
                  <w:shd w:val="clear" w:color="auto" w:fill="auto"/>
                  <w:vAlign w:val="center"/>
                </w:tcPr>
                <w:p w14:paraId="7BB0576B"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Yes</w:t>
                  </w:r>
                </w:p>
              </w:tc>
              <w:tc>
                <w:tcPr>
                  <w:tcW w:w="720" w:type="dxa"/>
                  <w:shd w:val="clear" w:color="auto" w:fill="auto"/>
                  <w:vAlign w:val="center"/>
                </w:tcPr>
                <w:p w14:paraId="37169407"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r w:rsidR="00DE0FEC" w:rsidRPr="003301A4">
                    <w:rPr>
                      <w:rFonts w:ascii="Times New Roman" w:hAnsi="Times New Roman" w:cs="Times New Roman"/>
                      <w:color w:val="auto"/>
                      <w:sz w:val="18"/>
                      <w:szCs w:val="18"/>
                    </w:rPr>
                    <w:t>X</w:t>
                  </w:r>
                  <w:r w:rsidRPr="003301A4">
                    <w:rPr>
                      <w:rFonts w:ascii="Times New Roman" w:hAnsi="Times New Roman" w:cs="Times New Roman"/>
                      <w:color w:val="auto"/>
                      <w:sz w:val="18"/>
                      <w:szCs w:val="18"/>
                    </w:rPr>
                    <w:t>]</w:t>
                  </w:r>
                </w:p>
              </w:tc>
              <w:tc>
                <w:tcPr>
                  <w:tcW w:w="540" w:type="dxa"/>
                  <w:shd w:val="clear" w:color="auto" w:fill="auto"/>
                  <w:vAlign w:val="center"/>
                </w:tcPr>
                <w:p w14:paraId="7839A762"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22"/>
                      <w:szCs w:val="22"/>
                    </w:rPr>
                    <w:t>No</w:t>
                  </w:r>
                </w:p>
              </w:tc>
              <w:tc>
                <w:tcPr>
                  <w:tcW w:w="720" w:type="dxa"/>
                  <w:shd w:val="clear" w:color="auto" w:fill="auto"/>
                  <w:vAlign w:val="center"/>
                </w:tcPr>
                <w:p w14:paraId="56D74872" w14:textId="77777777" w:rsidR="00817851" w:rsidRPr="003301A4" w:rsidRDefault="00817851" w:rsidP="003301A4">
                  <w:pPr>
                    <w:jc w:val="center"/>
                    <w:rPr>
                      <w:rFonts w:ascii="Times New Roman" w:hAnsi="Times New Roman" w:cs="Times New Roman"/>
                      <w:color w:val="auto"/>
                      <w:sz w:val="18"/>
                      <w:szCs w:val="18"/>
                    </w:rPr>
                  </w:pPr>
                  <w:r w:rsidRPr="003301A4">
                    <w:rPr>
                      <w:rFonts w:ascii="Times New Roman" w:hAnsi="Times New Roman" w:cs="Times New Roman"/>
                      <w:color w:val="auto"/>
                      <w:sz w:val="18"/>
                      <w:szCs w:val="18"/>
                    </w:rPr>
                    <w:t>[]</w:t>
                  </w:r>
                </w:p>
              </w:tc>
              <w:tc>
                <w:tcPr>
                  <w:tcW w:w="815" w:type="dxa"/>
                  <w:shd w:val="clear" w:color="auto" w:fill="auto"/>
                  <w:vAlign w:val="center"/>
                </w:tcPr>
                <w:p w14:paraId="1C032258" w14:textId="77777777" w:rsidR="00817851" w:rsidRPr="003301A4" w:rsidRDefault="00EB6532" w:rsidP="005F2312">
                  <w:pPr>
                    <w:rPr>
                      <w:rFonts w:ascii="Times New Roman" w:hAnsi="Times New Roman" w:cs="Times New Roman"/>
                      <w:color w:val="auto"/>
                      <w:sz w:val="20"/>
                      <w:szCs w:val="20"/>
                    </w:rPr>
                  </w:pPr>
                  <w:r w:rsidRPr="003301A4">
                    <w:rPr>
                      <w:rFonts w:ascii="Times New Roman" w:hAnsi="Times New Roman" w:cs="Times New Roman"/>
                      <w:color w:val="auto"/>
                      <w:sz w:val="22"/>
                      <w:szCs w:val="22"/>
                    </w:rPr>
                    <w:t>NA</w:t>
                  </w:r>
                </w:p>
              </w:tc>
              <w:tc>
                <w:tcPr>
                  <w:tcW w:w="567" w:type="dxa"/>
                  <w:shd w:val="clear" w:color="auto" w:fill="auto"/>
                  <w:vAlign w:val="center"/>
                </w:tcPr>
                <w:p w14:paraId="3F495725" w14:textId="77777777" w:rsidR="00817851" w:rsidRPr="003301A4" w:rsidRDefault="00817851" w:rsidP="003301A4">
                  <w:pPr>
                    <w:jc w:val="center"/>
                    <w:rPr>
                      <w:rFonts w:ascii="Times New Roman" w:hAnsi="Times New Roman" w:cs="Times New Roman"/>
                      <w:color w:val="auto"/>
                      <w:sz w:val="26"/>
                      <w:szCs w:val="26"/>
                    </w:rPr>
                  </w:pPr>
                  <w:r w:rsidRPr="003301A4">
                    <w:rPr>
                      <w:rFonts w:ascii="Times New Roman" w:hAnsi="Times New Roman" w:cs="Times New Roman"/>
                      <w:color w:val="auto"/>
                      <w:sz w:val="18"/>
                      <w:szCs w:val="18"/>
                    </w:rPr>
                    <w:t>[]</w:t>
                  </w:r>
                </w:p>
              </w:tc>
            </w:tr>
          </w:tbl>
          <w:p w14:paraId="6B18D5E0" w14:textId="77777777" w:rsidR="00496270" w:rsidRPr="003301A4" w:rsidRDefault="00496270" w:rsidP="00817851">
            <w:pPr>
              <w:rPr>
                <w:rFonts w:ascii="Times New Roman" w:hAnsi="Times New Roman" w:cs="Times New Roman"/>
                <w:color w:val="auto"/>
              </w:rPr>
            </w:pPr>
          </w:p>
        </w:tc>
      </w:tr>
      <w:tr w:rsidR="00C92BD9" w:rsidRPr="003301A4" w14:paraId="7734873F" w14:textId="77777777" w:rsidTr="009B79CB">
        <w:tc>
          <w:tcPr>
            <w:tcW w:w="9362" w:type="dxa"/>
            <w:gridSpan w:val="13"/>
            <w:tcBorders>
              <w:top w:val="single" w:sz="4" w:space="0" w:color="auto"/>
              <w:left w:val="nil"/>
              <w:bottom w:val="nil"/>
              <w:right w:val="nil"/>
            </w:tcBorders>
            <w:tcMar>
              <w:top w:w="50" w:type="dxa"/>
              <w:left w:w="50" w:type="dxa"/>
              <w:bottom w:w="50" w:type="dxa"/>
              <w:right w:w="50" w:type="dxa"/>
            </w:tcMar>
            <w:vAlign w:val="center"/>
          </w:tcPr>
          <w:p w14:paraId="3B98E669" w14:textId="77777777" w:rsidR="00074951" w:rsidRPr="003301A4" w:rsidRDefault="00074951" w:rsidP="00BF557E">
            <w:pPr>
              <w:rPr>
                <w:rFonts w:ascii="Times New Roman" w:hAnsi="Times New Roman" w:cs="Times New Roman"/>
                <w:b/>
                <w:bCs/>
                <w:color w:val="auto"/>
              </w:rPr>
            </w:pPr>
          </w:p>
          <w:p w14:paraId="73CC1452" w14:textId="77777777" w:rsidR="00C92BD9" w:rsidRPr="003301A4" w:rsidRDefault="00C92BD9" w:rsidP="00BF557E">
            <w:pPr>
              <w:rPr>
                <w:rFonts w:ascii="Times New Roman" w:hAnsi="Times New Roman" w:cs="Times New Roman"/>
                <w:b/>
                <w:bCs/>
                <w:color w:val="auto"/>
              </w:rPr>
            </w:pPr>
            <w:r w:rsidRPr="003301A4">
              <w:rPr>
                <w:rFonts w:ascii="Times New Roman" w:hAnsi="Times New Roman" w:cs="Times New Roman"/>
                <w:b/>
                <w:bCs/>
                <w:color w:val="auto"/>
              </w:rPr>
              <w:t>V. Contact point</w:t>
            </w:r>
          </w:p>
        </w:tc>
      </w:tr>
      <w:tr w:rsidR="0013797A" w:rsidRPr="003301A4" w14:paraId="5CB03517"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353566A9" w14:textId="77777777" w:rsidR="0013797A" w:rsidRPr="003301A4" w:rsidRDefault="0013797A" w:rsidP="00BF557E">
            <w:pPr>
              <w:rPr>
                <w:rFonts w:ascii="Times New Roman" w:hAnsi="Times New Roman" w:cs="Times New Roman"/>
                <w:i/>
                <w:color w:val="auto"/>
              </w:rPr>
            </w:pPr>
            <w:r w:rsidRPr="003301A4">
              <w:rPr>
                <w:rFonts w:ascii="Times New Roman" w:hAnsi="Times New Roman" w:cs="Times New Roman"/>
                <w:b/>
                <w:bCs/>
                <w:color w:val="auto"/>
              </w:rPr>
              <w:t>World Bank</w:t>
            </w:r>
          </w:p>
        </w:tc>
      </w:tr>
      <w:tr w:rsidR="00C92BD9" w:rsidRPr="003301A4" w14:paraId="415B4CA5" w14:textId="77777777" w:rsidTr="009B79CB">
        <w:tblPrEx>
          <w:tblCellMar>
            <w:left w:w="0" w:type="dxa"/>
            <w:right w:w="0" w:type="dxa"/>
          </w:tblCellMar>
        </w:tblPrEx>
        <w:tc>
          <w:tcPr>
            <w:tcW w:w="184" w:type="dxa"/>
            <w:tcBorders>
              <w:top w:val="nil"/>
              <w:left w:val="nil"/>
              <w:bottom w:val="nil"/>
              <w:right w:val="nil"/>
            </w:tcBorders>
            <w:vAlign w:val="center"/>
          </w:tcPr>
          <w:p w14:paraId="6EF18912"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43246FF3" w14:textId="77777777" w:rsidR="00114A7D" w:rsidRPr="003301A4" w:rsidRDefault="00114A7D"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tblW w:w="0" w:type="auto"/>
              <w:tblLayout w:type="fixed"/>
              <w:tblLook w:val="04A0" w:firstRow="1" w:lastRow="0" w:firstColumn="1" w:lastColumn="0" w:noHBand="0" w:noVBand="1"/>
            </w:tblPr>
            <w:tblGrid>
              <w:gridCol w:w="9162"/>
            </w:tblGrid>
            <w:tr w:rsidR="00114A7D" w:rsidRPr="003301A4" w14:paraId="3A07B24C" w14:textId="77777777" w:rsidTr="003301A4">
              <w:tc>
                <w:tcPr>
                  <w:tcW w:w="9162" w:type="dxa"/>
                  <w:shd w:val="clear" w:color="auto" w:fill="auto"/>
                </w:tcPr>
                <w:p w14:paraId="67E79338" w14:textId="77777777" w:rsidR="00114A7D" w:rsidRPr="003301A4" w:rsidRDefault="00114A7D" w:rsidP="0021439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Contact:</w:t>
                  </w:r>
                  <w:r w:rsidR="00BF541D" w:rsidRPr="003301A4">
                    <w:rPr>
                      <w:rFonts w:ascii="Times New Roman" w:hAnsi="Times New Roman" w:cs="Times New Roman"/>
                      <w:color w:val="auto"/>
                      <w:sz w:val="22"/>
                      <w:szCs w:val="22"/>
                    </w:rPr>
                    <w:t>Hnin</w:t>
                  </w:r>
                  <w:proofErr w:type="spellEnd"/>
                  <w:r w:rsidR="00BF541D" w:rsidRPr="003301A4">
                    <w:rPr>
                      <w:rFonts w:ascii="Times New Roman" w:hAnsi="Times New Roman" w:cs="Times New Roman"/>
                      <w:color w:val="auto"/>
                      <w:sz w:val="22"/>
                      <w:szCs w:val="22"/>
                    </w:rPr>
                    <w:t xml:space="preserve"> Hnin Pyne</w:t>
                  </w:r>
                </w:p>
              </w:tc>
            </w:tr>
            <w:tr w:rsidR="00114A7D" w:rsidRPr="003301A4" w14:paraId="15FC54A5" w14:textId="77777777" w:rsidTr="003301A4">
              <w:tc>
                <w:tcPr>
                  <w:tcW w:w="9162" w:type="dxa"/>
                  <w:shd w:val="clear" w:color="auto" w:fill="auto"/>
                </w:tcPr>
                <w:p w14:paraId="544FD71D" w14:textId="77777777" w:rsidR="00114A7D" w:rsidRPr="003301A4" w:rsidRDefault="00114A7D" w:rsidP="00C424DD">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Title:</w:t>
                  </w:r>
                  <w:r w:rsidR="009E2F51" w:rsidRPr="003301A4">
                    <w:rPr>
                      <w:rFonts w:ascii="Times New Roman" w:hAnsi="Times New Roman" w:cs="Times New Roman"/>
                      <w:color w:val="auto"/>
                      <w:sz w:val="22"/>
                      <w:szCs w:val="22"/>
                    </w:rPr>
                    <w:t>Program</w:t>
                  </w:r>
                  <w:proofErr w:type="spellEnd"/>
                  <w:r w:rsidR="009E2F51" w:rsidRPr="003301A4">
                    <w:rPr>
                      <w:rFonts w:ascii="Times New Roman" w:hAnsi="Times New Roman" w:cs="Times New Roman"/>
                      <w:color w:val="auto"/>
                      <w:sz w:val="22"/>
                      <w:szCs w:val="22"/>
                    </w:rPr>
                    <w:t xml:space="preserve"> Coordinator</w:t>
                  </w:r>
                </w:p>
              </w:tc>
            </w:tr>
          </w:tbl>
          <w:p w14:paraId="0C480101" w14:textId="77777777" w:rsidR="00114A7D" w:rsidRPr="003301A4" w:rsidRDefault="00114A7D" w:rsidP="00BF557E">
            <w:pPr>
              <w:rPr>
                <w:rFonts w:ascii="Times New Roman" w:hAnsi="Times New Roman" w:cs="Times New Roman"/>
                <w:color w:val="auto"/>
              </w:rPr>
            </w:pPr>
          </w:p>
        </w:tc>
      </w:tr>
      <w:tr w:rsidR="00C92BD9" w:rsidRPr="003301A4" w14:paraId="50A6B82D" w14:textId="77777777" w:rsidTr="009B79CB">
        <w:tblPrEx>
          <w:tblCellMar>
            <w:left w:w="0" w:type="dxa"/>
            <w:right w:w="0" w:type="dxa"/>
          </w:tblCellMar>
        </w:tblPrEx>
        <w:tc>
          <w:tcPr>
            <w:tcW w:w="184" w:type="dxa"/>
            <w:tcBorders>
              <w:top w:val="nil"/>
              <w:left w:val="nil"/>
              <w:bottom w:val="nil"/>
              <w:right w:val="nil"/>
            </w:tcBorders>
            <w:vAlign w:val="center"/>
          </w:tcPr>
          <w:p w14:paraId="66982224"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7562B4DD" w14:textId="77777777" w:rsidR="00114A7D" w:rsidRPr="003301A4" w:rsidRDefault="00114A7D" w:rsidP="00BF557E">
            <w:pPr>
              <w:rPr>
                <w:rFonts w:ascii="Times New Roman" w:hAnsi="Times New Roman" w:cs="Times New Roman"/>
                <w:color w:val="FFFFFF"/>
                <w:sz w:val="16"/>
                <w:szCs w:val="16"/>
              </w:rPr>
            </w:pPr>
            <w:r w:rsidRPr="003301A4">
              <w:rPr>
                <w:rFonts w:ascii="Times New Roman" w:hAnsi="Times New Roman" w:cs="Times New Roman"/>
                <w:color w:val="FFFFFF"/>
                <w:sz w:val="16"/>
                <w:szCs w:val="16"/>
              </w:rPr>
              <w:t>PHWB</w:t>
            </w:r>
          </w:p>
          <w:tbl>
            <w:tblPr>
              <w:tblW w:w="0" w:type="auto"/>
              <w:tblLayout w:type="fixed"/>
              <w:tblLook w:val="04A0" w:firstRow="1" w:lastRow="0" w:firstColumn="1" w:lastColumn="0" w:noHBand="0" w:noVBand="1"/>
            </w:tblPr>
            <w:tblGrid>
              <w:gridCol w:w="9162"/>
            </w:tblGrid>
            <w:tr w:rsidR="00114A7D" w:rsidRPr="003301A4" w14:paraId="261165AE" w14:textId="77777777" w:rsidTr="003301A4">
              <w:tc>
                <w:tcPr>
                  <w:tcW w:w="9162" w:type="dxa"/>
                  <w:shd w:val="clear" w:color="auto" w:fill="auto"/>
                </w:tcPr>
                <w:p w14:paraId="66C170CD" w14:textId="77777777" w:rsidR="00114A7D" w:rsidRPr="003301A4" w:rsidRDefault="00114A7D" w:rsidP="0021439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Contact:</w:t>
                  </w:r>
                  <w:r w:rsidR="00BF541D" w:rsidRPr="003301A4">
                    <w:rPr>
                      <w:rFonts w:ascii="Times New Roman" w:hAnsi="Times New Roman" w:cs="Times New Roman"/>
                      <w:color w:val="auto"/>
                      <w:sz w:val="22"/>
                      <w:szCs w:val="22"/>
                    </w:rPr>
                    <w:t>Nang</w:t>
                  </w:r>
                  <w:proofErr w:type="spellEnd"/>
                  <w:r w:rsidR="00BF541D" w:rsidRPr="003301A4">
                    <w:rPr>
                      <w:rFonts w:ascii="Times New Roman" w:hAnsi="Times New Roman" w:cs="Times New Roman"/>
                      <w:color w:val="auto"/>
                      <w:sz w:val="22"/>
                      <w:szCs w:val="22"/>
                    </w:rPr>
                    <w:t xml:space="preserve"> Mo Kham</w:t>
                  </w:r>
                </w:p>
              </w:tc>
            </w:tr>
            <w:tr w:rsidR="00114A7D" w:rsidRPr="003301A4" w14:paraId="52D9EA14" w14:textId="77777777" w:rsidTr="003301A4">
              <w:tc>
                <w:tcPr>
                  <w:tcW w:w="9162" w:type="dxa"/>
                  <w:shd w:val="clear" w:color="auto" w:fill="auto"/>
                </w:tcPr>
                <w:p w14:paraId="04768BB2" w14:textId="77777777" w:rsidR="00114A7D" w:rsidRPr="003301A4" w:rsidRDefault="00114A7D" w:rsidP="00C424DD">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Title:</w:t>
                  </w:r>
                  <w:r w:rsidR="009E2F51" w:rsidRPr="003301A4">
                    <w:rPr>
                      <w:rFonts w:ascii="Times New Roman" w:hAnsi="Times New Roman" w:cs="Times New Roman"/>
                      <w:color w:val="auto"/>
                      <w:sz w:val="22"/>
                      <w:szCs w:val="22"/>
                    </w:rPr>
                    <w:t>Senior</w:t>
                  </w:r>
                  <w:proofErr w:type="spellEnd"/>
                  <w:r w:rsidR="009E2F51" w:rsidRPr="003301A4">
                    <w:rPr>
                      <w:rFonts w:ascii="Times New Roman" w:hAnsi="Times New Roman" w:cs="Times New Roman"/>
                      <w:color w:val="auto"/>
                      <w:sz w:val="22"/>
                      <w:szCs w:val="22"/>
                    </w:rPr>
                    <w:t xml:space="preserve"> Health Specialist</w:t>
                  </w:r>
                </w:p>
              </w:tc>
            </w:tr>
          </w:tbl>
          <w:p w14:paraId="0CF5E6DF" w14:textId="77777777" w:rsidR="00114A7D" w:rsidRPr="003301A4" w:rsidRDefault="00114A7D" w:rsidP="00BF557E">
            <w:pPr>
              <w:rPr>
                <w:rFonts w:ascii="Times New Roman" w:hAnsi="Times New Roman" w:cs="Times New Roman"/>
                <w:color w:val="auto"/>
              </w:rPr>
            </w:pPr>
          </w:p>
        </w:tc>
      </w:tr>
      <w:tr w:rsidR="00C92BD9" w:rsidRPr="003301A4" w14:paraId="0B35CAF7"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26F474E9"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17F0A951"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29B821AD"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14:paraId="67E446A9" w14:textId="77777777" w:rsidTr="009B79CB">
        <w:tblPrEx>
          <w:tblCellMar>
            <w:left w:w="0" w:type="dxa"/>
            <w:right w:w="0" w:type="dxa"/>
          </w:tblCellMar>
        </w:tblPrEx>
        <w:tc>
          <w:tcPr>
            <w:tcW w:w="184" w:type="dxa"/>
            <w:tcBorders>
              <w:top w:val="nil"/>
              <w:left w:val="nil"/>
              <w:bottom w:val="nil"/>
              <w:right w:val="nil"/>
            </w:tcBorders>
            <w:vAlign w:val="center"/>
          </w:tcPr>
          <w:p w14:paraId="069C3623" w14:textId="77777777" w:rsidR="0013797A" w:rsidRPr="003301A4" w:rsidRDefault="0013797A"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31D5888D" w14:textId="77777777" w:rsidR="0013797A" w:rsidRPr="003301A4"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Borrower/Client/Recipient</w:t>
            </w:r>
          </w:p>
        </w:tc>
      </w:tr>
      <w:tr w:rsidR="00C92BD9" w:rsidRPr="003301A4" w14:paraId="49F7DD5C" w14:textId="77777777" w:rsidTr="009B79CB">
        <w:tblPrEx>
          <w:tblCellMar>
            <w:left w:w="0" w:type="dxa"/>
            <w:right w:w="0" w:type="dxa"/>
          </w:tblCellMar>
        </w:tblPrEx>
        <w:tc>
          <w:tcPr>
            <w:tcW w:w="184" w:type="dxa"/>
            <w:tcBorders>
              <w:top w:val="nil"/>
              <w:left w:val="nil"/>
              <w:bottom w:val="nil"/>
              <w:right w:val="nil"/>
            </w:tcBorders>
            <w:vAlign w:val="center"/>
          </w:tcPr>
          <w:p w14:paraId="3B77BF80"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7BFA5FDF" w14:textId="77777777" w:rsidR="00114A7D" w:rsidRPr="003301A4" w:rsidRDefault="00114A7D" w:rsidP="00BF557E">
            <w:pPr>
              <w:rPr>
                <w:rFonts w:ascii="Times New Roman" w:hAnsi="Times New Roman" w:cs="Times New Roman"/>
                <w:bCs/>
                <w:color w:val="FFFFFF"/>
                <w:sz w:val="16"/>
                <w:szCs w:val="16"/>
              </w:rPr>
            </w:pPr>
            <w:proofErr w:type="spellStart"/>
            <w:r w:rsidRPr="003301A4">
              <w:rPr>
                <w:rFonts w:ascii="Times New Roman" w:hAnsi="Times New Roman" w:cs="Times New Roman"/>
                <w:bCs/>
                <w:color w:val="FFFFFF"/>
                <w:sz w:val="16"/>
                <w:szCs w:val="16"/>
              </w:rPr>
              <w:t>PHBorr</w:t>
            </w:r>
            <w:proofErr w:type="spellEnd"/>
          </w:p>
          <w:tbl>
            <w:tblPr>
              <w:tblW w:w="0" w:type="auto"/>
              <w:tblLayout w:type="fixed"/>
              <w:tblLook w:val="04A0" w:firstRow="1" w:lastRow="0" w:firstColumn="1" w:lastColumn="0" w:noHBand="0" w:noVBand="1"/>
            </w:tblPr>
            <w:tblGrid>
              <w:gridCol w:w="9162"/>
            </w:tblGrid>
            <w:tr w:rsidR="00114A7D" w:rsidRPr="003301A4" w14:paraId="6F85C5FC" w14:textId="77777777" w:rsidTr="003301A4">
              <w:tc>
                <w:tcPr>
                  <w:tcW w:w="9162" w:type="dxa"/>
                  <w:shd w:val="clear" w:color="auto" w:fill="auto"/>
                </w:tcPr>
                <w:p w14:paraId="4F3CEE10"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Name:</w:t>
                  </w:r>
                  <w:r w:rsidR="00EE7645" w:rsidRPr="003301A4">
                    <w:rPr>
                      <w:rFonts w:ascii="Times New Roman" w:hAnsi="Times New Roman" w:cs="Times New Roman"/>
                      <w:color w:val="auto"/>
                      <w:sz w:val="22"/>
                      <w:szCs w:val="22"/>
                    </w:rPr>
                    <w:t>Republic</w:t>
                  </w:r>
                  <w:proofErr w:type="spellEnd"/>
                  <w:r w:rsidR="00EE7645" w:rsidRPr="003301A4">
                    <w:rPr>
                      <w:rFonts w:ascii="Times New Roman" w:hAnsi="Times New Roman" w:cs="Times New Roman"/>
                      <w:color w:val="auto"/>
                      <w:sz w:val="22"/>
                      <w:szCs w:val="22"/>
                    </w:rPr>
                    <w:t xml:space="preserve"> of the Union of Myanmar</w:t>
                  </w:r>
                </w:p>
              </w:tc>
            </w:tr>
            <w:tr w:rsidR="00114A7D" w:rsidRPr="003301A4" w14:paraId="4F7BA429" w14:textId="77777777" w:rsidTr="003301A4">
              <w:tc>
                <w:tcPr>
                  <w:tcW w:w="9162" w:type="dxa"/>
                  <w:shd w:val="clear" w:color="auto" w:fill="auto"/>
                </w:tcPr>
                <w:p w14:paraId="7A093D25" w14:textId="77777777" w:rsidR="00114A7D" w:rsidRPr="003301A4" w:rsidRDefault="00114A7D" w:rsidP="00114A7D">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Contact:</w:t>
                  </w:r>
                  <w:r w:rsidR="00EE7645" w:rsidRPr="003301A4">
                    <w:rPr>
                      <w:rFonts w:ascii="Times New Roman" w:hAnsi="Times New Roman" w:cs="Times New Roman"/>
                      <w:color w:val="auto"/>
                      <w:sz w:val="22"/>
                      <w:szCs w:val="22"/>
                    </w:rPr>
                    <w:t>Si</w:t>
                  </w:r>
                  <w:proofErr w:type="spellEnd"/>
                  <w:r w:rsidR="00EE7645" w:rsidRPr="003301A4">
                    <w:rPr>
                      <w:rFonts w:ascii="Times New Roman" w:hAnsi="Times New Roman" w:cs="Times New Roman"/>
                      <w:color w:val="auto"/>
                      <w:sz w:val="22"/>
                      <w:szCs w:val="22"/>
                    </w:rPr>
                    <w:t xml:space="preserve"> Si Pyone</w:t>
                  </w:r>
                </w:p>
              </w:tc>
            </w:tr>
            <w:tr w:rsidR="00114A7D" w:rsidRPr="003301A4" w14:paraId="4DEE1359" w14:textId="77777777" w:rsidTr="003301A4">
              <w:tc>
                <w:tcPr>
                  <w:tcW w:w="9162" w:type="dxa"/>
                  <w:shd w:val="clear" w:color="auto" w:fill="auto"/>
                </w:tcPr>
                <w:p w14:paraId="55558C24"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Title:</w:t>
                  </w:r>
                  <w:r w:rsidR="00EE7645" w:rsidRPr="003301A4">
                    <w:rPr>
                      <w:rFonts w:ascii="Times New Roman" w:hAnsi="Times New Roman" w:cs="Times New Roman"/>
                      <w:color w:val="auto"/>
                      <w:sz w:val="22"/>
                      <w:szCs w:val="22"/>
                    </w:rPr>
                    <w:t>Deputy</w:t>
                  </w:r>
                  <w:proofErr w:type="spellEnd"/>
                  <w:r w:rsidR="00EE7645" w:rsidRPr="003301A4">
                    <w:rPr>
                      <w:rFonts w:ascii="Times New Roman" w:hAnsi="Times New Roman" w:cs="Times New Roman"/>
                      <w:color w:val="auto"/>
                      <w:sz w:val="22"/>
                      <w:szCs w:val="22"/>
                    </w:rPr>
                    <w:t xml:space="preserve"> Director General, Ministry of Planning and Finance</w:t>
                  </w:r>
                </w:p>
              </w:tc>
            </w:tr>
            <w:tr w:rsidR="00114A7D" w:rsidRPr="003301A4" w14:paraId="7A34676D" w14:textId="77777777" w:rsidTr="003301A4">
              <w:tc>
                <w:tcPr>
                  <w:tcW w:w="9162" w:type="dxa"/>
                  <w:shd w:val="clear" w:color="auto" w:fill="auto"/>
                </w:tcPr>
                <w:p w14:paraId="4169281B" w14:textId="77777777" w:rsidR="00114A7D" w:rsidRPr="003301A4" w:rsidRDefault="00114A7D" w:rsidP="00BF557E">
                  <w:pPr>
                    <w:rPr>
                      <w:rFonts w:ascii="Times New Roman" w:hAnsi="Times New Roman" w:cs="Times New Roman"/>
                      <w:color w:val="auto"/>
                      <w:sz w:val="22"/>
                      <w:szCs w:val="22"/>
                    </w:rPr>
                  </w:pPr>
                  <w:r w:rsidRPr="003301A4">
                    <w:rPr>
                      <w:rFonts w:ascii="Times New Roman" w:hAnsi="Times New Roman" w:cs="Times New Roman"/>
                      <w:color w:val="auto"/>
                      <w:sz w:val="22"/>
                      <w:szCs w:val="22"/>
                    </w:rPr>
                    <w:t>Email:</w:t>
                  </w:r>
                  <w:r w:rsidR="00EE7645" w:rsidRPr="003301A4">
                    <w:rPr>
                      <w:rFonts w:ascii="Times New Roman" w:hAnsi="Times New Roman" w:cs="Times New Roman"/>
                      <w:color w:val="auto"/>
                      <w:sz w:val="22"/>
                      <w:szCs w:val="22"/>
                    </w:rPr>
                    <w:t>sisipyone@gmail.com</w:t>
                  </w:r>
                </w:p>
              </w:tc>
            </w:tr>
          </w:tbl>
          <w:p w14:paraId="4770B5B6" w14:textId="77777777" w:rsidR="00114A7D" w:rsidRPr="003301A4" w:rsidRDefault="00114A7D" w:rsidP="00BF557E">
            <w:pPr>
              <w:rPr>
                <w:rFonts w:ascii="Times New Roman" w:hAnsi="Times New Roman" w:cs="Times New Roman"/>
                <w:color w:val="auto"/>
              </w:rPr>
            </w:pPr>
          </w:p>
        </w:tc>
      </w:tr>
      <w:tr w:rsidR="00C92BD9" w:rsidRPr="003301A4" w14:paraId="5D20337C"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44F3EEE2"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122D2802"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3763FEA7"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533408C2"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6964984F"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13797A" w:rsidRPr="003301A4" w14:paraId="2FC94D7C" w14:textId="77777777" w:rsidTr="009B79CB">
        <w:tblPrEx>
          <w:tblCellMar>
            <w:left w:w="0" w:type="dxa"/>
            <w:right w:w="0" w:type="dxa"/>
          </w:tblCellMar>
        </w:tblPrEx>
        <w:tc>
          <w:tcPr>
            <w:tcW w:w="184" w:type="dxa"/>
            <w:tcBorders>
              <w:top w:val="nil"/>
              <w:left w:val="nil"/>
              <w:bottom w:val="nil"/>
              <w:right w:val="nil"/>
            </w:tcBorders>
            <w:vAlign w:val="center"/>
          </w:tcPr>
          <w:p w14:paraId="0E40D033" w14:textId="77777777" w:rsidR="0013797A" w:rsidRPr="003301A4" w:rsidRDefault="0013797A"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677FE035" w14:textId="77777777" w:rsidR="0013797A" w:rsidRPr="003301A4" w:rsidRDefault="0013797A" w:rsidP="00BF557E">
            <w:pPr>
              <w:rPr>
                <w:rFonts w:ascii="Times New Roman" w:hAnsi="Times New Roman" w:cs="Times New Roman"/>
                <w:b/>
                <w:bCs/>
                <w:color w:val="auto"/>
              </w:rPr>
            </w:pPr>
            <w:r w:rsidRPr="003301A4">
              <w:rPr>
                <w:rFonts w:ascii="Times New Roman" w:hAnsi="Times New Roman" w:cs="Times New Roman"/>
                <w:b/>
                <w:bCs/>
                <w:color w:val="auto"/>
              </w:rPr>
              <w:t>Implementing Agencies</w:t>
            </w:r>
          </w:p>
        </w:tc>
      </w:tr>
      <w:tr w:rsidR="00C92BD9" w:rsidRPr="003301A4" w14:paraId="65763D8A" w14:textId="77777777" w:rsidTr="009B79CB">
        <w:tblPrEx>
          <w:tblCellMar>
            <w:left w:w="0" w:type="dxa"/>
            <w:right w:w="0" w:type="dxa"/>
          </w:tblCellMar>
        </w:tblPrEx>
        <w:tc>
          <w:tcPr>
            <w:tcW w:w="184" w:type="dxa"/>
            <w:tcBorders>
              <w:top w:val="nil"/>
              <w:left w:val="nil"/>
              <w:bottom w:val="nil"/>
              <w:right w:val="nil"/>
            </w:tcBorders>
            <w:vAlign w:val="center"/>
          </w:tcPr>
          <w:p w14:paraId="58AE6E07" w14:textId="77777777" w:rsidR="00C92BD9" w:rsidRPr="003301A4" w:rsidRDefault="00C92BD9" w:rsidP="00BF557E">
            <w:pPr>
              <w:rPr>
                <w:rFonts w:ascii="Times New Roman" w:hAnsi="Times New Roman" w:cs="Times New Roman"/>
                <w:color w:val="auto"/>
              </w:rPr>
            </w:pPr>
          </w:p>
        </w:tc>
        <w:tc>
          <w:tcPr>
            <w:tcW w:w="9178" w:type="dxa"/>
            <w:gridSpan w:val="12"/>
            <w:tcBorders>
              <w:top w:val="nil"/>
              <w:left w:val="nil"/>
              <w:bottom w:val="nil"/>
              <w:right w:val="nil"/>
            </w:tcBorders>
            <w:vAlign w:val="center"/>
          </w:tcPr>
          <w:p w14:paraId="36BFF688" w14:textId="77777777" w:rsidR="00114A7D" w:rsidRPr="003301A4" w:rsidRDefault="00114A7D" w:rsidP="00BF557E">
            <w:pPr>
              <w:rPr>
                <w:rFonts w:ascii="Times New Roman" w:hAnsi="Times New Roman" w:cs="Times New Roman"/>
                <w:bCs/>
                <w:color w:val="FFFFFF"/>
                <w:sz w:val="16"/>
                <w:szCs w:val="16"/>
              </w:rPr>
            </w:pPr>
            <w:r w:rsidRPr="003301A4">
              <w:rPr>
                <w:rFonts w:ascii="Times New Roman" w:hAnsi="Times New Roman" w:cs="Times New Roman"/>
                <w:bCs/>
                <w:color w:val="FFFFFF"/>
                <w:sz w:val="16"/>
                <w:szCs w:val="16"/>
              </w:rPr>
              <w:t>PHIMP</w:t>
            </w:r>
          </w:p>
          <w:tbl>
            <w:tblPr>
              <w:tblW w:w="0" w:type="auto"/>
              <w:tblLayout w:type="fixed"/>
              <w:tblLook w:val="04A0" w:firstRow="1" w:lastRow="0" w:firstColumn="1" w:lastColumn="0" w:noHBand="0" w:noVBand="1"/>
            </w:tblPr>
            <w:tblGrid>
              <w:gridCol w:w="9162"/>
            </w:tblGrid>
            <w:tr w:rsidR="00114A7D" w:rsidRPr="003301A4" w14:paraId="25494BAA" w14:textId="77777777" w:rsidTr="003301A4">
              <w:tc>
                <w:tcPr>
                  <w:tcW w:w="9162" w:type="dxa"/>
                  <w:shd w:val="clear" w:color="auto" w:fill="auto"/>
                </w:tcPr>
                <w:p w14:paraId="7D61A023"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Name:</w:t>
                  </w:r>
                  <w:r w:rsidR="00EE7645" w:rsidRPr="003301A4">
                    <w:rPr>
                      <w:rFonts w:ascii="Times New Roman" w:hAnsi="Times New Roman" w:cs="Times New Roman"/>
                      <w:color w:val="auto"/>
                      <w:sz w:val="22"/>
                      <w:szCs w:val="22"/>
                    </w:rPr>
                    <w:t>Ministry</w:t>
                  </w:r>
                  <w:proofErr w:type="spellEnd"/>
                  <w:r w:rsidR="00EE7645" w:rsidRPr="003301A4">
                    <w:rPr>
                      <w:rFonts w:ascii="Times New Roman" w:hAnsi="Times New Roman" w:cs="Times New Roman"/>
                      <w:color w:val="auto"/>
                      <w:sz w:val="22"/>
                      <w:szCs w:val="22"/>
                    </w:rPr>
                    <w:t xml:space="preserve"> of Health and Sports</w:t>
                  </w:r>
                </w:p>
              </w:tc>
            </w:tr>
            <w:tr w:rsidR="00114A7D" w:rsidRPr="003301A4" w14:paraId="7B2E0439" w14:textId="77777777" w:rsidTr="003301A4">
              <w:tc>
                <w:tcPr>
                  <w:tcW w:w="9162" w:type="dxa"/>
                  <w:shd w:val="clear" w:color="auto" w:fill="auto"/>
                </w:tcPr>
                <w:p w14:paraId="07E8706F"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Contact:</w:t>
                  </w:r>
                  <w:r w:rsidR="00EE7645" w:rsidRPr="003301A4">
                    <w:rPr>
                      <w:rFonts w:ascii="Times New Roman" w:hAnsi="Times New Roman" w:cs="Times New Roman"/>
                      <w:color w:val="auto"/>
                      <w:sz w:val="22"/>
                      <w:szCs w:val="22"/>
                    </w:rPr>
                    <w:t>Dr</w:t>
                  </w:r>
                  <w:proofErr w:type="spellEnd"/>
                  <w:r w:rsidR="00EE7645" w:rsidRPr="003301A4">
                    <w:rPr>
                      <w:rFonts w:ascii="Times New Roman" w:hAnsi="Times New Roman" w:cs="Times New Roman"/>
                      <w:color w:val="auto"/>
                      <w:sz w:val="22"/>
                      <w:szCs w:val="22"/>
                    </w:rPr>
                    <w:t xml:space="preserve"> Tha Tun Kyaw</w:t>
                  </w:r>
                </w:p>
              </w:tc>
            </w:tr>
            <w:tr w:rsidR="00114A7D" w:rsidRPr="003301A4" w14:paraId="506BC434" w14:textId="77777777" w:rsidTr="003301A4">
              <w:tc>
                <w:tcPr>
                  <w:tcW w:w="9162" w:type="dxa"/>
                  <w:shd w:val="clear" w:color="auto" w:fill="auto"/>
                </w:tcPr>
                <w:p w14:paraId="2F64FDDD"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Title:</w:t>
                  </w:r>
                  <w:r w:rsidR="00EE7645" w:rsidRPr="003301A4">
                    <w:rPr>
                      <w:rFonts w:ascii="Times New Roman" w:hAnsi="Times New Roman" w:cs="Times New Roman"/>
                      <w:color w:val="auto"/>
                      <w:sz w:val="22"/>
                      <w:szCs w:val="22"/>
                    </w:rPr>
                    <w:t>Permanent</w:t>
                  </w:r>
                  <w:proofErr w:type="spellEnd"/>
                  <w:r w:rsidR="00EE7645" w:rsidRPr="003301A4">
                    <w:rPr>
                      <w:rFonts w:ascii="Times New Roman" w:hAnsi="Times New Roman" w:cs="Times New Roman"/>
                      <w:color w:val="auto"/>
                      <w:sz w:val="22"/>
                      <w:szCs w:val="22"/>
                    </w:rPr>
                    <w:t xml:space="preserve"> Secretary</w:t>
                  </w:r>
                </w:p>
              </w:tc>
            </w:tr>
            <w:tr w:rsidR="00114A7D" w:rsidRPr="003301A4" w14:paraId="70714533" w14:textId="77777777" w:rsidTr="003301A4">
              <w:tc>
                <w:tcPr>
                  <w:tcW w:w="9162" w:type="dxa"/>
                  <w:shd w:val="clear" w:color="auto" w:fill="auto"/>
                </w:tcPr>
                <w:p w14:paraId="5152CC37" w14:textId="77777777" w:rsidR="00114A7D" w:rsidRPr="003301A4" w:rsidRDefault="00114A7D" w:rsidP="00BF557E">
                  <w:pPr>
                    <w:rPr>
                      <w:rFonts w:ascii="Times New Roman" w:hAnsi="Times New Roman" w:cs="Times New Roman"/>
                      <w:color w:val="auto"/>
                      <w:sz w:val="22"/>
                      <w:szCs w:val="22"/>
                    </w:rPr>
                  </w:pPr>
                  <w:proofErr w:type="spellStart"/>
                  <w:r w:rsidRPr="003301A4">
                    <w:rPr>
                      <w:rFonts w:ascii="Times New Roman" w:hAnsi="Times New Roman" w:cs="Times New Roman"/>
                      <w:color w:val="auto"/>
                      <w:sz w:val="22"/>
                      <w:szCs w:val="22"/>
                    </w:rPr>
                    <w:t>Email:</w:t>
                  </w:r>
                  <w:r w:rsidR="00EE7645" w:rsidRPr="003301A4">
                    <w:rPr>
                      <w:rFonts w:ascii="Times New Roman" w:hAnsi="Times New Roman" w:cs="Times New Roman"/>
                      <w:color w:val="auto"/>
                      <w:sz w:val="22"/>
                      <w:szCs w:val="22"/>
                    </w:rPr>
                    <w:t>N</w:t>
                  </w:r>
                  <w:proofErr w:type="spellEnd"/>
                  <w:r w:rsidR="00EE7645" w:rsidRPr="003301A4">
                    <w:rPr>
                      <w:rFonts w:ascii="Times New Roman" w:hAnsi="Times New Roman" w:cs="Times New Roman"/>
                      <w:color w:val="auto"/>
                      <w:sz w:val="22"/>
                      <w:szCs w:val="22"/>
                    </w:rPr>
                    <w:t>/A</w:t>
                  </w:r>
                </w:p>
              </w:tc>
            </w:tr>
          </w:tbl>
          <w:p w14:paraId="4478B2F5" w14:textId="77777777" w:rsidR="00114A7D" w:rsidRPr="003301A4" w:rsidRDefault="00114A7D" w:rsidP="00BF557E">
            <w:pPr>
              <w:rPr>
                <w:rFonts w:ascii="Times New Roman" w:hAnsi="Times New Roman" w:cs="Times New Roman"/>
                <w:color w:val="auto"/>
              </w:rPr>
            </w:pPr>
          </w:p>
        </w:tc>
      </w:tr>
      <w:tr w:rsidR="00C92BD9" w:rsidRPr="003301A4" w14:paraId="6A291C87"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0423BD7D" w14:textId="77777777" w:rsidR="00C92BD9" w:rsidRPr="003301A4" w:rsidRDefault="00C92BD9" w:rsidP="00BF557E">
            <w:pPr>
              <w:rPr>
                <w:rFonts w:ascii="Times New Roman" w:hAnsi="Times New Roman" w:cs="Times New Roman"/>
                <w:color w:val="auto"/>
                <w:sz w:val="6"/>
                <w:szCs w:val="6"/>
              </w:rPr>
            </w:pPr>
            <w:r w:rsidRPr="003301A4">
              <w:rPr>
                <w:rFonts w:ascii="Times New Roman" w:hAnsi="Times New Roman" w:cs="Times New Roman"/>
                <w:color w:val="auto"/>
                <w:sz w:val="6"/>
                <w:szCs w:val="6"/>
              </w:rPr>
              <w:t>.</w:t>
            </w:r>
          </w:p>
        </w:tc>
      </w:tr>
      <w:tr w:rsidR="00C92BD9" w:rsidRPr="003301A4" w14:paraId="7D258A52"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4638691E" w14:textId="77777777" w:rsidR="00C92BD9" w:rsidRPr="003301A4" w:rsidRDefault="00C92BD9" w:rsidP="00BF557E">
            <w:pPr>
              <w:rPr>
                <w:rFonts w:ascii="Times New Roman" w:hAnsi="Times New Roman" w:cs="Times New Roman"/>
                <w:color w:val="auto"/>
                <w:sz w:val="4"/>
                <w:szCs w:val="4"/>
              </w:rPr>
            </w:pPr>
            <w:r w:rsidRPr="003301A4">
              <w:rPr>
                <w:rFonts w:ascii="Times New Roman" w:hAnsi="Times New Roman" w:cs="Times New Roman"/>
                <w:color w:val="auto"/>
                <w:sz w:val="4"/>
                <w:szCs w:val="4"/>
              </w:rPr>
              <w:t>.</w:t>
            </w:r>
          </w:p>
        </w:tc>
      </w:tr>
      <w:tr w:rsidR="00C92BD9" w:rsidRPr="003301A4" w14:paraId="25514D0D"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2438779B" w14:textId="77777777" w:rsidR="00C92BD9" w:rsidRPr="003301A4" w:rsidRDefault="00C92BD9" w:rsidP="00BF557E">
            <w:pPr>
              <w:rPr>
                <w:rFonts w:ascii="Times New Roman" w:hAnsi="Times New Roman" w:cs="Times New Roman"/>
                <w:color w:val="auto"/>
                <w:sz w:val="8"/>
                <w:szCs w:val="8"/>
              </w:rPr>
            </w:pPr>
            <w:r w:rsidRPr="003301A4">
              <w:rPr>
                <w:rFonts w:ascii="Times New Roman" w:hAnsi="Times New Roman" w:cs="Times New Roman"/>
                <w:color w:val="auto"/>
                <w:sz w:val="8"/>
                <w:szCs w:val="8"/>
              </w:rPr>
              <w:t>.</w:t>
            </w:r>
          </w:p>
        </w:tc>
      </w:tr>
      <w:tr w:rsidR="00C92BD9" w:rsidRPr="003301A4" w14:paraId="65C12AC5"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3B05BA19"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b/>
                <w:bCs/>
                <w:color w:val="auto"/>
              </w:rPr>
              <w:t>VI. For more information contact:</w:t>
            </w:r>
          </w:p>
        </w:tc>
      </w:tr>
      <w:tr w:rsidR="00C92BD9" w:rsidRPr="003301A4" w14:paraId="1CB6A864" w14:textId="77777777" w:rsidTr="009B79CB">
        <w:tblPrEx>
          <w:tblCellMar>
            <w:left w:w="0" w:type="dxa"/>
            <w:right w:w="0" w:type="dxa"/>
          </w:tblCellMar>
        </w:tblPrEx>
        <w:tc>
          <w:tcPr>
            <w:tcW w:w="9362" w:type="dxa"/>
            <w:gridSpan w:val="13"/>
            <w:tcBorders>
              <w:top w:val="nil"/>
              <w:left w:val="nil"/>
              <w:bottom w:val="nil"/>
              <w:right w:val="nil"/>
            </w:tcBorders>
            <w:vAlign w:val="center"/>
          </w:tcPr>
          <w:p w14:paraId="3E92B1AA" w14:textId="77777777" w:rsidR="00C92BD9" w:rsidRPr="003301A4" w:rsidRDefault="00C92BD9" w:rsidP="00BF557E">
            <w:pPr>
              <w:rPr>
                <w:rFonts w:ascii="Times New Roman" w:hAnsi="Times New Roman" w:cs="Times New Roman"/>
                <w:color w:val="auto"/>
                <w:sz w:val="10"/>
                <w:szCs w:val="10"/>
              </w:rPr>
            </w:pPr>
            <w:r w:rsidRPr="003301A4">
              <w:rPr>
                <w:rFonts w:ascii="Times New Roman" w:hAnsi="Times New Roman" w:cs="Times New Roman"/>
                <w:color w:val="auto"/>
                <w:sz w:val="10"/>
                <w:szCs w:val="10"/>
              </w:rPr>
              <w:t>.</w:t>
            </w:r>
          </w:p>
        </w:tc>
      </w:tr>
      <w:tr w:rsidR="00C92BD9" w:rsidRPr="003301A4" w14:paraId="74517BAC" w14:textId="77777777" w:rsidTr="009B79CB">
        <w:tblPrEx>
          <w:tblCellMar>
            <w:left w:w="0" w:type="dxa"/>
            <w:right w:w="0" w:type="dxa"/>
          </w:tblCellMar>
        </w:tblPrEx>
        <w:tc>
          <w:tcPr>
            <w:tcW w:w="274" w:type="dxa"/>
            <w:gridSpan w:val="2"/>
            <w:tcBorders>
              <w:top w:val="nil"/>
              <w:left w:val="nil"/>
              <w:bottom w:val="nil"/>
              <w:right w:val="nil"/>
            </w:tcBorders>
            <w:vAlign w:val="center"/>
          </w:tcPr>
          <w:p w14:paraId="2666D1CE" w14:textId="77777777" w:rsidR="00C92BD9" w:rsidRPr="003301A4" w:rsidRDefault="00C92BD9" w:rsidP="00BF557E">
            <w:pPr>
              <w:rPr>
                <w:rFonts w:ascii="Times New Roman" w:hAnsi="Times New Roman" w:cs="Times New Roman"/>
                <w:color w:val="auto"/>
              </w:rPr>
            </w:pPr>
          </w:p>
        </w:tc>
        <w:tc>
          <w:tcPr>
            <w:tcW w:w="9088" w:type="dxa"/>
            <w:gridSpan w:val="11"/>
            <w:tcBorders>
              <w:top w:val="nil"/>
              <w:left w:val="nil"/>
              <w:bottom w:val="nil"/>
              <w:right w:val="nil"/>
            </w:tcBorders>
            <w:vAlign w:val="center"/>
          </w:tcPr>
          <w:p w14:paraId="518B9EA2"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The World Bank</w:t>
            </w:r>
          </w:p>
        </w:tc>
      </w:tr>
      <w:tr w:rsidR="00C92BD9" w:rsidRPr="003301A4" w14:paraId="3812F732" w14:textId="77777777" w:rsidTr="009B79CB">
        <w:tblPrEx>
          <w:tblCellMar>
            <w:left w:w="0" w:type="dxa"/>
            <w:right w:w="0" w:type="dxa"/>
          </w:tblCellMar>
        </w:tblPrEx>
        <w:tc>
          <w:tcPr>
            <w:tcW w:w="274" w:type="dxa"/>
            <w:gridSpan w:val="2"/>
            <w:tcBorders>
              <w:top w:val="nil"/>
              <w:left w:val="nil"/>
              <w:bottom w:val="nil"/>
              <w:right w:val="nil"/>
            </w:tcBorders>
            <w:vAlign w:val="center"/>
          </w:tcPr>
          <w:p w14:paraId="750278FB" w14:textId="77777777" w:rsidR="00C92BD9" w:rsidRPr="003301A4" w:rsidRDefault="00C92BD9" w:rsidP="00BF557E">
            <w:pPr>
              <w:rPr>
                <w:rFonts w:ascii="Times New Roman" w:hAnsi="Times New Roman" w:cs="Times New Roman"/>
                <w:color w:val="auto"/>
              </w:rPr>
            </w:pPr>
          </w:p>
        </w:tc>
        <w:tc>
          <w:tcPr>
            <w:tcW w:w="9088" w:type="dxa"/>
            <w:gridSpan w:val="11"/>
            <w:tcBorders>
              <w:top w:val="nil"/>
              <w:left w:val="nil"/>
              <w:bottom w:val="nil"/>
              <w:right w:val="nil"/>
            </w:tcBorders>
            <w:vAlign w:val="center"/>
          </w:tcPr>
          <w:p w14:paraId="7AE82CFE"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1818 H Street, NW</w:t>
            </w:r>
          </w:p>
        </w:tc>
      </w:tr>
      <w:tr w:rsidR="00C92BD9" w:rsidRPr="003301A4" w14:paraId="16773A4A" w14:textId="77777777" w:rsidTr="009B79CB">
        <w:tblPrEx>
          <w:tblCellMar>
            <w:left w:w="0" w:type="dxa"/>
            <w:right w:w="0" w:type="dxa"/>
          </w:tblCellMar>
        </w:tblPrEx>
        <w:tc>
          <w:tcPr>
            <w:tcW w:w="274" w:type="dxa"/>
            <w:gridSpan w:val="2"/>
            <w:tcBorders>
              <w:top w:val="nil"/>
              <w:left w:val="nil"/>
              <w:bottom w:val="nil"/>
              <w:right w:val="nil"/>
            </w:tcBorders>
            <w:vAlign w:val="center"/>
          </w:tcPr>
          <w:p w14:paraId="4AA21ACC" w14:textId="77777777" w:rsidR="00C92BD9" w:rsidRPr="003301A4" w:rsidRDefault="00C92BD9" w:rsidP="00BF557E">
            <w:pPr>
              <w:rPr>
                <w:rFonts w:ascii="Times New Roman" w:hAnsi="Times New Roman" w:cs="Times New Roman"/>
                <w:color w:val="auto"/>
              </w:rPr>
            </w:pPr>
          </w:p>
        </w:tc>
        <w:tc>
          <w:tcPr>
            <w:tcW w:w="9088" w:type="dxa"/>
            <w:gridSpan w:val="11"/>
            <w:tcBorders>
              <w:top w:val="nil"/>
              <w:left w:val="nil"/>
              <w:bottom w:val="nil"/>
              <w:right w:val="nil"/>
            </w:tcBorders>
            <w:vAlign w:val="center"/>
          </w:tcPr>
          <w:p w14:paraId="47EAD196"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Washington, D.C. 20433</w:t>
            </w:r>
          </w:p>
        </w:tc>
      </w:tr>
      <w:tr w:rsidR="00C92BD9" w:rsidRPr="003301A4" w14:paraId="10957747" w14:textId="77777777" w:rsidTr="009B79CB">
        <w:tblPrEx>
          <w:tblCellMar>
            <w:left w:w="0" w:type="dxa"/>
            <w:right w:w="0" w:type="dxa"/>
          </w:tblCellMar>
        </w:tblPrEx>
        <w:tc>
          <w:tcPr>
            <w:tcW w:w="274" w:type="dxa"/>
            <w:gridSpan w:val="2"/>
            <w:tcBorders>
              <w:top w:val="nil"/>
              <w:left w:val="nil"/>
              <w:bottom w:val="nil"/>
              <w:right w:val="nil"/>
            </w:tcBorders>
            <w:vAlign w:val="center"/>
          </w:tcPr>
          <w:p w14:paraId="7703F7B4" w14:textId="77777777" w:rsidR="00C92BD9" w:rsidRPr="003301A4" w:rsidRDefault="00C92BD9" w:rsidP="00BF557E">
            <w:pPr>
              <w:rPr>
                <w:rFonts w:ascii="Times New Roman" w:hAnsi="Times New Roman" w:cs="Times New Roman"/>
                <w:color w:val="auto"/>
              </w:rPr>
            </w:pPr>
          </w:p>
        </w:tc>
        <w:tc>
          <w:tcPr>
            <w:tcW w:w="9088" w:type="dxa"/>
            <w:gridSpan w:val="11"/>
            <w:tcBorders>
              <w:top w:val="nil"/>
              <w:left w:val="nil"/>
              <w:bottom w:val="nil"/>
              <w:right w:val="nil"/>
            </w:tcBorders>
            <w:vAlign w:val="center"/>
          </w:tcPr>
          <w:p w14:paraId="6E42B7E3"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Telephone: (202) 473-1000</w:t>
            </w:r>
          </w:p>
        </w:tc>
      </w:tr>
      <w:tr w:rsidR="00C92BD9" w:rsidRPr="003301A4" w14:paraId="2FAAA51F" w14:textId="77777777" w:rsidTr="009B79CB">
        <w:tblPrEx>
          <w:tblCellMar>
            <w:left w:w="0" w:type="dxa"/>
            <w:right w:w="0" w:type="dxa"/>
          </w:tblCellMar>
        </w:tblPrEx>
        <w:tc>
          <w:tcPr>
            <w:tcW w:w="274" w:type="dxa"/>
            <w:gridSpan w:val="2"/>
            <w:tcBorders>
              <w:top w:val="nil"/>
              <w:left w:val="nil"/>
              <w:bottom w:val="nil"/>
              <w:right w:val="nil"/>
            </w:tcBorders>
            <w:vAlign w:val="center"/>
          </w:tcPr>
          <w:p w14:paraId="510DA35A" w14:textId="77777777" w:rsidR="00C92BD9" w:rsidRPr="003301A4" w:rsidRDefault="00C92BD9" w:rsidP="00BF557E">
            <w:pPr>
              <w:rPr>
                <w:rFonts w:ascii="Times New Roman" w:hAnsi="Times New Roman" w:cs="Times New Roman"/>
                <w:color w:val="auto"/>
              </w:rPr>
            </w:pPr>
          </w:p>
        </w:tc>
        <w:tc>
          <w:tcPr>
            <w:tcW w:w="9088" w:type="dxa"/>
            <w:gridSpan w:val="11"/>
            <w:tcBorders>
              <w:top w:val="nil"/>
              <w:left w:val="nil"/>
              <w:bottom w:val="nil"/>
              <w:right w:val="nil"/>
            </w:tcBorders>
            <w:vAlign w:val="center"/>
          </w:tcPr>
          <w:p w14:paraId="13409541"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Web: http://www.worldbank.org/projects</w:t>
            </w:r>
          </w:p>
        </w:tc>
      </w:tr>
      <w:tr w:rsidR="00C92BD9" w:rsidRPr="003301A4" w14:paraId="0CA24C2A" w14:textId="77777777" w:rsidTr="009B79CB">
        <w:tc>
          <w:tcPr>
            <w:tcW w:w="9362" w:type="dxa"/>
            <w:gridSpan w:val="13"/>
            <w:tcBorders>
              <w:top w:val="nil"/>
              <w:left w:val="nil"/>
              <w:bottom w:val="nil"/>
              <w:right w:val="nil"/>
            </w:tcBorders>
            <w:tcMar>
              <w:top w:w="50" w:type="dxa"/>
              <w:left w:w="50" w:type="dxa"/>
              <w:bottom w:w="50" w:type="dxa"/>
              <w:right w:w="50" w:type="dxa"/>
            </w:tcMar>
            <w:vAlign w:val="center"/>
          </w:tcPr>
          <w:p w14:paraId="408D6D2E" w14:textId="77777777" w:rsidR="00C92BD9" w:rsidRPr="003301A4" w:rsidRDefault="00C92BD9" w:rsidP="00CE4DA2">
            <w:pPr>
              <w:rPr>
                <w:rFonts w:ascii="Times New Roman" w:hAnsi="Times New Roman" w:cs="Times New Roman"/>
                <w:color w:val="auto"/>
              </w:rPr>
            </w:pPr>
            <w:r w:rsidRPr="003301A4">
              <w:rPr>
                <w:rFonts w:ascii="Times New Roman" w:hAnsi="Times New Roman" w:cs="Times New Roman"/>
                <w:b/>
                <w:bCs/>
                <w:color w:val="auto"/>
              </w:rPr>
              <w:t>VII. Approval</w:t>
            </w:r>
          </w:p>
        </w:tc>
      </w:tr>
      <w:tr w:rsidR="00C92BD9" w:rsidRPr="003301A4" w14:paraId="42B7A3B9" w14:textId="77777777" w:rsidTr="00C00508">
        <w:tc>
          <w:tcPr>
            <w:tcW w:w="184" w:type="dxa"/>
            <w:tcBorders>
              <w:top w:val="nil"/>
              <w:left w:val="nil"/>
              <w:bottom w:val="nil"/>
              <w:right w:val="nil"/>
            </w:tcBorders>
            <w:tcMar>
              <w:top w:w="50" w:type="dxa"/>
              <w:left w:w="50" w:type="dxa"/>
              <w:bottom w:w="50" w:type="dxa"/>
              <w:right w:w="50" w:type="dxa"/>
            </w:tcMar>
            <w:vAlign w:val="center"/>
          </w:tcPr>
          <w:p w14:paraId="4950A18D" w14:textId="77777777" w:rsidR="00C92BD9" w:rsidRPr="003301A4" w:rsidRDefault="00C92BD9" w:rsidP="00BF557E">
            <w:pPr>
              <w:rPr>
                <w:rFonts w:ascii="Times New Roman" w:hAnsi="Times New Roman" w:cs="Times New Roman"/>
                <w:color w:val="auto"/>
              </w:rPr>
            </w:pPr>
          </w:p>
        </w:tc>
        <w:tc>
          <w:tcPr>
            <w:tcW w:w="2802"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5528433"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color w:val="auto"/>
                <w:sz w:val="22"/>
                <w:szCs w:val="22"/>
              </w:rPr>
              <w:t>Task Team Leader(s):</w:t>
            </w:r>
          </w:p>
        </w:tc>
        <w:tc>
          <w:tcPr>
            <w:tcW w:w="6376"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14:paraId="39A67A89" w14:textId="77777777" w:rsidR="00C92BD9" w:rsidRPr="003301A4" w:rsidRDefault="00C92BD9" w:rsidP="00BF557E">
            <w:pPr>
              <w:rPr>
                <w:rFonts w:ascii="Times New Roman" w:hAnsi="Times New Roman" w:cs="Times New Roman"/>
                <w:color w:val="auto"/>
              </w:rPr>
            </w:pPr>
            <w:proofErr w:type="spellStart"/>
            <w:r w:rsidRPr="003301A4">
              <w:rPr>
                <w:rFonts w:ascii="Times New Roman" w:hAnsi="Times New Roman" w:cs="Times New Roman"/>
                <w:color w:val="auto"/>
                <w:sz w:val="22"/>
                <w:szCs w:val="22"/>
              </w:rPr>
              <w:t>Name:</w:t>
            </w:r>
            <w:r w:rsidR="00114A7D" w:rsidRPr="003301A4">
              <w:rPr>
                <w:rFonts w:ascii="Times New Roman" w:hAnsi="Times New Roman" w:cs="Times New Roman"/>
                <w:color w:val="auto"/>
                <w:sz w:val="22"/>
                <w:szCs w:val="22"/>
              </w:rPr>
              <w:t>Hnin</w:t>
            </w:r>
            <w:proofErr w:type="spellEnd"/>
            <w:r w:rsidR="00114A7D" w:rsidRPr="003301A4">
              <w:rPr>
                <w:rFonts w:ascii="Times New Roman" w:hAnsi="Times New Roman" w:cs="Times New Roman"/>
                <w:color w:val="auto"/>
                <w:sz w:val="22"/>
                <w:szCs w:val="22"/>
              </w:rPr>
              <w:t xml:space="preserve"> Hnin </w:t>
            </w:r>
            <w:proofErr w:type="spellStart"/>
            <w:r w:rsidR="00114A7D" w:rsidRPr="003301A4">
              <w:rPr>
                <w:rFonts w:ascii="Times New Roman" w:hAnsi="Times New Roman" w:cs="Times New Roman"/>
                <w:color w:val="auto"/>
                <w:sz w:val="22"/>
                <w:szCs w:val="22"/>
              </w:rPr>
              <w:t>Pyne,Nang</w:t>
            </w:r>
            <w:proofErr w:type="spellEnd"/>
            <w:r w:rsidR="00114A7D" w:rsidRPr="003301A4">
              <w:rPr>
                <w:rFonts w:ascii="Times New Roman" w:hAnsi="Times New Roman" w:cs="Times New Roman"/>
                <w:color w:val="auto"/>
                <w:sz w:val="22"/>
                <w:szCs w:val="22"/>
              </w:rPr>
              <w:t xml:space="preserve"> Mo Kham</w:t>
            </w:r>
          </w:p>
        </w:tc>
      </w:tr>
      <w:tr w:rsidR="00C92BD9" w:rsidRPr="003301A4" w14:paraId="467732A9" w14:textId="77777777" w:rsidTr="009B79CB">
        <w:tc>
          <w:tcPr>
            <w:tcW w:w="184" w:type="dxa"/>
            <w:tcBorders>
              <w:top w:val="nil"/>
              <w:left w:val="nil"/>
              <w:bottom w:val="nil"/>
              <w:right w:val="nil"/>
            </w:tcBorders>
            <w:tcMar>
              <w:top w:w="50" w:type="dxa"/>
              <w:left w:w="50" w:type="dxa"/>
              <w:bottom w:w="50" w:type="dxa"/>
              <w:right w:w="50" w:type="dxa"/>
            </w:tcMar>
            <w:vAlign w:val="center"/>
          </w:tcPr>
          <w:p w14:paraId="1A10D4C3" w14:textId="77777777" w:rsidR="00C92BD9" w:rsidRPr="003301A4" w:rsidRDefault="00C92BD9" w:rsidP="00BF557E">
            <w:pPr>
              <w:rPr>
                <w:rFonts w:ascii="Times New Roman" w:hAnsi="Times New Roman" w:cs="Times New Roman"/>
                <w:color w:val="auto"/>
              </w:rPr>
            </w:pPr>
          </w:p>
        </w:tc>
        <w:tc>
          <w:tcPr>
            <w:tcW w:w="9178" w:type="dxa"/>
            <w:gridSpan w:val="1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12BF0D8A" w14:textId="77777777" w:rsidR="00C92BD9" w:rsidRPr="003301A4" w:rsidRDefault="00C92BD9" w:rsidP="00BF557E">
            <w:pPr>
              <w:rPr>
                <w:rFonts w:ascii="Times New Roman" w:hAnsi="Times New Roman" w:cs="Times New Roman"/>
                <w:color w:val="auto"/>
              </w:rPr>
            </w:pPr>
            <w:r w:rsidRPr="003301A4">
              <w:rPr>
                <w:rFonts w:ascii="Times New Roman" w:hAnsi="Times New Roman" w:cs="Times New Roman"/>
                <w:i/>
                <w:iCs/>
                <w:color w:val="auto"/>
                <w:sz w:val="22"/>
                <w:szCs w:val="22"/>
              </w:rPr>
              <w:t>Approved By</w:t>
            </w:r>
            <w:r w:rsidR="0061410D" w:rsidRPr="003301A4">
              <w:rPr>
                <w:rFonts w:ascii="Times New Roman" w:hAnsi="Times New Roman" w:cs="Times New Roman"/>
                <w:i/>
                <w:iCs/>
                <w:color w:val="auto"/>
                <w:sz w:val="22"/>
                <w:szCs w:val="22"/>
              </w:rPr>
              <w:t>:</w:t>
            </w:r>
          </w:p>
        </w:tc>
      </w:tr>
      <w:tr w:rsidR="00C00508" w:rsidRPr="003301A4" w14:paraId="2473D982" w14:textId="77777777" w:rsidTr="00C00508">
        <w:trPr>
          <w:gridBefore w:val="1"/>
          <w:wBefore w:w="184" w:type="dxa"/>
        </w:trPr>
        <w:tc>
          <w:tcPr>
            <w:tcW w:w="2680" w:type="dxa"/>
            <w:gridSpan w:val="2"/>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65DF5AD4" w14:textId="77777777" w:rsidR="00C00508" w:rsidRPr="003301A4" w:rsidRDefault="00C00508" w:rsidP="00E67D1B">
            <w:pPr>
              <w:rPr>
                <w:rFonts w:ascii="Times New Roman" w:hAnsi="Times New Roman" w:cs="Times New Roman"/>
                <w:iCs/>
                <w:color w:val="FFFFFF"/>
                <w:sz w:val="2"/>
                <w:szCs w:val="2"/>
              </w:rPr>
            </w:pPr>
            <w:proofErr w:type="spellStart"/>
            <w:r w:rsidRPr="003301A4">
              <w:rPr>
                <w:rFonts w:ascii="Times New Roman" w:hAnsi="Times New Roman" w:cs="Times New Roman"/>
                <w:iCs/>
                <w:color w:val="FFFFFF"/>
                <w:sz w:val="2"/>
                <w:szCs w:val="2"/>
              </w:rPr>
              <w:t>PHNonTransf</w:t>
            </w:r>
            <w:proofErr w:type="spellEnd"/>
          </w:p>
        </w:tc>
        <w:tc>
          <w:tcPr>
            <w:tcW w:w="4109" w:type="dxa"/>
            <w:gridSpan w:val="6"/>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44AC6443" w14:textId="77777777" w:rsidR="00C00508" w:rsidRPr="003301A4" w:rsidRDefault="00C00508" w:rsidP="005C7438">
            <w:pPr>
              <w:rPr>
                <w:rFonts w:ascii="Times New Roman" w:hAnsi="Times New Roman" w:cs="Times New Roman"/>
                <w:color w:val="auto"/>
                <w:sz w:val="2"/>
                <w:szCs w:val="2"/>
              </w:rPr>
            </w:pPr>
          </w:p>
        </w:tc>
        <w:tc>
          <w:tcPr>
            <w:tcW w:w="2389" w:type="dxa"/>
            <w:gridSpan w:val="4"/>
            <w:tcBorders>
              <w:top w:val="single" w:sz="4" w:space="0" w:color="000000"/>
              <w:left w:val="single" w:sz="4" w:space="0" w:color="000000"/>
              <w:bottom w:val="nil"/>
              <w:right w:val="single" w:sz="4" w:space="0" w:color="000000"/>
            </w:tcBorders>
            <w:tcMar>
              <w:top w:w="50" w:type="dxa"/>
              <w:left w:w="50" w:type="dxa"/>
              <w:bottom w:w="50" w:type="dxa"/>
              <w:right w:w="50" w:type="dxa"/>
            </w:tcMar>
          </w:tcPr>
          <w:p w14:paraId="248F31BD" w14:textId="77777777" w:rsidR="00C00508" w:rsidRPr="003301A4" w:rsidRDefault="00C00508" w:rsidP="005C7438">
            <w:pPr>
              <w:rPr>
                <w:rFonts w:ascii="Times New Roman" w:hAnsi="Times New Roman" w:cs="Times New Roman"/>
                <w:color w:val="auto"/>
                <w:sz w:val="2"/>
                <w:szCs w:val="2"/>
              </w:rPr>
            </w:pPr>
          </w:p>
        </w:tc>
      </w:tr>
      <w:tr w:rsidR="00C00508" w:rsidRPr="003301A4" w14:paraId="6E1E45A2" w14:textId="77777777" w:rsidTr="00C00508">
        <w:trPr>
          <w:gridBefore w:val="1"/>
          <w:wBefore w:w="184" w:type="dxa"/>
        </w:trPr>
        <w:tc>
          <w:tcPr>
            <w:tcW w:w="2680"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0B6C0C66"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Safeguards Advisor:</w:t>
            </w:r>
          </w:p>
        </w:tc>
        <w:tc>
          <w:tcPr>
            <w:tcW w:w="4109" w:type="dxa"/>
            <w:gridSpan w:val="6"/>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4B24530F"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 xml:space="preserve">Name: </w:t>
            </w:r>
          </w:p>
        </w:tc>
        <w:tc>
          <w:tcPr>
            <w:tcW w:w="2389" w:type="dxa"/>
            <w:gridSpan w:val="4"/>
            <w:tcBorders>
              <w:top w:val="nil"/>
              <w:left w:val="single" w:sz="4" w:space="0" w:color="000000"/>
              <w:bottom w:val="single" w:sz="12" w:space="0" w:color="auto"/>
              <w:right w:val="single" w:sz="4" w:space="0" w:color="000000"/>
            </w:tcBorders>
            <w:tcMar>
              <w:top w:w="50" w:type="dxa"/>
              <w:left w:w="50" w:type="dxa"/>
              <w:bottom w:w="50" w:type="dxa"/>
              <w:right w:w="50" w:type="dxa"/>
            </w:tcMar>
          </w:tcPr>
          <w:p w14:paraId="4B935485"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 xml:space="preserve">Date: </w:t>
            </w:r>
          </w:p>
        </w:tc>
      </w:tr>
      <w:tr w:rsidR="00C00508" w:rsidRPr="003301A4" w14:paraId="3E51CC24" w14:textId="77777777" w:rsidTr="00C00508">
        <w:trPr>
          <w:gridBefore w:val="1"/>
          <w:wBefore w:w="184" w:type="dxa"/>
        </w:trPr>
        <w:tc>
          <w:tcPr>
            <w:tcW w:w="2680"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1A625775"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Practice Manager:</w:t>
            </w:r>
          </w:p>
        </w:tc>
        <w:tc>
          <w:tcPr>
            <w:tcW w:w="4109" w:type="dxa"/>
            <w:gridSpan w:val="6"/>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49C1E3DE"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 xml:space="preserve">Name: </w:t>
            </w:r>
          </w:p>
        </w:tc>
        <w:tc>
          <w:tcPr>
            <w:tcW w:w="2389" w:type="dxa"/>
            <w:gridSpan w:val="4"/>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14:paraId="2E4F969D"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 xml:space="preserve">Date: </w:t>
            </w:r>
          </w:p>
        </w:tc>
      </w:tr>
      <w:tr w:rsidR="00C00508" w:rsidRPr="003301A4" w14:paraId="44C51153" w14:textId="77777777" w:rsidTr="00C00508">
        <w:trPr>
          <w:gridBefore w:val="1"/>
          <w:wBefore w:w="184" w:type="dxa"/>
        </w:trPr>
        <w:tc>
          <w:tcPr>
            <w:tcW w:w="2680" w:type="dxa"/>
            <w:gridSpan w:val="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63116960" w14:textId="77777777" w:rsidR="00C00508" w:rsidRPr="003301A4" w:rsidRDefault="00C00508" w:rsidP="00E67D1B">
            <w:pPr>
              <w:rPr>
                <w:rFonts w:ascii="Times New Roman" w:hAnsi="Times New Roman" w:cs="Times New Roman"/>
                <w:color w:val="auto"/>
              </w:rPr>
            </w:pPr>
            <w:r w:rsidRPr="003301A4">
              <w:rPr>
                <w:rFonts w:ascii="Times New Roman" w:hAnsi="Times New Roman" w:cs="Times New Roman"/>
                <w:color w:val="auto"/>
                <w:sz w:val="22"/>
                <w:szCs w:val="22"/>
              </w:rPr>
              <w:t>Country Director:</w:t>
            </w:r>
          </w:p>
        </w:tc>
        <w:tc>
          <w:tcPr>
            <w:tcW w:w="4109" w:type="dxa"/>
            <w:gridSpan w:val="6"/>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2E048216" w14:textId="77777777" w:rsidR="00C00508" w:rsidRPr="003301A4" w:rsidRDefault="00C00508" w:rsidP="00CD5688">
            <w:pPr>
              <w:rPr>
                <w:rFonts w:ascii="Times New Roman" w:hAnsi="Times New Roman" w:cs="Times New Roman"/>
                <w:color w:val="auto"/>
              </w:rPr>
            </w:pPr>
            <w:r w:rsidRPr="003301A4">
              <w:rPr>
                <w:rFonts w:ascii="Times New Roman" w:hAnsi="Times New Roman" w:cs="Times New Roman"/>
                <w:color w:val="auto"/>
                <w:sz w:val="22"/>
                <w:szCs w:val="22"/>
              </w:rPr>
              <w:t>Name:</w:t>
            </w:r>
          </w:p>
        </w:tc>
        <w:tc>
          <w:tcPr>
            <w:tcW w:w="2389" w:type="dxa"/>
            <w:gridSpan w:val="4"/>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14:paraId="7DFF4348" w14:textId="77777777" w:rsidR="00C00508" w:rsidRPr="003301A4" w:rsidRDefault="00C00508" w:rsidP="00EA413A">
            <w:pPr>
              <w:rPr>
                <w:rFonts w:ascii="Times New Roman" w:hAnsi="Times New Roman" w:cs="Times New Roman"/>
                <w:color w:val="auto"/>
              </w:rPr>
            </w:pPr>
            <w:r w:rsidRPr="003301A4">
              <w:rPr>
                <w:rFonts w:ascii="Times New Roman" w:hAnsi="Times New Roman" w:cs="Times New Roman"/>
                <w:color w:val="auto"/>
                <w:sz w:val="22"/>
                <w:szCs w:val="22"/>
              </w:rPr>
              <w:t>Date:</w:t>
            </w:r>
          </w:p>
        </w:tc>
      </w:tr>
    </w:tbl>
    <w:p w14:paraId="573673D8" w14:textId="77777777" w:rsidR="00B409FA" w:rsidRDefault="00B409FA" w:rsidP="007F3A46">
      <w:pPr>
        <w:rPr>
          <w:rFonts w:ascii="Times New Roman" w:hAnsi="Times New Roman" w:cs="Times New Roman"/>
          <w:color w:val="auto"/>
        </w:rPr>
      </w:pPr>
    </w:p>
    <w:p w14:paraId="5F070560" w14:textId="77777777" w:rsidR="00B409FA" w:rsidRPr="00345CF4" w:rsidRDefault="00B409FA" w:rsidP="007F3A46">
      <w:pPr>
        <w:rPr>
          <w:rFonts w:ascii="Times New Roman" w:hAnsi="Times New Roman" w:cs="Times New Roman"/>
          <w:color w:val="auto"/>
        </w:rPr>
      </w:pPr>
    </w:p>
    <w:sectPr w:rsidR="00B409FA" w:rsidRPr="00345CF4">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FD"/>
    <w:rsid w:val="00002DAB"/>
    <w:rsid w:val="00004733"/>
    <w:rsid w:val="00027B81"/>
    <w:rsid w:val="00036EC3"/>
    <w:rsid w:val="00037C64"/>
    <w:rsid w:val="00053446"/>
    <w:rsid w:val="00073499"/>
    <w:rsid w:val="00074951"/>
    <w:rsid w:val="00077214"/>
    <w:rsid w:val="000A6135"/>
    <w:rsid w:val="000B4529"/>
    <w:rsid w:val="000C0C19"/>
    <w:rsid w:val="000C1E80"/>
    <w:rsid w:val="000D7446"/>
    <w:rsid w:val="000E181C"/>
    <w:rsid w:val="000E25A1"/>
    <w:rsid w:val="000E2D00"/>
    <w:rsid w:val="00102742"/>
    <w:rsid w:val="00107824"/>
    <w:rsid w:val="00114A7D"/>
    <w:rsid w:val="001168CD"/>
    <w:rsid w:val="00122E3C"/>
    <w:rsid w:val="00123682"/>
    <w:rsid w:val="001254DF"/>
    <w:rsid w:val="00130469"/>
    <w:rsid w:val="001336C2"/>
    <w:rsid w:val="0013797A"/>
    <w:rsid w:val="0014631F"/>
    <w:rsid w:val="00156FE0"/>
    <w:rsid w:val="00167336"/>
    <w:rsid w:val="001767F3"/>
    <w:rsid w:val="001A545F"/>
    <w:rsid w:val="001C138E"/>
    <w:rsid w:val="001C322A"/>
    <w:rsid w:val="001F5319"/>
    <w:rsid w:val="0021439E"/>
    <w:rsid w:val="0023784F"/>
    <w:rsid w:val="00256333"/>
    <w:rsid w:val="00263007"/>
    <w:rsid w:val="002652DE"/>
    <w:rsid w:val="002807A0"/>
    <w:rsid w:val="0028557A"/>
    <w:rsid w:val="002925D2"/>
    <w:rsid w:val="002A5700"/>
    <w:rsid w:val="002B06F0"/>
    <w:rsid w:val="002B1BFB"/>
    <w:rsid w:val="002C6762"/>
    <w:rsid w:val="002F7C9C"/>
    <w:rsid w:val="003158C3"/>
    <w:rsid w:val="003301A4"/>
    <w:rsid w:val="00345CF4"/>
    <w:rsid w:val="00361213"/>
    <w:rsid w:val="00366506"/>
    <w:rsid w:val="00381EC1"/>
    <w:rsid w:val="00384C84"/>
    <w:rsid w:val="003A34AB"/>
    <w:rsid w:val="003A6BE1"/>
    <w:rsid w:val="003C09A0"/>
    <w:rsid w:val="003C62A8"/>
    <w:rsid w:val="003C7CD4"/>
    <w:rsid w:val="003E14D9"/>
    <w:rsid w:val="00424D5A"/>
    <w:rsid w:val="0044250E"/>
    <w:rsid w:val="004451CA"/>
    <w:rsid w:val="00485656"/>
    <w:rsid w:val="00486FFE"/>
    <w:rsid w:val="00487B68"/>
    <w:rsid w:val="00496270"/>
    <w:rsid w:val="00497153"/>
    <w:rsid w:val="004D4B1C"/>
    <w:rsid w:val="004F19A4"/>
    <w:rsid w:val="004F46CD"/>
    <w:rsid w:val="00522976"/>
    <w:rsid w:val="005230FC"/>
    <w:rsid w:val="00534427"/>
    <w:rsid w:val="005653F5"/>
    <w:rsid w:val="00566E1B"/>
    <w:rsid w:val="0056707B"/>
    <w:rsid w:val="005A22FF"/>
    <w:rsid w:val="005C7438"/>
    <w:rsid w:val="005C74D2"/>
    <w:rsid w:val="005D0C07"/>
    <w:rsid w:val="005D2090"/>
    <w:rsid w:val="005F0A35"/>
    <w:rsid w:val="005F2312"/>
    <w:rsid w:val="0061410D"/>
    <w:rsid w:val="006345FA"/>
    <w:rsid w:val="00661D72"/>
    <w:rsid w:val="0066256D"/>
    <w:rsid w:val="00665813"/>
    <w:rsid w:val="0067106E"/>
    <w:rsid w:val="006842F6"/>
    <w:rsid w:val="00685993"/>
    <w:rsid w:val="006B0DFA"/>
    <w:rsid w:val="006B62FD"/>
    <w:rsid w:val="006C3A14"/>
    <w:rsid w:val="006C5F61"/>
    <w:rsid w:val="006E537F"/>
    <w:rsid w:val="006F48CF"/>
    <w:rsid w:val="00725EB6"/>
    <w:rsid w:val="0072714D"/>
    <w:rsid w:val="00744C9A"/>
    <w:rsid w:val="00752ABF"/>
    <w:rsid w:val="00753086"/>
    <w:rsid w:val="00753F79"/>
    <w:rsid w:val="00755C9A"/>
    <w:rsid w:val="0077749E"/>
    <w:rsid w:val="0079641F"/>
    <w:rsid w:val="007C00D5"/>
    <w:rsid w:val="007C1ED1"/>
    <w:rsid w:val="007C5592"/>
    <w:rsid w:val="007D07C3"/>
    <w:rsid w:val="007E698F"/>
    <w:rsid w:val="007E7031"/>
    <w:rsid w:val="007F3009"/>
    <w:rsid w:val="007F3A46"/>
    <w:rsid w:val="007F6FCC"/>
    <w:rsid w:val="00817851"/>
    <w:rsid w:val="00842899"/>
    <w:rsid w:val="00851646"/>
    <w:rsid w:val="0086557C"/>
    <w:rsid w:val="0087391F"/>
    <w:rsid w:val="0087469A"/>
    <w:rsid w:val="00894732"/>
    <w:rsid w:val="008B484F"/>
    <w:rsid w:val="008E410A"/>
    <w:rsid w:val="008F154E"/>
    <w:rsid w:val="0092455E"/>
    <w:rsid w:val="00944D8E"/>
    <w:rsid w:val="009500EB"/>
    <w:rsid w:val="0095716D"/>
    <w:rsid w:val="00971183"/>
    <w:rsid w:val="00977BD9"/>
    <w:rsid w:val="00981D92"/>
    <w:rsid w:val="0098558E"/>
    <w:rsid w:val="009B1ABD"/>
    <w:rsid w:val="009B3610"/>
    <w:rsid w:val="009B79CB"/>
    <w:rsid w:val="009C259A"/>
    <w:rsid w:val="009D0C71"/>
    <w:rsid w:val="009E2F51"/>
    <w:rsid w:val="009F26C9"/>
    <w:rsid w:val="009F4F68"/>
    <w:rsid w:val="00A16030"/>
    <w:rsid w:val="00A459FE"/>
    <w:rsid w:val="00A53A73"/>
    <w:rsid w:val="00A54D71"/>
    <w:rsid w:val="00A635C4"/>
    <w:rsid w:val="00A73415"/>
    <w:rsid w:val="00A74145"/>
    <w:rsid w:val="00A74E65"/>
    <w:rsid w:val="00A808B9"/>
    <w:rsid w:val="00A83832"/>
    <w:rsid w:val="00A965CF"/>
    <w:rsid w:val="00AB32E3"/>
    <w:rsid w:val="00AD76F8"/>
    <w:rsid w:val="00AE041E"/>
    <w:rsid w:val="00AE2A5A"/>
    <w:rsid w:val="00AE415A"/>
    <w:rsid w:val="00AF6D79"/>
    <w:rsid w:val="00B0634D"/>
    <w:rsid w:val="00B26E06"/>
    <w:rsid w:val="00B409FA"/>
    <w:rsid w:val="00B40CC4"/>
    <w:rsid w:val="00B51914"/>
    <w:rsid w:val="00B52542"/>
    <w:rsid w:val="00B5543B"/>
    <w:rsid w:val="00B64307"/>
    <w:rsid w:val="00B75167"/>
    <w:rsid w:val="00B81B30"/>
    <w:rsid w:val="00BC1EB1"/>
    <w:rsid w:val="00BD0D25"/>
    <w:rsid w:val="00BD141D"/>
    <w:rsid w:val="00BD4E97"/>
    <w:rsid w:val="00BE6CB7"/>
    <w:rsid w:val="00BF01FD"/>
    <w:rsid w:val="00BF541D"/>
    <w:rsid w:val="00BF557E"/>
    <w:rsid w:val="00C00508"/>
    <w:rsid w:val="00C32C74"/>
    <w:rsid w:val="00C424DD"/>
    <w:rsid w:val="00C47020"/>
    <w:rsid w:val="00C551F2"/>
    <w:rsid w:val="00C92BD9"/>
    <w:rsid w:val="00CA349F"/>
    <w:rsid w:val="00CD2309"/>
    <w:rsid w:val="00CD4FB7"/>
    <w:rsid w:val="00CD5688"/>
    <w:rsid w:val="00CD673B"/>
    <w:rsid w:val="00CE2319"/>
    <w:rsid w:val="00CE4715"/>
    <w:rsid w:val="00CE4DA2"/>
    <w:rsid w:val="00CF7DE0"/>
    <w:rsid w:val="00D02BA7"/>
    <w:rsid w:val="00D16C29"/>
    <w:rsid w:val="00D20713"/>
    <w:rsid w:val="00D21C44"/>
    <w:rsid w:val="00D22F06"/>
    <w:rsid w:val="00D26438"/>
    <w:rsid w:val="00D365C3"/>
    <w:rsid w:val="00D443BF"/>
    <w:rsid w:val="00D63A14"/>
    <w:rsid w:val="00D650DF"/>
    <w:rsid w:val="00D65B0A"/>
    <w:rsid w:val="00D81F27"/>
    <w:rsid w:val="00D82E43"/>
    <w:rsid w:val="00D84C96"/>
    <w:rsid w:val="00D87982"/>
    <w:rsid w:val="00DE0FEC"/>
    <w:rsid w:val="00DE58A9"/>
    <w:rsid w:val="00DF4A97"/>
    <w:rsid w:val="00E02979"/>
    <w:rsid w:val="00E172FA"/>
    <w:rsid w:val="00E20F0F"/>
    <w:rsid w:val="00E2586D"/>
    <w:rsid w:val="00E67D1B"/>
    <w:rsid w:val="00E71371"/>
    <w:rsid w:val="00E804BD"/>
    <w:rsid w:val="00E9463F"/>
    <w:rsid w:val="00E95E38"/>
    <w:rsid w:val="00EA413A"/>
    <w:rsid w:val="00EB3123"/>
    <w:rsid w:val="00EB6532"/>
    <w:rsid w:val="00ED2B93"/>
    <w:rsid w:val="00EE0C87"/>
    <w:rsid w:val="00EE20B3"/>
    <w:rsid w:val="00EE7645"/>
    <w:rsid w:val="00EF39B3"/>
    <w:rsid w:val="00F04A0E"/>
    <w:rsid w:val="00F12033"/>
    <w:rsid w:val="00F22E0F"/>
    <w:rsid w:val="00F3540C"/>
    <w:rsid w:val="00F3614C"/>
    <w:rsid w:val="00F546E1"/>
    <w:rsid w:val="00F62C82"/>
    <w:rsid w:val="00F74F58"/>
    <w:rsid w:val="00F93845"/>
    <w:rsid w:val="00FA6711"/>
    <w:rsid w:val="00FB4C38"/>
    <w:rsid w:val="00FC1F40"/>
    <w:rsid w:val="00FC5885"/>
    <w:rsid w:val="00FC6F9B"/>
    <w:rsid w:val="00FD10D3"/>
    <w:rsid w:val="00FD5635"/>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F6A13"/>
  <w14:defaultImageDpi w14:val="0"/>
  <w15:docId w15:val="{12649E78-2336-4303-A931-2E2A0EB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DAB"/>
    <w:rPr>
      <w:rFonts w:ascii="Tahoma" w:hAnsi="Tahoma" w:cs="Tahoma"/>
      <w:sz w:val="16"/>
      <w:szCs w:val="16"/>
    </w:rPr>
  </w:style>
  <w:style w:type="character" w:customStyle="1" w:styleId="BalloonTextChar">
    <w:name w:val="Balloon Text Char"/>
    <w:link w:val="BalloonText"/>
    <w:uiPriority w:val="99"/>
    <w:semiHidden/>
    <w:locked/>
    <w:rsid w:val="00002DAB"/>
    <w:rPr>
      <w:rFonts w:ascii="Tahoma" w:hAnsi="Tahoma" w:cs="Tahoma"/>
      <w:color w:val="000000"/>
      <w:sz w:val="16"/>
      <w:szCs w:val="16"/>
    </w:rPr>
  </w:style>
  <w:style w:type="character" w:styleId="CommentReference">
    <w:name w:val="annotation reference"/>
    <w:uiPriority w:val="99"/>
    <w:semiHidden/>
    <w:unhideWhenUsed/>
    <w:rsid w:val="006C5F61"/>
    <w:rPr>
      <w:rFonts w:cs="Times New Roman"/>
      <w:sz w:val="16"/>
      <w:szCs w:val="16"/>
    </w:rPr>
  </w:style>
  <w:style w:type="paragraph" w:styleId="CommentText">
    <w:name w:val="annotation text"/>
    <w:basedOn w:val="Normal"/>
    <w:link w:val="CommentTextChar"/>
    <w:uiPriority w:val="99"/>
    <w:semiHidden/>
    <w:unhideWhenUsed/>
    <w:rsid w:val="006C5F61"/>
    <w:rPr>
      <w:sz w:val="20"/>
      <w:szCs w:val="20"/>
    </w:rPr>
  </w:style>
  <w:style w:type="character" w:customStyle="1" w:styleId="CommentTextChar">
    <w:name w:val="Comment Text Char"/>
    <w:link w:val="CommentText"/>
    <w:uiPriority w:val="99"/>
    <w:semiHidden/>
    <w:locked/>
    <w:rsid w:val="006C5F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5F61"/>
    <w:rPr>
      <w:b/>
      <w:bCs/>
    </w:rPr>
  </w:style>
  <w:style w:type="character" w:customStyle="1" w:styleId="CommentSubjectChar">
    <w:name w:val="Comment Subject Char"/>
    <w:link w:val="CommentSubject"/>
    <w:uiPriority w:val="99"/>
    <w:semiHidden/>
    <w:locked/>
    <w:rsid w:val="006C5F61"/>
    <w:rPr>
      <w:rFonts w:ascii="Arial" w:hAnsi="Arial" w:cs="Arial"/>
      <w:b/>
      <w:bCs/>
      <w:color w:val="000000"/>
      <w:sz w:val="20"/>
      <w:szCs w:val="20"/>
    </w:rPr>
  </w:style>
  <w:style w:type="table" w:styleId="TableGrid">
    <w:name w:val="Table Grid"/>
    <w:basedOn w:val="TableNormal"/>
    <w:uiPriority w:val="59"/>
    <w:rsid w:val="006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43583">
      <w:marLeft w:val="0"/>
      <w:marRight w:val="0"/>
      <w:marTop w:val="0"/>
      <w:marBottom w:val="0"/>
      <w:divBdr>
        <w:top w:val="none" w:sz="0" w:space="0" w:color="auto"/>
        <w:left w:val="none" w:sz="0" w:space="0" w:color="auto"/>
        <w:bottom w:val="none" w:sz="0" w:space="0" w:color="auto"/>
        <w:right w:val="none" w:sz="0" w:space="0" w:color="auto"/>
      </w:divBdr>
    </w:div>
    <w:div w:id="1380743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Authors xmlns="b99a068c-3844-4a16-badd-77233eea0529">000087800:Hnin Hnin Pyne:hpyne@worldbank.org;</DocAuthors>
    <Authors xmlns="b99a068c-3844-4a16-badd-77233eea0529">
      <UserInfo>
        <DisplayName>i:0#.w|wb\wb87800</DisplayName>
        <AccountId>9840</AccountId>
        <AccountType/>
      </UserInfo>
    </Authors>
    <SequenceNum xmlns="b99a068c-3844-4a16-badd-77233eea0529" xsi:nil="true"/>
    <Cordis_x0020_ID xmlns="b99a068c-3844-4a16-badd-77233eea0529">ITM00313</Cordis_x0020_ID>
    <Stage xmlns="b99a068c-3844-4a16-badd-77233eea0529">APR</Stage>
    <PolicyExceptions xmlns="b99a068c-3844-4a16-badd-77233eea0529" xsi:nil="true"/>
    <IsTemplate xmlns="b99a068c-3844-4a16-badd-77233eea0529">false</IsTemplate>
    <IsHidden xmlns="b99a068c-3844-4a16-badd-77233eea0529">false</IsHidden>
    <WBDocType xmlns="b99a068c-3844-4a16-badd-77233eea0529" xsi:nil="true"/>
    <SecurityClassification xmlns="b99a068c-3844-4a16-badd-77233eea0529">Public</SecurityClassification>
    <IsMandatory xmlns="b99a068c-3844-4a16-badd-77233eea0529">false</IsMandatory>
    <DisclosedVersion xmlns="b99a068c-3844-4a16-badd-77233eea0529">APR:3.0,APR:10.0</DisclosedVersion>
    <ProjectID xmlns="b99a068c-3844-4a16-badd-77233eea0529">P160208</ProjectID>
    <LockStatus xmlns="b99a068c-3844-4a16-badd-77233eea0529">Lock</LockStatus>
    <ApprovedVersion xmlns="b99a068c-3844-4a16-badd-77233eea0529">APR:2.0,APR:9.0</ApprovedVersion>
    <Task_x0020_ID xmlns="b99a068c-3844-4a16-badd-77233eea0529">TSK5904639</Task_x0020_ID>
    <Package xmlns="b99a068c-3844-4a16-badd-77233eea0529">true</Package>
    <HasUserUploaded xmlns="b99a068c-3844-4a16-badd-77233eea0529">true</HasUserUploaded>
    <DocumentDate xmlns="b99a068c-3844-4a16-badd-77233eea0529">2019-10-29T04:00:00+00:00</DocumentDate>
    <TemplateDocVersion xmlns="b99a068c-3844-4a16-badd-77233eea0529" xsi:nil="true"/>
    <RefreshDate xmlns="b99a068c-3844-4a16-badd-77233eea0529" xsi:nil="true"/>
    <SortOrder xmlns="b99a068c-3844-4a16-badd-77233eea0529" xsi:nil="true"/>
    <AttachmentType xmlns="b99a068c-3844-4a16-badd-77233eea0529" xsi:nil="true"/>
    <DocumentType xmlns="b99a068c-3844-4a16-badd-77233eea0529" xsi:nil="true"/>
    <DocStatus xmlns="b99a068c-3844-4a16-badd-77233eea0529">23</DocStatus>
    <DependentDoc xmlns="b99a068c-3844-4a16-badd-77233eea0529" xsi:nil="true"/>
    <SAPStage xmlns="b99a068c-3844-4a16-badd-77233eea0529" xsi:nil="true"/>
    <Abstract xmlns="b99a068c-3844-4a16-badd-77233eea0529" xsi:nil="true"/>
    <DeliverableID xmlns="b99a068c-3844-4a16-badd-77233eea0529" xsi:nil="true"/>
    <DocumentAction xmlns="b99a068c-3844-4a16-badd-77233eea0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E28E4594F12F949B0134481ACE0FD49" ma:contentTypeVersion="48" ma:contentTypeDescription="" ma:contentTypeScope="" ma:versionID="5eb63d3fc2d96cca5ef83bef5b98826f">
  <xsd:schema xmlns:xsd="http://www.w3.org/2001/XMLSchema" xmlns:xs="http://www.w3.org/2001/XMLSchema" xmlns:p="http://schemas.microsoft.com/office/2006/metadata/properties" xmlns:ns2="b99a068c-3844-4a16-badd-77233eea0529" targetNamespace="http://schemas.microsoft.com/office/2006/metadata/properties" ma:root="true" ma:fieldsID="d0f06ae0b7eedc4ab6c4ebc07be9aed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28EAE29-7673-4FF0-9520-30F52147687C}">
  <ds:schemaRefs>
    <ds:schemaRef ds:uri="http://schemas.microsoft.com/sharepoint/v3/contenttype/forms"/>
  </ds:schemaRefs>
</ds:datastoreItem>
</file>

<file path=customXml/itemProps2.xml><?xml version="1.0" encoding="utf-8"?>
<ds:datastoreItem xmlns:ds="http://schemas.openxmlformats.org/officeDocument/2006/customXml" ds:itemID="{A0E3041C-B790-4D9F-BFCF-DD892B6C4B5C}">
  <ds:schemaRefs>
    <ds:schemaRef ds:uri="http://schemas.microsoft.com/office/2006/metadata/properties"/>
    <ds:schemaRef ds:uri="http://purl.org/dc/elements/1.1/"/>
    <ds:schemaRef ds:uri="0c867391-8214-4b58-86b3-de07547409f9"/>
    <ds:schemaRef ds:uri="http://purl.org/dc/terms/"/>
    <ds:schemaRef ds:uri="fddef6a8-5936-4909-96e0-2ad7a6b1720b"/>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691F943-E92F-4D69-A7D7-908B2A157CFD}"/>
</file>

<file path=customXml/itemProps4.xml><?xml version="1.0" encoding="utf-8"?>
<ds:datastoreItem xmlns:ds="http://schemas.openxmlformats.org/officeDocument/2006/customXml" ds:itemID="{FC972128-383D-4B8E-B76D-89AC2572FFE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01E22021-2127-4294-8F1C-C2EFE48253B8}"/>
</file>

<file path=docProps/app.xml><?xml version="1.0" encoding="utf-8"?>
<Properties xmlns="http://schemas.openxmlformats.org/officeDocument/2006/extended-properties" xmlns:vt="http://schemas.openxmlformats.org/officeDocument/2006/docPropsVTypes">
  <Template>Normal.dotm</Template>
  <TotalTime>2</TotalTime>
  <Pages>16</Pages>
  <Words>6311</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PID and ISDS Revised</dc:title>
  <dc:creator>Hnin Hnin Pyne</dc:creator>
  <cp:lastModifiedBy>Hnin Hnin Pyne</cp:lastModifiedBy>
  <cp:revision>2</cp:revision>
  <dcterms:created xsi:type="dcterms:W3CDTF">2019-11-09T03:35:00Z</dcterms:created>
  <dcterms:modified xsi:type="dcterms:W3CDTF">2019-11-09T03:35:00Z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0x01010054E0FEF4951F9D49A6F48A35419983C7007E28E4594F12F949B0134481ACE0FD49</vt:lpwstr>
  </property>
  <property fmtid="{D5CDD505-2E9C-101B-9397-08002B2CF9AE}" pid="3" name="DocAuthors">
    <vt:lpwstr>000087800:Hnin Hnin Pyne:hpyne@worldbank.org;</vt:lpwstr>
  </property>
  <property fmtid="{D5CDD505-2E9C-101B-9397-08002B2CF9AE}" pid="4" name="Authors">
    <vt:lpwstr>9840;#i:0#.w|wb\wb87800</vt:lpwstr>
  </property>
  <property fmtid="{D5CDD505-2E9C-101B-9397-08002B2CF9AE}" pid="5" name="Cordis ID">
    <vt:lpwstr>ITM00313</vt:lpwstr>
  </property>
  <property fmtid="{D5CDD505-2E9C-101B-9397-08002B2CF9AE}" pid="6" name="Stage">
    <vt:lpwstr>APR</vt:lpwstr>
  </property>
  <property fmtid="{D5CDD505-2E9C-101B-9397-08002B2CF9AE}" pid="7" name="IsHidden">
    <vt:bool>false</vt:bool>
  </property>
  <property fmtid="{D5CDD505-2E9C-101B-9397-08002B2CF9AE}" pid="8" name="IsTemplate">
    <vt:bool>false</vt:bool>
  </property>
  <property fmtid="{D5CDD505-2E9C-101B-9397-08002B2CF9AE}" pid="9" name="DisclosedVersion">
    <vt:lpwstr>APR:3.0</vt:lpwstr>
  </property>
  <property fmtid="{D5CDD505-2E9C-101B-9397-08002B2CF9AE}" pid="10" name="SecurityClassification">
    <vt:lpwstr>Public</vt:lpwstr>
  </property>
  <property fmtid="{D5CDD505-2E9C-101B-9397-08002B2CF9AE}" pid="11" name="IsMandatory">
    <vt:bool>false</vt:bool>
  </property>
  <property fmtid="{D5CDD505-2E9C-101B-9397-08002B2CF9AE}" pid="12" name="ProjectID">
    <vt:lpwstr>P160208</vt:lpwstr>
  </property>
  <property fmtid="{D5CDD505-2E9C-101B-9397-08002B2CF9AE}" pid="13" name="LockStatus">
    <vt:lpwstr>Unlock</vt:lpwstr>
  </property>
  <property fmtid="{D5CDD505-2E9C-101B-9397-08002B2CF9AE}" pid="14" name="ApprovedVersion">
    <vt:lpwstr>APR:2.0</vt:lpwstr>
  </property>
  <property fmtid="{D5CDD505-2E9C-101B-9397-08002B2CF9AE}" pid="15" name="Task ID">
    <vt:lpwstr>TSK5904638</vt:lpwstr>
  </property>
  <property fmtid="{D5CDD505-2E9C-101B-9397-08002B2CF9AE}" pid="16" name="Package">
    <vt:bool>true</vt:bool>
  </property>
  <property fmtid="{D5CDD505-2E9C-101B-9397-08002B2CF9AE}" pid="17" name="HasUserUploaded">
    <vt:bool>true</vt:bool>
  </property>
  <property fmtid="{D5CDD505-2E9C-101B-9397-08002B2CF9AE}" pid="18" name="DocumentDate">
    <vt:filetime>2019-10-29T04:00:00Z</vt:filetime>
  </property>
  <property fmtid="{D5CDD505-2E9C-101B-9397-08002B2CF9AE}" pid="19" name="RatedBy">
    <vt:lpwstr/>
  </property>
  <property fmtid="{D5CDD505-2E9C-101B-9397-08002B2CF9AE}" pid="20" name="LikedBy">
    <vt:lpwstr/>
  </property>
  <property fmtid="{D5CDD505-2E9C-101B-9397-08002B2CF9AE}" pid="24" name="Ratings">
    <vt:lpwstr/>
  </property>
</Properties>
</file>