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384" w:rsidRDefault="00EB0F10">
      <w:pPr>
        <w:pStyle w:val="z-TopofForm"/>
      </w:pPr>
      <w: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F13D8B">
            <w:pPr>
              <w:pStyle w:val="Heading1"/>
              <w:jc w:val="center"/>
              <w:rPr>
                <w:rFonts w:eastAsia="Times New Roman"/>
              </w:rPr>
            </w:pPr>
            <w:r w:rsidRPr="00F13D8B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-624840</wp:posOffset>
                      </wp:positionV>
                      <wp:extent cx="103822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D8B" w:rsidRPr="00DC3143" w:rsidRDefault="00F13D8B" w:rsidP="00F13D8B">
                                  <w:pPr>
                                    <w:rPr>
                                      <w:rFonts w:ascii="Arial" w:hAnsi="Arial"/>
                                      <w:sz w:val="44"/>
                                    </w:rPr>
                                  </w:pPr>
                                  <w:r w:rsidRPr="00DC3143">
                                    <w:rPr>
                                      <w:rFonts w:ascii="Arial" w:hAnsi="Arial"/>
                                      <w:sz w:val="4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7022</w:t>
                                  </w:r>
                                </w:p>
                                <w:p w:rsidR="00F13D8B" w:rsidRDefault="00F13D8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25pt;margin-top:-49.2pt;width:81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G0IgIAAB4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" stroked="f">
                      <v:textbox style="mso-fit-shape-to-text:t">
                        <w:txbxContent>
                          <w:p w:rsidR="00F13D8B" w:rsidRPr="00DC3143" w:rsidRDefault="00F13D8B" w:rsidP="00F13D8B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 w:rsidRPr="00DC3143">
                              <w:rPr>
                                <w:rFonts w:ascii="Arial" w:hAnsi="Arial"/>
                                <w:sz w:val="4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7022</w:t>
                            </w:r>
                          </w:p>
                          <w:p w:rsidR="00F13D8B" w:rsidRDefault="00F13D8B"/>
                        </w:txbxContent>
                      </v:textbox>
                    </v:shape>
                  </w:pict>
                </mc:Fallback>
              </mc:AlternateContent>
            </w:r>
            <w:r w:rsidR="00EB0F10">
              <w:rPr>
                <w:rFonts w:eastAsia="Times New Roman"/>
              </w:rPr>
              <w:t>IMPLEMENTATION STATUS AND RESULTS REPORT</w:t>
            </w:r>
          </w:p>
        </w:tc>
      </w:tr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EB0F10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Panama, PA GEF Rural Productivity (Project ID</w:t>
            </w:r>
            <w:proofErr w:type="gramStart"/>
            <w:r>
              <w:rPr>
                <w:rFonts w:eastAsia="Times New Roman"/>
              </w:rPr>
              <w:t>:P083045</w:t>
            </w:r>
            <w:proofErr w:type="gramEnd"/>
            <w:r>
              <w:rPr>
                <w:rFonts w:eastAsia="Times New Roman"/>
              </w:rPr>
              <w:t xml:space="preserve"> -- Loan/Credit No.:-Trust Fund No.:TF56628)</w:t>
            </w:r>
          </w:p>
        </w:tc>
        <w:bookmarkStart w:id="0" w:name="_GoBack"/>
        <w:bookmarkEnd w:id="0"/>
      </w:tr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EB0F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This Report Relates to the Totality of project P083045 which may be financed by several trust funds</w:t>
            </w:r>
          </w:p>
          <w:p w:rsidR="00EB0F10" w:rsidRDefault="00EB0F10">
            <w:pPr>
              <w:jc w:val="center"/>
              <w:rPr>
                <w:rFonts w:eastAsia="Times New Roman"/>
              </w:rPr>
            </w:pPr>
          </w:p>
        </w:tc>
      </w:tr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Pr="00EB0F10" w:rsidRDefault="00EB0F10">
            <w:pPr>
              <w:rPr>
                <w:rFonts w:eastAsia="Times New Roman"/>
                <w:b/>
              </w:rPr>
            </w:pPr>
            <w:r w:rsidRPr="00EB0F10">
              <w:rPr>
                <w:rFonts w:eastAsia="Times New Roman"/>
                <w:b/>
              </w:rPr>
              <w:t>ISR DATE: 06/30/2010</w:t>
            </w:r>
          </w:p>
        </w:tc>
      </w:tr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EB0F10" w:rsidP="00EB0F10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Sequence #8 </w:t>
            </w:r>
          </w:p>
          <w:p w:rsidR="00EB0F10" w:rsidRDefault="00EB0F10" w:rsidP="00EB0F10">
            <w:pPr>
              <w:rPr>
                <w:rFonts w:eastAsia="Times New Roman"/>
              </w:rPr>
            </w:pPr>
          </w:p>
        </w:tc>
      </w:tr>
      <w:tr w:rsidR="00004384" w:rsidTr="008603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  <w:gridCol w:w="2340"/>
              <w:gridCol w:w="2340"/>
            </w:tblGrid>
            <w:tr w:rsidR="00004384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04384" w:rsidRDefault="00004384">
                  <w:pPr>
                    <w:rPr>
                      <w:rFonts w:eastAsia="Times New Roman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pStyle w:val="Heading2"/>
                    <w:spacing w:line="270" w:lineRule="atLeast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Style w:val="Strong"/>
                      <w:rFonts w:eastAsia="Times New Roman"/>
                      <w:sz w:val="18"/>
                      <w:szCs w:val="18"/>
                    </w:rPr>
                    <w:t>Project Data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Original GEF Grant amount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USD 6.00M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Last Archived ISR Date: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12/29/2009</w:t>
                  </w: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Revised GEF Grant amount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USD 6.00M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End Date of Last Field/Site Visit: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06/25/2010</w:t>
                  </w: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Board Approval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06/15/2006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Mid Term Review Date(Planned):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09/30/2008</w:t>
                  </w: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Effectiveness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01/18/2007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Mid Term Review Date(Actual):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Original Closing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01/01/1950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Restructuring/Change Date (if changed):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Formally Revised Closing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06/28/2013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Restructuring Level: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Number Of Closing Date Extensions: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Previous Restructuring/Change Date(s):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Environmental Category: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EB0F10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B-Partial Assessment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04384" w:rsidRDefault="00004384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04384" w:rsidRDefault="00004384">
                  <w:pPr>
                    <w:rPr>
                      <w:rFonts w:eastAsia="Times New Roman"/>
                    </w:rPr>
                  </w:pPr>
                </w:p>
              </w:tc>
            </w:tr>
            <w:tr w:rsidR="00004384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4"/>
                    <w:gridCol w:w="1288"/>
                    <w:gridCol w:w="1489"/>
                    <w:gridCol w:w="2123"/>
                  </w:tblGrid>
                  <w:tr w:rsidR="000043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pStyle w:val="Heading2"/>
                          <w:spacing w:line="270" w:lineRule="atLeast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18"/>
                            <w:szCs w:val="18"/>
                          </w:rPr>
                          <w:t>Implementing Agency:</w:t>
                        </w:r>
                        <w:proofErr w:type="gramStart"/>
                        <w:r>
                          <w:rPr>
                            <w:rStyle w:val="Strong"/>
                            <w:rFonts w:eastAsia="Times New Roman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18"/>
                            <w:szCs w:val="18"/>
                          </w:rPr>
                          <w:t>[</w:t>
                        </w:r>
                        <w:proofErr w:type="gramEnd"/>
                        <w:r>
                          <w:rPr>
                            <w:rFonts w:eastAsia="Times New Roman"/>
                            <w:i/>
                            <w:iCs/>
                            <w:sz w:val="18"/>
                            <w:szCs w:val="18"/>
                          </w:rPr>
                          <w:t>from PAD data sheet]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43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URL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Contact #</w:t>
                        </w:r>
                      </w:p>
                    </w:tc>
                  </w:tr>
                  <w:tr w:rsidR="000043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Autoridad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Nacional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Ambiente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Panama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cbmap.org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4384" w:rsidRDefault="00EB0F10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(507) 232-9600</w:t>
                        </w:r>
                      </w:p>
                    </w:tc>
                  </w:tr>
                </w:tbl>
                <w:p w:rsidR="00004384" w:rsidRDefault="0000438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4384" w:rsidRDefault="0000438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4384" w:rsidTr="00EB0F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384" w:rsidRDefault="0000438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4384" w:rsidRDefault="00004384">
            <w:pPr>
              <w:rPr>
                <w:rFonts w:eastAsia="Times New Roman"/>
              </w:rPr>
            </w:pP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pStyle w:val="Heading1"/>
              <w:spacing w:line="27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Global Environment Objectives and Outcomes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Global Environment Objective (from Project Appraisal Document):</w:t>
            </w:r>
            <w:r>
              <w:rPr>
                <w:rStyle w:val="Emphasis"/>
                <w:color w:val="000000"/>
                <w:sz w:val="20"/>
                <w:szCs w:val="20"/>
              </w:rPr>
              <w:t>[text from PAD]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04384" w:rsidRDefault="00EB0F10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Development Objective of the partially-blended Rural Productivity and Sustainable Development Project is to contribute to increased income and employment of small-scale rural producers in Panama.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The Global Environmental Objective is to conserve biodiversity of global importance and protect important forest, mountain and marine-coastal ecosystems in Panama.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Board Approved Revised Global Environment Objective : [if project is formally restructured]</w:t>
            </w:r>
            <w:r>
              <w:rPr>
                <w:rStyle w:val="Emphasis"/>
                <w:color w:val="000000"/>
                <w:sz w:val="20"/>
                <w:szCs w:val="20"/>
              </w:rPr>
              <w:t>[if project is formally restructured]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5.75pt" o:ole="">
                  <v:imagedata r:id="rId5" o:title=""/>
                </v:shape>
                <w:control r:id="rId6" w:name="DefaultOcxName10" w:shapeid="_x0000_i1026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Check this box to certify that you have reviewed the current list of Core Indicators and ensured that those applicable to this project have been included in this ISR. </w:t>
            </w: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These Results are at: </w:t>
            </w: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028" type="#_x0000_t75" style="width:18pt;height:15.75pt" o:ole="">
                  <v:imagedata r:id="rId7" o:title=""/>
                </v:shape>
                <w:control r:id="rId8" w:name="DefaultOcxName11" w:shapeid="_x0000_i1028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Project Level </w:t>
            </w: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030" type="#_x0000_t75" style="width:18pt;height:15.75pt" o:ole="">
                  <v:imagedata r:id="rId9" o:title=""/>
                </v:shape>
                <w:control r:id="rId10" w:name="DefaultOcxName12" w:shapeid="_x0000_i1030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Program Level </w:t>
            </w: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471"/>
        <w:gridCol w:w="1002"/>
        <w:gridCol w:w="1472"/>
        <w:gridCol w:w="1002"/>
        <w:gridCol w:w="1472"/>
        <w:gridCol w:w="1002"/>
      </w:tblGrid>
      <w:tr w:rsidR="0000438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000000"/>
                <w:sz w:val="20"/>
                <w:szCs w:val="20"/>
              </w:rPr>
              <w:t>Status of agreed outcomes indicators:</w:t>
            </w:r>
          </w:p>
        </w:tc>
      </w:tr>
      <w:tr w:rsidR="00004384">
        <w:trPr>
          <w:tblCellSpacing w:w="0" w:type="dxa"/>
        </w:trPr>
        <w:tc>
          <w:tcPr>
            <w:tcW w:w="1250" w:type="pct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0" w:type="auto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pStyle w:val="NormalWeb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Measurement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Insert the measured value, or a qualitative indicator, or a brief explanation of why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indicators are not available, together with the date of  the information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To Date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End-of-Project Target Value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PDO indicator(s)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 indicator(s)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 and national institutional capacity is improved, as measured by the WWF/Bank Management Effectiveness (GEF BD SP 1) Tracking Tool to manage 14 protected areas (675,775 ha)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Baseline data for each Protected Area.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 protected areas have improved their ratings since the last evaluation.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14 protected areas (675,775 ha) with ratings improved.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These results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come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fome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the 2009 evaluation that was conducted last November.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At least 50,000 ha of forests and other natural ecosystems of global biodiversity significance in buffer zones and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corrido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under effective conservation (protection and sustainable management)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1472 hectares.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30,000 ha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50,000 ha.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The project has surpassed the goal for this year of the project.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Biodiversity of global significance is under effective conservation, as measured by vegetation cover and indicator species of conservation interest.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To be determined during FY 09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Ecosystem map updated and baselines for land use change defined. Monitoring of habitat quality in representative areas (e.g. Rio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Changuinola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RÃ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Tonosi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under way. Census of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Manaties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in Rio San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concluded.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Trainig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for ma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nagement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M&amp;E of populations of endangered marine Turtles concluded.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TBD based on site specific information.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60% of districts in the project area have incorporated biodiversity aspects into sector policies and plans and adopted app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ropriate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regulations and implementation plans accordingly.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None.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Progress to be evaluated at MTR.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60% of districts.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Intermediate outcome indicator(s)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Community associations and rural producer associations implement at least 450 natural resources, sustainable agriculture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conservation subprojects in the project area.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 total of 136 subprojects approved and under implementation. An additional 93 subprojects are currently under evaluation for funding in 2010.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Environmental investment fund to be evaluated at MTR.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Protected area co-management agreements under implementation increases by at least 100%.(Text)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13 protected areas with co-management agreements signed.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New strategy and resolution for the implementation of co-management agreements 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fficialy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approved. National Committee for Co-management of PAs created.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Diagnos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tic study to identify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co-management opportunities underway. 3 co-management pro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jects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identified and underway.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100% increase.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Viability of co-management strategy to be evaluated during MTR.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 district-level CCAs and at least two UAMs established, trained and operating with financial plans.(Text)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18 CCAs and 0 UMAs.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descentralization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strategy being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discused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by the new administration. Time 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methodology established to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crete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ans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strengthen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CCAs and UAMs. One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Ngobe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Buble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), and 5 provincial CCAS established.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28 CCAs and 2 UMAs.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Limited impact of CCAs and UAMs in supporting management and conservation of PAs. This indicator will be revised and probably modified during the MTR.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PES program piloted in two project sites and replication strategy developed.(Text)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Limited progress achieved for this indicator. No institutional decision made 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garding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the approach the GOP wants to follow regarding PAS (e.g. national or pro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ject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-based). One pilot PAS project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identified.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Two PES projects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Indicator to be re-evaluated, and probably modified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durint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MTR.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By end of year three, monitoring systems developed by the project are incorporated into national (SINIA) and other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interna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systems.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None.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06/15/2006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SMAP system designed and under implementation. Indicator species for the SNMDB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identifyed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monitoring initiated.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06/25/2010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Monitoring Systems incorporated into SINIA.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03/30/2012</w:t>
            </w:r>
          </w:p>
        </w:tc>
      </w:tr>
      <w:tr w:rsidR="000043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004384" w:rsidRDefault="00004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Incorporation of these systems into SINIA and IABIN is still pending. This indicator will also be evaluated in detail during MTR, and probably modified.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3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 w:rsidTr="00EB0F1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04384" w:rsidRDefault="00004384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72"/>
        <w:gridCol w:w="4680"/>
      </w:tblGrid>
      <w:tr w:rsidR="000043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>
        <w:trPr>
          <w:tblCellSpacing w:w="0" w:type="dxa"/>
          <w:jc w:val="center"/>
        </w:trPr>
        <w:tc>
          <w:tcPr>
            <w:tcW w:w="1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Last ISR</w:t>
            </w:r>
          </w:p>
        </w:tc>
        <w:tc>
          <w:tcPr>
            <w:tcW w:w="2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This ISR</w:t>
            </w:r>
          </w:p>
        </w:tc>
      </w:tr>
      <w:tr w:rsidR="00004384">
        <w:trPr>
          <w:tblCellSpacing w:w="0" w:type="dxa"/>
          <w:jc w:val="center"/>
        </w:trPr>
        <w:tc>
          <w:tcPr>
            <w:tcW w:w="1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toward achievement of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004384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438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GEO :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</w:tr>
      <w:tr w:rsidR="000043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Ratings: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=Highly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Moderately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=Moderately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=Highly Unsatisfactory</w:t>
            </w: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384" w:rsidTr="00EB0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</w:tbl>
    <w:p w:rsidR="00004384" w:rsidRDefault="0000438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004384" w:rsidTr="00EB0F1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</w:rPr>
            </w:pPr>
          </w:p>
        </w:tc>
      </w:tr>
      <w:tr w:rsidR="00004384" w:rsidTr="00EB0F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pStyle w:val="Heading2"/>
              <w:spacing w:line="270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Disbursements</w:t>
            </w:r>
            <w:r>
              <w:rPr>
                <w:rStyle w:val="Emphasis"/>
                <w:rFonts w:eastAsia="Times New Roman"/>
                <w:sz w:val="18"/>
                <w:szCs w:val="18"/>
              </w:rPr>
              <w:t>[</w:t>
            </w:r>
            <w:proofErr w:type="gramEnd"/>
            <w:r>
              <w:rPr>
                <w:rStyle w:val="Emphasis"/>
                <w:rFonts w:eastAsia="Times New Roman"/>
                <w:sz w:val="18"/>
                <w:szCs w:val="18"/>
              </w:rPr>
              <w:t>system-generated]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004384" w:rsidTr="00EB0F10">
        <w:trPr>
          <w:tblCellSpacing w:w="0" w:type="dxa"/>
        </w:trPr>
        <w:tc>
          <w:tcPr>
            <w:tcW w:w="499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4384" w:rsidRDefault="00EB0F10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CCE64E" wp14:editId="76AC14E0">
                  <wp:extent cx="4572000" cy="2286000"/>
                  <wp:effectExtent l="0" t="0" r="0" b="0"/>
                  <wp:docPr id="17" name="Picture 17" descr="Disbursement Sum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sbursement Sum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4384" w:rsidRDefault="000043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4384" w:rsidRDefault="00EB0F10">
      <w:pPr>
        <w:pStyle w:val="z-BottomofForm"/>
      </w:pPr>
      <w:r>
        <w:t>Bottom of Form</w:t>
      </w:r>
    </w:p>
    <w:sectPr w:rsidR="0000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0F10"/>
    <w:rsid w:val="00004384"/>
    <w:rsid w:val="008603E2"/>
    <w:rsid w:val="00EB0F10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textAlignment w:val="top"/>
      <w:outlineLvl w:val="0"/>
    </w:pPr>
    <w:rPr>
      <w:rFonts w:ascii="Arial" w:hAnsi="Arial" w:cs="Arial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textAlignment w:val="top"/>
      <w:outlineLvl w:val="1"/>
    </w:pPr>
    <w:rPr>
      <w:rFonts w:ascii="Verdana" w:hAnsi="Verdan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timesxsmallnew">
    <w:name w:val="contenttimesxsmallnew"/>
    <w:basedOn w:val="Normal"/>
    <w:pP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table100per">
    <w:name w:val="table100per"/>
    <w:basedOn w:val="Normal"/>
    <w:pPr>
      <w:spacing w:before="100" w:beforeAutospacing="1" w:after="100" w:afterAutospacing="1"/>
    </w:pPr>
  </w:style>
  <w:style w:type="paragraph" w:customStyle="1" w:styleId="tablegridbrdrcolorblackaw">
    <w:name w:val="tablegridbrdrcolorblack_aw"/>
    <w:basedOn w:val="Normal"/>
    <w:pPr>
      <w:pBdr>
        <w:top w:val="single" w:sz="6" w:space="1" w:color="B1B1B1"/>
        <w:left w:val="single" w:sz="6" w:space="1" w:color="B1B1B1"/>
        <w:bottom w:val="single" w:sz="6" w:space="1" w:color="B1B1B1"/>
        <w:right w:val="single" w:sz="6" w:space="1" w:color="B1B1B1"/>
      </w:pBdr>
      <w:spacing w:before="100" w:beforeAutospacing="1" w:after="100" w:afterAutospacing="1"/>
    </w:pPr>
  </w:style>
  <w:style w:type="paragraph" w:customStyle="1" w:styleId="tablenogridbrdrcolorblackaw">
    <w:name w:val="tablenogridbrdrcolorblack_aw"/>
    <w:basedOn w:val="Normal"/>
    <w:pPr>
      <w:spacing w:before="100" w:beforeAutospacing="1" w:after="100" w:afterAutospacing="1"/>
    </w:pPr>
  </w:style>
  <w:style w:type="paragraph" w:customStyle="1" w:styleId="tablebrdrcolorblackaw">
    <w:name w:val="tablebrdrcolorblack_aw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topsidesaw">
    <w:name w:val="tablebrdrblacktopsides_aw"/>
    <w:basedOn w:val="Normal"/>
    <w:pPr>
      <w:pBdr>
        <w:top w:val="single" w:sz="6" w:space="1" w:color="000000"/>
        <w:left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sidesaw">
    <w:name w:val="tablebrdrblackbottomsides_aw"/>
    <w:basedOn w:val="Normal"/>
    <w:pPr>
      <w:pBdr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rightaw">
    <w:name w:val="tablebrdrblackbottomright_aw"/>
    <w:basedOn w:val="Normal"/>
    <w:pPr>
      <w:pBdr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contenttimes90per">
    <w:name w:val="contenttimes9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22"/>
      <w:szCs w:val="22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contenttimesxsmall">
    <w:name w:val="contenttimesxsmall"/>
    <w:basedOn w:val="Normal"/>
    <w:pPr>
      <w:pBdr>
        <w:top w:val="single" w:sz="6" w:space="0" w:color="B1B1B1"/>
        <w:left w:val="single" w:sz="6" w:space="2" w:color="B1B1B1"/>
        <w:bottom w:val="single" w:sz="6" w:space="0" w:color="B1B1B1"/>
        <w:right w:val="single" w:sz="6" w:space="2" w:color="B1B1B1"/>
      </w:pBd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contenttimesmedium">
    <w:name w:val="contenttimesmedium"/>
    <w:basedOn w:val="Normal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27"/>
      <w:szCs w:val="27"/>
    </w:rPr>
  </w:style>
  <w:style w:type="paragraph" w:customStyle="1" w:styleId="contentverdanaxsmall">
    <w:name w:val="contentverdana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xxsmall">
    <w:name w:val="contentverdanax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5"/>
      <w:szCs w:val="15"/>
    </w:rPr>
  </w:style>
  <w:style w:type="paragraph" w:customStyle="1" w:styleId="contentverdana85per">
    <w:name w:val="contentverdana8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75per">
    <w:name w:val="contentverdana7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tentverdana70per">
    <w:name w:val="contentverdana7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bg-greycolorlevel1">
    <w:name w:val="bg-greycolorlevel1"/>
    <w:basedOn w:val="Normal"/>
    <w:pPr>
      <w:shd w:val="clear" w:color="auto" w:fill="E2E2E2"/>
      <w:spacing w:before="100" w:beforeAutospacing="1" w:after="100" w:afterAutospacing="1"/>
    </w:pPr>
  </w:style>
  <w:style w:type="paragraph" w:customStyle="1" w:styleId="bg-greycolorlevel2">
    <w:name w:val="bg-greycolorlevel2"/>
    <w:basedOn w:val="Normal"/>
    <w:pPr>
      <w:shd w:val="clear" w:color="auto" w:fill="F1F1F1"/>
      <w:spacing w:before="100" w:beforeAutospacing="1" w:after="100" w:afterAutospacing="1"/>
    </w:pPr>
  </w:style>
  <w:style w:type="paragraph" w:customStyle="1" w:styleId="bg-greycolorlevel3">
    <w:name w:val="bg-greycolorlevel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tableheaderlevel1">
    <w:name w:val="tableheaderlevel1"/>
    <w:basedOn w:val="Normal"/>
    <w:pPr>
      <w:shd w:val="clear" w:color="auto" w:fill="CDCCCC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ontentverdana70perbold">
    <w:name w:val="contentverdana70perbold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contentverdana100per">
    <w:name w:val="contentverdana10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</w:rPr>
  </w:style>
  <w:style w:type="paragraph" w:customStyle="1" w:styleId="tableheaderlevel3">
    <w:name w:val="tableheaderlevel3"/>
    <w:basedOn w:val="Normal"/>
    <w:pPr>
      <w:shd w:val="clear" w:color="auto" w:fill="F1F1F1"/>
      <w:spacing w:before="100" w:beforeAutospacing="1" w:after="100" w:afterAutospacing="1"/>
    </w:pPr>
    <w:rPr>
      <w:rFonts w:ascii="Verdana" w:hAnsi="Verdana"/>
      <w:b/>
      <w:bCs/>
      <w:color w:val="606060"/>
      <w:sz w:val="17"/>
      <w:szCs w:val="17"/>
    </w:rPr>
  </w:style>
  <w:style w:type="paragraph" w:customStyle="1" w:styleId="tableheaderlevel2">
    <w:name w:val="tableheaderlevel2"/>
    <w:basedOn w:val="Normal"/>
    <w:pPr>
      <w:shd w:val="clear" w:color="auto" w:fill="E2E2E2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textAlignment w:val="top"/>
      <w:outlineLvl w:val="0"/>
    </w:pPr>
    <w:rPr>
      <w:rFonts w:ascii="Arial" w:hAnsi="Arial" w:cs="Arial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textAlignment w:val="top"/>
      <w:outlineLvl w:val="1"/>
    </w:pPr>
    <w:rPr>
      <w:rFonts w:ascii="Verdana" w:hAnsi="Verdan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timesxsmallnew">
    <w:name w:val="contenttimesxsmallnew"/>
    <w:basedOn w:val="Normal"/>
    <w:pP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table100per">
    <w:name w:val="table100per"/>
    <w:basedOn w:val="Normal"/>
    <w:pPr>
      <w:spacing w:before="100" w:beforeAutospacing="1" w:after="100" w:afterAutospacing="1"/>
    </w:pPr>
  </w:style>
  <w:style w:type="paragraph" w:customStyle="1" w:styleId="tablegridbrdrcolorblackaw">
    <w:name w:val="tablegridbrdrcolorblack_aw"/>
    <w:basedOn w:val="Normal"/>
    <w:pPr>
      <w:pBdr>
        <w:top w:val="single" w:sz="6" w:space="1" w:color="B1B1B1"/>
        <w:left w:val="single" w:sz="6" w:space="1" w:color="B1B1B1"/>
        <w:bottom w:val="single" w:sz="6" w:space="1" w:color="B1B1B1"/>
        <w:right w:val="single" w:sz="6" w:space="1" w:color="B1B1B1"/>
      </w:pBdr>
      <w:spacing w:before="100" w:beforeAutospacing="1" w:after="100" w:afterAutospacing="1"/>
    </w:pPr>
  </w:style>
  <w:style w:type="paragraph" w:customStyle="1" w:styleId="tablenogridbrdrcolorblackaw">
    <w:name w:val="tablenogridbrdrcolorblack_aw"/>
    <w:basedOn w:val="Normal"/>
    <w:pPr>
      <w:spacing w:before="100" w:beforeAutospacing="1" w:after="100" w:afterAutospacing="1"/>
    </w:pPr>
  </w:style>
  <w:style w:type="paragraph" w:customStyle="1" w:styleId="tablebrdrcolorblackaw">
    <w:name w:val="tablebrdrcolorblack_aw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topsidesaw">
    <w:name w:val="tablebrdrblacktopsides_aw"/>
    <w:basedOn w:val="Normal"/>
    <w:pPr>
      <w:pBdr>
        <w:top w:val="single" w:sz="6" w:space="1" w:color="000000"/>
        <w:left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sidesaw">
    <w:name w:val="tablebrdrblackbottomsides_aw"/>
    <w:basedOn w:val="Normal"/>
    <w:pPr>
      <w:pBdr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rightaw">
    <w:name w:val="tablebrdrblackbottomright_aw"/>
    <w:basedOn w:val="Normal"/>
    <w:pPr>
      <w:pBdr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contenttimes90per">
    <w:name w:val="contenttimes9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22"/>
      <w:szCs w:val="22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contenttimesxsmall">
    <w:name w:val="contenttimesxsmall"/>
    <w:basedOn w:val="Normal"/>
    <w:pPr>
      <w:pBdr>
        <w:top w:val="single" w:sz="6" w:space="0" w:color="B1B1B1"/>
        <w:left w:val="single" w:sz="6" w:space="2" w:color="B1B1B1"/>
        <w:bottom w:val="single" w:sz="6" w:space="0" w:color="B1B1B1"/>
        <w:right w:val="single" w:sz="6" w:space="2" w:color="B1B1B1"/>
      </w:pBd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contenttimesmedium">
    <w:name w:val="contenttimesmedium"/>
    <w:basedOn w:val="Normal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27"/>
      <w:szCs w:val="27"/>
    </w:rPr>
  </w:style>
  <w:style w:type="paragraph" w:customStyle="1" w:styleId="contentverdanaxsmall">
    <w:name w:val="contentverdana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xxsmall">
    <w:name w:val="contentverdanax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5"/>
      <w:szCs w:val="15"/>
    </w:rPr>
  </w:style>
  <w:style w:type="paragraph" w:customStyle="1" w:styleId="contentverdana85per">
    <w:name w:val="contentverdana8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75per">
    <w:name w:val="contentverdana7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tentverdana70per">
    <w:name w:val="contentverdana7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bg-greycolorlevel1">
    <w:name w:val="bg-greycolorlevel1"/>
    <w:basedOn w:val="Normal"/>
    <w:pPr>
      <w:shd w:val="clear" w:color="auto" w:fill="E2E2E2"/>
      <w:spacing w:before="100" w:beforeAutospacing="1" w:after="100" w:afterAutospacing="1"/>
    </w:pPr>
  </w:style>
  <w:style w:type="paragraph" w:customStyle="1" w:styleId="bg-greycolorlevel2">
    <w:name w:val="bg-greycolorlevel2"/>
    <w:basedOn w:val="Normal"/>
    <w:pPr>
      <w:shd w:val="clear" w:color="auto" w:fill="F1F1F1"/>
      <w:spacing w:before="100" w:beforeAutospacing="1" w:after="100" w:afterAutospacing="1"/>
    </w:pPr>
  </w:style>
  <w:style w:type="paragraph" w:customStyle="1" w:styleId="bg-greycolorlevel3">
    <w:name w:val="bg-greycolorlevel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tableheaderlevel1">
    <w:name w:val="tableheaderlevel1"/>
    <w:basedOn w:val="Normal"/>
    <w:pPr>
      <w:shd w:val="clear" w:color="auto" w:fill="CDCCCC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ontentverdana70perbold">
    <w:name w:val="contentverdana70perbold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contentverdana100per">
    <w:name w:val="contentverdana10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</w:rPr>
  </w:style>
  <w:style w:type="paragraph" w:customStyle="1" w:styleId="tableheaderlevel3">
    <w:name w:val="tableheaderlevel3"/>
    <w:basedOn w:val="Normal"/>
    <w:pPr>
      <w:shd w:val="clear" w:color="auto" w:fill="F1F1F1"/>
      <w:spacing w:before="100" w:beforeAutospacing="1" w:after="100" w:afterAutospacing="1"/>
    </w:pPr>
    <w:rPr>
      <w:rFonts w:ascii="Verdana" w:hAnsi="Verdana"/>
      <w:b/>
      <w:bCs/>
      <w:color w:val="606060"/>
      <w:sz w:val="17"/>
      <w:szCs w:val="17"/>
    </w:rPr>
  </w:style>
  <w:style w:type="paragraph" w:customStyle="1" w:styleId="tableheaderlevel2">
    <w:name w:val="tableheaderlevel2"/>
    <w:basedOn w:val="Normal"/>
    <w:pPr>
      <w:shd w:val="clear" w:color="auto" w:fill="E2E2E2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http://netcharts.worldbank.org/projects/ProjectsPortal/GenericOPSDisbGraph.cdx?type=png&amp;&amp;inputBottomLabel='2006%20Q4','2007%20Q2','2007%20Q4','2008%20Q2','2008%20Q4','2009%20Q2',%0A'2009%20Q4','2010%20Q2','2010%20Q4','2011%20Q2','2011%20Q4','2012%20Q2','2012%20Q%0A4','2013%20Q2','2013%20Q4','2014%20Q2',%0A&amp;inputDataSet1=0,0,1.1,1.1,1.1,1.1,1.1,1.1,1.1,1.1,1.1,1.1,1.1,1.1,1.1,1.1,&amp;inputDataSet2=0,0,0,0.3,0.9,1.59,2.37,3.12,3.72,4.23,4.65,5.04,5.4,5.73,6.03,6.03,&amp;inputDataSet3=0,0,0,0.6,0.89,1.14,1.32,1.32,1.49,,,,,,,,&amp;inputDataSet4='US%20$%20Millions'&amp;inputChartSize=(600,300)&amp;inputHeader=('',black,'sansserif',8,0)&amp;inputLeftAxis=('US$%20million',black,'Times%20New%20Roman',12,90)&amp;inputBottomAxis=('FY',black,'Times%20New%20Roman',12,0)&amp;inputLS=('Original','navy'),('Form.%20Revised','teal'),('Actual','red')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The World Bank Group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>Gustavo de Montalvao G. Abath</dc:creator>
  <cp:lastModifiedBy>Cindy Yijing Jiang</cp:lastModifiedBy>
  <cp:revision>4</cp:revision>
  <dcterms:created xsi:type="dcterms:W3CDTF">2014-03-20T17:07:00Z</dcterms:created>
  <dcterms:modified xsi:type="dcterms:W3CDTF">2014-04-15T17:04:00Z</dcterms:modified>
</cp:coreProperties>
</file>