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166" w:rsidRPr="00AF5CDC" w:rsidRDefault="0070748C" w:rsidP="00756C8E">
      <w:pPr>
        <w:pStyle w:val="NoSpacing"/>
        <w:jc w:val="center"/>
        <w:rPr>
          <w:rFonts w:ascii="Cambria" w:hAnsi="Cambria"/>
          <w:b/>
          <w:color w:val="244061"/>
          <w:sz w:val="56"/>
          <w:szCs w:val="56"/>
        </w:rPr>
      </w:pPr>
      <w:r>
        <w:rPr>
          <w:rFonts w:ascii="Cambria" w:hAnsi="Cambria"/>
          <w:b/>
          <w:noProof/>
          <w:color w:val="244061"/>
          <w:sz w:val="56"/>
          <w:szCs w:val="56"/>
        </w:rPr>
        <mc:AlternateContent>
          <mc:Choice Requires="wps">
            <w:drawing>
              <wp:anchor distT="0" distB="0" distL="114300" distR="114300" simplePos="0" relativeHeight="251682816" behindDoc="0" locked="0" layoutInCell="1" allowOverlap="1" wp14:anchorId="6B18E6E1" wp14:editId="355E3276">
                <wp:simplePos x="0" y="0"/>
                <wp:positionH relativeFrom="margin">
                  <wp:posOffset>4953000</wp:posOffset>
                </wp:positionH>
                <wp:positionV relativeFrom="margin">
                  <wp:posOffset>-762000</wp:posOffset>
                </wp:positionV>
                <wp:extent cx="1419225" cy="5143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141922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748C" w:rsidRPr="0070748C" w:rsidRDefault="0070748C">
                            <w:pPr>
                              <w:rPr>
                                <w:rFonts w:ascii="Arial" w:hAnsi="Arial" w:cs="Arial"/>
                                <w:sz w:val="44"/>
                                <w:szCs w:val="44"/>
                              </w:rPr>
                            </w:pPr>
                            <w:r>
                              <w:rPr>
                                <w:rFonts w:ascii="Arial" w:hAnsi="Arial" w:cs="Arial"/>
                                <w:sz w:val="44"/>
                                <w:szCs w:val="44"/>
                              </w:rPr>
                              <w:t>9180</w:t>
                            </w:r>
                            <w:bookmarkStart w:id="0" w:name="_GoBack"/>
                            <w:bookmarkEnd w:id="0"/>
                            <w:r>
                              <w:rPr>
                                <w:rFonts w:ascii="Arial" w:hAnsi="Arial" w:cs="Arial"/>
                                <w:sz w:val="44"/>
                                <w:szCs w:val="4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390pt;margin-top:-60pt;width:111.75pt;height:40.5pt;z-index:25168281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" fillcolor="white [3201]" stroked="f" strokeweight=".5pt">
                <v:textbox>
                  <w:txbxContent>
                    <w:p w:rsidR="0070748C" w:rsidRPr="0070748C" w:rsidRDefault="0070748C">
                      <w:pPr>
                        <w:rPr>
                          <w:rFonts w:ascii="Arial" w:hAnsi="Arial" w:cs="Arial"/>
                          <w:sz w:val="44"/>
                          <w:szCs w:val="44"/>
                        </w:rPr>
                      </w:pPr>
                      <w:r>
                        <w:rPr>
                          <w:rFonts w:ascii="Arial" w:hAnsi="Arial" w:cs="Arial"/>
                          <w:sz w:val="44"/>
                          <w:szCs w:val="44"/>
                        </w:rPr>
                        <w:t>9180</w:t>
                      </w:r>
                      <w:bookmarkStart w:id="1" w:name="_GoBack"/>
                      <w:bookmarkEnd w:id="1"/>
                      <w:r>
                        <w:rPr>
                          <w:rFonts w:ascii="Arial" w:hAnsi="Arial" w:cs="Arial"/>
                          <w:sz w:val="44"/>
                          <w:szCs w:val="44"/>
                        </w:rPr>
                        <w:t>9</w:t>
                      </w:r>
                    </w:p>
                  </w:txbxContent>
                </v:textbox>
                <w10:wrap anchorx="margin" anchory="margin"/>
              </v:shape>
            </w:pict>
          </mc:Fallback>
        </mc:AlternateContent>
      </w:r>
      <w:r w:rsidR="00EE7166" w:rsidRPr="00AF5CDC">
        <w:rPr>
          <w:rFonts w:ascii="Cambria" w:hAnsi="Cambria"/>
          <w:b/>
          <w:color w:val="244061"/>
          <w:sz w:val="56"/>
          <w:szCs w:val="56"/>
        </w:rPr>
        <w:t>GHANA ECONOMIC UPDATE</w:t>
      </w:r>
    </w:p>
    <w:p w:rsidR="00EE7166" w:rsidRPr="00936FED" w:rsidRDefault="00A5210E" w:rsidP="00756C8E">
      <w:pPr>
        <w:ind w:right="360"/>
        <w:jc w:val="center"/>
        <w:rPr>
          <w:noProof/>
          <w:color w:val="244061"/>
          <w:sz w:val="56"/>
          <w:szCs w:val="56"/>
          <w:lang w:eastAsia="zh-TW"/>
        </w:rPr>
      </w:pPr>
      <w:r>
        <w:rPr>
          <w:rFonts w:ascii="Cambria" w:hAnsi="Cambria"/>
          <w:noProof/>
          <w:sz w:val="36"/>
          <w:szCs w:val="36"/>
        </w:rPr>
        <mc:AlternateContent>
          <mc:Choice Requires="wpg">
            <w:drawing>
              <wp:anchor distT="0" distB="0" distL="114300" distR="114300" simplePos="0" relativeHeight="251653120" behindDoc="0" locked="0" layoutInCell="1" allowOverlap="1" wp14:anchorId="7820C62D" wp14:editId="1C5FA6B5">
                <wp:simplePos x="0" y="0"/>
                <wp:positionH relativeFrom="column">
                  <wp:posOffset>-234950</wp:posOffset>
                </wp:positionH>
                <wp:positionV relativeFrom="paragraph">
                  <wp:posOffset>352425</wp:posOffset>
                </wp:positionV>
                <wp:extent cx="6423025" cy="333375"/>
                <wp:effectExtent l="0" t="0" r="15875" b="28575"/>
                <wp:wrapNone/>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333375"/>
                          <a:chOff x="675" y="1657"/>
                          <a:chExt cx="10847" cy="525"/>
                        </a:xfrm>
                      </wpg:grpSpPr>
                      <wps:wsp>
                        <wps:cNvPr id="6" name="AutoShape 11"/>
                        <wps:cNvCnPr>
                          <a:cxnSpLocks noChangeShapeType="1"/>
                        </wps:cNvCnPr>
                        <wps:spPr bwMode="auto">
                          <a:xfrm>
                            <a:off x="675" y="2002"/>
                            <a:ext cx="585" cy="0"/>
                          </a:xfrm>
                          <a:prstGeom prst="straightConnector1">
                            <a:avLst/>
                          </a:prstGeom>
                          <a:noFill/>
                          <a:ln w="22225">
                            <a:solidFill>
                              <a:srgbClr val="17365D"/>
                            </a:solidFill>
                            <a:round/>
                            <a:headEnd/>
                            <a:tailEnd/>
                          </a:ln>
                          <a:extLst>
                            <a:ext uri="{909E8E84-426E-40DD-AFC4-6F175D3DCCD1}">
                              <a14:hiddenFill xmlns:a14="http://schemas.microsoft.com/office/drawing/2010/main">
                                <a:noFill/>
                              </a14:hiddenFill>
                            </a:ext>
                          </a:extLst>
                        </wps:spPr>
                        <wps:bodyPr/>
                      </wps:wsp>
                      <wps:wsp>
                        <wps:cNvPr id="9" name="AutoShape 12"/>
                        <wps:cNvCnPr>
                          <a:cxnSpLocks noChangeShapeType="1"/>
                        </wps:cNvCnPr>
                        <wps:spPr bwMode="auto">
                          <a:xfrm flipV="1">
                            <a:off x="1260" y="1657"/>
                            <a:ext cx="90" cy="345"/>
                          </a:xfrm>
                          <a:prstGeom prst="straightConnector1">
                            <a:avLst/>
                          </a:prstGeom>
                          <a:noFill/>
                          <a:ln w="22225">
                            <a:solidFill>
                              <a:srgbClr val="17365D"/>
                            </a:solidFill>
                            <a:round/>
                            <a:headEnd/>
                            <a:tailEnd/>
                          </a:ln>
                          <a:extLst>
                            <a:ext uri="{909E8E84-426E-40DD-AFC4-6F175D3DCCD1}">
                              <a14:hiddenFill xmlns:a14="http://schemas.microsoft.com/office/drawing/2010/main">
                                <a:noFill/>
                              </a14:hiddenFill>
                            </a:ext>
                          </a:extLst>
                        </wps:spPr>
                        <wps:bodyPr/>
                      </wps:wsp>
                      <wps:wsp>
                        <wps:cNvPr id="10" name="AutoShape 13"/>
                        <wps:cNvCnPr>
                          <a:cxnSpLocks noChangeShapeType="1"/>
                        </wps:cNvCnPr>
                        <wps:spPr bwMode="auto">
                          <a:xfrm>
                            <a:off x="1350" y="1657"/>
                            <a:ext cx="150" cy="525"/>
                          </a:xfrm>
                          <a:prstGeom prst="straightConnector1">
                            <a:avLst/>
                          </a:prstGeom>
                          <a:noFill/>
                          <a:ln w="22225">
                            <a:solidFill>
                              <a:srgbClr val="17365D"/>
                            </a:solidFill>
                            <a:round/>
                            <a:headEnd/>
                            <a:tailEnd/>
                          </a:ln>
                          <a:extLst>
                            <a:ext uri="{909E8E84-426E-40DD-AFC4-6F175D3DCCD1}">
                              <a14:hiddenFill xmlns:a14="http://schemas.microsoft.com/office/drawing/2010/main">
                                <a:noFill/>
                              </a14:hiddenFill>
                            </a:ext>
                          </a:extLst>
                        </wps:spPr>
                        <wps:bodyPr/>
                      </wps:wsp>
                      <wps:wsp>
                        <wps:cNvPr id="7" name="AutoShape 14"/>
                        <wps:cNvCnPr>
                          <a:cxnSpLocks noChangeShapeType="1"/>
                        </wps:cNvCnPr>
                        <wps:spPr bwMode="auto">
                          <a:xfrm flipV="1">
                            <a:off x="1500" y="1912"/>
                            <a:ext cx="75" cy="270"/>
                          </a:xfrm>
                          <a:prstGeom prst="straightConnector1">
                            <a:avLst/>
                          </a:prstGeom>
                          <a:noFill/>
                          <a:ln w="22225">
                            <a:solidFill>
                              <a:srgbClr val="17365D"/>
                            </a:solidFill>
                            <a:round/>
                            <a:headEnd/>
                            <a:tailEnd/>
                          </a:ln>
                          <a:extLst>
                            <a:ext uri="{909E8E84-426E-40DD-AFC4-6F175D3DCCD1}">
                              <a14:hiddenFill xmlns:a14="http://schemas.microsoft.com/office/drawing/2010/main">
                                <a:noFill/>
                              </a14:hiddenFill>
                            </a:ext>
                          </a:extLst>
                        </wps:spPr>
                        <wps:bodyPr/>
                      </wps:wsp>
                      <wps:wsp>
                        <wps:cNvPr id="13" name="AutoShape 15"/>
                        <wps:cNvCnPr>
                          <a:cxnSpLocks noChangeShapeType="1"/>
                        </wps:cNvCnPr>
                        <wps:spPr bwMode="auto">
                          <a:xfrm>
                            <a:off x="1575" y="1912"/>
                            <a:ext cx="105" cy="90"/>
                          </a:xfrm>
                          <a:prstGeom prst="straightConnector1">
                            <a:avLst/>
                          </a:prstGeom>
                          <a:noFill/>
                          <a:ln w="22225">
                            <a:solidFill>
                              <a:srgbClr val="17365D"/>
                            </a:solidFill>
                            <a:round/>
                            <a:headEnd/>
                            <a:tailEnd/>
                          </a:ln>
                          <a:extLst>
                            <a:ext uri="{909E8E84-426E-40DD-AFC4-6F175D3DCCD1}">
                              <a14:hiddenFill xmlns:a14="http://schemas.microsoft.com/office/drawing/2010/main">
                                <a:noFill/>
                              </a14:hiddenFill>
                            </a:ext>
                          </a:extLst>
                        </wps:spPr>
                        <wps:bodyPr/>
                      </wps:wsp>
                      <wps:wsp>
                        <wps:cNvPr id="15" name="AutoShape 16"/>
                        <wps:cNvCnPr>
                          <a:cxnSpLocks noChangeShapeType="1"/>
                        </wps:cNvCnPr>
                        <wps:spPr bwMode="auto">
                          <a:xfrm>
                            <a:off x="1680" y="2002"/>
                            <a:ext cx="9842" cy="0"/>
                          </a:xfrm>
                          <a:prstGeom prst="straightConnector1">
                            <a:avLst/>
                          </a:prstGeom>
                          <a:noFill/>
                          <a:ln w="22225">
                            <a:solidFill>
                              <a:srgbClr val="17365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18.5pt;margin-top:27.75pt;width:505.75pt;height:26.25pt;z-index:251653120" coordorigin="675,1657" coordsize="1084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">
                <v:shapetype id="_x0000_t32" coordsize="21600,21600" o:spt="32" o:oned="t" path="m,l21600,21600e" filled="f">
                  <v:path arrowok="t" fillok="f" o:connecttype="none"/>
                  <o:lock v:ext="edit" shapetype="t"/>
                </v:shapetype>
                <v:shape id="AutoShape 11" o:spid="_x0000_s1027" type="#_x0000_t32" style="position:absolute;left:675;top:2002;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LMKr0AAADaAAAADwAAAGRycy9kb3ducmV2LnhtbESPzQrCMBCE74LvEFbwpmk9SK1GEaHi&#10;Tfy7L83aFptNaaJWn94IgsdhZr5hFqvO1OJBrassK4jHEQji3OqKCwXnUzZKQDiPrLG2TApe5GC1&#10;7PcWmGr75AM9jr4QAcIuRQWl900qpctLMujGtiEO3tW2Bn2QbSF1i88AN7WcRNFUGqw4LJTY0Kak&#10;/Ha8GwXNPt5m9SXaTN6z3UlSkiWyi5UaDrr1HISnzv/Dv/ZOK5jC90q4AXL5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PCzCq9AAAA2gAAAA8AAAAAAAAAAAAAAAAAoQIA&#10;AGRycy9kb3ducmV2LnhtbFBLBQYAAAAABAAEAPkAAACLAwAAAAA=&#10;" strokecolor="#17365d" strokeweight="1.75pt"/>
                <v:shape id="AutoShape 12" o:spid="_x0000_s1028" type="#_x0000_t32" style="position:absolute;left:1260;top:1657;width:90;height:3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v0KsIAAADaAAAADwAAAGRycy9kb3ducmV2LnhtbESPQWvCQBSE7wX/w/IEb81G0aIxq0gg&#10;0INQEsXzM/tMgtm3IbvV+O+7hUKPw8x8w6T70XTiQYNrLSuYRzEI4srqlmsF51P+vgbhPLLGzjIp&#10;eJGD/W7ylmKi7ZMLepS+FgHCLkEFjfd9IqWrGjLoItsTB+9mB4M+yKGWesBngJtOLuL4QxpsOSw0&#10;2FPWUHUvv42CvCir8mrlsVgt73aF9WXzlS2Umk3HwxaEp9H/h//an1rBBn6vhBs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v0KsIAAADaAAAADwAAAAAAAAAAAAAA&#10;AAChAgAAZHJzL2Rvd25yZXYueG1sUEsFBgAAAAAEAAQA+QAAAJADAAAAAA==&#10;" strokecolor="#17365d" strokeweight="1.75pt"/>
                <v:shape id="AutoShape 13" o:spid="_x0000_s1029" type="#_x0000_t32" style="position:absolute;left:1350;top:1657;width:15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hxsIAAADbAAAADwAAAGRycy9kb3ducmV2LnhtbESPQWvDMAyF74P+B6NBb6uTHkqW1S2j&#10;kJHbaLLdRawmobEcYrfJ9uurw2A3iff03qf9cXGDutMUes8G0k0CirjxtufWwFddvGSgQkS2OHgm&#10;Az8U4HhYPe0xt37mM92r2CoJ4ZCjgS7GMdc6NB05DBs/Eot28ZPDKOvUajvhLOFu0Nsk2WmHPUtD&#10;hyOdOmqu1c0ZGD/Tj2L4Tk7b39ey1pQVmV5SY9bPy/sbqEhL/Df/XZdW8IVefpEB9OE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hxsIAAADbAAAADwAAAAAAAAAAAAAA&#10;AAChAgAAZHJzL2Rvd25yZXYueG1sUEsFBgAAAAAEAAQA+QAAAJADAAAAAA==&#10;" strokecolor="#17365d" strokeweight="1.75pt"/>
                <v:shape id="AutoShape 14" o:spid="_x0000_s1030" type="#_x0000_t32" style="position:absolute;left:1500;top:1912;width:75;height:2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jFw8EAAADaAAAADwAAAGRycy9kb3ducmV2LnhtbESPQYvCMBSE7wv7H8Jb8LamK7pqNZVF&#10;EDwI0iqen82zLW1eShO1/nsjCHscZuYbZrnqTSNu1LnKsoKfYQSCOLe64kLB8bD5noFwHlljY5kU&#10;PMjBKvn8WGKs7Z1TumW+EAHCLkYFpfdtLKXLSzLohrYlDt7FdgZ9kF0hdYf3ADeNHEXRrzRYcVgo&#10;saV1SXmdXY2CTZrl2dnKXToZ13aCxWm+X4+UGnz1fwsQnnr/H363t1rBFF5Xwg2Qy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MXDwQAAANoAAAAPAAAAAAAAAAAAAAAA&#10;AKECAABkcnMvZG93bnJldi54bWxQSwUGAAAAAAQABAD5AAAAjwMAAAAA&#10;" strokecolor="#17365d" strokeweight="1.75pt"/>
                <v:shape id="AutoShape 15" o:spid="_x0000_s1031" type="#_x0000_t32" style="position:absolute;left:1575;top:1912;width:105;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sb4AAADbAAAADwAAAGRycy9kb3ducmV2LnhtbERPy6rCMBDdC/5DGMGdTasgtRpFhF7c&#10;XXzth2Zsi82kNFF7/XpzQXA3h/Oc1aY3jXhQ52rLCpIoBkFcWF1zqeB8yicpCOeRNTaWScEfOdis&#10;h4MVZto++UCPoy9FCGGXoYLK+zaT0hUVGXSRbYkDd7WdQR9gV0rd4TOEm0ZO43guDdYcGipsaVdR&#10;cTvejYL2N/nJm0u8m74W+5OkNE9lnyg1HvXbJQhPvf+KP+69DvNn8P9LOECu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M/+xvgAAANsAAAAPAAAAAAAAAAAAAAAAAKEC&#10;AABkcnMvZG93bnJldi54bWxQSwUGAAAAAAQABAD5AAAAjAMAAAAA&#10;" strokecolor="#17365d" strokeweight="1.75pt"/>
                <v:shape id="AutoShape 16" o:spid="_x0000_s1032" type="#_x0000_t32" style="position:absolute;left:1680;top:2002;width:98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CXr4AAADbAAAADwAAAGRycy9kb3ducmV2LnhtbERPy6rCMBDdC/5DGMGdTSsotRpFhF7c&#10;XXzth2Zsi82kNFF7/XpzQXA3h/Oc1aY3jXhQ52rLCpIoBkFcWF1zqeB8yicpCOeRNTaWScEfOdis&#10;h4MVZto++UCPoy9FCGGXoYLK+zaT0hUVGXSRbYkDd7WdQR9gV0rd4TOEm0ZO43guDdYcGipsaVdR&#10;cTvejYL2N/nJm0u8m74W+5OkNE9lnyg1HvXbJQhPvf+KP+69DvNn8P9LOECu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7lsJevgAAANsAAAAPAAAAAAAAAAAAAAAAAKEC&#10;AABkcnMvZG93bnJldi54bWxQSwUGAAAAAAQABAD5AAAAjAMAAAAA&#10;" strokecolor="#17365d" strokeweight="1.75pt"/>
              </v:group>
            </w:pict>
          </mc:Fallback>
        </mc:AlternateContent>
      </w:r>
      <w:r w:rsidR="00E56AFF">
        <w:rPr>
          <w:noProof/>
          <w:color w:val="244061"/>
          <w:sz w:val="56"/>
          <w:szCs w:val="56"/>
          <w:lang w:eastAsia="zh-TW"/>
        </w:rPr>
        <w:t>October</w:t>
      </w:r>
      <w:r w:rsidR="00487CF1">
        <w:rPr>
          <w:noProof/>
          <w:color w:val="244061"/>
          <w:sz w:val="56"/>
          <w:szCs w:val="56"/>
          <w:lang w:eastAsia="zh-TW"/>
        </w:rPr>
        <w:t xml:space="preserve"> 2014</w:t>
      </w:r>
    </w:p>
    <w:p w:rsidR="00EE7166" w:rsidRDefault="00EE7166" w:rsidP="00EE7166">
      <w:pPr>
        <w:pStyle w:val="NoSpacing"/>
        <w:rPr>
          <w:rFonts w:ascii="Cambria" w:hAnsi="Cambria"/>
          <w:sz w:val="36"/>
          <w:szCs w:val="36"/>
        </w:rPr>
      </w:pPr>
    </w:p>
    <w:tbl>
      <w:tblPr>
        <w:tblW w:w="5838" w:type="pct"/>
        <w:jc w:val="center"/>
        <w:tblLayout w:type="fixed"/>
        <w:tblLook w:val="04A0" w:firstRow="1" w:lastRow="0" w:firstColumn="1" w:lastColumn="0" w:noHBand="0" w:noVBand="1"/>
      </w:tblPr>
      <w:tblGrid>
        <w:gridCol w:w="5347"/>
        <w:gridCol w:w="5834"/>
      </w:tblGrid>
      <w:tr w:rsidR="00FD6188" w:rsidRPr="005C3A70" w:rsidTr="00326F87">
        <w:trPr>
          <w:trHeight w:val="2875"/>
          <w:jc w:val="center"/>
        </w:trPr>
        <w:tc>
          <w:tcPr>
            <w:tcW w:w="2391" w:type="pct"/>
            <w:tcBorders>
              <w:bottom w:val="nil"/>
            </w:tcBorders>
          </w:tcPr>
          <w:p w:rsidR="002535E7" w:rsidRPr="005C3A70" w:rsidRDefault="00D91E2A" w:rsidP="00710E01">
            <w:pPr>
              <w:ind w:left="-108" w:right="-86"/>
              <w:jc w:val="left"/>
              <w:rPr>
                <w:noProof/>
              </w:rPr>
            </w:pPr>
            <w:r>
              <w:rPr>
                <w:noProof/>
              </w:rPr>
              <w:drawing>
                <wp:inline distT="0" distB="0" distL="0" distR="0" wp14:anchorId="1C8B390F" wp14:editId="2418BCFB">
                  <wp:extent cx="3460090" cy="447690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0090" cy="4476902"/>
                          </a:xfrm>
                          <a:prstGeom prst="rect">
                            <a:avLst/>
                          </a:prstGeom>
                          <a:noFill/>
                        </pic:spPr>
                      </pic:pic>
                    </a:graphicData>
                  </a:graphic>
                </wp:inline>
              </w:drawing>
            </w:r>
          </w:p>
        </w:tc>
        <w:tc>
          <w:tcPr>
            <w:tcW w:w="2609" w:type="pct"/>
            <w:vMerge w:val="restart"/>
            <w:tcBorders>
              <w:bottom w:val="nil"/>
            </w:tcBorders>
          </w:tcPr>
          <w:p w:rsidR="005A11B6" w:rsidRDefault="00D91E2A" w:rsidP="00F24879">
            <w:pPr>
              <w:tabs>
                <w:tab w:val="left" w:pos="4508"/>
              </w:tabs>
              <w:jc w:val="left"/>
              <w:rPr>
                <w:sz w:val="10"/>
                <w:szCs w:val="10"/>
              </w:rPr>
            </w:pPr>
            <w:r>
              <w:rPr>
                <w:noProof/>
              </w:rPr>
              <w:drawing>
                <wp:inline distT="0" distB="0" distL="0" distR="0" wp14:anchorId="6416BC6D" wp14:editId="57479A3B">
                  <wp:extent cx="3489350" cy="21726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9350" cy="2172614"/>
                          </a:xfrm>
                          <a:prstGeom prst="rect">
                            <a:avLst/>
                          </a:prstGeom>
                          <a:noFill/>
                          <a:ln>
                            <a:noFill/>
                          </a:ln>
                        </pic:spPr>
                      </pic:pic>
                    </a:graphicData>
                  </a:graphic>
                </wp:inline>
              </w:drawing>
            </w:r>
            <w:r w:rsidR="00F655F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F32FB3" w:rsidRPr="00936FED" w:rsidRDefault="00A1202E" w:rsidP="00F24879">
            <w:pPr>
              <w:tabs>
                <w:tab w:val="left" w:pos="4508"/>
              </w:tabs>
              <w:jc w:val="left"/>
              <w:rPr>
                <w:sz w:val="10"/>
                <w:szCs w:val="10"/>
              </w:rPr>
            </w:pPr>
            <w:r>
              <w:rPr>
                <w:noProof/>
                <w:sz w:val="10"/>
                <w:szCs w:val="10"/>
              </w:rPr>
              <w:drawing>
                <wp:inline distT="0" distB="0" distL="0" distR="0" wp14:anchorId="70F4B434" wp14:editId="76B228DF">
                  <wp:extent cx="3489349" cy="2304288"/>
                  <wp:effectExtent l="0" t="0" r="0" b="1270"/>
                  <wp:docPr id="175" name="Picture 175" descr="C:\Users\wb368095\Pictures\september 2014\NAGRAT-CCT-d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wb368095\Pictures\september 2014\NAGRAT-CCT-dem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3350" cy="2306930"/>
                          </a:xfrm>
                          <a:prstGeom prst="rect">
                            <a:avLst/>
                          </a:prstGeom>
                          <a:noFill/>
                          <a:ln>
                            <a:noFill/>
                          </a:ln>
                        </pic:spPr>
                      </pic:pic>
                    </a:graphicData>
                  </a:graphic>
                </wp:inline>
              </w:drawing>
            </w:r>
          </w:p>
        </w:tc>
      </w:tr>
      <w:tr w:rsidR="00FD6188" w:rsidRPr="005C3A70" w:rsidTr="00326F87">
        <w:trPr>
          <w:trHeight w:val="874"/>
          <w:jc w:val="center"/>
        </w:trPr>
        <w:tc>
          <w:tcPr>
            <w:tcW w:w="2391" w:type="pct"/>
          </w:tcPr>
          <w:p w:rsidR="002535E7" w:rsidRDefault="002535E7" w:rsidP="00F24879">
            <w:pPr>
              <w:ind w:right="-86"/>
              <w:jc w:val="left"/>
              <w:rPr>
                <w:noProof/>
              </w:rPr>
            </w:pPr>
          </w:p>
        </w:tc>
        <w:tc>
          <w:tcPr>
            <w:tcW w:w="2609" w:type="pct"/>
            <w:vMerge/>
          </w:tcPr>
          <w:p w:rsidR="002535E7" w:rsidRDefault="002535E7" w:rsidP="00D907FF">
            <w:pPr>
              <w:jc w:val="left"/>
              <w:rPr>
                <w:noProof/>
              </w:rPr>
            </w:pPr>
          </w:p>
        </w:tc>
      </w:tr>
    </w:tbl>
    <w:p w:rsidR="00EE7166" w:rsidRDefault="00EE7166" w:rsidP="00EE7166">
      <w:pPr>
        <w:ind w:right="720"/>
        <w:jc w:val="right"/>
        <w:rPr>
          <w:b/>
          <w:noProof/>
          <w:color w:val="244061"/>
          <w:szCs w:val="22"/>
          <w:lang w:eastAsia="zh-TW"/>
        </w:rPr>
      </w:pPr>
    </w:p>
    <w:p w:rsidR="004969BC" w:rsidRDefault="004969BC" w:rsidP="00EE7166">
      <w:pPr>
        <w:ind w:right="720"/>
        <w:jc w:val="right"/>
        <w:rPr>
          <w:b/>
          <w:noProof/>
          <w:color w:val="244061"/>
          <w:szCs w:val="22"/>
          <w:lang w:eastAsia="zh-TW"/>
        </w:rPr>
      </w:pPr>
    </w:p>
    <w:p w:rsidR="00EE7166" w:rsidRDefault="00A5210E" w:rsidP="00EE7166">
      <w:pPr>
        <w:ind w:right="180"/>
        <w:jc w:val="right"/>
        <w:rPr>
          <w:noProof/>
          <w:lang w:eastAsia="zh-TW"/>
        </w:rPr>
      </w:pPr>
      <w:r>
        <w:rPr>
          <w:noProof/>
        </w:rPr>
        <w:drawing>
          <wp:inline distT="0" distB="0" distL="0" distR="0" wp14:anchorId="2BD6E820" wp14:editId="6E93E9DD">
            <wp:extent cx="585470" cy="577850"/>
            <wp:effectExtent l="0" t="0" r="5080" b="0"/>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470" cy="577850"/>
                    </a:xfrm>
                    <a:prstGeom prst="rect">
                      <a:avLst/>
                    </a:prstGeom>
                    <a:noFill/>
                    <a:ln>
                      <a:noFill/>
                    </a:ln>
                  </pic:spPr>
                </pic:pic>
              </a:graphicData>
            </a:graphic>
          </wp:inline>
        </w:drawing>
      </w:r>
    </w:p>
    <w:p w:rsidR="00EE7166" w:rsidRDefault="00EE7166" w:rsidP="00EE7166">
      <w:pPr>
        <w:jc w:val="right"/>
        <w:rPr>
          <w:noProof/>
          <w:lang w:eastAsia="zh-TW"/>
        </w:rPr>
      </w:pPr>
    </w:p>
    <w:p w:rsidR="00EE7166" w:rsidRPr="00FB3688" w:rsidRDefault="005E1123" w:rsidP="00EE7166">
      <w:pPr>
        <w:ind w:right="180"/>
        <w:jc w:val="right"/>
        <w:rPr>
          <w:b/>
          <w:noProof/>
          <w:color w:val="244061"/>
          <w:sz w:val="40"/>
          <w:szCs w:val="40"/>
          <w:lang w:eastAsia="zh-TW"/>
        </w:rPr>
      </w:pPr>
      <w:r>
        <w:rPr>
          <w:b/>
          <w:noProof/>
          <w:color w:val="244061"/>
          <w:sz w:val="40"/>
          <w:szCs w:val="40"/>
          <w:lang w:eastAsia="zh-TW"/>
        </w:rPr>
        <w:t>AFTP3</w:t>
      </w:r>
    </w:p>
    <w:p w:rsidR="00EE7166" w:rsidRPr="00FB3688" w:rsidRDefault="00EE7166" w:rsidP="00EE7166">
      <w:pPr>
        <w:ind w:right="180"/>
        <w:jc w:val="right"/>
        <w:rPr>
          <w:b/>
          <w:noProof/>
          <w:color w:val="244061"/>
          <w:sz w:val="40"/>
          <w:szCs w:val="40"/>
          <w:lang w:eastAsia="zh-TW"/>
        </w:rPr>
      </w:pPr>
      <w:r w:rsidRPr="00FB3688">
        <w:rPr>
          <w:b/>
          <w:noProof/>
          <w:color w:val="244061"/>
          <w:sz w:val="40"/>
          <w:szCs w:val="40"/>
          <w:lang w:eastAsia="zh-TW"/>
        </w:rPr>
        <w:t>Africa Region</w:t>
      </w:r>
    </w:p>
    <w:p w:rsidR="00EE7166" w:rsidRPr="00FB3688" w:rsidRDefault="00EE7166" w:rsidP="00EE7166">
      <w:pPr>
        <w:jc w:val="right"/>
        <w:rPr>
          <w:b/>
        </w:rPr>
      </w:pPr>
      <w:r w:rsidRPr="00FB3688">
        <w:rPr>
          <w:b/>
          <w:noProof/>
          <w:color w:val="244061"/>
          <w:sz w:val="40"/>
          <w:szCs w:val="40"/>
          <w:lang w:eastAsia="zh-TW"/>
        </w:rPr>
        <w:t>The World Bank</w:t>
      </w:r>
    </w:p>
    <w:p w:rsidR="008A7712" w:rsidRPr="002F4F47" w:rsidRDefault="007F2E4D" w:rsidP="002F4F47">
      <w:pPr>
        <w:spacing w:line="276" w:lineRule="auto"/>
        <w:jc w:val="left"/>
        <w:rPr>
          <w:b/>
          <w:noProof/>
          <w:color w:val="17365D"/>
          <w:sz w:val="40"/>
          <w:szCs w:val="40"/>
          <w:lang w:eastAsia="zh-TW"/>
        </w:rPr>
      </w:pPr>
      <w:r w:rsidRPr="002F4F47">
        <w:rPr>
          <w:b/>
          <w:noProof/>
          <w:color w:val="17365D"/>
          <w:sz w:val="40"/>
          <w:szCs w:val="40"/>
          <w:lang w:eastAsia="zh-TW"/>
        </w:rPr>
        <w:lastRenderedPageBreak/>
        <w:t>C</w:t>
      </w:r>
      <w:r w:rsidR="0018477F" w:rsidRPr="002F4F47">
        <w:rPr>
          <w:b/>
          <w:noProof/>
          <w:color w:val="17365D"/>
          <w:sz w:val="40"/>
          <w:szCs w:val="40"/>
          <w:lang w:eastAsia="zh-TW"/>
        </w:rPr>
        <w:t>ontent</w:t>
      </w:r>
      <w:r w:rsidR="00AF171F" w:rsidRPr="002F4F47">
        <w:rPr>
          <w:b/>
          <w:noProof/>
          <w:color w:val="17365D"/>
          <w:sz w:val="40"/>
          <w:szCs w:val="40"/>
          <w:lang w:eastAsia="zh-TW"/>
        </w:rPr>
        <w:t>s</w:t>
      </w:r>
    </w:p>
    <w:p w:rsidR="005C1E4A" w:rsidRDefault="005C1E4A" w:rsidP="00EE7166">
      <w:pPr>
        <w:spacing w:line="276" w:lineRule="auto"/>
        <w:jc w:val="left"/>
        <w:rPr>
          <w:b/>
          <w:noProof/>
          <w:color w:val="000000"/>
          <w:szCs w:val="22"/>
          <w:lang w:eastAsia="zh-TW"/>
        </w:rPr>
      </w:pPr>
    </w:p>
    <w:p w:rsidR="001C17CA" w:rsidRDefault="00F06CB3">
      <w:pPr>
        <w:pStyle w:val="TOC1"/>
        <w:tabs>
          <w:tab w:val="right" w:leader="dot" w:pos="9350"/>
        </w:tabs>
        <w:rPr>
          <w:rFonts w:asciiTheme="minorHAnsi" w:eastAsiaTheme="minorEastAsia" w:hAnsiTheme="minorHAnsi" w:cstheme="minorBidi"/>
          <w:noProof/>
          <w:color w:val="auto"/>
          <w:szCs w:val="22"/>
        </w:rPr>
      </w:pPr>
      <w:r w:rsidRPr="00535202">
        <w:rPr>
          <w:color w:val="000000"/>
          <w:szCs w:val="22"/>
        </w:rPr>
        <w:fldChar w:fldCharType="begin"/>
      </w:r>
      <w:r w:rsidR="000E05E5" w:rsidRPr="00535202">
        <w:rPr>
          <w:color w:val="000000"/>
          <w:szCs w:val="22"/>
        </w:rPr>
        <w:instrText xml:space="preserve"> TOC \o "1-3" \h \z \u </w:instrText>
      </w:r>
      <w:r w:rsidRPr="00535202">
        <w:rPr>
          <w:color w:val="000000"/>
          <w:szCs w:val="22"/>
        </w:rPr>
        <w:fldChar w:fldCharType="separate"/>
      </w:r>
      <w:hyperlink w:anchor="_Toc399919632" w:history="1">
        <w:r w:rsidR="001C17CA" w:rsidRPr="00FC6C11">
          <w:rPr>
            <w:rStyle w:val="Hyperlink"/>
            <w:i/>
            <w:noProof/>
          </w:rPr>
          <w:t>Foreword</w:t>
        </w:r>
        <w:r w:rsidR="001C17CA">
          <w:rPr>
            <w:noProof/>
            <w:webHidden/>
          </w:rPr>
          <w:tab/>
        </w:r>
        <w:r w:rsidR="001C17CA">
          <w:rPr>
            <w:noProof/>
            <w:webHidden/>
          </w:rPr>
          <w:fldChar w:fldCharType="begin"/>
        </w:r>
        <w:r w:rsidR="001C17CA">
          <w:rPr>
            <w:noProof/>
            <w:webHidden/>
          </w:rPr>
          <w:instrText xml:space="preserve"> PAGEREF _Toc399919632 \h </w:instrText>
        </w:r>
        <w:r w:rsidR="001C17CA">
          <w:rPr>
            <w:noProof/>
            <w:webHidden/>
          </w:rPr>
        </w:r>
        <w:r w:rsidR="001C17CA">
          <w:rPr>
            <w:noProof/>
            <w:webHidden/>
          </w:rPr>
          <w:fldChar w:fldCharType="separate"/>
        </w:r>
        <w:r w:rsidR="0070748C">
          <w:rPr>
            <w:noProof/>
            <w:webHidden/>
          </w:rPr>
          <w:t>1</w:t>
        </w:r>
        <w:r w:rsidR="001C17CA">
          <w:rPr>
            <w:noProof/>
            <w:webHidden/>
          </w:rPr>
          <w:fldChar w:fldCharType="end"/>
        </w:r>
      </w:hyperlink>
    </w:p>
    <w:p w:rsidR="001C17CA" w:rsidRDefault="0070748C">
      <w:pPr>
        <w:pStyle w:val="TOC1"/>
        <w:tabs>
          <w:tab w:val="right" w:leader="dot" w:pos="9350"/>
        </w:tabs>
        <w:rPr>
          <w:rFonts w:asciiTheme="minorHAnsi" w:eastAsiaTheme="minorEastAsia" w:hAnsiTheme="minorHAnsi" w:cstheme="minorBidi"/>
          <w:noProof/>
          <w:color w:val="auto"/>
          <w:szCs w:val="22"/>
        </w:rPr>
      </w:pPr>
      <w:hyperlink w:anchor="_Toc399919633" w:history="1">
        <w:r w:rsidR="001C17CA" w:rsidRPr="00FC6C11">
          <w:rPr>
            <w:rStyle w:val="Hyperlink"/>
            <w:rFonts w:eastAsia="Calibri" w:cs="Helv"/>
            <w:i/>
            <w:noProof/>
          </w:rPr>
          <w:t>Summary</w:t>
        </w:r>
        <w:r w:rsidR="001C17CA">
          <w:rPr>
            <w:noProof/>
            <w:webHidden/>
          </w:rPr>
          <w:tab/>
        </w:r>
        <w:r w:rsidR="001C17CA">
          <w:rPr>
            <w:noProof/>
            <w:webHidden/>
          </w:rPr>
          <w:fldChar w:fldCharType="begin"/>
        </w:r>
        <w:r w:rsidR="001C17CA">
          <w:rPr>
            <w:noProof/>
            <w:webHidden/>
          </w:rPr>
          <w:instrText xml:space="preserve"> PAGEREF _Toc399919633 \h </w:instrText>
        </w:r>
        <w:r w:rsidR="001C17CA">
          <w:rPr>
            <w:noProof/>
            <w:webHidden/>
          </w:rPr>
        </w:r>
        <w:r w:rsidR="001C17CA">
          <w:rPr>
            <w:noProof/>
            <w:webHidden/>
          </w:rPr>
          <w:fldChar w:fldCharType="separate"/>
        </w:r>
        <w:r>
          <w:rPr>
            <w:noProof/>
            <w:webHidden/>
          </w:rPr>
          <w:t>2</w:t>
        </w:r>
        <w:r w:rsidR="001C17CA">
          <w:rPr>
            <w:noProof/>
            <w:webHidden/>
          </w:rPr>
          <w:fldChar w:fldCharType="end"/>
        </w:r>
      </w:hyperlink>
    </w:p>
    <w:p w:rsidR="001C17CA" w:rsidRDefault="0070748C">
      <w:pPr>
        <w:pStyle w:val="TOC1"/>
        <w:tabs>
          <w:tab w:val="right" w:leader="dot" w:pos="9350"/>
        </w:tabs>
        <w:rPr>
          <w:rFonts w:asciiTheme="minorHAnsi" w:eastAsiaTheme="minorEastAsia" w:hAnsiTheme="minorHAnsi" w:cstheme="minorBidi"/>
          <w:noProof/>
          <w:color w:val="auto"/>
          <w:szCs w:val="22"/>
        </w:rPr>
      </w:pPr>
      <w:hyperlink w:anchor="_Toc399919634" w:history="1">
        <w:r w:rsidR="001C17CA" w:rsidRPr="00FC6C11">
          <w:rPr>
            <w:rStyle w:val="Hyperlink"/>
            <w:noProof/>
          </w:rPr>
          <w:t>Part I: Recent Economic Developments</w:t>
        </w:r>
        <w:r w:rsidR="001C17CA">
          <w:rPr>
            <w:noProof/>
            <w:webHidden/>
          </w:rPr>
          <w:tab/>
        </w:r>
        <w:r w:rsidR="001C17CA">
          <w:rPr>
            <w:noProof/>
            <w:webHidden/>
          </w:rPr>
          <w:fldChar w:fldCharType="begin"/>
        </w:r>
        <w:r w:rsidR="001C17CA">
          <w:rPr>
            <w:noProof/>
            <w:webHidden/>
          </w:rPr>
          <w:instrText xml:space="preserve"> PAGEREF _Toc399919634 \h </w:instrText>
        </w:r>
        <w:r w:rsidR="001C17CA">
          <w:rPr>
            <w:noProof/>
            <w:webHidden/>
          </w:rPr>
        </w:r>
        <w:r w:rsidR="001C17CA">
          <w:rPr>
            <w:noProof/>
            <w:webHidden/>
          </w:rPr>
          <w:fldChar w:fldCharType="separate"/>
        </w:r>
        <w:r>
          <w:rPr>
            <w:noProof/>
            <w:webHidden/>
          </w:rPr>
          <w:t>3</w:t>
        </w:r>
        <w:r w:rsidR="001C17CA">
          <w:rPr>
            <w:noProof/>
            <w:webHidden/>
          </w:rPr>
          <w:fldChar w:fldCharType="end"/>
        </w:r>
      </w:hyperlink>
    </w:p>
    <w:p w:rsidR="001C17CA" w:rsidRDefault="0070748C">
      <w:pPr>
        <w:pStyle w:val="TOC1"/>
        <w:tabs>
          <w:tab w:val="left" w:pos="440"/>
          <w:tab w:val="right" w:leader="dot" w:pos="9350"/>
        </w:tabs>
        <w:rPr>
          <w:rFonts w:asciiTheme="minorHAnsi" w:eastAsiaTheme="minorEastAsia" w:hAnsiTheme="minorHAnsi" w:cstheme="minorBidi"/>
          <w:noProof/>
          <w:color w:val="auto"/>
          <w:szCs w:val="22"/>
        </w:rPr>
      </w:pPr>
      <w:hyperlink w:anchor="_Toc399919635" w:history="1">
        <w:r w:rsidR="001C17CA" w:rsidRPr="00FC6C11">
          <w:rPr>
            <w:rStyle w:val="Hyperlink"/>
            <w:i/>
            <w:noProof/>
          </w:rPr>
          <w:t>1.</w:t>
        </w:r>
        <w:r w:rsidR="001C17CA">
          <w:rPr>
            <w:rFonts w:asciiTheme="minorHAnsi" w:eastAsiaTheme="minorEastAsia" w:hAnsiTheme="minorHAnsi" w:cstheme="minorBidi"/>
            <w:noProof/>
            <w:color w:val="auto"/>
            <w:szCs w:val="22"/>
          </w:rPr>
          <w:tab/>
        </w:r>
        <w:r w:rsidR="001C17CA" w:rsidRPr="00FC6C11">
          <w:rPr>
            <w:rStyle w:val="Hyperlink"/>
            <w:i/>
            <w:noProof/>
          </w:rPr>
          <w:t>Balance of Payments</w:t>
        </w:r>
        <w:r w:rsidR="001C17CA">
          <w:rPr>
            <w:noProof/>
            <w:webHidden/>
          </w:rPr>
          <w:tab/>
        </w:r>
        <w:r w:rsidR="001C17CA">
          <w:rPr>
            <w:noProof/>
            <w:webHidden/>
          </w:rPr>
          <w:fldChar w:fldCharType="begin"/>
        </w:r>
        <w:r w:rsidR="001C17CA">
          <w:rPr>
            <w:noProof/>
            <w:webHidden/>
          </w:rPr>
          <w:instrText xml:space="preserve"> PAGEREF _Toc399919635 \h </w:instrText>
        </w:r>
        <w:r w:rsidR="001C17CA">
          <w:rPr>
            <w:noProof/>
            <w:webHidden/>
          </w:rPr>
        </w:r>
        <w:r w:rsidR="001C17CA">
          <w:rPr>
            <w:noProof/>
            <w:webHidden/>
          </w:rPr>
          <w:fldChar w:fldCharType="separate"/>
        </w:r>
        <w:r>
          <w:rPr>
            <w:noProof/>
            <w:webHidden/>
          </w:rPr>
          <w:t>3</w:t>
        </w:r>
        <w:r w:rsidR="001C17CA">
          <w:rPr>
            <w:noProof/>
            <w:webHidden/>
          </w:rPr>
          <w:fldChar w:fldCharType="end"/>
        </w:r>
      </w:hyperlink>
    </w:p>
    <w:p w:rsidR="001C17CA" w:rsidRDefault="0070748C">
      <w:pPr>
        <w:pStyle w:val="TOC1"/>
        <w:tabs>
          <w:tab w:val="left" w:pos="440"/>
          <w:tab w:val="right" w:leader="dot" w:pos="9350"/>
        </w:tabs>
        <w:rPr>
          <w:rFonts w:asciiTheme="minorHAnsi" w:eastAsiaTheme="minorEastAsia" w:hAnsiTheme="minorHAnsi" w:cstheme="minorBidi"/>
          <w:noProof/>
          <w:color w:val="auto"/>
          <w:szCs w:val="22"/>
        </w:rPr>
      </w:pPr>
      <w:hyperlink w:anchor="_Toc399919636" w:history="1">
        <w:r w:rsidR="001C17CA" w:rsidRPr="00FC6C11">
          <w:rPr>
            <w:rStyle w:val="Hyperlink"/>
            <w:i/>
            <w:noProof/>
          </w:rPr>
          <w:t>2.</w:t>
        </w:r>
        <w:r w:rsidR="001C17CA">
          <w:rPr>
            <w:rFonts w:asciiTheme="minorHAnsi" w:eastAsiaTheme="minorEastAsia" w:hAnsiTheme="minorHAnsi" w:cstheme="minorBidi"/>
            <w:noProof/>
            <w:color w:val="auto"/>
            <w:szCs w:val="22"/>
          </w:rPr>
          <w:tab/>
        </w:r>
        <w:r w:rsidR="001C17CA" w:rsidRPr="00FC6C11">
          <w:rPr>
            <w:rStyle w:val="Hyperlink"/>
            <w:i/>
            <w:noProof/>
          </w:rPr>
          <w:t>Fiscal Developments</w:t>
        </w:r>
        <w:r w:rsidR="001C17CA">
          <w:rPr>
            <w:noProof/>
            <w:webHidden/>
          </w:rPr>
          <w:tab/>
        </w:r>
        <w:r w:rsidR="001C17CA">
          <w:rPr>
            <w:noProof/>
            <w:webHidden/>
          </w:rPr>
          <w:fldChar w:fldCharType="begin"/>
        </w:r>
        <w:r w:rsidR="001C17CA">
          <w:rPr>
            <w:noProof/>
            <w:webHidden/>
          </w:rPr>
          <w:instrText xml:space="preserve"> PAGEREF _Toc399919636 \h </w:instrText>
        </w:r>
        <w:r w:rsidR="001C17CA">
          <w:rPr>
            <w:noProof/>
            <w:webHidden/>
          </w:rPr>
        </w:r>
        <w:r w:rsidR="001C17CA">
          <w:rPr>
            <w:noProof/>
            <w:webHidden/>
          </w:rPr>
          <w:fldChar w:fldCharType="separate"/>
        </w:r>
        <w:r>
          <w:rPr>
            <w:noProof/>
            <w:webHidden/>
          </w:rPr>
          <w:t>5</w:t>
        </w:r>
        <w:r w:rsidR="001C17CA">
          <w:rPr>
            <w:noProof/>
            <w:webHidden/>
          </w:rPr>
          <w:fldChar w:fldCharType="end"/>
        </w:r>
      </w:hyperlink>
    </w:p>
    <w:p w:rsidR="001C17CA" w:rsidRDefault="0070748C">
      <w:pPr>
        <w:pStyle w:val="TOC1"/>
        <w:tabs>
          <w:tab w:val="left" w:pos="440"/>
          <w:tab w:val="right" w:leader="dot" w:pos="9350"/>
        </w:tabs>
        <w:rPr>
          <w:rFonts w:asciiTheme="minorHAnsi" w:eastAsiaTheme="minorEastAsia" w:hAnsiTheme="minorHAnsi" w:cstheme="minorBidi"/>
          <w:noProof/>
          <w:color w:val="auto"/>
          <w:szCs w:val="22"/>
        </w:rPr>
      </w:pPr>
      <w:hyperlink w:anchor="_Toc399919637" w:history="1">
        <w:r w:rsidR="001C17CA" w:rsidRPr="00FC6C11">
          <w:rPr>
            <w:rStyle w:val="Hyperlink"/>
            <w:i/>
            <w:noProof/>
          </w:rPr>
          <w:t>3.</w:t>
        </w:r>
        <w:r w:rsidR="001C17CA">
          <w:rPr>
            <w:rFonts w:asciiTheme="minorHAnsi" w:eastAsiaTheme="minorEastAsia" w:hAnsiTheme="minorHAnsi" w:cstheme="minorBidi"/>
            <w:noProof/>
            <w:color w:val="auto"/>
            <w:szCs w:val="22"/>
          </w:rPr>
          <w:tab/>
        </w:r>
        <w:r w:rsidR="001C17CA" w:rsidRPr="00FC6C11">
          <w:rPr>
            <w:rStyle w:val="Hyperlink"/>
            <w:i/>
            <w:noProof/>
          </w:rPr>
          <w:t>Money and Prices</w:t>
        </w:r>
        <w:r w:rsidR="001C17CA">
          <w:rPr>
            <w:noProof/>
            <w:webHidden/>
          </w:rPr>
          <w:tab/>
        </w:r>
        <w:r w:rsidR="001C17CA">
          <w:rPr>
            <w:noProof/>
            <w:webHidden/>
          </w:rPr>
          <w:fldChar w:fldCharType="begin"/>
        </w:r>
        <w:r w:rsidR="001C17CA">
          <w:rPr>
            <w:noProof/>
            <w:webHidden/>
          </w:rPr>
          <w:instrText xml:space="preserve"> PAGEREF _Toc399919637 \h </w:instrText>
        </w:r>
        <w:r w:rsidR="001C17CA">
          <w:rPr>
            <w:noProof/>
            <w:webHidden/>
          </w:rPr>
        </w:r>
        <w:r w:rsidR="001C17CA">
          <w:rPr>
            <w:noProof/>
            <w:webHidden/>
          </w:rPr>
          <w:fldChar w:fldCharType="separate"/>
        </w:r>
        <w:r>
          <w:rPr>
            <w:noProof/>
            <w:webHidden/>
          </w:rPr>
          <w:t>8</w:t>
        </w:r>
        <w:r w:rsidR="001C17CA">
          <w:rPr>
            <w:noProof/>
            <w:webHidden/>
          </w:rPr>
          <w:fldChar w:fldCharType="end"/>
        </w:r>
      </w:hyperlink>
    </w:p>
    <w:p w:rsidR="001C17CA" w:rsidRDefault="0070748C">
      <w:pPr>
        <w:pStyle w:val="TOC1"/>
        <w:tabs>
          <w:tab w:val="left" w:pos="440"/>
          <w:tab w:val="right" w:leader="dot" w:pos="9350"/>
        </w:tabs>
        <w:rPr>
          <w:rFonts w:asciiTheme="minorHAnsi" w:eastAsiaTheme="minorEastAsia" w:hAnsiTheme="minorHAnsi" w:cstheme="minorBidi"/>
          <w:noProof/>
          <w:color w:val="auto"/>
          <w:szCs w:val="22"/>
        </w:rPr>
      </w:pPr>
      <w:hyperlink w:anchor="_Toc399919638" w:history="1">
        <w:r w:rsidR="001C17CA" w:rsidRPr="00FC6C11">
          <w:rPr>
            <w:rStyle w:val="Hyperlink"/>
            <w:i/>
            <w:noProof/>
          </w:rPr>
          <w:t>4.</w:t>
        </w:r>
        <w:r w:rsidR="001C17CA">
          <w:rPr>
            <w:rFonts w:asciiTheme="minorHAnsi" w:eastAsiaTheme="minorEastAsia" w:hAnsiTheme="minorHAnsi" w:cstheme="minorBidi"/>
            <w:noProof/>
            <w:color w:val="auto"/>
            <w:szCs w:val="22"/>
          </w:rPr>
          <w:tab/>
        </w:r>
        <w:r w:rsidR="001C17CA" w:rsidRPr="00FC6C11">
          <w:rPr>
            <w:rStyle w:val="Hyperlink"/>
            <w:i/>
            <w:noProof/>
          </w:rPr>
          <w:t>Economic Growth</w:t>
        </w:r>
        <w:r w:rsidR="001C17CA">
          <w:rPr>
            <w:noProof/>
            <w:webHidden/>
          </w:rPr>
          <w:tab/>
        </w:r>
        <w:r w:rsidR="001C17CA">
          <w:rPr>
            <w:noProof/>
            <w:webHidden/>
          </w:rPr>
          <w:fldChar w:fldCharType="begin"/>
        </w:r>
        <w:r w:rsidR="001C17CA">
          <w:rPr>
            <w:noProof/>
            <w:webHidden/>
          </w:rPr>
          <w:instrText xml:space="preserve"> PAGEREF _Toc399919638 \h </w:instrText>
        </w:r>
        <w:r w:rsidR="001C17CA">
          <w:rPr>
            <w:noProof/>
            <w:webHidden/>
          </w:rPr>
        </w:r>
        <w:r w:rsidR="001C17CA">
          <w:rPr>
            <w:noProof/>
            <w:webHidden/>
          </w:rPr>
          <w:fldChar w:fldCharType="separate"/>
        </w:r>
        <w:r>
          <w:rPr>
            <w:noProof/>
            <w:webHidden/>
          </w:rPr>
          <w:t>9</w:t>
        </w:r>
        <w:r w:rsidR="001C17CA">
          <w:rPr>
            <w:noProof/>
            <w:webHidden/>
          </w:rPr>
          <w:fldChar w:fldCharType="end"/>
        </w:r>
      </w:hyperlink>
    </w:p>
    <w:p w:rsidR="001C17CA" w:rsidRDefault="0070748C">
      <w:pPr>
        <w:pStyle w:val="TOC1"/>
        <w:tabs>
          <w:tab w:val="left" w:pos="440"/>
          <w:tab w:val="right" w:leader="dot" w:pos="9350"/>
        </w:tabs>
        <w:rPr>
          <w:rFonts w:asciiTheme="minorHAnsi" w:eastAsiaTheme="minorEastAsia" w:hAnsiTheme="minorHAnsi" w:cstheme="minorBidi"/>
          <w:noProof/>
          <w:color w:val="auto"/>
          <w:szCs w:val="22"/>
        </w:rPr>
      </w:pPr>
      <w:hyperlink w:anchor="_Toc399919639" w:history="1">
        <w:r w:rsidR="001C17CA" w:rsidRPr="00FC6C11">
          <w:rPr>
            <w:rStyle w:val="Hyperlink"/>
            <w:i/>
            <w:noProof/>
            <w:specVanish/>
          </w:rPr>
          <w:t>5.</w:t>
        </w:r>
        <w:r w:rsidR="001C17CA">
          <w:rPr>
            <w:rFonts w:asciiTheme="minorHAnsi" w:eastAsiaTheme="minorEastAsia" w:hAnsiTheme="minorHAnsi" w:cstheme="minorBidi"/>
            <w:noProof/>
            <w:color w:val="auto"/>
            <w:szCs w:val="22"/>
          </w:rPr>
          <w:tab/>
        </w:r>
        <w:r w:rsidR="001C17CA" w:rsidRPr="00FC6C11">
          <w:rPr>
            <w:rStyle w:val="Hyperlink"/>
            <w:i/>
            <w:noProof/>
          </w:rPr>
          <w:t>Outlook</w:t>
        </w:r>
        <w:r w:rsidR="001C17CA">
          <w:rPr>
            <w:noProof/>
            <w:webHidden/>
          </w:rPr>
          <w:tab/>
        </w:r>
        <w:r w:rsidR="001C17CA">
          <w:rPr>
            <w:noProof/>
            <w:webHidden/>
          </w:rPr>
          <w:fldChar w:fldCharType="begin"/>
        </w:r>
        <w:r w:rsidR="001C17CA">
          <w:rPr>
            <w:noProof/>
            <w:webHidden/>
          </w:rPr>
          <w:instrText xml:space="preserve"> PAGEREF _Toc399919639 \h </w:instrText>
        </w:r>
        <w:r w:rsidR="001C17CA">
          <w:rPr>
            <w:noProof/>
            <w:webHidden/>
          </w:rPr>
        </w:r>
        <w:r w:rsidR="001C17CA">
          <w:rPr>
            <w:noProof/>
            <w:webHidden/>
          </w:rPr>
          <w:fldChar w:fldCharType="separate"/>
        </w:r>
        <w:r>
          <w:rPr>
            <w:noProof/>
            <w:webHidden/>
          </w:rPr>
          <w:t>9</w:t>
        </w:r>
        <w:r w:rsidR="001C17CA">
          <w:rPr>
            <w:noProof/>
            <w:webHidden/>
          </w:rPr>
          <w:fldChar w:fldCharType="end"/>
        </w:r>
      </w:hyperlink>
    </w:p>
    <w:p w:rsidR="001C17CA" w:rsidRDefault="0070748C">
      <w:pPr>
        <w:pStyle w:val="TOC1"/>
        <w:tabs>
          <w:tab w:val="right" w:leader="dot" w:pos="9350"/>
        </w:tabs>
        <w:rPr>
          <w:rFonts w:asciiTheme="minorHAnsi" w:eastAsiaTheme="minorEastAsia" w:hAnsiTheme="minorHAnsi" w:cstheme="minorBidi"/>
          <w:noProof/>
          <w:color w:val="auto"/>
          <w:szCs w:val="22"/>
        </w:rPr>
      </w:pPr>
      <w:hyperlink w:anchor="_Toc399919640" w:history="1">
        <w:r w:rsidR="001C17CA" w:rsidRPr="00FC6C11">
          <w:rPr>
            <w:rStyle w:val="Hyperlink"/>
            <w:noProof/>
          </w:rPr>
          <w:t xml:space="preserve">Part II: </w:t>
        </w:r>
        <w:r w:rsidR="001C17CA" w:rsidRPr="00FC6C11">
          <w:rPr>
            <w:rStyle w:val="Hyperlink"/>
            <w:rFonts w:eastAsia="Calibri"/>
            <w:noProof/>
          </w:rPr>
          <w:t xml:space="preserve">Trends in Poverty, Inequality &amp; Labor </w:t>
        </w:r>
        <w:r w:rsidR="001C17CA">
          <w:rPr>
            <w:noProof/>
            <w:webHidden/>
          </w:rPr>
          <w:tab/>
        </w:r>
        <w:r w:rsidR="001C17CA">
          <w:rPr>
            <w:noProof/>
            <w:webHidden/>
          </w:rPr>
          <w:fldChar w:fldCharType="begin"/>
        </w:r>
        <w:r w:rsidR="001C17CA">
          <w:rPr>
            <w:noProof/>
            <w:webHidden/>
          </w:rPr>
          <w:instrText xml:space="preserve"> PAGEREF _Toc399919640 \h </w:instrText>
        </w:r>
        <w:r w:rsidR="001C17CA">
          <w:rPr>
            <w:noProof/>
            <w:webHidden/>
          </w:rPr>
        </w:r>
        <w:r w:rsidR="001C17CA">
          <w:rPr>
            <w:noProof/>
            <w:webHidden/>
          </w:rPr>
          <w:fldChar w:fldCharType="separate"/>
        </w:r>
        <w:r>
          <w:rPr>
            <w:noProof/>
            <w:webHidden/>
          </w:rPr>
          <w:t>10</w:t>
        </w:r>
        <w:r w:rsidR="001C17CA">
          <w:rPr>
            <w:noProof/>
            <w:webHidden/>
          </w:rPr>
          <w:fldChar w:fldCharType="end"/>
        </w:r>
      </w:hyperlink>
    </w:p>
    <w:p w:rsidR="001C17CA" w:rsidRDefault="0070748C">
      <w:pPr>
        <w:pStyle w:val="TOC1"/>
        <w:tabs>
          <w:tab w:val="left" w:pos="440"/>
          <w:tab w:val="right" w:leader="dot" w:pos="9350"/>
        </w:tabs>
        <w:rPr>
          <w:rFonts w:asciiTheme="minorHAnsi" w:eastAsiaTheme="minorEastAsia" w:hAnsiTheme="minorHAnsi" w:cstheme="minorBidi"/>
          <w:noProof/>
          <w:color w:val="auto"/>
          <w:szCs w:val="22"/>
        </w:rPr>
      </w:pPr>
      <w:hyperlink w:anchor="_Toc399919641" w:history="1">
        <w:r w:rsidR="001C17CA" w:rsidRPr="00FC6C11">
          <w:rPr>
            <w:rStyle w:val="Hyperlink"/>
            <w:i/>
            <w:noProof/>
          </w:rPr>
          <w:t>6.</w:t>
        </w:r>
        <w:r w:rsidR="001C17CA">
          <w:rPr>
            <w:rFonts w:asciiTheme="minorHAnsi" w:eastAsiaTheme="minorEastAsia" w:hAnsiTheme="minorHAnsi" w:cstheme="minorBidi"/>
            <w:noProof/>
            <w:color w:val="auto"/>
            <w:szCs w:val="22"/>
          </w:rPr>
          <w:tab/>
        </w:r>
        <w:r w:rsidR="001C17CA" w:rsidRPr="00FC6C11">
          <w:rPr>
            <w:rStyle w:val="Hyperlink"/>
            <w:i/>
            <w:noProof/>
          </w:rPr>
          <w:t>Introduction</w:t>
        </w:r>
        <w:r w:rsidR="001C17CA">
          <w:rPr>
            <w:noProof/>
            <w:webHidden/>
          </w:rPr>
          <w:tab/>
        </w:r>
        <w:r w:rsidR="001C17CA">
          <w:rPr>
            <w:noProof/>
            <w:webHidden/>
          </w:rPr>
          <w:fldChar w:fldCharType="begin"/>
        </w:r>
        <w:r w:rsidR="001C17CA">
          <w:rPr>
            <w:noProof/>
            <w:webHidden/>
          </w:rPr>
          <w:instrText xml:space="preserve"> PAGEREF _Toc399919641 \h </w:instrText>
        </w:r>
        <w:r w:rsidR="001C17CA">
          <w:rPr>
            <w:noProof/>
            <w:webHidden/>
          </w:rPr>
        </w:r>
        <w:r w:rsidR="001C17CA">
          <w:rPr>
            <w:noProof/>
            <w:webHidden/>
          </w:rPr>
          <w:fldChar w:fldCharType="separate"/>
        </w:r>
        <w:r>
          <w:rPr>
            <w:noProof/>
            <w:webHidden/>
          </w:rPr>
          <w:t>10</w:t>
        </w:r>
        <w:r w:rsidR="001C17CA">
          <w:rPr>
            <w:noProof/>
            <w:webHidden/>
          </w:rPr>
          <w:fldChar w:fldCharType="end"/>
        </w:r>
      </w:hyperlink>
    </w:p>
    <w:p w:rsidR="001C17CA" w:rsidRDefault="0070748C">
      <w:pPr>
        <w:pStyle w:val="TOC1"/>
        <w:tabs>
          <w:tab w:val="left" w:pos="440"/>
          <w:tab w:val="right" w:leader="dot" w:pos="9350"/>
        </w:tabs>
        <w:rPr>
          <w:rFonts w:asciiTheme="minorHAnsi" w:eastAsiaTheme="minorEastAsia" w:hAnsiTheme="minorHAnsi" w:cstheme="minorBidi"/>
          <w:noProof/>
          <w:color w:val="auto"/>
          <w:szCs w:val="22"/>
        </w:rPr>
      </w:pPr>
      <w:hyperlink w:anchor="_Toc399919642" w:history="1">
        <w:r w:rsidR="001C17CA" w:rsidRPr="00FC6C11">
          <w:rPr>
            <w:rStyle w:val="Hyperlink"/>
            <w:i/>
            <w:noProof/>
          </w:rPr>
          <w:t>7.</w:t>
        </w:r>
        <w:r w:rsidR="001C17CA">
          <w:rPr>
            <w:rFonts w:asciiTheme="minorHAnsi" w:eastAsiaTheme="minorEastAsia" w:hAnsiTheme="minorHAnsi" w:cstheme="minorBidi"/>
            <w:noProof/>
            <w:color w:val="auto"/>
            <w:szCs w:val="22"/>
          </w:rPr>
          <w:tab/>
        </w:r>
        <w:r w:rsidR="001C17CA" w:rsidRPr="00FC6C11">
          <w:rPr>
            <w:rStyle w:val="Hyperlink"/>
            <w:i/>
            <w:noProof/>
          </w:rPr>
          <w:t>Poverty and Inequality in Ghana</w:t>
        </w:r>
        <w:r w:rsidR="001C17CA">
          <w:rPr>
            <w:noProof/>
            <w:webHidden/>
          </w:rPr>
          <w:tab/>
        </w:r>
        <w:r w:rsidR="001C17CA">
          <w:rPr>
            <w:noProof/>
            <w:webHidden/>
          </w:rPr>
          <w:fldChar w:fldCharType="begin"/>
        </w:r>
        <w:r w:rsidR="001C17CA">
          <w:rPr>
            <w:noProof/>
            <w:webHidden/>
          </w:rPr>
          <w:instrText xml:space="preserve"> PAGEREF _Toc399919642 \h </w:instrText>
        </w:r>
        <w:r w:rsidR="001C17CA">
          <w:rPr>
            <w:noProof/>
            <w:webHidden/>
          </w:rPr>
        </w:r>
        <w:r w:rsidR="001C17CA">
          <w:rPr>
            <w:noProof/>
            <w:webHidden/>
          </w:rPr>
          <w:fldChar w:fldCharType="separate"/>
        </w:r>
        <w:r>
          <w:rPr>
            <w:noProof/>
            <w:webHidden/>
          </w:rPr>
          <w:t>11</w:t>
        </w:r>
        <w:r w:rsidR="001C17CA">
          <w:rPr>
            <w:noProof/>
            <w:webHidden/>
          </w:rPr>
          <w:fldChar w:fldCharType="end"/>
        </w:r>
      </w:hyperlink>
    </w:p>
    <w:p w:rsidR="001C17CA" w:rsidRDefault="0070748C">
      <w:pPr>
        <w:pStyle w:val="TOC1"/>
        <w:tabs>
          <w:tab w:val="left" w:pos="440"/>
          <w:tab w:val="right" w:leader="dot" w:pos="9350"/>
        </w:tabs>
        <w:rPr>
          <w:rFonts w:asciiTheme="minorHAnsi" w:eastAsiaTheme="minorEastAsia" w:hAnsiTheme="minorHAnsi" w:cstheme="minorBidi"/>
          <w:noProof/>
          <w:color w:val="auto"/>
          <w:szCs w:val="22"/>
        </w:rPr>
      </w:pPr>
      <w:hyperlink w:anchor="_Toc399919643" w:history="1">
        <w:r w:rsidR="001C17CA" w:rsidRPr="00FC6C11">
          <w:rPr>
            <w:rStyle w:val="Hyperlink"/>
            <w:i/>
            <w:noProof/>
          </w:rPr>
          <w:t>8.</w:t>
        </w:r>
        <w:r w:rsidR="001C17CA">
          <w:rPr>
            <w:rFonts w:asciiTheme="minorHAnsi" w:eastAsiaTheme="minorEastAsia" w:hAnsiTheme="minorHAnsi" w:cstheme="minorBidi"/>
            <w:noProof/>
            <w:color w:val="auto"/>
            <w:szCs w:val="22"/>
          </w:rPr>
          <w:tab/>
        </w:r>
        <w:r w:rsidR="001C17CA" w:rsidRPr="00FC6C11">
          <w:rPr>
            <w:rStyle w:val="Hyperlink"/>
            <w:i/>
            <w:noProof/>
          </w:rPr>
          <w:t>Employment trends in Ghana</w:t>
        </w:r>
        <w:r w:rsidR="001C17CA">
          <w:rPr>
            <w:noProof/>
            <w:webHidden/>
          </w:rPr>
          <w:tab/>
        </w:r>
        <w:r w:rsidR="001C17CA">
          <w:rPr>
            <w:noProof/>
            <w:webHidden/>
          </w:rPr>
          <w:fldChar w:fldCharType="begin"/>
        </w:r>
        <w:r w:rsidR="001C17CA">
          <w:rPr>
            <w:noProof/>
            <w:webHidden/>
          </w:rPr>
          <w:instrText xml:space="preserve"> PAGEREF _Toc399919643 \h </w:instrText>
        </w:r>
        <w:r w:rsidR="001C17CA">
          <w:rPr>
            <w:noProof/>
            <w:webHidden/>
          </w:rPr>
        </w:r>
        <w:r w:rsidR="001C17CA">
          <w:rPr>
            <w:noProof/>
            <w:webHidden/>
          </w:rPr>
          <w:fldChar w:fldCharType="separate"/>
        </w:r>
        <w:r>
          <w:rPr>
            <w:noProof/>
            <w:webHidden/>
          </w:rPr>
          <w:t>14</w:t>
        </w:r>
        <w:r w:rsidR="001C17CA">
          <w:rPr>
            <w:noProof/>
            <w:webHidden/>
          </w:rPr>
          <w:fldChar w:fldCharType="end"/>
        </w:r>
      </w:hyperlink>
    </w:p>
    <w:p w:rsidR="009B4925" w:rsidRPr="00535202" w:rsidRDefault="00F06CB3" w:rsidP="00C95B26">
      <w:pPr>
        <w:pStyle w:val="TableofFigures"/>
        <w:tabs>
          <w:tab w:val="right" w:leader="dot" w:pos="9350"/>
        </w:tabs>
        <w:rPr>
          <w:rStyle w:val="Hyperlink"/>
          <w:noProof/>
          <w:u w:val="none"/>
        </w:rPr>
      </w:pPr>
      <w:r w:rsidRPr="00535202">
        <w:fldChar w:fldCharType="end"/>
      </w:r>
    </w:p>
    <w:p w:rsidR="00966004" w:rsidRPr="00535202" w:rsidRDefault="007866DA" w:rsidP="007A238C">
      <w:pPr>
        <w:sectPr w:rsidR="00966004" w:rsidRPr="00535202" w:rsidSect="005E3128">
          <w:footerReference w:type="default" r:id="rId13"/>
          <w:pgSz w:w="12240" w:h="15840"/>
          <w:pgMar w:top="1440" w:right="1440" w:bottom="1440" w:left="1440" w:header="720" w:footer="720" w:gutter="0"/>
          <w:pgNumType w:fmt="lowerRoman"/>
          <w:cols w:space="720"/>
          <w:titlePg/>
          <w:docGrid w:linePitch="360"/>
        </w:sectPr>
      </w:pPr>
      <w:r>
        <w:t xml:space="preserve"> </w:t>
      </w:r>
    </w:p>
    <w:p w:rsidR="00141477" w:rsidRPr="002F4F47" w:rsidRDefault="00141477" w:rsidP="00141477">
      <w:pPr>
        <w:pStyle w:val="Title"/>
        <w:spacing w:before="360" w:after="840"/>
        <w:ind w:left="907"/>
        <w:jc w:val="left"/>
        <w:rPr>
          <w:i/>
          <w:color w:val="17365D"/>
          <w:szCs w:val="40"/>
        </w:rPr>
      </w:pPr>
      <w:bookmarkStart w:id="2" w:name="_Toc289348853"/>
      <w:bookmarkStart w:id="3" w:name="_Toc289931558"/>
      <w:bookmarkStart w:id="4" w:name="_Toc303778039"/>
      <w:bookmarkStart w:id="5" w:name="_Toc321837641"/>
      <w:bookmarkStart w:id="6" w:name="_Toc321994428"/>
      <w:bookmarkStart w:id="7" w:name="_Toc322003017"/>
      <w:bookmarkStart w:id="8" w:name="_Toc399919632"/>
      <w:r w:rsidRPr="00A30C52">
        <w:rPr>
          <w:i/>
          <w:color w:val="17365D"/>
          <w:sz w:val="52"/>
          <w:szCs w:val="52"/>
        </w:rPr>
        <w:lastRenderedPageBreak/>
        <w:t>F</w:t>
      </w:r>
      <w:r w:rsidRPr="002F4F47">
        <w:rPr>
          <w:i/>
          <w:caps w:val="0"/>
          <w:color w:val="17365D"/>
          <w:szCs w:val="40"/>
        </w:rPr>
        <w:t>oreword</w:t>
      </w:r>
      <w:bookmarkEnd w:id="2"/>
      <w:bookmarkEnd w:id="3"/>
      <w:bookmarkEnd w:id="4"/>
      <w:bookmarkEnd w:id="5"/>
      <w:bookmarkEnd w:id="6"/>
      <w:bookmarkEnd w:id="7"/>
      <w:bookmarkEnd w:id="8"/>
    </w:p>
    <w:p w:rsidR="00141477" w:rsidRPr="00980679" w:rsidRDefault="00141477" w:rsidP="00141477">
      <w:pPr>
        <w:keepNext/>
        <w:framePr w:dropCap="drop" w:lines="2" w:wrap="around" w:vAnchor="text" w:hAnchor="text"/>
        <w:spacing w:line="617" w:lineRule="exact"/>
        <w:ind w:left="720"/>
        <w:textAlignment w:val="baseline"/>
        <w:rPr>
          <w:rFonts w:ascii="Cambria" w:hAnsi="Cambria"/>
          <w:i/>
          <w:color w:val="244061"/>
          <w:position w:val="-2"/>
          <w:sz w:val="70"/>
        </w:rPr>
      </w:pPr>
      <w:r w:rsidRPr="00980679">
        <w:rPr>
          <w:rFonts w:ascii="Cambria" w:hAnsi="Cambria"/>
          <w:i/>
          <w:color w:val="244061"/>
          <w:position w:val="-2"/>
          <w:sz w:val="70"/>
        </w:rPr>
        <w:t>T</w:t>
      </w:r>
    </w:p>
    <w:p w:rsidR="00141477" w:rsidRDefault="00141477" w:rsidP="00141477">
      <w:pPr>
        <w:spacing w:line="276" w:lineRule="auto"/>
        <w:ind w:left="720" w:right="1080"/>
        <w:rPr>
          <w:i/>
          <w:color w:val="17365D"/>
        </w:rPr>
      </w:pPr>
      <w:r w:rsidRPr="00980679">
        <w:rPr>
          <w:i/>
          <w:color w:val="17365D"/>
        </w:rPr>
        <w:t xml:space="preserve">his report is </w:t>
      </w:r>
      <w:r>
        <w:rPr>
          <w:i/>
          <w:color w:val="17365D"/>
        </w:rPr>
        <w:t>the most recent in a series aimed at monitoring economic developments in Ghana</w:t>
      </w:r>
      <w:r w:rsidR="00584FF5">
        <w:rPr>
          <w:i/>
          <w:color w:val="17365D"/>
        </w:rPr>
        <w:t xml:space="preserve"> and</w:t>
      </w:r>
      <w:r>
        <w:rPr>
          <w:i/>
          <w:color w:val="17365D"/>
        </w:rPr>
        <w:t xml:space="preserve"> </w:t>
      </w:r>
      <w:r w:rsidR="003D345E">
        <w:rPr>
          <w:i/>
          <w:color w:val="17365D"/>
        </w:rPr>
        <w:t xml:space="preserve">has two sections. </w:t>
      </w:r>
      <w:r w:rsidR="007069F0">
        <w:rPr>
          <w:i/>
          <w:color w:val="17365D"/>
        </w:rPr>
        <w:t>The f</w:t>
      </w:r>
      <w:r w:rsidR="003D345E">
        <w:rPr>
          <w:i/>
          <w:color w:val="17365D"/>
        </w:rPr>
        <w:t xml:space="preserve">irst section </w:t>
      </w:r>
      <w:r w:rsidR="005216B9">
        <w:rPr>
          <w:i/>
          <w:color w:val="17365D"/>
        </w:rPr>
        <w:t>summarizes the recent</w:t>
      </w:r>
      <w:r>
        <w:rPr>
          <w:i/>
          <w:color w:val="17365D"/>
        </w:rPr>
        <w:t xml:space="preserve"> macroeconomic developments in the country</w:t>
      </w:r>
      <w:r w:rsidR="005216B9">
        <w:rPr>
          <w:i/>
          <w:color w:val="17365D"/>
        </w:rPr>
        <w:t xml:space="preserve"> (written by Felix Oppong</w:t>
      </w:r>
      <w:r w:rsidR="00580655">
        <w:rPr>
          <w:i/>
          <w:color w:val="17365D"/>
        </w:rPr>
        <w:t>)</w:t>
      </w:r>
      <w:r w:rsidR="007069F0">
        <w:rPr>
          <w:i/>
          <w:color w:val="17365D"/>
        </w:rPr>
        <w:t xml:space="preserve"> while</w:t>
      </w:r>
      <w:r w:rsidR="00580655">
        <w:rPr>
          <w:i/>
          <w:color w:val="17365D"/>
        </w:rPr>
        <w:t xml:space="preserve"> </w:t>
      </w:r>
      <w:r w:rsidR="007069F0">
        <w:rPr>
          <w:i/>
          <w:color w:val="17365D"/>
        </w:rPr>
        <w:t>t</w:t>
      </w:r>
      <w:r w:rsidR="00580655">
        <w:rPr>
          <w:i/>
          <w:color w:val="17365D"/>
        </w:rPr>
        <w:t>he s</w:t>
      </w:r>
      <w:r w:rsidR="005216B9">
        <w:rPr>
          <w:i/>
          <w:color w:val="17365D"/>
        </w:rPr>
        <w:t xml:space="preserve">econd </w:t>
      </w:r>
      <w:r w:rsidR="00F63D46">
        <w:rPr>
          <w:i/>
          <w:color w:val="17365D"/>
        </w:rPr>
        <w:t>section</w:t>
      </w:r>
      <w:r>
        <w:rPr>
          <w:i/>
          <w:color w:val="17365D"/>
        </w:rPr>
        <w:t xml:space="preserve"> </w:t>
      </w:r>
      <w:r w:rsidR="00F63D46">
        <w:rPr>
          <w:i/>
          <w:color w:val="17365D"/>
        </w:rPr>
        <w:t xml:space="preserve">presents </w:t>
      </w:r>
      <w:r w:rsidR="004863A4">
        <w:rPr>
          <w:i/>
          <w:color w:val="17365D"/>
        </w:rPr>
        <w:t xml:space="preserve">the main findings on poverty and employment </w:t>
      </w:r>
      <w:r w:rsidR="00F63D46">
        <w:rPr>
          <w:i/>
          <w:color w:val="17365D"/>
        </w:rPr>
        <w:t xml:space="preserve">  published </w:t>
      </w:r>
      <w:r w:rsidR="004863A4">
        <w:rPr>
          <w:i/>
          <w:color w:val="17365D"/>
        </w:rPr>
        <w:t xml:space="preserve">recently </w:t>
      </w:r>
      <w:r w:rsidR="00F63D46">
        <w:rPr>
          <w:i/>
          <w:color w:val="17365D"/>
        </w:rPr>
        <w:t xml:space="preserve">by the Ghana Statistical Service  </w:t>
      </w:r>
      <w:r w:rsidR="00580655">
        <w:rPr>
          <w:i/>
          <w:color w:val="17365D"/>
        </w:rPr>
        <w:t>(</w:t>
      </w:r>
      <w:r w:rsidR="00F63D46">
        <w:rPr>
          <w:i/>
          <w:color w:val="17365D"/>
        </w:rPr>
        <w:t xml:space="preserve">summarized </w:t>
      </w:r>
      <w:r w:rsidR="005216B9">
        <w:rPr>
          <w:i/>
          <w:color w:val="17365D"/>
        </w:rPr>
        <w:t xml:space="preserve"> by </w:t>
      </w:r>
      <w:r>
        <w:rPr>
          <w:i/>
          <w:iCs/>
          <w:color w:val="17365D"/>
        </w:rPr>
        <w:t>Dilek Aykut</w:t>
      </w:r>
      <w:r w:rsidR="00326F87">
        <w:rPr>
          <w:i/>
          <w:iCs/>
          <w:color w:val="17365D"/>
        </w:rPr>
        <w:t xml:space="preserve"> and Gregory Smith</w:t>
      </w:r>
      <w:r w:rsidR="00580655">
        <w:rPr>
          <w:i/>
          <w:iCs/>
          <w:color w:val="17365D"/>
        </w:rPr>
        <w:t>)</w:t>
      </w:r>
      <w:r>
        <w:rPr>
          <w:i/>
          <w:iCs/>
          <w:color w:val="17365D"/>
        </w:rPr>
        <w:t>.</w:t>
      </w:r>
      <w:r w:rsidR="003745ED">
        <w:rPr>
          <w:i/>
          <w:iCs/>
          <w:color w:val="17365D"/>
        </w:rPr>
        <w:t xml:space="preserve"> </w:t>
      </w:r>
      <w:r w:rsidR="00D03ECF">
        <w:rPr>
          <w:i/>
          <w:iCs/>
          <w:color w:val="17365D"/>
        </w:rPr>
        <w:t>It received inputs from Theo</w:t>
      </w:r>
      <w:r w:rsidR="00082E1A">
        <w:rPr>
          <w:i/>
          <w:iCs/>
          <w:color w:val="17365D"/>
        </w:rPr>
        <w:t xml:space="preserve"> Braimah</w:t>
      </w:r>
      <w:r w:rsidR="00D03ECF">
        <w:rPr>
          <w:i/>
          <w:iCs/>
          <w:color w:val="17365D"/>
        </w:rPr>
        <w:t xml:space="preserve"> Awanzam. </w:t>
      </w:r>
      <w:r w:rsidR="003745ED">
        <w:rPr>
          <w:i/>
          <w:iCs/>
          <w:color w:val="17365D"/>
        </w:rPr>
        <w:t>The entire report was reviewed by Santiago Herrera.</w:t>
      </w:r>
    </w:p>
    <w:p w:rsidR="00141477" w:rsidRPr="00980679" w:rsidRDefault="00141477" w:rsidP="00141477">
      <w:pPr>
        <w:spacing w:line="276" w:lineRule="auto"/>
        <w:ind w:left="720" w:right="720"/>
        <w:rPr>
          <w:i/>
          <w:color w:val="17365D"/>
        </w:rPr>
      </w:pPr>
    </w:p>
    <w:p w:rsidR="00141477" w:rsidRPr="00980679" w:rsidRDefault="00141477" w:rsidP="00141477">
      <w:pPr>
        <w:ind w:left="720" w:right="720"/>
        <w:rPr>
          <w:i/>
          <w:color w:val="17365D"/>
        </w:rPr>
      </w:pPr>
      <w:r w:rsidRPr="00980679">
        <w:rPr>
          <w:i/>
          <w:color w:val="17365D"/>
        </w:rPr>
        <w:t>Comments on the content of this report are welcome.</w:t>
      </w:r>
    </w:p>
    <w:p w:rsidR="00141477" w:rsidRPr="00980679" w:rsidRDefault="00141477" w:rsidP="00141477">
      <w:pPr>
        <w:ind w:right="720"/>
        <w:rPr>
          <w:bCs/>
          <w:i/>
          <w:caps/>
          <w:color w:val="17365D"/>
        </w:rPr>
      </w:pPr>
    </w:p>
    <w:p w:rsidR="00141477" w:rsidRPr="00980679" w:rsidRDefault="00141477" w:rsidP="00141477">
      <w:pPr>
        <w:ind w:right="720"/>
        <w:rPr>
          <w:bCs/>
          <w:i/>
          <w:caps/>
          <w:color w:val="0F243E"/>
        </w:rPr>
      </w:pPr>
    </w:p>
    <w:p w:rsidR="00141477" w:rsidRPr="00980679" w:rsidRDefault="00141477" w:rsidP="00141477">
      <w:pPr>
        <w:ind w:right="720"/>
        <w:rPr>
          <w:bCs/>
          <w:i/>
          <w:caps/>
          <w:color w:val="0F243E"/>
        </w:rPr>
      </w:pPr>
    </w:p>
    <w:p w:rsidR="00141477" w:rsidRPr="00980679" w:rsidRDefault="00141477" w:rsidP="00141477">
      <w:pPr>
        <w:ind w:right="720"/>
        <w:rPr>
          <w:bCs/>
          <w:i/>
          <w:caps/>
          <w:color w:val="0F243E"/>
        </w:rPr>
      </w:pPr>
    </w:p>
    <w:p w:rsidR="00141477" w:rsidRPr="00980679" w:rsidRDefault="00141477" w:rsidP="00141477">
      <w:pPr>
        <w:ind w:left="720" w:right="720"/>
        <w:jc w:val="left"/>
        <w:rPr>
          <w:bCs/>
          <w:i/>
          <w:caps/>
          <w:color w:val="0F243E"/>
        </w:rPr>
      </w:pPr>
      <w:r>
        <w:rPr>
          <w:bCs/>
          <w:i/>
          <w:color w:val="0F243E"/>
        </w:rPr>
        <w:t>Mark Thomas</w:t>
      </w:r>
    </w:p>
    <w:p w:rsidR="00141477" w:rsidRPr="00980679" w:rsidRDefault="00141477" w:rsidP="00141477">
      <w:pPr>
        <w:ind w:left="720" w:right="720"/>
        <w:jc w:val="left"/>
        <w:rPr>
          <w:bCs/>
          <w:i/>
          <w:caps/>
          <w:color w:val="0F243E"/>
        </w:rPr>
      </w:pPr>
      <w:r w:rsidRPr="00980679">
        <w:rPr>
          <w:bCs/>
          <w:i/>
          <w:color w:val="0F243E"/>
        </w:rPr>
        <w:t>Sector Manager</w:t>
      </w:r>
    </w:p>
    <w:p w:rsidR="00141477" w:rsidRPr="00980679" w:rsidRDefault="00141477" w:rsidP="00141477">
      <w:pPr>
        <w:ind w:left="720" w:right="720"/>
        <w:jc w:val="left"/>
        <w:rPr>
          <w:bCs/>
          <w:i/>
          <w:caps/>
          <w:color w:val="0F243E"/>
        </w:rPr>
      </w:pPr>
      <w:r w:rsidRPr="00980679">
        <w:rPr>
          <w:bCs/>
          <w:i/>
          <w:color w:val="0F243E"/>
        </w:rPr>
        <w:t xml:space="preserve">Poverty Reduction and Economic Management </w:t>
      </w:r>
      <w:r>
        <w:rPr>
          <w:bCs/>
          <w:i/>
          <w:color w:val="0F243E"/>
        </w:rPr>
        <w:t>3</w:t>
      </w:r>
    </w:p>
    <w:p w:rsidR="00141477" w:rsidRPr="00980679" w:rsidRDefault="00141477" w:rsidP="00141477">
      <w:pPr>
        <w:ind w:left="720" w:right="720"/>
        <w:jc w:val="left"/>
        <w:rPr>
          <w:bCs/>
          <w:i/>
          <w:caps/>
          <w:color w:val="0F243E"/>
        </w:rPr>
      </w:pPr>
      <w:r w:rsidRPr="00980679">
        <w:rPr>
          <w:bCs/>
          <w:i/>
          <w:color w:val="0F243E"/>
        </w:rPr>
        <w:t xml:space="preserve">Africa Region </w:t>
      </w:r>
    </w:p>
    <w:p w:rsidR="009A4D15" w:rsidRDefault="009A4D15" w:rsidP="0021140B">
      <w:pPr>
        <w:jc w:val="left"/>
        <w:rPr>
          <w:rFonts w:cs="Arial"/>
          <w:i/>
          <w:kern w:val="20"/>
          <w:szCs w:val="22"/>
        </w:rPr>
      </w:pPr>
    </w:p>
    <w:p w:rsidR="009A4D15" w:rsidRDefault="009A4D15" w:rsidP="0021140B">
      <w:pPr>
        <w:jc w:val="left"/>
        <w:rPr>
          <w:rFonts w:cs="Arial"/>
          <w:i/>
          <w:kern w:val="20"/>
          <w:szCs w:val="22"/>
        </w:rPr>
      </w:pPr>
    </w:p>
    <w:p w:rsidR="009A4D15" w:rsidRDefault="009A4D15" w:rsidP="0021140B">
      <w:pPr>
        <w:jc w:val="left"/>
        <w:rPr>
          <w:rFonts w:cs="Arial"/>
          <w:i/>
          <w:kern w:val="20"/>
          <w:szCs w:val="22"/>
        </w:rPr>
      </w:pPr>
    </w:p>
    <w:p w:rsidR="00C87B0D" w:rsidRPr="00311780" w:rsidRDefault="002E0029" w:rsidP="00A22B48">
      <w:pPr>
        <w:pStyle w:val="Title"/>
        <w:framePr w:w="10461" w:h="13905" w:hRule="exact" w:wrap="auto" w:vAnchor="text" w:hAnchor="page" w:x="1061" w:y="-863"/>
        <w:spacing w:before="360"/>
        <w:ind w:left="0"/>
        <w:jc w:val="left"/>
        <w:rPr>
          <w:rFonts w:ascii="Calibri" w:eastAsia="Calibri" w:hAnsi="Calibri" w:cs="Helv"/>
          <w:bCs w:val="0"/>
          <w:i/>
          <w:caps w:val="0"/>
          <w:color w:val="000000"/>
          <w:kern w:val="0"/>
          <w:sz w:val="28"/>
          <w:szCs w:val="28"/>
          <w:lang w:val="en-US" w:eastAsia="en-US"/>
        </w:rPr>
      </w:pPr>
      <w:bookmarkStart w:id="9" w:name="_Toc399919633"/>
      <w:r w:rsidRPr="00311780">
        <w:rPr>
          <w:rFonts w:ascii="Calibri" w:eastAsia="Calibri" w:hAnsi="Calibri" w:cs="Helv"/>
          <w:bCs w:val="0"/>
          <w:i/>
          <w:caps w:val="0"/>
          <w:color w:val="000000"/>
          <w:kern w:val="0"/>
          <w:sz w:val="28"/>
          <w:szCs w:val="28"/>
          <w:lang w:val="en-US" w:eastAsia="en-US"/>
        </w:rPr>
        <w:lastRenderedPageBreak/>
        <w:t>Summary</w:t>
      </w:r>
      <w:bookmarkEnd w:id="9"/>
      <w:r w:rsidRPr="00311780">
        <w:rPr>
          <w:rFonts w:ascii="Calibri" w:eastAsia="Calibri" w:hAnsi="Calibri" w:cs="Helv"/>
          <w:bCs w:val="0"/>
          <w:i/>
          <w:caps w:val="0"/>
          <w:color w:val="000000"/>
          <w:kern w:val="0"/>
          <w:sz w:val="28"/>
          <w:szCs w:val="28"/>
          <w:lang w:val="en-US" w:eastAsia="en-US"/>
        </w:rPr>
        <w:t xml:space="preserve"> </w:t>
      </w:r>
    </w:p>
    <w:p w:rsidR="00A00CDC" w:rsidRPr="00F72E2A" w:rsidRDefault="00A00CDC" w:rsidP="00A00CDC">
      <w:pPr>
        <w:framePr w:w="10461" w:h="13905" w:hRule="exact" w:wrap="auto" w:vAnchor="text" w:hAnchor="page" w:x="1061" w:y="-863"/>
        <w:rPr>
          <w:rFonts w:asciiTheme="minorHAnsi" w:eastAsia="Times New Roman" w:hAnsiTheme="minorHAnsi"/>
          <w:sz w:val="20"/>
          <w:szCs w:val="20"/>
        </w:rPr>
      </w:pPr>
      <w:r w:rsidRPr="00F72E2A">
        <w:rPr>
          <w:rFonts w:asciiTheme="minorHAnsi" w:eastAsia="Times New Roman" w:hAnsiTheme="minorHAnsi"/>
          <w:sz w:val="20"/>
          <w:szCs w:val="20"/>
        </w:rPr>
        <w:t xml:space="preserve">Ghana’s overall macroeconomic conditions have deteriorated </w:t>
      </w:r>
      <w:r w:rsidR="00716E67">
        <w:rPr>
          <w:rFonts w:asciiTheme="minorHAnsi" w:eastAsia="Times New Roman" w:hAnsiTheme="minorHAnsi"/>
          <w:sz w:val="20"/>
          <w:szCs w:val="20"/>
        </w:rPr>
        <w:t xml:space="preserve">further </w:t>
      </w:r>
      <w:r w:rsidRPr="00F72E2A">
        <w:rPr>
          <w:rFonts w:asciiTheme="minorHAnsi" w:eastAsia="Times New Roman" w:hAnsiTheme="minorHAnsi"/>
          <w:sz w:val="20"/>
          <w:szCs w:val="20"/>
        </w:rPr>
        <w:t>in 2014 with large twin</w:t>
      </w:r>
      <w:r w:rsidR="00716E67">
        <w:rPr>
          <w:rFonts w:asciiTheme="minorHAnsi" w:eastAsia="Times New Roman" w:hAnsiTheme="minorHAnsi"/>
          <w:sz w:val="20"/>
          <w:szCs w:val="20"/>
        </w:rPr>
        <w:t>-</w:t>
      </w:r>
      <w:r w:rsidRPr="00F72E2A">
        <w:rPr>
          <w:rFonts w:asciiTheme="minorHAnsi" w:eastAsia="Times New Roman" w:hAnsiTheme="minorHAnsi"/>
          <w:sz w:val="20"/>
          <w:szCs w:val="20"/>
        </w:rPr>
        <w:t>deficits</w:t>
      </w:r>
      <w:r w:rsidR="00716E67">
        <w:rPr>
          <w:rFonts w:asciiTheme="minorHAnsi" w:eastAsia="Times New Roman" w:hAnsiTheme="minorHAnsi"/>
          <w:sz w:val="20"/>
          <w:szCs w:val="20"/>
        </w:rPr>
        <w:t xml:space="preserve"> lingering</w:t>
      </w:r>
      <w:r w:rsidRPr="00F72E2A">
        <w:rPr>
          <w:rFonts w:asciiTheme="minorHAnsi" w:eastAsia="Times New Roman" w:hAnsiTheme="minorHAnsi"/>
          <w:sz w:val="20"/>
          <w:szCs w:val="20"/>
        </w:rPr>
        <w:t xml:space="preserve">, </w:t>
      </w:r>
      <w:r w:rsidR="00716E67">
        <w:rPr>
          <w:rFonts w:asciiTheme="minorHAnsi" w:eastAsia="Times New Roman" w:hAnsiTheme="minorHAnsi"/>
          <w:sz w:val="20"/>
          <w:szCs w:val="20"/>
        </w:rPr>
        <w:t xml:space="preserve">fueling </w:t>
      </w:r>
      <w:r w:rsidRPr="00F72E2A">
        <w:rPr>
          <w:rFonts w:asciiTheme="minorHAnsi" w:eastAsia="Times New Roman" w:hAnsiTheme="minorHAnsi"/>
          <w:sz w:val="20"/>
          <w:szCs w:val="20"/>
        </w:rPr>
        <w:t xml:space="preserve">government debt and inflation, </w:t>
      </w:r>
      <w:r w:rsidR="00716E67">
        <w:rPr>
          <w:rFonts w:asciiTheme="minorHAnsi" w:eastAsia="Times New Roman" w:hAnsiTheme="minorHAnsi"/>
          <w:sz w:val="20"/>
          <w:szCs w:val="20"/>
        </w:rPr>
        <w:t xml:space="preserve">a </w:t>
      </w:r>
      <w:r w:rsidRPr="00F72E2A">
        <w:rPr>
          <w:rFonts w:asciiTheme="minorHAnsi" w:eastAsia="Times New Roman" w:hAnsiTheme="minorHAnsi"/>
          <w:sz w:val="20"/>
          <w:szCs w:val="20"/>
        </w:rPr>
        <w:t xml:space="preserve">sharp depreciation of its currency, and </w:t>
      </w:r>
      <w:r w:rsidR="00716E67">
        <w:rPr>
          <w:rFonts w:asciiTheme="minorHAnsi" w:eastAsia="Times New Roman" w:hAnsiTheme="minorHAnsi"/>
          <w:sz w:val="20"/>
          <w:szCs w:val="20"/>
        </w:rPr>
        <w:t xml:space="preserve">a weaker pace of </w:t>
      </w:r>
      <w:r w:rsidRPr="00F72E2A">
        <w:rPr>
          <w:rFonts w:asciiTheme="minorHAnsi" w:eastAsia="Times New Roman" w:hAnsiTheme="minorHAnsi"/>
          <w:sz w:val="20"/>
          <w:szCs w:val="20"/>
        </w:rPr>
        <w:t xml:space="preserve">economic growth. </w:t>
      </w:r>
    </w:p>
    <w:p w:rsidR="00A00CDC" w:rsidRPr="00F72E2A" w:rsidRDefault="00A00CDC" w:rsidP="00A00CDC">
      <w:pPr>
        <w:framePr w:w="10461" w:h="13905" w:hRule="exact" w:wrap="auto" w:vAnchor="text" w:hAnchor="page" w:x="1061" w:y="-863"/>
        <w:rPr>
          <w:rFonts w:asciiTheme="minorHAnsi" w:eastAsia="Times New Roman" w:hAnsiTheme="minorHAnsi"/>
          <w:sz w:val="20"/>
          <w:szCs w:val="20"/>
        </w:rPr>
      </w:pPr>
    </w:p>
    <w:p w:rsidR="00A00CDC" w:rsidRPr="00F72E2A" w:rsidRDefault="00A00CDC" w:rsidP="00A00CDC">
      <w:pPr>
        <w:framePr w:w="10461" w:h="13905" w:hRule="exact" w:wrap="auto" w:vAnchor="text" w:hAnchor="page" w:x="1061" w:y="-863"/>
        <w:rPr>
          <w:rFonts w:asciiTheme="minorHAnsi" w:eastAsia="Times New Roman" w:hAnsiTheme="minorHAnsi"/>
          <w:sz w:val="20"/>
          <w:szCs w:val="20"/>
        </w:rPr>
      </w:pPr>
      <w:r w:rsidRPr="00F72E2A">
        <w:rPr>
          <w:rFonts w:asciiTheme="minorHAnsi" w:eastAsia="Times New Roman" w:hAnsiTheme="minorHAnsi"/>
          <w:sz w:val="20"/>
          <w:szCs w:val="20"/>
        </w:rPr>
        <w:t xml:space="preserve">The fiscal deficit remains the biggest source of vulnerability </w:t>
      </w:r>
      <w:r w:rsidR="00AB4D89">
        <w:rPr>
          <w:rFonts w:asciiTheme="minorHAnsi" w:eastAsia="Times New Roman" w:hAnsiTheme="minorHAnsi"/>
          <w:sz w:val="20"/>
          <w:szCs w:val="20"/>
        </w:rPr>
        <w:t xml:space="preserve">in </w:t>
      </w:r>
      <w:r w:rsidRPr="00F72E2A">
        <w:rPr>
          <w:rFonts w:asciiTheme="minorHAnsi" w:eastAsia="Times New Roman" w:hAnsiTheme="minorHAnsi"/>
          <w:sz w:val="20"/>
          <w:szCs w:val="20"/>
        </w:rPr>
        <w:t xml:space="preserve">the Ghanaian economy. Preliminary figures show the fiscal deficit was 9.2% of GDP in the first half of 2014, driven by the high wage bill and rising interest costs. The wage bill grew 25.7% (y-o-y) during the first half of 2014 despite promised measures to contain it, while interest </w:t>
      </w:r>
      <w:r w:rsidR="003775A2" w:rsidRPr="00F72E2A">
        <w:rPr>
          <w:rFonts w:asciiTheme="minorHAnsi" w:eastAsia="Times New Roman" w:hAnsiTheme="minorHAnsi"/>
          <w:sz w:val="20"/>
          <w:szCs w:val="20"/>
        </w:rPr>
        <w:t xml:space="preserve">payments </w:t>
      </w:r>
      <w:r w:rsidR="00F72E2A" w:rsidRPr="00F72E2A">
        <w:rPr>
          <w:rFonts w:asciiTheme="minorHAnsi" w:eastAsia="Times New Roman" w:hAnsiTheme="minorHAnsi"/>
          <w:sz w:val="20"/>
          <w:szCs w:val="20"/>
        </w:rPr>
        <w:t>reached 5</w:t>
      </w:r>
      <w:r w:rsidR="003775A2" w:rsidRPr="00F72E2A">
        <w:rPr>
          <w:rFonts w:asciiTheme="minorHAnsi" w:eastAsia="Times New Roman" w:hAnsiTheme="minorHAnsi"/>
          <w:sz w:val="20"/>
          <w:szCs w:val="20"/>
        </w:rPr>
        <w:t>% o</w:t>
      </w:r>
      <w:r w:rsidR="00F72E2A">
        <w:rPr>
          <w:rFonts w:asciiTheme="minorHAnsi" w:eastAsia="Times New Roman" w:hAnsiTheme="minorHAnsi"/>
          <w:sz w:val="20"/>
          <w:szCs w:val="20"/>
        </w:rPr>
        <w:t>f</w:t>
      </w:r>
      <w:r w:rsidR="003775A2" w:rsidRPr="00F72E2A">
        <w:rPr>
          <w:rFonts w:asciiTheme="minorHAnsi" w:eastAsia="Times New Roman" w:hAnsiTheme="minorHAnsi"/>
          <w:sz w:val="20"/>
          <w:szCs w:val="20"/>
        </w:rPr>
        <w:t xml:space="preserve"> GDP</w:t>
      </w:r>
      <w:r w:rsidR="009C2D97" w:rsidRPr="00F72E2A">
        <w:rPr>
          <w:rFonts w:asciiTheme="minorHAnsi" w:eastAsia="Times New Roman" w:hAnsiTheme="minorHAnsi"/>
          <w:sz w:val="20"/>
          <w:szCs w:val="20"/>
        </w:rPr>
        <w:t xml:space="preserve">. </w:t>
      </w:r>
      <w:r w:rsidRPr="00F72E2A">
        <w:rPr>
          <w:rFonts w:asciiTheme="minorHAnsi" w:eastAsia="Times New Roman" w:hAnsiTheme="minorHAnsi"/>
          <w:sz w:val="20"/>
          <w:szCs w:val="20"/>
        </w:rPr>
        <w:t xml:space="preserve">Total </w:t>
      </w:r>
      <w:r w:rsidR="00716E67">
        <w:rPr>
          <w:rFonts w:asciiTheme="minorHAnsi" w:eastAsia="Times New Roman" w:hAnsiTheme="minorHAnsi"/>
          <w:sz w:val="20"/>
          <w:szCs w:val="20"/>
        </w:rPr>
        <w:t xml:space="preserve">domestic </w:t>
      </w:r>
      <w:r w:rsidRPr="00F72E2A">
        <w:rPr>
          <w:rFonts w:asciiTheme="minorHAnsi" w:eastAsia="Times New Roman" w:hAnsiTheme="minorHAnsi"/>
          <w:sz w:val="20"/>
          <w:szCs w:val="20"/>
        </w:rPr>
        <w:t xml:space="preserve">revenue </w:t>
      </w:r>
      <w:r w:rsidR="00716E67">
        <w:rPr>
          <w:rFonts w:asciiTheme="minorHAnsi" w:eastAsia="Times New Roman" w:hAnsiTheme="minorHAnsi"/>
          <w:sz w:val="20"/>
          <w:szCs w:val="20"/>
        </w:rPr>
        <w:t xml:space="preserve">collections were </w:t>
      </w:r>
      <w:r w:rsidRPr="00F72E2A">
        <w:rPr>
          <w:rFonts w:asciiTheme="minorHAnsi" w:eastAsia="Times New Roman" w:hAnsiTheme="minorHAnsi"/>
          <w:sz w:val="20"/>
          <w:szCs w:val="20"/>
        </w:rPr>
        <w:t xml:space="preserve">dragged down by </w:t>
      </w:r>
      <w:r w:rsidR="00716E67">
        <w:rPr>
          <w:rFonts w:asciiTheme="minorHAnsi" w:eastAsia="Times New Roman" w:hAnsiTheme="minorHAnsi"/>
          <w:sz w:val="20"/>
          <w:szCs w:val="20"/>
        </w:rPr>
        <w:t xml:space="preserve">a </w:t>
      </w:r>
      <w:r w:rsidRPr="00F72E2A">
        <w:rPr>
          <w:rFonts w:asciiTheme="minorHAnsi" w:eastAsia="Times New Roman" w:hAnsiTheme="minorHAnsi"/>
          <w:sz w:val="20"/>
          <w:szCs w:val="20"/>
        </w:rPr>
        <w:t xml:space="preserve">contraction in non-tax revenue while tax revenue only </w:t>
      </w:r>
      <w:r w:rsidR="00716E67">
        <w:rPr>
          <w:rFonts w:asciiTheme="minorHAnsi" w:eastAsia="Times New Roman" w:hAnsiTheme="minorHAnsi"/>
          <w:sz w:val="20"/>
          <w:szCs w:val="20"/>
        </w:rPr>
        <w:t xml:space="preserve">increased slightly </w:t>
      </w:r>
      <w:r w:rsidR="003775A2" w:rsidRPr="00F72E2A">
        <w:rPr>
          <w:rFonts w:asciiTheme="minorHAnsi" w:eastAsia="Times New Roman" w:hAnsiTheme="minorHAnsi"/>
          <w:sz w:val="20"/>
          <w:szCs w:val="20"/>
        </w:rPr>
        <w:t xml:space="preserve">to </w:t>
      </w:r>
      <w:r w:rsidR="002D6512">
        <w:rPr>
          <w:rFonts w:asciiTheme="minorHAnsi" w:eastAsia="Times New Roman" w:hAnsiTheme="minorHAnsi"/>
          <w:sz w:val="20"/>
          <w:szCs w:val="20"/>
        </w:rPr>
        <w:t>15.6</w:t>
      </w:r>
      <w:r w:rsidR="003775A2" w:rsidRPr="00F72E2A">
        <w:rPr>
          <w:rFonts w:asciiTheme="minorHAnsi" w:eastAsia="Times New Roman" w:hAnsiTheme="minorHAnsi"/>
          <w:sz w:val="20"/>
          <w:szCs w:val="20"/>
        </w:rPr>
        <w:t xml:space="preserve"> % of GDP</w:t>
      </w:r>
      <w:r w:rsidRPr="00F72E2A">
        <w:rPr>
          <w:rFonts w:asciiTheme="minorHAnsi" w:eastAsia="Times New Roman" w:hAnsiTheme="minorHAnsi"/>
          <w:sz w:val="20"/>
          <w:szCs w:val="20"/>
        </w:rPr>
        <w:t>. With large expenditures planned for the second half of the year, the deficit is projected to be around 10% of GDP</w:t>
      </w:r>
      <w:r w:rsidR="003775A2" w:rsidRPr="00F72E2A">
        <w:rPr>
          <w:rFonts w:asciiTheme="minorHAnsi" w:eastAsia="Times New Roman" w:hAnsiTheme="minorHAnsi"/>
          <w:sz w:val="20"/>
          <w:szCs w:val="20"/>
        </w:rPr>
        <w:t>,</w:t>
      </w:r>
      <w:r w:rsidRPr="00F72E2A">
        <w:rPr>
          <w:rFonts w:asciiTheme="minorHAnsi" w:eastAsia="Times New Roman" w:hAnsiTheme="minorHAnsi"/>
          <w:sz w:val="20"/>
          <w:szCs w:val="20"/>
        </w:rPr>
        <w:t xml:space="preserve"> above</w:t>
      </w:r>
      <w:r w:rsidR="003775A2" w:rsidRPr="00F72E2A">
        <w:rPr>
          <w:rFonts w:asciiTheme="minorHAnsi" w:eastAsia="Times New Roman" w:hAnsiTheme="minorHAnsi"/>
          <w:sz w:val="20"/>
          <w:szCs w:val="20"/>
        </w:rPr>
        <w:t xml:space="preserve"> </w:t>
      </w:r>
      <w:r w:rsidR="002D6512" w:rsidRPr="00F72E2A">
        <w:rPr>
          <w:rFonts w:asciiTheme="minorHAnsi" w:eastAsia="Times New Roman" w:hAnsiTheme="minorHAnsi"/>
          <w:sz w:val="20"/>
          <w:szCs w:val="20"/>
        </w:rPr>
        <w:t>the government’s</w:t>
      </w:r>
      <w:r w:rsidRPr="00F72E2A">
        <w:rPr>
          <w:rFonts w:asciiTheme="minorHAnsi" w:eastAsia="Times New Roman" w:hAnsiTheme="minorHAnsi"/>
          <w:sz w:val="20"/>
          <w:szCs w:val="20"/>
        </w:rPr>
        <w:t xml:space="preserve"> 8.8% target for 2014. </w:t>
      </w:r>
    </w:p>
    <w:p w:rsidR="00A00CDC" w:rsidRPr="00F72E2A" w:rsidRDefault="00A00CDC" w:rsidP="00A00CDC">
      <w:pPr>
        <w:framePr w:w="10461" w:h="13905" w:hRule="exact" w:wrap="auto" w:vAnchor="text" w:hAnchor="page" w:x="1061" w:y="-863"/>
        <w:rPr>
          <w:rFonts w:asciiTheme="minorHAnsi" w:eastAsia="Times New Roman" w:hAnsiTheme="minorHAnsi"/>
          <w:sz w:val="20"/>
          <w:szCs w:val="20"/>
        </w:rPr>
      </w:pPr>
    </w:p>
    <w:p w:rsidR="00A00CDC" w:rsidRPr="00F72E2A" w:rsidRDefault="00A00CDC" w:rsidP="00A00CDC">
      <w:pPr>
        <w:framePr w:w="10461" w:h="13905" w:hRule="exact" w:wrap="auto" w:vAnchor="text" w:hAnchor="page" w:x="1061" w:y="-863"/>
        <w:rPr>
          <w:rFonts w:asciiTheme="minorHAnsi" w:eastAsia="Times New Roman" w:hAnsiTheme="minorHAnsi"/>
          <w:sz w:val="20"/>
          <w:szCs w:val="20"/>
        </w:rPr>
      </w:pPr>
      <w:r w:rsidRPr="00F72E2A">
        <w:rPr>
          <w:rFonts w:asciiTheme="minorHAnsi" w:eastAsia="Times New Roman" w:hAnsiTheme="minorHAnsi"/>
          <w:sz w:val="20"/>
          <w:szCs w:val="20"/>
        </w:rPr>
        <w:t xml:space="preserve">The government continued to add to its stock of public debt to finance the fiscal deficit. </w:t>
      </w:r>
      <w:r w:rsidR="00716E67">
        <w:rPr>
          <w:rFonts w:asciiTheme="minorHAnsi" w:eastAsia="Times New Roman" w:hAnsiTheme="minorHAnsi"/>
          <w:sz w:val="20"/>
          <w:szCs w:val="20"/>
        </w:rPr>
        <w:t>P</w:t>
      </w:r>
      <w:r w:rsidRPr="00F72E2A">
        <w:rPr>
          <w:rFonts w:asciiTheme="minorHAnsi" w:eastAsia="Times New Roman" w:hAnsiTheme="minorHAnsi"/>
          <w:sz w:val="20"/>
          <w:szCs w:val="20"/>
        </w:rPr>
        <w:t xml:space="preserve">ublic debt reached </w:t>
      </w:r>
      <w:r w:rsidR="008945FA" w:rsidRPr="00F72E2A">
        <w:rPr>
          <w:rFonts w:asciiTheme="minorHAnsi" w:eastAsia="Times New Roman" w:hAnsiTheme="minorHAnsi"/>
          <w:sz w:val="20"/>
          <w:szCs w:val="20"/>
        </w:rPr>
        <w:t>58</w:t>
      </w:r>
      <w:r w:rsidRPr="00F72E2A">
        <w:rPr>
          <w:rFonts w:asciiTheme="minorHAnsi" w:eastAsia="Times New Roman" w:hAnsiTheme="minorHAnsi"/>
          <w:sz w:val="20"/>
          <w:szCs w:val="20"/>
        </w:rPr>
        <w:t xml:space="preserve">% of GDP </w:t>
      </w:r>
      <w:r w:rsidR="00716E67">
        <w:rPr>
          <w:rFonts w:asciiTheme="minorHAnsi" w:eastAsia="Times New Roman" w:hAnsiTheme="minorHAnsi"/>
          <w:sz w:val="20"/>
          <w:szCs w:val="20"/>
        </w:rPr>
        <w:t xml:space="preserve">in </w:t>
      </w:r>
      <w:r w:rsidRPr="00F72E2A">
        <w:rPr>
          <w:rFonts w:asciiTheme="minorHAnsi" w:eastAsia="Times New Roman" w:hAnsiTheme="minorHAnsi"/>
          <w:sz w:val="20"/>
          <w:szCs w:val="20"/>
        </w:rPr>
        <w:t>August 2014</w:t>
      </w:r>
      <w:r w:rsidR="00716E67">
        <w:rPr>
          <w:rFonts w:asciiTheme="minorHAnsi" w:eastAsia="Times New Roman" w:hAnsiTheme="minorHAnsi"/>
          <w:sz w:val="20"/>
          <w:szCs w:val="20"/>
        </w:rPr>
        <w:t>,</w:t>
      </w:r>
      <w:r w:rsidRPr="00F72E2A">
        <w:rPr>
          <w:rFonts w:asciiTheme="minorHAnsi" w:eastAsia="Times New Roman" w:hAnsiTheme="minorHAnsi"/>
          <w:sz w:val="20"/>
          <w:szCs w:val="20"/>
        </w:rPr>
        <w:t xml:space="preserve"> excluding the stock of arrears and SOE</w:t>
      </w:r>
      <w:r w:rsidR="00716E67">
        <w:rPr>
          <w:rFonts w:asciiTheme="minorHAnsi" w:eastAsia="Times New Roman" w:hAnsiTheme="minorHAnsi"/>
          <w:sz w:val="20"/>
          <w:szCs w:val="20"/>
        </w:rPr>
        <w:t>’</w:t>
      </w:r>
      <w:r w:rsidRPr="00F72E2A">
        <w:rPr>
          <w:rFonts w:asciiTheme="minorHAnsi" w:eastAsia="Times New Roman" w:hAnsiTheme="minorHAnsi"/>
          <w:sz w:val="20"/>
          <w:szCs w:val="20"/>
        </w:rPr>
        <w:t xml:space="preserve">s debt. </w:t>
      </w:r>
      <w:r w:rsidR="00A3154C">
        <w:rPr>
          <w:rFonts w:asciiTheme="minorHAnsi" w:eastAsia="Times New Roman" w:hAnsiTheme="minorHAnsi"/>
          <w:sz w:val="20"/>
          <w:szCs w:val="20"/>
        </w:rPr>
        <w:t xml:space="preserve">If the public debt figure is modified to include </w:t>
      </w:r>
      <w:r w:rsidRPr="00F72E2A">
        <w:rPr>
          <w:rFonts w:asciiTheme="minorHAnsi" w:eastAsia="Times New Roman" w:hAnsiTheme="minorHAnsi"/>
          <w:sz w:val="20"/>
          <w:szCs w:val="20"/>
        </w:rPr>
        <w:t>these</w:t>
      </w:r>
      <w:r w:rsidR="00A3154C">
        <w:rPr>
          <w:rFonts w:asciiTheme="minorHAnsi" w:eastAsia="Times New Roman" w:hAnsiTheme="minorHAnsi"/>
          <w:sz w:val="20"/>
          <w:szCs w:val="20"/>
        </w:rPr>
        <w:t xml:space="preserve"> two</w:t>
      </w:r>
      <w:r w:rsidRPr="00F72E2A">
        <w:rPr>
          <w:rFonts w:asciiTheme="minorHAnsi" w:eastAsia="Times New Roman" w:hAnsiTheme="minorHAnsi"/>
          <w:sz w:val="20"/>
          <w:szCs w:val="20"/>
        </w:rPr>
        <w:t xml:space="preserve"> factors and the Eurobond issued in mid-September, the stock of public debt </w:t>
      </w:r>
      <w:r w:rsidR="00A3154C">
        <w:rPr>
          <w:rFonts w:asciiTheme="minorHAnsi" w:eastAsia="Times New Roman" w:hAnsiTheme="minorHAnsi"/>
          <w:sz w:val="20"/>
          <w:szCs w:val="20"/>
        </w:rPr>
        <w:t>would exceed</w:t>
      </w:r>
      <w:r w:rsidRPr="00F72E2A">
        <w:rPr>
          <w:rFonts w:asciiTheme="minorHAnsi" w:eastAsia="Times New Roman" w:hAnsiTheme="minorHAnsi"/>
          <w:sz w:val="20"/>
          <w:szCs w:val="20"/>
        </w:rPr>
        <w:t xml:space="preserve"> 70% of GDP</w:t>
      </w:r>
      <w:r w:rsidR="003775A2" w:rsidRPr="00F72E2A">
        <w:rPr>
          <w:rFonts w:asciiTheme="minorHAnsi" w:eastAsia="Times New Roman" w:hAnsiTheme="minorHAnsi"/>
          <w:sz w:val="20"/>
          <w:szCs w:val="20"/>
        </w:rPr>
        <w:t xml:space="preserve">. </w:t>
      </w:r>
    </w:p>
    <w:p w:rsidR="00A00CDC" w:rsidRPr="00F72E2A" w:rsidRDefault="00A00CDC" w:rsidP="00A00CDC">
      <w:pPr>
        <w:framePr w:w="10461" w:h="13905" w:hRule="exact" w:wrap="auto" w:vAnchor="text" w:hAnchor="page" w:x="1061" w:y="-863"/>
        <w:rPr>
          <w:rFonts w:asciiTheme="minorHAnsi" w:eastAsia="Times New Roman" w:hAnsiTheme="minorHAnsi"/>
          <w:sz w:val="20"/>
          <w:szCs w:val="20"/>
        </w:rPr>
      </w:pPr>
    </w:p>
    <w:p w:rsidR="00A00CDC" w:rsidRPr="00F72E2A" w:rsidRDefault="007275E4" w:rsidP="00A00CDC">
      <w:pPr>
        <w:framePr w:w="10461" w:h="13905" w:hRule="exact" w:wrap="auto" w:vAnchor="text" w:hAnchor="page" w:x="1061" w:y="-863"/>
        <w:rPr>
          <w:rFonts w:asciiTheme="minorHAnsi" w:eastAsia="Times New Roman" w:hAnsiTheme="minorHAnsi"/>
          <w:sz w:val="20"/>
          <w:szCs w:val="20"/>
        </w:rPr>
      </w:pPr>
      <w:r>
        <w:rPr>
          <w:rFonts w:asciiTheme="minorHAnsi" w:eastAsia="Times New Roman" w:hAnsiTheme="minorHAnsi"/>
          <w:sz w:val="20"/>
          <w:szCs w:val="20"/>
        </w:rPr>
        <w:t>D</w:t>
      </w:r>
      <w:r w:rsidR="00A00CDC" w:rsidRPr="00F72E2A">
        <w:rPr>
          <w:rFonts w:asciiTheme="minorHAnsi" w:eastAsia="Times New Roman" w:hAnsiTheme="minorHAnsi"/>
          <w:sz w:val="20"/>
          <w:szCs w:val="20"/>
        </w:rPr>
        <w:t xml:space="preserve">omestic financing of the </w:t>
      </w:r>
      <w:r>
        <w:rPr>
          <w:rFonts w:asciiTheme="minorHAnsi" w:eastAsia="Times New Roman" w:hAnsiTheme="minorHAnsi"/>
          <w:sz w:val="20"/>
          <w:szCs w:val="20"/>
        </w:rPr>
        <w:t xml:space="preserve">fiscal </w:t>
      </w:r>
      <w:r w:rsidR="00A00CDC" w:rsidRPr="00F72E2A">
        <w:rPr>
          <w:rFonts w:asciiTheme="minorHAnsi" w:eastAsia="Times New Roman" w:hAnsiTheme="minorHAnsi"/>
          <w:sz w:val="20"/>
          <w:szCs w:val="20"/>
        </w:rPr>
        <w:t xml:space="preserve">deficit has been </w:t>
      </w:r>
      <w:r>
        <w:rPr>
          <w:rFonts w:asciiTheme="minorHAnsi" w:eastAsia="Times New Roman" w:hAnsiTheme="minorHAnsi"/>
          <w:sz w:val="20"/>
          <w:szCs w:val="20"/>
        </w:rPr>
        <w:t xml:space="preserve">provided via the </w:t>
      </w:r>
      <w:r w:rsidR="00A00CDC" w:rsidRPr="00F72E2A">
        <w:rPr>
          <w:rFonts w:asciiTheme="minorHAnsi" w:eastAsia="Times New Roman" w:hAnsiTheme="minorHAnsi"/>
          <w:sz w:val="20"/>
          <w:szCs w:val="20"/>
        </w:rPr>
        <w:t>Bank of Ghana</w:t>
      </w:r>
      <w:r>
        <w:rPr>
          <w:rFonts w:asciiTheme="minorHAnsi" w:eastAsia="Times New Roman" w:hAnsiTheme="minorHAnsi"/>
          <w:sz w:val="20"/>
          <w:szCs w:val="20"/>
        </w:rPr>
        <w:t>’s</w:t>
      </w:r>
      <w:r w:rsidR="00A00CDC" w:rsidRPr="00F72E2A">
        <w:rPr>
          <w:rFonts w:asciiTheme="minorHAnsi" w:eastAsia="Times New Roman" w:hAnsiTheme="minorHAnsi"/>
          <w:sz w:val="20"/>
          <w:szCs w:val="20"/>
        </w:rPr>
        <w:t xml:space="preserve"> (BoG) </w:t>
      </w:r>
      <w:r>
        <w:rPr>
          <w:rFonts w:asciiTheme="minorHAnsi" w:eastAsia="Times New Roman" w:hAnsiTheme="minorHAnsi"/>
          <w:sz w:val="20"/>
          <w:szCs w:val="20"/>
        </w:rPr>
        <w:t xml:space="preserve">expansion of </w:t>
      </w:r>
      <w:r w:rsidR="00A00CDC" w:rsidRPr="00F72E2A">
        <w:rPr>
          <w:rFonts w:asciiTheme="minorHAnsi" w:eastAsia="Times New Roman" w:hAnsiTheme="minorHAnsi"/>
          <w:sz w:val="20"/>
          <w:szCs w:val="20"/>
        </w:rPr>
        <w:t xml:space="preserve">net credit to the government and </w:t>
      </w:r>
      <w:r>
        <w:rPr>
          <w:rFonts w:asciiTheme="minorHAnsi" w:eastAsia="Times New Roman" w:hAnsiTheme="minorHAnsi"/>
          <w:sz w:val="20"/>
          <w:szCs w:val="20"/>
        </w:rPr>
        <w:t>SOEs</w:t>
      </w:r>
      <w:r w:rsidR="00A00CDC" w:rsidRPr="00F72E2A">
        <w:rPr>
          <w:rFonts w:asciiTheme="minorHAnsi" w:eastAsia="Times New Roman" w:hAnsiTheme="minorHAnsi"/>
          <w:sz w:val="20"/>
          <w:szCs w:val="20"/>
        </w:rPr>
        <w:t xml:space="preserve">. In fact, </w:t>
      </w:r>
      <w:r>
        <w:rPr>
          <w:rFonts w:asciiTheme="minorHAnsi" w:eastAsia="Times New Roman" w:hAnsiTheme="minorHAnsi"/>
          <w:sz w:val="20"/>
          <w:szCs w:val="20"/>
        </w:rPr>
        <w:t xml:space="preserve">the </w:t>
      </w:r>
      <w:r w:rsidR="00A00CDC" w:rsidRPr="00F72E2A">
        <w:rPr>
          <w:rFonts w:asciiTheme="minorHAnsi" w:eastAsia="Times New Roman" w:hAnsiTheme="minorHAnsi"/>
          <w:sz w:val="20"/>
          <w:szCs w:val="20"/>
        </w:rPr>
        <w:t xml:space="preserve">BoG financed the entire fiscal deficit during the first quarter of 2014. The monetary expansion was sterilized through open market operations and monetary tightening (300 bps in 2014). Interest rates on 91-day Treasury bills reached 25% in August. </w:t>
      </w:r>
    </w:p>
    <w:p w:rsidR="00A00CDC" w:rsidRPr="00F72E2A" w:rsidRDefault="00A00CDC" w:rsidP="00A00CDC">
      <w:pPr>
        <w:framePr w:w="10461" w:h="13905" w:hRule="exact" w:wrap="auto" w:vAnchor="text" w:hAnchor="page" w:x="1061" w:y="-863"/>
        <w:rPr>
          <w:rFonts w:asciiTheme="minorHAnsi" w:eastAsia="Times New Roman" w:hAnsiTheme="minorHAnsi"/>
          <w:sz w:val="20"/>
          <w:szCs w:val="20"/>
        </w:rPr>
      </w:pPr>
    </w:p>
    <w:p w:rsidR="00A00CDC" w:rsidRPr="00F72E2A" w:rsidRDefault="00A00CDC" w:rsidP="00A00CDC">
      <w:pPr>
        <w:framePr w:w="10461" w:h="13905" w:hRule="exact" w:wrap="auto" w:vAnchor="text" w:hAnchor="page" w:x="1061" w:y="-863"/>
        <w:rPr>
          <w:rFonts w:asciiTheme="minorHAnsi" w:eastAsia="Times New Roman" w:hAnsiTheme="minorHAnsi"/>
          <w:sz w:val="20"/>
          <w:szCs w:val="20"/>
        </w:rPr>
      </w:pPr>
      <w:r w:rsidRPr="00F72E2A">
        <w:rPr>
          <w:rFonts w:asciiTheme="minorHAnsi" w:eastAsia="Times New Roman" w:hAnsiTheme="minorHAnsi"/>
          <w:sz w:val="20"/>
          <w:szCs w:val="20"/>
        </w:rPr>
        <w:t>Headline inflation was 15.9% in August 2014 up from 13.5% in December 2013 due to adjustments in prices of petroleum and utilities</w:t>
      </w:r>
      <w:r w:rsidR="007275E4">
        <w:rPr>
          <w:rFonts w:asciiTheme="minorHAnsi" w:eastAsia="Times New Roman" w:hAnsiTheme="minorHAnsi"/>
          <w:sz w:val="20"/>
          <w:szCs w:val="20"/>
        </w:rPr>
        <w:t xml:space="preserve">, plus </w:t>
      </w:r>
      <w:r w:rsidRPr="00F72E2A">
        <w:rPr>
          <w:rFonts w:asciiTheme="minorHAnsi" w:eastAsia="Times New Roman" w:hAnsiTheme="minorHAnsi"/>
          <w:sz w:val="20"/>
          <w:szCs w:val="20"/>
        </w:rPr>
        <w:t xml:space="preserve">rising prices of imported products following depreciation of the Ghanaian </w:t>
      </w:r>
      <w:r w:rsidR="007275E4">
        <w:rPr>
          <w:rFonts w:asciiTheme="minorHAnsi" w:eastAsia="Times New Roman" w:hAnsiTheme="minorHAnsi"/>
          <w:sz w:val="20"/>
          <w:szCs w:val="20"/>
        </w:rPr>
        <w:t>C</w:t>
      </w:r>
      <w:r w:rsidRPr="00F72E2A">
        <w:rPr>
          <w:rFonts w:asciiTheme="minorHAnsi" w:eastAsia="Times New Roman" w:hAnsiTheme="minorHAnsi"/>
          <w:sz w:val="20"/>
          <w:szCs w:val="20"/>
        </w:rPr>
        <w:t xml:space="preserve">edi since January 2013. As a result, non-food </w:t>
      </w:r>
      <w:r w:rsidR="002D6512" w:rsidRPr="00F72E2A">
        <w:rPr>
          <w:rFonts w:asciiTheme="minorHAnsi" w:eastAsia="Times New Roman" w:hAnsiTheme="minorHAnsi"/>
          <w:sz w:val="20"/>
          <w:szCs w:val="20"/>
        </w:rPr>
        <w:t>inflation reached</w:t>
      </w:r>
      <w:r w:rsidRPr="00F72E2A">
        <w:rPr>
          <w:rFonts w:asciiTheme="minorHAnsi" w:eastAsia="Times New Roman" w:hAnsiTheme="minorHAnsi"/>
          <w:sz w:val="20"/>
          <w:szCs w:val="20"/>
        </w:rPr>
        <w:t xml:space="preserve"> 24% and</w:t>
      </w:r>
      <w:r w:rsidR="003775A2" w:rsidRPr="00F72E2A">
        <w:rPr>
          <w:rFonts w:asciiTheme="minorHAnsi" w:eastAsia="Times New Roman" w:hAnsiTheme="minorHAnsi"/>
          <w:sz w:val="20"/>
          <w:szCs w:val="20"/>
        </w:rPr>
        <w:t xml:space="preserve"> producer price inflation</w:t>
      </w:r>
      <w:r w:rsidRPr="00F72E2A">
        <w:rPr>
          <w:rFonts w:asciiTheme="minorHAnsi" w:eastAsia="Times New Roman" w:hAnsiTheme="minorHAnsi"/>
          <w:sz w:val="20"/>
          <w:szCs w:val="20"/>
        </w:rPr>
        <w:t xml:space="preserve"> </w:t>
      </w:r>
      <w:r w:rsidR="00F5666E">
        <w:rPr>
          <w:rFonts w:asciiTheme="minorHAnsi" w:eastAsia="Times New Roman" w:hAnsiTheme="minorHAnsi"/>
          <w:sz w:val="20"/>
          <w:szCs w:val="20"/>
        </w:rPr>
        <w:t>48.3</w:t>
      </w:r>
      <w:r w:rsidRPr="00F72E2A">
        <w:rPr>
          <w:rFonts w:asciiTheme="minorHAnsi" w:eastAsia="Times New Roman" w:hAnsiTheme="minorHAnsi"/>
          <w:sz w:val="20"/>
          <w:szCs w:val="20"/>
        </w:rPr>
        <w:t>%</w:t>
      </w:r>
      <w:r w:rsidR="007275E4">
        <w:rPr>
          <w:rFonts w:asciiTheme="minorHAnsi" w:eastAsia="Times New Roman" w:hAnsiTheme="minorHAnsi"/>
          <w:sz w:val="20"/>
          <w:szCs w:val="20"/>
        </w:rPr>
        <w:t>;</w:t>
      </w:r>
      <w:r w:rsidRPr="00F72E2A">
        <w:rPr>
          <w:rFonts w:asciiTheme="minorHAnsi" w:eastAsia="Times New Roman" w:hAnsiTheme="minorHAnsi"/>
          <w:sz w:val="20"/>
          <w:szCs w:val="20"/>
        </w:rPr>
        <w:t xml:space="preserve"> while food inflation remained subdued at 5.1%.</w:t>
      </w:r>
    </w:p>
    <w:p w:rsidR="00A00CDC" w:rsidRPr="00F72E2A" w:rsidRDefault="00A00CDC" w:rsidP="00A00CDC">
      <w:pPr>
        <w:framePr w:w="10461" w:h="13905" w:hRule="exact" w:wrap="auto" w:vAnchor="text" w:hAnchor="page" w:x="1061" w:y="-863"/>
        <w:rPr>
          <w:rFonts w:asciiTheme="minorHAnsi" w:eastAsia="Times New Roman" w:hAnsiTheme="minorHAnsi"/>
          <w:sz w:val="20"/>
          <w:szCs w:val="20"/>
        </w:rPr>
      </w:pPr>
    </w:p>
    <w:p w:rsidR="008C7FBC" w:rsidRDefault="00A00CDC" w:rsidP="00A00CDC">
      <w:pPr>
        <w:framePr w:w="10461" w:h="13905" w:hRule="exact" w:wrap="auto" w:vAnchor="text" w:hAnchor="page" w:x="1061" w:y="-863"/>
        <w:rPr>
          <w:rFonts w:asciiTheme="minorHAnsi" w:eastAsia="Times New Roman" w:hAnsiTheme="minorHAnsi"/>
          <w:sz w:val="20"/>
          <w:szCs w:val="20"/>
        </w:rPr>
      </w:pPr>
      <w:r w:rsidRPr="00F72E2A">
        <w:rPr>
          <w:rFonts w:asciiTheme="minorHAnsi" w:eastAsia="Times New Roman" w:hAnsiTheme="minorHAnsi"/>
          <w:sz w:val="20"/>
          <w:szCs w:val="20"/>
        </w:rPr>
        <w:t xml:space="preserve">Ghana’s external imbalance </w:t>
      </w:r>
      <w:r w:rsidR="003775A2" w:rsidRPr="00F72E2A">
        <w:rPr>
          <w:rFonts w:asciiTheme="minorHAnsi" w:eastAsia="Times New Roman" w:hAnsiTheme="minorHAnsi"/>
          <w:sz w:val="20"/>
          <w:szCs w:val="20"/>
        </w:rPr>
        <w:t>persisted</w:t>
      </w:r>
      <w:r w:rsidRPr="00F72E2A">
        <w:rPr>
          <w:rFonts w:asciiTheme="minorHAnsi" w:eastAsia="Times New Roman" w:hAnsiTheme="minorHAnsi"/>
          <w:sz w:val="20"/>
          <w:szCs w:val="20"/>
        </w:rPr>
        <w:t xml:space="preserve"> in 2014. While the current account deficit remained around 10% of GDP </w:t>
      </w:r>
      <w:r w:rsidR="00AB4D89">
        <w:rPr>
          <w:rFonts w:asciiTheme="minorHAnsi" w:eastAsia="Times New Roman" w:hAnsiTheme="minorHAnsi"/>
          <w:sz w:val="20"/>
          <w:szCs w:val="20"/>
        </w:rPr>
        <w:t>(</w:t>
      </w:r>
      <w:r w:rsidRPr="00F72E2A">
        <w:rPr>
          <w:rFonts w:asciiTheme="minorHAnsi" w:eastAsia="Times New Roman" w:hAnsiTheme="minorHAnsi"/>
          <w:sz w:val="20"/>
          <w:szCs w:val="20"/>
        </w:rPr>
        <w:t>first half of 2014</w:t>
      </w:r>
      <w:r w:rsidR="00AB4D89">
        <w:rPr>
          <w:rFonts w:asciiTheme="minorHAnsi" w:eastAsia="Times New Roman" w:hAnsiTheme="minorHAnsi"/>
          <w:sz w:val="20"/>
          <w:szCs w:val="20"/>
        </w:rPr>
        <w:t>)</w:t>
      </w:r>
      <w:r w:rsidRPr="00F72E2A">
        <w:rPr>
          <w:rFonts w:asciiTheme="minorHAnsi" w:eastAsia="Times New Roman" w:hAnsiTheme="minorHAnsi"/>
          <w:sz w:val="20"/>
          <w:szCs w:val="20"/>
        </w:rPr>
        <w:t xml:space="preserve"> financing was particularly challenging. Despite the robust FDI inflows, </w:t>
      </w:r>
      <w:r w:rsidR="003775A2" w:rsidRPr="00F72E2A">
        <w:rPr>
          <w:rFonts w:asciiTheme="minorHAnsi" w:eastAsia="Times New Roman" w:hAnsiTheme="minorHAnsi"/>
          <w:sz w:val="20"/>
          <w:szCs w:val="20"/>
        </w:rPr>
        <w:t xml:space="preserve">the </w:t>
      </w:r>
      <w:r w:rsidRPr="00F72E2A">
        <w:rPr>
          <w:rFonts w:asciiTheme="minorHAnsi" w:eastAsia="Times New Roman" w:hAnsiTheme="minorHAnsi"/>
          <w:sz w:val="20"/>
          <w:szCs w:val="20"/>
        </w:rPr>
        <w:t xml:space="preserve">financial account significantly weakened following net outflows </w:t>
      </w:r>
      <w:r w:rsidR="00AB4D89">
        <w:rPr>
          <w:rFonts w:asciiTheme="minorHAnsi" w:eastAsia="Times New Roman" w:hAnsiTheme="minorHAnsi"/>
          <w:sz w:val="20"/>
          <w:szCs w:val="20"/>
        </w:rPr>
        <w:t xml:space="preserve">of </w:t>
      </w:r>
      <w:r w:rsidRPr="00F72E2A">
        <w:rPr>
          <w:rFonts w:asciiTheme="minorHAnsi" w:eastAsia="Times New Roman" w:hAnsiTheme="minorHAnsi"/>
          <w:sz w:val="20"/>
          <w:szCs w:val="20"/>
        </w:rPr>
        <w:t>portfolio investment and short-term capital. As a result, the Ghanaian cedi depreciated against the US dollar by 35% on the official interbank market</w:t>
      </w:r>
      <w:r w:rsidR="00AB4D89">
        <w:rPr>
          <w:rFonts w:asciiTheme="minorHAnsi" w:eastAsia="Times New Roman" w:hAnsiTheme="minorHAnsi"/>
          <w:sz w:val="20"/>
          <w:szCs w:val="20"/>
        </w:rPr>
        <w:t>,</w:t>
      </w:r>
      <w:r w:rsidRPr="00F72E2A">
        <w:rPr>
          <w:rFonts w:asciiTheme="minorHAnsi" w:eastAsia="Times New Roman" w:hAnsiTheme="minorHAnsi"/>
          <w:sz w:val="20"/>
          <w:szCs w:val="20"/>
        </w:rPr>
        <w:t xml:space="preserve"> but by 43% on the forex bureau market by July</w:t>
      </w:r>
      <w:r w:rsidR="00AB4D89">
        <w:rPr>
          <w:rFonts w:asciiTheme="minorHAnsi" w:eastAsia="Times New Roman" w:hAnsiTheme="minorHAnsi"/>
          <w:sz w:val="20"/>
          <w:szCs w:val="20"/>
        </w:rPr>
        <w:t xml:space="preserve">.  Net </w:t>
      </w:r>
      <w:r w:rsidRPr="00F72E2A">
        <w:rPr>
          <w:rFonts w:asciiTheme="minorHAnsi" w:eastAsia="Times New Roman" w:hAnsiTheme="minorHAnsi"/>
          <w:sz w:val="20"/>
          <w:szCs w:val="20"/>
        </w:rPr>
        <w:t xml:space="preserve">international reserves </w:t>
      </w:r>
      <w:r w:rsidR="00AB4D89">
        <w:rPr>
          <w:rFonts w:asciiTheme="minorHAnsi" w:eastAsia="Times New Roman" w:hAnsiTheme="minorHAnsi"/>
          <w:sz w:val="20"/>
          <w:szCs w:val="20"/>
        </w:rPr>
        <w:t xml:space="preserve">had </w:t>
      </w:r>
      <w:r w:rsidRPr="00F72E2A">
        <w:rPr>
          <w:rFonts w:asciiTheme="minorHAnsi" w:eastAsia="Times New Roman" w:hAnsiTheme="minorHAnsi"/>
          <w:sz w:val="20"/>
          <w:szCs w:val="20"/>
        </w:rPr>
        <w:t xml:space="preserve">declined to $601 million </w:t>
      </w:r>
      <w:r w:rsidR="00AB4D89">
        <w:rPr>
          <w:rFonts w:asciiTheme="minorHAnsi" w:eastAsia="Times New Roman" w:hAnsiTheme="minorHAnsi"/>
          <w:sz w:val="20"/>
          <w:szCs w:val="20"/>
        </w:rPr>
        <w:t xml:space="preserve">in </w:t>
      </w:r>
      <w:r w:rsidRPr="00F72E2A">
        <w:rPr>
          <w:rFonts w:asciiTheme="minorHAnsi" w:eastAsia="Times New Roman" w:hAnsiTheme="minorHAnsi"/>
          <w:sz w:val="20"/>
          <w:szCs w:val="20"/>
        </w:rPr>
        <w:t xml:space="preserve">June 2014, covering only 12 days of imports of goods and services. International reserves will get a boost from the </w:t>
      </w:r>
      <w:r w:rsidR="007275E4">
        <w:rPr>
          <w:rFonts w:asciiTheme="minorHAnsi" w:eastAsia="Times New Roman" w:hAnsiTheme="minorHAnsi"/>
          <w:sz w:val="20"/>
          <w:szCs w:val="20"/>
        </w:rPr>
        <w:t>Ghana Cocoa Board (</w:t>
      </w:r>
      <w:r w:rsidRPr="00F72E2A">
        <w:rPr>
          <w:rFonts w:asciiTheme="minorHAnsi" w:eastAsia="Times New Roman" w:hAnsiTheme="minorHAnsi"/>
          <w:sz w:val="20"/>
          <w:szCs w:val="20"/>
        </w:rPr>
        <w:t>Cocobod</w:t>
      </w:r>
      <w:r w:rsidR="007275E4">
        <w:rPr>
          <w:rFonts w:asciiTheme="minorHAnsi" w:eastAsia="Times New Roman" w:hAnsiTheme="minorHAnsi"/>
          <w:sz w:val="20"/>
          <w:szCs w:val="20"/>
        </w:rPr>
        <w:t>)</w:t>
      </w:r>
      <w:r w:rsidRPr="00F72E2A">
        <w:rPr>
          <w:rFonts w:asciiTheme="minorHAnsi" w:eastAsia="Times New Roman" w:hAnsiTheme="minorHAnsi"/>
          <w:sz w:val="20"/>
          <w:szCs w:val="20"/>
        </w:rPr>
        <w:t xml:space="preserve"> loan of US$1.7billion and recently issued $1 billion Eurobond. Ghana issued its third 10-year Eurobond in mid-September with a yield of 8.25%. While the yield was slightly lower than 8.5% that Ghana paid last August, </w:t>
      </w:r>
      <w:r w:rsidR="003775A2" w:rsidRPr="00F72E2A">
        <w:rPr>
          <w:rFonts w:asciiTheme="minorHAnsi" w:eastAsia="Times New Roman" w:hAnsiTheme="minorHAnsi"/>
          <w:sz w:val="20"/>
          <w:szCs w:val="20"/>
        </w:rPr>
        <w:t xml:space="preserve">it was significantly higher than </w:t>
      </w:r>
      <w:r w:rsidR="002D6512" w:rsidRPr="00F72E2A">
        <w:rPr>
          <w:rFonts w:asciiTheme="minorHAnsi" w:eastAsia="Times New Roman" w:hAnsiTheme="minorHAnsi"/>
          <w:sz w:val="20"/>
          <w:szCs w:val="20"/>
        </w:rPr>
        <w:t>the 5.375</w:t>
      </w:r>
      <w:r w:rsidRPr="00F72E2A">
        <w:rPr>
          <w:rFonts w:asciiTheme="minorHAnsi" w:eastAsia="Times New Roman" w:hAnsiTheme="minorHAnsi"/>
          <w:sz w:val="20"/>
          <w:szCs w:val="20"/>
        </w:rPr>
        <w:t xml:space="preserve">% </w:t>
      </w:r>
      <w:r w:rsidR="00CF13EC">
        <w:rPr>
          <w:rFonts w:asciiTheme="minorHAnsi" w:eastAsia="Times New Roman" w:hAnsiTheme="minorHAnsi"/>
          <w:sz w:val="20"/>
          <w:szCs w:val="20"/>
        </w:rPr>
        <w:t>Ivory Coast paid for the 10-year</w:t>
      </w:r>
      <w:r w:rsidRPr="00F72E2A">
        <w:rPr>
          <w:rFonts w:asciiTheme="minorHAnsi" w:eastAsia="Times New Roman" w:hAnsiTheme="minorHAnsi"/>
          <w:sz w:val="20"/>
          <w:szCs w:val="20"/>
        </w:rPr>
        <w:t xml:space="preserve"> $500 million </w:t>
      </w:r>
      <w:r w:rsidR="00CF13EC" w:rsidRPr="00F72E2A">
        <w:rPr>
          <w:rFonts w:asciiTheme="minorHAnsi" w:eastAsia="Times New Roman" w:hAnsiTheme="minorHAnsi"/>
          <w:sz w:val="20"/>
          <w:szCs w:val="20"/>
        </w:rPr>
        <w:t>Eurobond</w:t>
      </w:r>
      <w:r w:rsidR="00CF13EC">
        <w:rPr>
          <w:rFonts w:asciiTheme="minorHAnsi" w:eastAsia="Times New Roman" w:hAnsiTheme="minorHAnsi"/>
          <w:sz w:val="20"/>
          <w:szCs w:val="20"/>
        </w:rPr>
        <w:t xml:space="preserve"> </w:t>
      </w:r>
      <w:r w:rsidRPr="00F72E2A">
        <w:rPr>
          <w:rFonts w:asciiTheme="minorHAnsi" w:eastAsia="Times New Roman" w:hAnsiTheme="minorHAnsi"/>
          <w:sz w:val="20"/>
          <w:szCs w:val="20"/>
        </w:rPr>
        <w:t xml:space="preserve">issued in July 2014. Spreads on Ghana’s existing sovereign bonds have narrowed slightly in September after the Ghanaian government officially </w:t>
      </w:r>
      <w:r w:rsidR="003775A2" w:rsidRPr="00F72E2A">
        <w:rPr>
          <w:rFonts w:asciiTheme="minorHAnsi" w:eastAsia="Times New Roman" w:hAnsiTheme="minorHAnsi"/>
          <w:sz w:val="20"/>
          <w:szCs w:val="20"/>
        </w:rPr>
        <w:t xml:space="preserve">requested </w:t>
      </w:r>
      <w:r w:rsidRPr="00F72E2A">
        <w:rPr>
          <w:rFonts w:asciiTheme="minorHAnsi" w:eastAsia="Times New Roman" w:hAnsiTheme="minorHAnsi"/>
          <w:sz w:val="20"/>
          <w:szCs w:val="20"/>
        </w:rPr>
        <w:t>assistance from the IMF.</w:t>
      </w:r>
    </w:p>
    <w:p w:rsidR="008C7FBC" w:rsidRDefault="008C7FBC" w:rsidP="00A00CDC">
      <w:pPr>
        <w:framePr w:w="10461" w:h="13905" w:hRule="exact" w:wrap="auto" w:vAnchor="text" w:hAnchor="page" w:x="1061" w:y="-863"/>
        <w:rPr>
          <w:rFonts w:asciiTheme="minorHAnsi" w:eastAsia="Times New Roman" w:hAnsiTheme="minorHAnsi"/>
          <w:sz w:val="20"/>
          <w:szCs w:val="20"/>
        </w:rPr>
      </w:pPr>
    </w:p>
    <w:p w:rsidR="001B671B" w:rsidRPr="002D6512" w:rsidRDefault="00A00CDC" w:rsidP="00A00CDC">
      <w:pPr>
        <w:framePr w:w="10461" w:h="13905" w:hRule="exact" w:wrap="auto" w:vAnchor="text" w:hAnchor="page" w:x="1061" w:y="-863"/>
        <w:rPr>
          <w:rFonts w:cs="Helv"/>
          <w:i/>
          <w:color w:val="000000"/>
          <w:sz w:val="20"/>
          <w:szCs w:val="20"/>
        </w:rPr>
        <w:sectPr w:rsidR="001B671B" w:rsidRPr="002D6512" w:rsidSect="005E3128">
          <w:footerReference w:type="default" r:id="rId14"/>
          <w:pgSz w:w="12240" w:h="15840"/>
          <w:pgMar w:top="1440" w:right="1440" w:bottom="1440" w:left="1440" w:header="720" w:footer="720" w:gutter="0"/>
          <w:pgNumType w:start="1"/>
          <w:cols w:space="720"/>
          <w:docGrid w:linePitch="360"/>
        </w:sectPr>
      </w:pPr>
      <w:r w:rsidRPr="00F72E2A">
        <w:rPr>
          <w:rFonts w:asciiTheme="minorHAnsi" w:eastAsia="Times New Roman" w:hAnsiTheme="minorHAnsi"/>
          <w:sz w:val="20"/>
          <w:szCs w:val="20"/>
        </w:rPr>
        <w:t xml:space="preserve">Macroeconomic challenges continue to weigh on economic growth. In first quarter, growth was lower at 6.7% compared to 9% in the first quarter of 2013. GDP growth already slowed down to 7.1% in 2013 and is expected to remain subdued around 6.0 % for the full year 2014. Slower </w:t>
      </w:r>
      <w:r w:rsidRPr="0031534B">
        <w:rPr>
          <w:rFonts w:asciiTheme="minorHAnsi" w:eastAsia="Times New Roman" w:hAnsiTheme="minorHAnsi"/>
          <w:sz w:val="20"/>
          <w:szCs w:val="20"/>
        </w:rPr>
        <w:t xml:space="preserve">growth and higher inflation could easily erase recent gains </w:t>
      </w:r>
      <w:r w:rsidR="007275E4" w:rsidRPr="0031534B">
        <w:rPr>
          <w:rFonts w:asciiTheme="minorHAnsi" w:eastAsia="Times New Roman" w:hAnsiTheme="minorHAnsi"/>
          <w:sz w:val="20"/>
          <w:szCs w:val="20"/>
        </w:rPr>
        <w:t xml:space="preserve">in </w:t>
      </w:r>
      <w:r w:rsidRPr="0031534B">
        <w:rPr>
          <w:rFonts w:asciiTheme="minorHAnsi" w:eastAsia="Times New Roman" w:hAnsiTheme="minorHAnsi"/>
          <w:sz w:val="20"/>
          <w:szCs w:val="20"/>
        </w:rPr>
        <w:t xml:space="preserve">poverty reduction. </w:t>
      </w:r>
      <w:r w:rsidR="0031534B" w:rsidRPr="0031534B">
        <w:rPr>
          <w:rFonts w:asciiTheme="minorHAnsi" w:eastAsia="Times New Roman" w:hAnsiTheme="minorHAnsi"/>
          <w:sz w:val="20"/>
          <w:szCs w:val="20"/>
        </w:rPr>
        <w:t>O</w:t>
      </w:r>
      <w:r w:rsidRPr="0031534B">
        <w:rPr>
          <w:rFonts w:asciiTheme="minorHAnsi" w:eastAsia="Times New Roman" w:hAnsiTheme="minorHAnsi"/>
          <w:sz w:val="20"/>
          <w:szCs w:val="20"/>
        </w:rPr>
        <w:t>fficial data show</w:t>
      </w:r>
      <w:r w:rsidR="0031534B" w:rsidRPr="0031534B">
        <w:rPr>
          <w:rFonts w:asciiTheme="minorHAnsi" w:eastAsia="Times New Roman" w:hAnsiTheme="minorHAnsi"/>
          <w:sz w:val="20"/>
          <w:szCs w:val="20"/>
        </w:rPr>
        <w:t>s</w:t>
      </w:r>
      <w:r w:rsidRPr="0031534B">
        <w:rPr>
          <w:rFonts w:asciiTheme="minorHAnsi" w:eastAsia="Times New Roman" w:hAnsiTheme="minorHAnsi"/>
          <w:sz w:val="20"/>
          <w:szCs w:val="20"/>
        </w:rPr>
        <w:t xml:space="preserve"> the poverty rate decreased to 24% in 2013 from 31% in 2006</w:t>
      </w:r>
      <w:r w:rsidR="0023198A" w:rsidRPr="0031534B">
        <w:rPr>
          <w:rFonts w:asciiTheme="minorHAnsi" w:eastAsia="Times New Roman" w:hAnsiTheme="minorHAnsi"/>
          <w:sz w:val="20"/>
          <w:szCs w:val="20"/>
        </w:rPr>
        <w:t>, making it very likely that Ghana meets the goal of halving poverty rates by 2015. However, ther</w:t>
      </w:r>
      <w:r w:rsidR="009B5692" w:rsidRPr="0031534B">
        <w:rPr>
          <w:rFonts w:asciiTheme="minorHAnsi" w:eastAsia="Times New Roman" w:hAnsiTheme="minorHAnsi"/>
          <w:sz w:val="20"/>
          <w:szCs w:val="20"/>
        </w:rPr>
        <w:t>e</w:t>
      </w:r>
      <w:r w:rsidR="0023198A" w:rsidRPr="0031534B">
        <w:rPr>
          <w:rFonts w:asciiTheme="minorHAnsi" w:eastAsia="Times New Roman" w:hAnsiTheme="minorHAnsi"/>
          <w:sz w:val="20"/>
          <w:szCs w:val="20"/>
        </w:rPr>
        <w:t xml:space="preserve"> is</w:t>
      </w:r>
      <w:r w:rsidR="005D5DF3" w:rsidRPr="0031534B">
        <w:rPr>
          <w:rFonts w:asciiTheme="minorHAnsi" w:eastAsia="Times New Roman" w:hAnsiTheme="minorHAnsi"/>
          <w:sz w:val="20"/>
          <w:szCs w:val="20"/>
        </w:rPr>
        <w:t xml:space="preserve"> a</w:t>
      </w:r>
      <w:r w:rsidR="0023198A" w:rsidRPr="0031534B">
        <w:rPr>
          <w:rFonts w:asciiTheme="minorHAnsi" w:eastAsia="Times New Roman" w:hAnsiTheme="minorHAnsi"/>
          <w:sz w:val="20"/>
          <w:szCs w:val="20"/>
        </w:rPr>
        <w:t xml:space="preserve"> great disparity in poverty </w:t>
      </w:r>
      <w:r w:rsidR="005D5DF3" w:rsidRPr="0031534B">
        <w:rPr>
          <w:rFonts w:asciiTheme="minorHAnsi" w:eastAsia="Times New Roman" w:hAnsiTheme="minorHAnsi"/>
          <w:sz w:val="20"/>
          <w:szCs w:val="20"/>
        </w:rPr>
        <w:t xml:space="preserve">levels </w:t>
      </w:r>
      <w:r w:rsidR="0023198A" w:rsidRPr="0031534B">
        <w:rPr>
          <w:rFonts w:asciiTheme="minorHAnsi" w:eastAsia="Times New Roman" w:hAnsiTheme="minorHAnsi"/>
          <w:sz w:val="20"/>
          <w:szCs w:val="20"/>
        </w:rPr>
        <w:t>acros</w:t>
      </w:r>
      <w:r w:rsidR="009B5692" w:rsidRPr="0031534B">
        <w:rPr>
          <w:rFonts w:asciiTheme="minorHAnsi" w:eastAsia="Times New Roman" w:hAnsiTheme="minorHAnsi"/>
          <w:sz w:val="20"/>
          <w:szCs w:val="20"/>
        </w:rPr>
        <w:t>s</w:t>
      </w:r>
      <w:r w:rsidR="0023198A" w:rsidRPr="0031534B">
        <w:rPr>
          <w:rFonts w:asciiTheme="minorHAnsi" w:eastAsia="Times New Roman" w:hAnsiTheme="minorHAnsi"/>
          <w:sz w:val="20"/>
          <w:szCs w:val="20"/>
        </w:rPr>
        <w:t xml:space="preserve"> the country. For instance, in rural areas</w:t>
      </w:r>
      <w:r w:rsidR="009C5A21" w:rsidRPr="0031534B">
        <w:rPr>
          <w:rFonts w:asciiTheme="minorHAnsi" w:eastAsia="Times New Roman" w:hAnsiTheme="minorHAnsi"/>
          <w:sz w:val="20"/>
          <w:szCs w:val="20"/>
        </w:rPr>
        <w:t>,</w:t>
      </w:r>
      <w:r w:rsidR="0023198A" w:rsidRPr="0031534B">
        <w:rPr>
          <w:rFonts w:asciiTheme="minorHAnsi" w:eastAsia="Times New Roman" w:hAnsiTheme="minorHAnsi"/>
          <w:sz w:val="20"/>
          <w:szCs w:val="20"/>
        </w:rPr>
        <w:t xml:space="preserve"> 38% of the population is poor, while in </w:t>
      </w:r>
      <w:r w:rsidR="005D5DF3" w:rsidRPr="0031534B">
        <w:rPr>
          <w:rFonts w:asciiTheme="minorHAnsi" w:eastAsia="Times New Roman" w:hAnsiTheme="minorHAnsi"/>
          <w:sz w:val="20"/>
          <w:szCs w:val="20"/>
        </w:rPr>
        <w:t xml:space="preserve">the </w:t>
      </w:r>
      <w:r w:rsidR="0023198A" w:rsidRPr="0031534B">
        <w:rPr>
          <w:rFonts w:asciiTheme="minorHAnsi" w:eastAsia="Times New Roman" w:hAnsiTheme="minorHAnsi"/>
          <w:sz w:val="20"/>
          <w:szCs w:val="20"/>
        </w:rPr>
        <w:t>urban areas only 11%. Geographically</w:t>
      </w:r>
      <w:r w:rsidR="005D5DF3" w:rsidRPr="0031534B">
        <w:rPr>
          <w:rFonts w:asciiTheme="minorHAnsi" w:eastAsia="Times New Roman" w:hAnsiTheme="minorHAnsi"/>
          <w:sz w:val="20"/>
          <w:szCs w:val="20"/>
        </w:rPr>
        <w:t>,</w:t>
      </w:r>
      <w:r w:rsidR="0023198A" w:rsidRPr="0031534B">
        <w:rPr>
          <w:rFonts w:asciiTheme="minorHAnsi" w:eastAsia="Times New Roman" w:hAnsiTheme="minorHAnsi"/>
          <w:sz w:val="20"/>
          <w:szCs w:val="20"/>
        </w:rPr>
        <w:t xml:space="preserve"> the disparity is even larger</w:t>
      </w:r>
      <w:r w:rsidR="0031534B">
        <w:rPr>
          <w:rFonts w:asciiTheme="minorHAnsi" w:eastAsia="Times New Roman" w:hAnsiTheme="minorHAnsi"/>
          <w:sz w:val="20"/>
          <w:szCs w:val="20"/>
        </w:rPr>
        <w:t xml:space="preserve"> with </w:t>
      </w:r>
      <w:r w:rsidR="005D5DF3" w:rsidRPr="0031534B">
        <w:rPr>
          <w:sz w:val="20"/>
          <w:szCs w:val="20"/>
          <w:lang w:eastAsia="x-none"/>
        </w:rPr>
        <w:t xml:space="preserve">55% of </w:t>
      </w:r>
      <w:r w:rsidR="005D5DF3" w:rsidRPr="0031534B">
        <w:rPr>
          <w:rFonts w:asciiTheme="minorHAnsi" w:eastAsia="Times New Roman" w:hAnsiTheme="minorHAnsi"/>
          <w:sz w:val="20"/>
          <w:szCs w:val="20"/>
        </w:rPr>
        <w:t>t</w:t>
      </w:r>
      <w:r w:rsidR="0023198A" w:rsidRPr="0031534B">
        <w:rPr>
          <w:rFonts w:asciiTheme="minorHAnsi" w:eastAsia="Times New Roman" w:hAnsiTheme="minorHAnsi"/>
          <w:sz w:val="20"/>
          <w:szCs w:val="20"/>
        </w:rPr>
        <w:t>he Rural Savannah</w:t>
      </w:r>
      <w:r w:rsidR="0023198A">
        <w:rPr>
          <w:rFonts w:asciiTheme="minorHAnsi" w:eastAsia="Times New Roman" w:hAnsiTheme="minorHAnsi"/>
          <w:sz w:val="20"/>
          <w:szCs w:val="20"/>
        </w:rPr>
        <w:t xml:space="preserve"> </w:t>
      </w:r>
      <w:r w:rsidR="00B768DF">
        <w:rPr>
          <w:rFonts w:asciiTheme="minorHAnsi" w:eastAsia="Times New Roman" w:hAnsiTheme="minorHAnsi"/>
          <w:sz w:val="20"/>
          <w:szCs w:val="20"/>
        </w:rPr>
        <w:t xml:space="preserve">population </w:t>
      </w:r>
      <w:r w:rsidR="0031534B">
        <w:rPr>
          <w:rFonts w:asciiTheme="minorHAnsi" w:eastAsia="Times New Roman" w:hAnsiTheme="minorHAnsi"/>
          <w:sz w:val="20"/>
          <w:szCs w:val="20"/>
        </w:rPr>
        <w:t xml:space="preserve">living </w:t>
      </w:r>
      <w:r w:rsidR="005D5DF3">
        <w:rPr>
          <w:rFonts w:asciiTheme="minorHAnsi" w:eastAsia="Times New Roman" w:hAnsiTheme="minorHAnsi"/>
          <w:sz w:val="20"/>
          <w:szCs w:val="20"/>
        </w:rPr>
        <w:t>below the poverty line</w:t>
      </w:r>
      <w:r w:rsidR="009C5A21">
        <w:rPr>
          <w:rFonts w:asciiTheme="minorHAnsi" w:eastAsia="Times New Roman" w:hAnsiTheme="minorHAnsi"/>
          <w:sz w:val="20"/>
          <w:szCs w:val="20"/>
        </w:rPr>
        <w:t>,</w:t>
      </w:r>
      <w:r w:rsidR="00B768DF">
        <w:rPr>
          <w:rFonts w:asciiTheme="minorHAnsi" w:eastAsia="Times New Roman" w:hAnsiTheme="minorHAnsi"/>
          <w:sz w:val="20"/>
          <w:szCs w:val="20"/>
        </w:rPr>
        <w:t xml:space="preserve"> </w:t>
      </w:r>
      <w:r w:rsidR="0031534B">
        <w:rPr>
          <w:rFonts w:asciiTheme="minorHAnsi" w:eastAsia="Times New Roman" w:hAnsiTheme="minorHAnsi"/>
          <w:sz w:val="20"/>
          <w:szCs w:val="20"/>
        </w:rPr>
        <w:t xml:space="preserve">compared to </w:t>
      </w:r>
      <w:r w:rsidR="005D5DF3">
        <w:rPr>
          <w:rFonts w:asciiTheme="minorHAnsi" w:eastAsia="Times New Roman" w:hAnsiTheme="minorHAnsi"/>
          <w:sz w:val="20"/>
          <w:szCs w:val="20"/>
        </w:rPr>
        <w:t xml:space="preserve">3.5% </w:t>
      </w:r>
      <w:r w:rsidR="00B768DF">
        <w:rPr>
          <w:rFonts w:asciiTheme="minorHAnsi" w:eastAsia="Times New Roman" w:hAnsiTheme="minorHAnsi"/>
          <w:sz w:val="20"/>
          <w:szCs w:val="20"/>
        </w:rPr>
        <w:t xml:space="preserve">of the population </w:t>
      </w:r>
      <w:r w:rsidR="005D5DF3">
        <w:rPr>
          <w:rFonts w:asciiTheme="minorHAnsi" w:eastAsia="Times New Roman" w:hAnsiTheme="minorHAnsi"/>
          <w:sz w:val="20"/>
          <w:szCs w:val="20"/>
        </w:rPr>
        <w:t>in Greater Accra Metropolitan area</w:t>
      </w:r>
      <w:r w:rsidR="0023198A">
        <w:rPr>
          <w:rFonts w:asciiTheme="minorHAnsi" w:eastAsia="Times New Roman" w:hAnsiTheme="minorHAnsi"/>
          <w:sz w:val="20"/>
          <w:szCs w:val="20"/>
        </w:rPr>
        <w:t xml:space="preserve">. </w:t>
      </w:r>
      <w:r w:rsidR="009C5A21">
        <w:rPr>
          <w:rFonts w:asciiTheme="minorHAnsi" w:eastAsia="Times New Roman" w:hAnsiTheme="minorHAnsi"/>
          <w:sz w:val="20"/>
          <w:szCs w:val="20"/>
        </w:rPr>
        <w:t xml:space="preserve">Inequality, </w:t>
      </w:r>
      <w:r w:rsidR="0023198A">
        <w:rPr>
          <w:rFonts w:asciiTheme="minorHAnsi" w:eastAsia="Times New Roman" w:hAnsiTheme="minorHAnsi"/>
          <w:sz w:val="20"/>
          <w:szCs w:val="20"/>
        </w:rPr>
        <w:t xml:space="preserve">as measured by the Gini </w:t>
      </w:r>
      <w:r w:rsidR="005D5DF3">
        <w:rPr>
          <w:rFonts w:asciiTheme="minorHAnsi" w:eastAsia="Times New Roman" w:hAnsiTheme="minorHAnsi"/>
          <w:sz w:val="20"/>
          <w:szCs w:val="20"/>
        </w:rPr>
        <w:t>coefficient</w:t>
      </w:r>
      <w:r w:rsidR="0023198A">
        <w:rPr>
          <w:rFonts w:asciiTheme="minorHAnsi" w:eastAsia="Times New Roman" w:hAnsiTheme="minorHAnsi"/>
          <w:sz w:val="20"/>
          <w:szCs w:val="20"/>
        </w:rPr>
        <w:t xml:space="preserve">, increased from </w:t>
      </w:r>
      <w:r w:rsidR="00B768DF">
        <w:rPr>
          <w:rFonts w:asciiTheme="minorHAnsi" w:eastAsia="Times New Roman" w:hAnsiTheme="minorHAnsi"/>
          <w:sz w:val="20"/>
          <w:szCs w:val="20"/>
        </w:rPr>
        <w:t>41.9 in 2006</w:t>
      </w:r>
      <w:r w:rsidR="0023198A">
        <w:rPr>
          <w:rFonts w:asciiTheme="minorHAnsi" w:eastAsia="Times New Roman" w:hAnsiTheme="minorHAnsi"/>
          <w:sz w:val="20"/>
          <w:szCs w:val="20"/>
        </w:rPr>
        <w:t xml:space="preserve"> to </w:t>
      </w:r>
      <w:r w:rsidR="00B768DF">
        <w:rPr>
          <w:rFonts w:asciiTheme="minorHAnsi" w:eastAsia="Times New Roman" w:hAnsiTheme="minorHAnsi"/>
          <w:sz w:val="20"/>
          <w:szCs w:val="20"/>
        </w:rPr>
        <w:t xml:space="preserve">42.3 in </w:t>
      </w:r>
      <w:r w:rsidR="00E541DA">
        <w:rPr>
          <w:rFonts w:asciiTheme="minorHAnsi" w:eastAsia="Times New Roman" w:hAnsiTheme="minorHAnsi"/>
          <w:sz w:val="20"/>
          <w:szCs w:val="20"/>
        </w:rPr>
        <w:t>2013</w:t>
      </w:r>
      <w:r w:rsidR="0023198A">
        <w:rPr>
          <w:rFonts w:asciiTheme="minorHAnsi" w:eastAsia="Times New Roman" w:hAnsiTheme="minorHAnsi"/>
          <w:sz w:val="20"/>
          <w:szCs w:val="20"/>
        </w:rPr>
        <w:t xml:space="preserve">. </w:t>
      </w:r>
      <w:r w:rsidR="0031534B">
        <w:rPr>
          <w:rFonts w:asciiTheme="minorHAnsi" w:eastAsia="Times New Roman" w:hAnsiTheme="minorHAnsi"/>
          <w:sz w:val="20"/>
          <w:szCs w:val="20"/>
        </w:rPr>
        <w:t>P</w:t>
      </w:r>
      <w:r w:rsidR="00BB54B6">
        <w:rPr>
          <w:rFonts w:asciiTheme="minorHAnsi" w:eastAsia="Times New Roman" w:hAnsiTheme="minorHAnsi"/>
          <w:sz w:val="20"/>
          <w:szCs w:val="20"/>
        </w:rPr>
        <w:t xml:space="preserve">overty reduction </w:t>
      </w:r>
      <w:r w:rsidR="00945409">
        <w:rPr>
          <w:rFonts w:asciiTheme="minorHAnsi" w:eastAsia="Times New Roman" w:hAnsiTheme="minorHAnsi"/>
          <w:sz w:val="20"/>
          <w:szCs w:val="20"/>
        </w:rPr>
        <w:t xml:space="preserve">in Ghana </w:t>
      </w:r>
      <w:r w:rsidR="00BB54B6">
        <w:rPr>
          <w:rFonts w:asciiTheme="minorHAnsi" w:eastAsia="Times New Roman" w:hAnsiTheme="minorHAnsi"/>
          <w:sz w:val="20"/>
          <w:szCs w:val="20"/>
        </w:rPr>
        <w:t xml:space="preserve">is </w:t>
      </w:r>
      <w:r w:rsidR="0031534B">
        <w:rPr>
          <w:rFonts w:asciiTheme="minorHAnsi" w:eastAsia="Times New Roman" w:hAnsiTheme="minorHAnsi"/>
          <w:sz w:val="20"/>
          <w:szCs w:val="20"/>
        </w:rPr>
        <w:t xml:space="preserve">linked to </w:t>
      </w:r>
      <w:r w:rsidR="00BB54B6">
        <w:rPr>
          <w:rFonts w:asciiTheme="minorHAnsi" w:eastAsia="Times New Roman" w:hAnsiTheme="minorHAnsi"/>
          <w:sz w:val="20"/>
          <w:szCs w:val="20"/>
        </w:rPr>
        <w:t xml:space="preserve">developments in the labor </w:t>
      </w:r>
      <w:r w:rsidR="003014B2">
        <w:rPr>
          <w:rFonts w:asciiTheme="minorHAnsi" w:eastAsia="Times New Roman" w:hAnsiTheme="minorHAnsi"/>
          <w:sz w:val="20"/>
          <w:szCs w:val="20"/>
        </w:rPr>
        <w:t xml:space="preserve">market, where </w:t>
      </w:r>
      <w:r w:rsidR="00BB54B6">
        <w:rPr>
          <w:rFonts w:asciiTheme="minorHAnsi" w:eastAsia="Times New Roman" w:hAnsiTheme="minorHAnsi"/>
          <w:sz w:val="20"/>
          <w:szCs w:val="20"/>
        </w:rPr>
        <w:t>the participation rate</w:t>
      </w:r>
      <w:r w:rsidR="0031534B">
        <w:rPr>
          <w:rFonts w:asciiTheme="minorHAnsi" w:eastAsia="Times New Roman" w:hAnsiTheme="minorHAnsi"/>
          <w:sz w:val="20"/>
          <w:szCs w:val="20"/>
        </w:rPr>
        <w:t>s</w:t>
      </w:r>
      <w:r w:rsidR="003014B2">
        <w:rPr>
          <w:rFonts w:asciiTheme="minorHAnsi" w:eastAsia="Times New Roman" w:hAnsiTheme="minorHAnsi"/>
          <w:sz w:val="20"/>
          <w:szCs w:val="20"/>
        </w:rPr>
        <w:t xml:space="preserve"> increased substantially</w:t>
      </w:r>
      <w:r w:rsidR="00BB54B6">
        <w:rPr>
          <w:rFonts w:asciiTheme="minorHAnsi" w:eastAsia="Times New Roman" w:hAnsiTheme="minorHAnsi"/>
          <w:sz w:val="20"/>
          <w:szCs w:val="20"/>
        </w:rPr>
        <w:t xml:space="preserve"> and </w:t>
      </w:r>
      <w:r w:rsidR="003014B2">
        <w:rPr>
          <w:rFonts w:asciiTheme="minorHAnsi" w:eastAsia="Times New Roman" w:hAnsiTheme="minorHAnsi"/>
          <w:sz w:val="20"/>
          <w:szCs w:val="20"/>
        </w:rPr>
        <w:t xml:space="preserve">the </w:t>
      </w:r>
      <w:r w:rsidR="00BB54B6">
        <w:rPr>
          <w:rFonts w:asciiTheme="minorHAnsi" w:eastAsia="Times New Roman" w:hAnsiTheme="minorHAnsi"/>
          <w:sz w:val="20"/>
          <w:szCs w:val="20"/>
        </w:rPr>
        <w:t>share of agriculture</w:t>
      </w:r>
      <w:r w:rsidR="003014B2">
        <w:rPr>
          <w:rFonts w:asciiTheme="minorHAnsi" w:eastAsia="Times New Roman" w:hAnsiTheme="minorHAnsi"/>
          <w:sz w:val="20"/>
          <w:szCs w:val="20"/>
        </w:rPr>
        <w:t xml:space="preserve"> employment</w:t>
      </w:r>
      <w:r w:rsidR="0031534B">
        <w:rPr>
          <w:rFonts w:asciiTheme="minorHAnsi" w:eastAsia="Times New Roman" w:hAnsiTheme="minorHAnsi"/>
          <w:sz w:val="20"/>
          <w:szCs w:val="20"/>
        </w:rPr>
        <w:t xml:space="preserve"> (</w:t>
      </w:r>
      <w:r w:rsidR="003014B2">
        <w:rPr>
          <w:rFonts w:asciiTheme="minorHAnsi" w:eastAsia="Times New Roman" w:hAnsiTheme="minorHAnsi"/>
          <w:sz w:val="20"/>
          <w:szCs w:val="20"/>
        </w:rPr>
        <w:t>with the lowest wages in the economy</w:t>
      </w:r>
      <w:r w:rsidR="0031534B">
        <w:rPr>
          <w:rFonts w:asciiTheme="minorHAnsi" w:eastAsia="Times New Roman" w:hAnsiTheme="minorHAnsi"/>
          <w:sz w:val="20"/>
          <w:szCs w:val="20"/>
        </w:rPr>
        <w:t>)</w:t>
      </w:r>
      <w:r w:rsidR="003014B2">
        <w:rPr>
          <w:rFonts w:asciiTheme="minorHAnsi" w:eastAsia="Times New Roman" w:hAnsiTheme="minorHAnsi"/>
          <w:sz w:val="20"/>
          <w:szCs w:val="20"/>
        </w:rPr>
        <w:t xml:space="preserve"> decreased. </w:t>
      </w:r>
      <w:r w:rsidR="00BB54B6">
        <w:rPr>
          <w:rFonts w:asciiTheme="minorHAnsi" w:eastAsia="Times New Roman" w:hAnsiTheme="minorHAnsi"/>
          <w:sz w:val="20"/>
          <w:szCs w:val="20"/>
        </w:rPr>
        <w:t>The reported unemployment rate</w:t>
      </w:r>
      <w:r w:rsidR="00945409">
        <w:rPr>
          <w:rFonts w:asciiTheme="minorHAnsi" w:eastAsia="Times New Roman" w:hAnsiTheme="minorHAnsi"/>
          <w:sz w:val="20"/>
          <w:szCs w:val="20"/>
        </w:rPr>
        <w:t xml:space="preserve"> at</w:t>
      </w:r>
      <w:r w:rsidR="00BB54B6">
        <w:rPr>
          <w:rFonts w:asciiTheme="minorHAnsi" w:eastAsia="Times New Roman" w:hAnsiTheme="minorHAnsi"/>
          <w:sz w:val="20"/>
          <w:szCs w:val="20"/>
        </w:rPr>
        <w:t xml:space="preserve"> 4.4% is extremely low, but the figure has to be interpreted with great caution due to the </w:t>
      </w:r>
      <w:r w:rsidR="0031534B">
        <w:rPr>
          <w:rFonts w:asciiTheme="minorHAnsi" w:eastAsia="Times New Roman" w:hAnsiTheme="minorHAnsi"/>
          <w:sz w:val="20"/>
          <w:szCs w:val="20"/>
        </w:rPr>
        <w:t xml:space="preserve">substantial </w:t>
      </w:r>
      <w:r w:rsidR="00BB54B6">
        <w:rPr>
          <w:rFonts w:asciiTheme="minorHAnsi" w:eastAsia="Times New Roman" w:hAnsiTheme="minorHAnsi"/>
          <w:sz w:val="20"/>
          <w:szCs w:val="20"/>
        </w:rPr>
        <w:t>size of the informal sector</w:t>
      </w:r>
      <w:r w:rsidR="00945409">
        <w:rPr>
          <w:rFonts w:asciiTheme="minorHAnsi" w:eastAsia="Times New Roman" w:hAnsiTheme="minorHAnsi"/>
          <w:sz w:val="20"/>
          <w:szCs w:val="20"/>
        </w:rPr>
        <w:t>. In addition</w:t>
      </w:r>
      <w:r w:rsidR="00BB54B6">
        <w:rPr>
          <w:rFonts w:asciiTheme="minorHAnsi" w:eastAsia="Times New Roman" w:hAnsiTheme="minorHAnsi"/>
          <w:sz w:val="20"/>
          <w:szCs w:val="20"/>
        </w:rPr>
        <w:t xml:space="preserve">, underemployment reached 33 percent. </w:t>
      </w:r>
      <w:r w:rsidR="00771951">
        <w:rPr>
          <w:rFonts w:asciiTheme="minorHAnsi" w:eastAsia="Times New Roman" w:hAnsiTheme="minorHAnsi"/>
          <w:sz w:val="20"/>
          <w:szCs w:val="20"/>
        </w:rPr>
        <w:t>A c</w:t>
      </w:r>
      <w:r w:rsidR="0023198A">
        <w:rPr>
          <w:rFonts w:asciiTheme="minorHAnsi" w:eastAsia="Times New Roman" w:hAnsiTheme="minorHAnsi"/>
          <w:sz w:val="20"/>
          <w:szCs w:val="20"/>
        </w:rPr>
        <w:t xml:space="preserve">areful </w:t>
      </w:r>
      <w:r w:rsidR="00B768DF">
        <w:rPr>
          <w:rFonts w:asciiTheme="minorHAnsi" w:eastAsia="Times New Roman" w:hAnsiTheme="minorHAnsi"/>
          <w:sz w:val="20"/>
          <w:szCs w:val="20"/>
        </w:rPr>
        <w:t>analysis</w:t>
      </w:r>
      <w:r w:rsidR="0023198A">
        <w:rPr>
          <w:rFonts w:asciiTheme="minorHAnsi" w:eastAsia="Times New Roman" w:hAnsiTheme="minorHAnsi"/>
          <w:sz w:val="20"/>
          <w:szCs w:val="20"/>
        </w:rPr>
        <w:t xml:space="preserve"> of the </w:t>
      </w:r>
      <w:r w:rsidR="005D5DF3">
        <w:rPr>
          <w:rFonts w:asciiTheme="minorHAnsi" w:eastAsia="Times New Roman" w:hAnsiTheme="minorHAnsi"/>
          <w:sz w:val="20"/>
          <w:szCs w:val="20"/>
        </w:rPr>
        <w:t>determinants</w:t>
      </w:r>
      <w:r w:rsidR="0023198A">
        <w:rPr>
          <w:rFonts w:asciiTheme="minorHAnsi" w:eastAsia="Times New Roman" w:hAnsiTheme="minorHAnsi"/>
          <w:sz w:val="20"/>
          <w:szCs w:val="20"/>
        </w:rPr>
        <w:t xml:space="preserve"> of </w:t>
      </w:r>
      <w:r w:rsidR="00B768DF">
        <w:rPr>
          <w:rFonts w:asciiTheme="minorHAnsi" w:eastAsia="Times New Roman" w:hAnsiTheme="minorHAnsi"/>
          <w:sz w:val="20"/>
          <w:szCs w:val="20"/>
        </w:rPr>
        <w:t>poverty</w:t>
      </w:r>
      <w:r w:rsidR="0023198A">
        <w:rPr>
          <w:rFonts w:asciiTheme="minorHAnsi" w:eastAsia="Times New Roman" w:hAnsiTheme="minorHAnsi"/>
          <w:sz w:val="20"/>
          <w:szCs w:val="20"/>
        </w:rPr>
        <w:t xml:space="preserve"> and inequality</w:t>
      </w:r>
      <w:r w:rsidR="00BB54B6">
        <w:rPr>
          <w:rFonts w:asciiTheme="minorHAnsi" w:eastAsia="Times New Roman" w:hAnsiTheme="minorHAnsi"/>
          <w:sz w:val="20"/>
          <w:szCs w:val="20"/>
        </w:rPr>
        <w:t>, and their interaction with labor market variables is just beginning</w:t>
      </w:r>
      <w:r w:rsidR="003014B2">
        <w:rPr>
          <w:rFonts w:asciiTheme="minorHAnsi" w:eastAsia="Times New Roman" w:hAnsiTheme="minorHAnsi"/>
          <w:sz w:val="20"/>
          <w:szCs w:val="20"/>
        </w:rPr>
        <w:t>, as</w:t>
      </w:r>
      <w:r w:rsidR="00771951">
        <w:rPr>
          <w:rFonts w:asciiTheme="minorHAnsi" w:eastAsia="Times New Roman" w:hAnsiTheme="minorHAnsi"/>
          <w:sz w:val="20"/>
          <w:szCs w:val="20"/>
        </w:rPr>
        <w:t xml:space="preserve"> </w:t>
      </w:r>
      <w:r w:rsidR="00B768DF">
        <w:rPr>
          <w:rFonts w:asciiTheme="minorHAnsi" w:eastAsia="Times New Roman" w:hAnsiTheme="minorHAnsi"/>
          <w:sz w:val="20"/>
          <w:szCs w:val="20"/>
        </w:rPr>
        <w:t>t</w:t>
      </w:r>
      <w:r w:rsidR="0023198A">
        <w:rPr>
          <w:rFonts w:asciiTheme="minorHAnsi" w:eastAsia="Times New Roman" w:hAnsiTheme="minorHAnsi"/>
          <w:sz w:val="20"/>
          <w:szCs w:val="20"/>
        </w:rPr>
        <w:t>h</w:t>
      </w:r>
      <w:r w:rsidR="00BB54B6">
        <w:rPr>
          <w:rFonts w:asciiTheme="minorHAnsi" w:eastAsia="Times New Roman" w:hAnsiTheme="minorHAnsi"/>
          <w:sz w:val="20"/>
          <w:szCs w:val="20"/>
        </w:rPr>
        <w:t xml:space="preserve">e 2013 surveys were just released. </w:t>
      </w:r>
      <w:r w:rsidR="0031534B">
        <w:rPr>
          <w:rFonts w:asciiTheme="minorHAnsi" w:eastAsia="Times New Roman" w:hAnsiTheme="minorHAnsi"/>
          <w:sz w:val="20"/>
          <w:szCs w:val="20"/>
        </w:rPr>
        <w:t xml:space="preserve">However, </w:t>
      </w:r>
      <w:r w:rsidR="009C5A21">
        <w:rPr>
          <w:rFonts w:asciiTheme="minorHAnsi" w:eastAsia="Times New Roman" w:hAnsiTheme="minorHAnsi"/>
          <w:sz w:val="20"/>
          <w:szCs w:val="20"/>
        </w:rPr>
        <w:t>these preliminary findings highlight</w:t>
      </w:r>
      <w:r w:rsidR="0023198A">
        <w:rPr>
          <w:rFonts w:asciiTheme="minorHAnsi" w:eastAsia="Times New Roman" w:hAnsiTheme="minorHAnsi"/>
          <w:sz w:val="20"/>
          <w:szCs w:val="20"/>
        </w:rPr>
        <w:t xml:space="preserve"> </w:t>
      </w:r>
      <w:r w:rsidR="0031534B">
        <w:rPr>
          <w:rFonts w:asciiTheme="minorHAnsi" w:eastAsia="Times New Roman" w:hAnsiTheme="minorHAnsi"/>
          <w:sz w:val="20"/>
          <w:szCs w:val="20"/>
        </w:rPr>
        <w:t xml:space="preserve">how critical </w:t>
      </w:r>
      <w:r w:rsidR="00E541DA">
        <w:rPr>
          <w:rFonts w:asciiTheme="minorHAnsi" w:eastAsia="Times New Roman" w:hAnsiTheme="minorHAnsi"/>
          <w:sz w:val="20"/>
          <w:szCs w:val="20"/>
        </w:rPr>
        <w:t xml:space="preserve">are </w:t>
      </w:r>
      <w:r w:rsidR="0031534B">
        <w:rPr>
          <w:rFonts w:asciiTheme="minorHAnsi" w:eastAsia="Times New Roman" w:hAnsiTheme="minorHAnsi"/>
          <w:sz w:val="20"/>
          <w:szCs w:val="20"/>
        </w:rPr>
        <w:t xml:space="preserve">Ghana’s policy decisions over the next 12 months </w:t>
      </w:r>
      <w:r w:rsidR="008C7FBC">
        <w:rPr>
          <w:rFonts w:asciiTheme="minorHAnsi" w:eastAsia="Times New Roman" w:hAnsiTheme="minorHAnsi"/>
          <w:sz w:val="20"/>
          <w:szCs w:val="20"/>
        </w:rPr>
        <w:t xml:space="preserve">to pursue more inclusive and stable growth. Urgent efforts are needed to build a more </w:t>
      </w:r>
      <w:r w:rsidR="00BB54B6">
        <w:rPr>
          <w:rFonts w:asciiTheme="minorHAnsi" w:eastAsia="Times New Roman" w:hAnsiTheme="minorHAnsi"/>
          <w:sz w:val="20"/>
          <w:szCs w:val="20"/>
        </w:rPr>
        <w:t xml:space="preserve">predictable policy </w:t>
      </w:r>
      <w:r w:rsidR="00E541DA">
        <w:rPr>
          <w:rFonts w:asciiTheme="minorHAnsi" w:eastAsia="Times New Roman" w:hAnsiTheme="minorHAnsi"/>
          <w:sz w:val="20"/>
          <w:szCs w:val="20"/>
        </w:rPr>
        <w:t xml:space="preserve">environment </w:t>
      </w:r>
      <w:r w:rsidR="00BB54B6">
        <w:rPr>
          <w:rFonts w:asciiTheme="minorHAnsi" w:eastAsia="Times New Roman" w:hAnsiTheme="minorHAnsi"/>
          <w:sz w:val="20"/>
          <w:szCs w:val="20"/>
        </w:rPr>
        <w:t xml:space="preserve">that facilitates diversification from capital intensive activities </w:t>
      </w:r>
      <w:r w:rsidR="00945409">
        <w:rPr>
          <w:rFonts w:asciiTheme="minorHAnsi" w:eastAsia="Times New Roman" w:hAnsiTheme="minorHAnsi"/>
          <w:sz w:val="20"/>
          <w:szCs w:val="20"/>
        </w:rPr>
        <w:t xml:space="preserve">in </w:t>
      </w:r>
      <w:r w:rsidR="00B04A43">
        <w:rPr>
          <w:rFonts w:asciiTheme="minorHAnsi" w:eastAsia="Times New Roman" w:hAnsiTheme="minorHAnsi"/>
          <w:sz w:val="20"/>
          <w:szCs w:val="20"/>
        </w:rPr>
        <w:t>extractive</w:t>
      </w:r>
      <w:r w:rsidR="00945409">
        <w:rPr>
          <w:rFonts w:asciiTheme="minorHAnsi" w:eastAsia="Times New Roman" w:hAnsiTheme="minorHAnsi"/>
          <w:sz w:val="20"/>
          <w:szCs w:val="20"/>
        </w:rPr>
        <w:t xml:space="preserve"> </w:t>
      </w:r>
      <w:r w:rsidR="008C7FBC">
        <w:rPr>
          <w:rFonts w:asciiTheme="minorHAnsi" w:eastAsia="Times New Roman" w:hAnsiTheme="minorHAnsi"/>
          <w:sz w:val="20"/>
          <w:szCs w:val="20"/>
        </w:rPr>
        <w:t xml:space="preserve">industries </w:t>
      </w:r>
      <w:r w:rsidR="00BB54B6">
        <w:rPr>
          <w:rFonts w:asciiTheme="minorHAnsi" w:eastAsia="Times New Roman" w:hAnsiTheme="minorHAnsi"/>
          <w:sz w:val="20"/>
          <w:szCs w:val="20"/>
        </w:rPr>
        <w:t>towards</w:t>
      </w:r>
      <w:r w:rsidR="003014B2">
        <w:rPr>
          <w:rFonts w:asciiTheme="minorHAnsi" w:eastAsia="Times New Roman" w:hAnsiTheme="minorHAnsi"/>
          <w:sz w:val="20"/>
          <w:szCs w:val="20"/>
        </w:rPr>
        <w:t xml:space="preserve"> more</w:t>
      </w:r>
      <w:r w:rsidR="00BB54B6">
        <w:rPr>
          <w:rFonts w:asciiTheme="minorHAnsi" w:eastAsia="Times New Roman" w:hAnsiTheme="minorHAnsi"/>
          <w:sz w:val="20"/>
          <w:szCs w:val="20"/>
        </w:rPr>
        <w:t xml:space="preserve"> labor and land intensive </w:t>
      </w:r>
      <w:r w:rsidR="008C7FBC">
        <w:rPr>
          <w:rFonts w:asciiTheme="minorHAnsi" w:eastAsia="Times New Roman" w:hAnsiTheme="minorHAnsi"/>
          <w:sz w:val="20"/>
          <w:szCs w:val="20"/>
        </w:rPr>
        <w:t xml:space="preserve">activities in the </w:t>
      </w:r>
      <w:r w:rsidR="00945409">
        <w:rPr>
          <w:rFonts w:asciiTheme="minorHAnsi" w:eastAsia="Times New Roman" w:hAnsiTheme="minorHAnsi"/>
          <w:sz w:val="20"/>
          <w:szCs w:val="20"/>
        </w:rPr>
        <w:t>agriculture and services sectors</w:t>
      </w:r>
      <w:r w:rsidR="008C7FBC">
        <w:rPr>
          <w:rFonts w:asciiTheme="minorHAnsi" w:eastAsia="Times New Roman" w:hAnsiTheme="minorHAnsi"/>
          <w:sz w:val="20"/>
          <w:szCs w:val="20"/>
        </w:rPr>
        <w:t>.</w:t>
      </w:r>
    </w:p>
    <w:tbl>
      <w:tblPr>
        <w:tblpPr w:leftFromText="180" w:rightFromText="180" w:tblpXSpec="center" w:tblpY="-450"/>
        <w:tblW w:w="5000" w:type="pct"/>
        <w:jc w:val="cente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365F91"/>
        <w:tblLook w:val="04A0" w:firstRow="1" w:lastRow="0" w:firstColumn="1" w:lastColumn="0" w:noHBand="0" w:noVBand="1"/>
      </w:tblPr>
      <w:tblGrid>
        <w:gridCol w:w="9576"/>
      </w:tblGrid>
      <w:tr w:rsidR="008A7712" w:rsidRPr="00535202" w:rsidTr="000E1A4D">
        <w:trPr>
          <w:trHeight w:val="880"/>
          <w:jc w:val="center"/>
        </w:trPr>
        <w:tc>
          <w:tcPr>
            <w:tcW w:w="5000" w:type="pct"/>
            <w:shd w:val="clear" w:color="auto" w:fill="365F91"/>
          </w:tcPr>
          <w:p w:rsidR="008A7712" w:rsidRPr="006A0D1B" w:rsidRDefault="001C17CA" w:rsidP="004A6FEC">
            <w:pPr>
              <w:pStyle w:val="Title"/>
            </w:pPr>
            <w:bookmarkStart w:id="10" w:name="_Toc399919634"/>
            <w:r>
              <w:rPr>
                <w:lang w:val="en-US"/>
              </w:rPr>
              <w:lastRenderedPageBreak/>
              <w:t>Part I: R</w:t>
            </w:r>
            <w:r w:rsidR="00FF5AA1" w:rsidRPr="006A0D1B">
              <w:t>ecent Economic Developments</w:t>
            </w:r>
            <w:bookmarkEnd w:id="10"/>
          </w:p>
        </w:tc>
      </w:tr>
    </w:tbl>
    <w:p w:rsidR="00E840A2" w:rsidRPr="00535202" w:rsidRDefault="00E840A2" w:rsidP="00305393">
      <w:pPr>
        <w:pStyle w:val="ListParagraph"/>
        <w:spacing w:line="276" w:lineRule="auto"/>
        <w:ind w:left="0"/>
        <w:rPr>
          <w:rStyle w:val="Strong"/>
          <w:rFonts w:ascii="Calibri" w:hAnsi="Calibri"/>
          <w:sz w:val="22"/>
          <w:szCs w:val="22"/>
        </w:rPr>
        <w:sectPr w:rsidR="00E840A2" w:rsidRPr="00535202" w:rsidSect="005E3128">
          <w:headerReference w:type="first" r:id="rId15"/>
          <w:footerReference w:type="first" r:id="rId16"/>
          <w:pgSz w:w="12240" w:h="15840" w:code="1"/>
          <w:pgMar w:top="1440" w:right="1440" w:bottom="1440" w:left="1440" w:header="720" w:footer="720" w:gutter="0"/>
          <w:cols w:space="720"/>
          <w:titlePg/>
          <w:docGrid w:linePitch="360"/>
        </w:sectPr>
      </w:pPr>
    </w:p>
    <w:p w:rsidR="00D92E2F" w:rsidRPr="00D92E2F" w:rsidRDefault="00D92E2F" w:rsidP="00D92E2F">
      <w:pPr>
        <w:pStyle w:val="Heading1"/>
        <w:numPr>
          <w:ilvl w:val="0"/>
          <w:numId w:val="0"/>
        </w:numPr>
        <w:spacing w:before="0" w:after="120" w:line="264" w:lineRule="auto"/>
        <w:ind w:left="1080"/>
        <w:rPr>
          <w:rStyle w:val="Strong"/>
          <w:b/>
          <w:i/>
          <w:color w:val="002060"/>
        </w:rPr>
      </w:pPr>
    </w:p>
    <w:p w:rsidR="00F63D46" w:rsidRPr="00EB35A8" w:rsidRDefault="00F63D46" w:rsidP="00F63D46">
      <w:pPr>
        <w:pStyle w:val="Heading1"/>
        <w:numPr>
          <w:ilvl w:val="0"/>
          <w:numId w:val="7"/>
        </w:numPr>
        <w:spacing w:before="0" w:after="120" w:line="264" w:lineRule="auto"/>
        <w:rPr>
          <w:rStyle w:val="Strong"/>
          <w:b/>
          <w:i/>
          <w:color w:val="002060"/>
        </w:rPr>
      </w:pPr>
      <w:bookmarkStart w:id="11" w:name="_Toc399919635"/>
      <w:r w:rsidRPr="00EB35A8">
        <w:rPr>
          <w:rStyle w:val="Strong"/>
          <w:b/>
          <w:i/>
          <w:color w:val="002060"/>
        </w:rPr>
        <w:t>Balance of Payments</w:t>
      </w:r>
      <w:bookmarkEnd w:id="11"/>
    </w:p>
    <w:p w:rsidR="0072444F" w:rsidRDefault="00311A28" w:rsidP="003C4ACF">
      <w:pPr>
        <w:spacing w:after="200" w:line="264" w:lineRule="auto"/>
        <w:rPr>
          <w:color w:val="000000"/>
        </w:rPr>
      </w:pPr>
      <w:r>
        <w:rPr>
          <w:b/>
          <w:color w:val="000000"/>
        </w:rPr>
        <w:t>Ghana’s e</w:t>
      </w:r>
      <w:r w:rsidR="00585828">
        <w:rPr>
          <w:b/>
          <w:color w:val="000000"/>
        </w:rPr>
        <w:t xml:space="preserve">xternal </w:t>
      </w:r>
      <w:r w:rsidR="006218CE">
        <w:rPr>
          <w:b/>
          <w:color w:val="000000"/>
        </w:rPr>
        <w:t>im</w:t>
      </w:r>
      <w:r>
        <w:rPr>
          <w:b/>
          <w:color w:val="000000"/>
        </w:rPr>
        <w:t>balance</w:t>
      </w:r>
      <w:r w:rsidR="00585828">
        <w:rPr>
          <w:b/>
          <w:color w:val="000000"/>
        </w:rPr>
        <w:t xml:space="preserve"> </w:t>
      </w:r>
      <w:r>
        <w:rPr>
          <w:b/>
          <w:color w:val="000000"/>
        </w:rPr>
        <w:t xml:space="preserve">continued to </w:t>
      </w:r>
      <w:r w:rsidR="00585828">
        <w:rPr>
          <w:b/>
          <w:color w:val="000000"/>
        </w:rPr>
        <w:t>deteriorate</w:t>
      </w:r>
      <w:r>
        <w:rPr>
          <w:b/>
          <w:color w:val="000000"/>
        </w:rPr>
        <w:t xml:space="preserve"> during the first half of</w:t>
      </w:r>
      <w:r w:rsidR="00585828">
        <w:rPr>
          <w:b/>
          <w:color w:val="000000"/>
        </w:rPr>
        <w:t xml:space="preserve"> 2014 with </w:t>
      </w:r>
      <w:r w:rsidR="00744580">
        <w:rPr>
          <w:b/>
          <w:color w:val="000000"/>
        </w:rPr>
        <w:t xml:space="preserve">the </w:t>
      </w:r>
      <w:r w:rsidR="006E201A">
        <w:rPr>
          <w:b/>
          <w:color w:val="000000"/>
        </w:rPr>
        <w:t>lingering large</w:t>
      </w:r>
      <w:r w:rsidR="00585828">
        <w:rPr>
          <w:b/>
          <w:color w:val="000000"/>
        </w:rPr>
        <w:t xml:space="preserve"> current account deficit,</w:t>
      </w:r>
      <w:r w:rsidR="003E1F0D">
        <w:rPr>
          <w:b/>
          <w:color w:val="000000"/>
        </w:rPr>
        <w:t xml:space="preserve"> reversal of short-term capital flows, </w:t>
      </w:r>
      <w:r w:rsidR="00585828">
        <w:rPr>
          <w:b/>
          <w:color w:val="000000"/>
        </w:rPr>
        <w:t xml:space="preserve">declining international reserves and sharp </w:t>
      </w:r>
      <w:r w:rsidR="003775A2">
        <w:rPr>
          <w:b/>
          <w:color w:val="000000"/>
        </w:rPr>
        <w:t xml:space="preserve">currency </w:t>
      </w:r>
      <w:r w:rsidR="00585828">
        <w:rPr>
          <w:b/>
          <w:color w:val="000000"/>
        </w:rPr>
        <w:t xml:space="preserve">depreciation. </w:t>
      </w:r>
      <w:r w:rsidR="00F63D46" w:rsidRPr="00585828">
        <w:rPr>
          <w:color w:val="000000"/>
        </w:rPr>
        <w:t>Ghana’s current account defici</w:t>
      </w:r>
      <w:r w:rsidR="00BA368E">
        <w:rPr>
          <w:color w:val="000000"/>
        </w:rPr>
        <w:t xml:space="preserve">t remained </w:t>
      </w:r>
      <w:r w:rsidR="00744580">
        <w:rPr>
          <w:color w:val="000000"/>
        </w:rPr>
        <w:t>around</w:t>
      </w:r>
      <w:r w:rsidR="00F63D46" w:rsidRPr="00585828">
        <w:rPr>
          <w:color w:val="000000"/>
        </w:rPr>
        <w:t xml:space="preserve"> </w:t>
      </w:r>
      <w:r w:rsidR="001E23D9" w:rsidRPr="00585828">
        <w:rPr>
          <w:color w:val="000000"/>
        </w:rPr>
        <w:t>1</w:t>
      </w:r>
      <w:r w:rsidR="001E23D9">
        <w:rPr>
          <w:color w:val="000000"/>
        </w:rPr>
        <w:t xml:space="preserve">1 </w:t>
      </w:r>
      <w:r w:rsidR="0027217B">
        <w:rPr>
          <w:color w:val="000000"/>
        </w:rPr>
        <w:t xml:space="preserve">percent </w:t>
      </w:r>
      <w:r w:rsidR="001E23D9">
        <w:rPr>
          <w:color w:val="000000"/>
        </w:rPr>
        <w:t xml:space="preserve">of GDP </w:t>
      </w:r>
      <w:r w:rsidR="0027217B">
        <w:rPr>
          <w:color w:val="000000"/>
        </w:rPr>
        <w:t>during the first half of</w:t>
      </w:r>
      <w:r w:rsidR="00C81791">
        <w:rPr>
          <w:color w:val="000000"/>
        </w:rPr>
        <w:t xml:space="preserve"> the year</w:t>
      </w:r>
      <w:r w:rsidR="001E23D9">
        <w:rPr>
          <w:color w:val="000000"/>
        </w:rPr>
        <w:t xml:space="preserve"> (Table 1).</w:t>
      </w:r>
      <w:r w:rsidR="003E1F0D">
        <w:rPr>
          <w:color w:val="000000"/>
        </w:rPr>
        <w:t>The current account deficit</w:t>
      </w:r>
      <w:r w:rsidR="00B53D4B">
        <w:rPr>
          <w:color w:val="000000"/>
        </w:rPr>
        <w:t xml:space="preserve"> narrowed by $233 million to </w:t>
      </w:r>
      <w:r w:rsidR="003E1F0D">
        <w:rPr>
          <w:color w:val="000000"/>
        </w:rPr>
        <w:t>$1.9 billion</w:t>
      </w:r>
      <w:r w:rsidR="00B53D4B">
        <w:rPr>
          <w:color w:val="000000"/>
        </w:rPr>
        <w:t xml:space="preserve"> </w:t>
      </w:r>
      <w:r w:rsidR="00AF59EE">
        <w:rPr>
          <w:color w:val="000000"/>
        </w:rPr>
        <w:t>(10.9</w:t>
      </w:r>
      <w:r w:rsidR="003C4ACF">
        <w:rPr>
          <w:color w:val="000000"/>
        </w:rPr>
        <w:t xml:space="preserve"> percent of GDP) in the first </w:t>
      </w:r>
      <w:r w:rsidR="00A70F3A">
        <w:rPr>
          <w:color w:val="000000"/>
        </w:rPr>
        <w:t xml:space="preserve">semester </w:t>
      </w:r>
      <w:r w:rsidR="003C4ACF">
        <w:rPr>
          <w:color w:val="000000"/>
        </w:rPr>
        <w:t>of 2014</w:t>
      </w:r>
      <w:r w:rsidR="00CF13EC">
        <w:rPr>
          <w:color w:val="000000"/>
        </w:rPr>
        <w:t>,</w:t>
      </w:r>
      <w:r w:rsidR="003C4ACF">
        <w:rPr>
          <w:color w:val="000000"/>
        </w:rPr>
        <w:t xml:space="preserve"> </w:t>
      </w:r>
      <w:r w:rsidR="00B62D95">
        <w:rPr>
          <w:color w:val="000000"/>
        </w:rPr>
        <w:t xml:space="preserve">compared to </w:t>
      </w:r>
      <w:r w:rsidR="003C4ACF">
        <w:rPr>
          <w:color w:val="000000"/>
        </w:rPr>
        <w:t>$2.2 billion (9.9 percent of GDP) in the first half of 2013</w:t>
      </w:r>
      <w:r w:rsidR="00CF13EC">
        <w:rPr>
          <w:color w:val="000000"/>
        </w:rPr>
        <w:t xml:space="preserve">. </w:t>
      </w:r>
      <w:r w:rsidR="003C4ACF">
        <w:rPr>
          <w:color w:val="000000"/>
        </w:rPr>
        <w:t xml:space="preserve">The slight improvement in </w:t>
      </w:r>
      <w:r w:rsidR="00A70F3A">
        <w:rPr>
          <w:color w:val="000000"/>
        </w:rPr>
        <w:t xml:space="preserve">the </w:t>
      </w:r>
      <w:r w:rsidR="003C4ACF">
        <w:rPr>
          <w:color w:val="000000"/>
        </w:rPr>
        <w:t xml:space="preserve">current account balance </w:t>
      </w:r>
      <w:r w:rsidR="00771DE1">
        <w:rPr>
          <w:color w:val="000000"/>
        </w:rPr>
        <w:t xml:space="preserve">was the net effect of </w:t>
      </w:r>
      <w:r w:rsidR="003C4ACF">
        <w:rPr>
          <w:color w:val="000000"/>
        </w:rPr>
        <w:t>the</w:t>
      </w:r>
      <w:r w:rsidR="00B53D4B">
        <w:rPr>
          <w:color w:val="000000"/>
        </w:rPr>
        <w:t xml:space="preserve"> $1.1</w:t>
      </w:r>
      <w:r w:rsidR="003C4ACF">
        <w:rPr>
          <w:color w:val="000000"/>
        </w:rPr>
        <w:t xml:space="preserve"> billion</w:t>
      </w:r>
      <w:r w:rsidR="00B53D4B">
        <w:rPr>
          <w:color w:val="000000"/>
        </w:rPr>
        <w:t xml:space="preserve"> </w:t>
      </w:r>
      <w:r w:rsidR="00CF13EC">
        <w:rPr>
          <w:color w:val="000000"/>
        </w:rPr>
        <w:t xml:space="preserve">narrowing of the </w:t>
      </w:r>
      <w:r w:rsidR="003C4ACF">
        <w:rPr>
          <w:color w:val="000000"/>
        </w:rPr>
        <w:t xml:space="preserve">trade deficit </w:t>
      </w:r>
      <w:r w:rsidR="002A570C">
        <w:rPr>
          <w:color w:val="000000"/>
        </w:rPr>
        <w:t>over</w:t>
      </w:r>
      <w:r w:rsidR="00771DE1">
        <w:rPr>
          <w:color w:val="000000"/>
        </w:rPr>
        <w:t xml:space="preserve"> </w:t>
      </w:r>
      <w:r w:rsidR="00B53D4B">
        <w:rPr>
          <w:color w:val="000000"/>
        </w:rPr>
        <w:t>$0.8 billion</w:t>
      </w:r>
      <w:r w:rsidR="003C4ACF">
        <w:rPr>
          <w:color w:val="000000"/>
        </w:rPr>
        <w:t xml:space="preserve"> </w:t>
      </w:r>
      <w:r w:rsidR="00CF13EC">
        <w:rPr>
          <w:color w:val="000000"/>
        </w:rPr>
        <w:t>widening</w:t>
      </w:r>
      <w:r w:rsidR="003C4ACF">
        <w:rPr>
          <w:color w:val="000000"/>
        </w:rPr>
        <w:t xml:space="preserve"> in </w:t>
      </w:r>
      <w:r w:rsidR="00CF13EC">
        <w:rPr>
          <w:color w:val="000000"/>
        </w:rPr>
        <w:t xml:space="preserve">the </w:t>
      </w:r>
      <w:r w:rsidR="003C4ACF">
        <w:rPr>
          <w:color w:val="000000"/>
        </w:rPr>
        <w:t xml:space="preserve">service and income </w:t>
      </w:r>
      <w:r w:rsidR="00CF13EC">
        <w:rPr>
          <w:color w:val="000000"/>
        </w:rPr>
        <w:t>deficit</w:t>
      </w:r>
      <w:r w:rsidR="00B53D4B">
        <w:rPr>
          <w:color w:val="000000"/>
        </w:rPr>
        <w:t xml:space="preserve">. </w:t>
      </w:r>
    </w:p>
    <w:p w:rsidR="00126E4D" w:rsidRPr="009859E1" w:rsidRDefault="00126E4D" w:rsidP="00126E4D">
      <w:pPr>
        <w:pStyle w:val="Caption"/>
        <w:spacing w:line="264" w:lineRule="auto"/>
        <w:jc w:val="both"/>
        <w:rPr>
          <w:color w:val="000000" w:themeColor="text1"/>
        </w:rPr>
      </w:pPr>
      <w:r w:rsidRPr="009859E1">
        <w:rPr>
          <w:color w:val="000000" w:themeColor="text1"/>
        </w:rPr>
        <w:t>Table 1</w:t>
      </w:r>
      <w:r w:rsidRPr="009859E1">
        <w:rPr>
          <w:color w:val="000000" w:themeColor="text1"/>
          <w:szCs w:val="20"/>
        </w:rPr>
        <w:t xml:space="preserve">: </w:t>
      </w:r>
      <w:r w:rsidRPr="009859E1">
        <w:rPr>
          <w:color w:val="000000" w:themeColor="text1"/>
        </w:rPr>
        <w:t>Balance of Payments, 2012–14 as a percent of half year Gross Domestic Product</w:t>
      </w:r>
    </w:p>
    <w:p w:rsidR="00126E4D" w:rsidRDefault="00441052" w:rsidP="00126E4D">
      <w:pPr>
        <w:pStyle w:val="Caption"/>
        <w:spacing w:line="264" w:lineRule="auto"/>
        <w:rPr>
          <w:sz w:val="10"/>
          <w:szCs w:val="10"/>
        </w:rPr>
      </w:pPr>
      <w:r w:rsidRPr="00441052">
        <w:rPr>
          <w:noProof/>
        </w:rPr>
        <w:drawing>
          <wp:inline distT="0" distB="0" distL="0" distR="0" wp14:anchorId="1A86BA56" wp14:editId="3DA740D8">
            <wp:extent cx="2860242" cy="35259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3215" cy="3529591"/>
                    </a:xfrm>
                    <a:prstGeom prst="rect">
                      <a:avLst/>
                    </a:prstGeom>
                    <a:noFill/>
                    <a:ln>
                      <a:noFill/>
                    </a:ln>
                  </pic:spPr>
                </pic:pic>
              </a:graphicData>
            </a:graphic>
          </wp:inline>
        </w:drawing>
      </w:r>
    </w:p>
    <w:p w:rsidR="00126E4D" w:rsidRPr="009859E1" w:rsidRDefault="00126E4D" w:rsidP="00126E4D">
      <w:pPr>
        <w:spacing w:line="264" w:lineRule="auto"/>
        <w:rPr>
          <w:i/>
          <w:sz w:val="18"/>
          <w:szCs w:val="18"/>
        </w:rPr>
      </w:pPr>
      <w:r w:rsidRPr="009859E1">
        <w:rPr>
          <w:i/>
          <w:sz w:val="18"/>
          <w:szCs w:val="18"/>
        </w:rPr>
        <w:t>Source: Bank of Ghana and World Bank staff calculations</w:t>
      </w:r>
    </w:p>
    <w:p w:rsidR="00514A2A" w:rsidRDefault="002D6512" w:rsidP="00514A2A">
      <w:pPr>
        <w:spacing w:after="200" w:line="264" w:lineRule="auto"/>
        <w:rPr>
          <w:color w:val="000000"/>
        </w:rPr>
      </w:pPr>
      <w:r w:rsidRPr="002D6512">
        <w:rPr>
          <w:color w:val="000000"/>
        </w:rPr>
        <w:lastRenderedPageBreak/>
        <w:t>The merchandise trade deficit narrowed significantly as imports fell faster than exports. Compared to the first semester of last year, merchandise exports fell by $480 million to $6.9 billion in the first half of the year (figure 1.a), due mostly to the fall in gold;</w:t>
      </w:r>
      <w:r w:rsidR="00CF13EC">
        <w:rPr>
          <w:color w:val="000000"/>
        </w:rPr>
        <w:t xml:space="preserve"> </w:t>
      </w:r>
      <w:r w:rsidRPr="002D6512">
        <w:rPr>
          <w:color w:val="000000"/>
        </w:rPr>
        <w:t>the exported value declined by $559 million (20 percent</w:t>
      </w:r>
      <w:r w:rsidR="00CF13EC">
        <w:rPr>
          <w:color w:val="000000"/>
        </w:rPr>
        <w:t>,</w:t>
      </w:r>
      <w:r w:rsidRPr="002D6512">
        <w:rPr>
          <w:color w:val="000000"/>
        </w:rPr>
        <w:t xml:space="preserve"> y-o-y) to US$2.1 billion as both the price (15 percent) and volume (6 percent) fell. Cocoa export revenue increased slightly by $131 million to US$1.6 billion</w:t>
      </w:r>
      <w:r w:rsidR="00CF13EC">
        <w:rPr>
          <w:color w:val="000000"/>
        </w:rPr>
        <w:t>,</w:t>
      </w:r>
      <w:r w:rsidRPr="002D6512">
        <w:rPr>
          <w:color w:val="000000"/>
        </w:rPr>
        <w:t xml:space="preserve"> as a result of 11 percent increase in volume offsetting the 2.5 percent fall in price. Oil exports remained almost the same  at $2 billion as </w:t>
      </w:r>
      <w:r w:rsidR="00514A2A">
        <w:rPr>
          <w:color w:val="000000"/>
        </w:rPr>
        <w:t>the slight price increase compensated for the decline in volume.</w:t>
      </w:r>
    </w:p>
    <w:p w:rsidR="00B20FBE" w:rsidRDefault="00797D91" w:rsidP="00F63D46">
      <w:pPr>
        <w:spacing w:after="200" w:line="264" w:lineRule="auto"/>
        <w:rPr>
          <w:color w:val="000000"/>
        </w:rPr>
      </w:pPr>
      <w:r>
        <w:rPr>
          <w:color w:val="000000"/>
        </w:rPr>
        <w:t xml:space="preserve">Ghana’s imports contracted </w:t>
      </w:r>
      <w:r w:rsidR="008636C0">
        <w:rPr>
          <w:color w:val="000000"/>
        </w:rPr>
        <w:t xml:space="preserve">by </w:t>
      </w:r>
      <w:r>
        <w:rPr>
          <w:color w:val="000000"/>
        </w:rPr>
        <w:t xml:space="preserve">$1.6 billion </w:t>
      </w:r>
      <w:r w:rsidR="00152449">
        <w:rPr>
          <w:color w:val="000000"/>
        </w:rPr>
        <w:t>from $8.8 billion (40</w:t>
      </w:r>
      <w:r w:rsidR="008636C0">
        <w:rPr>
          <w:color w:val="000000"/>
        </w:rPr>
        <w:t xml:space="preserve"> </w:t>
      </w:r>
      <w:r w:rsidR="00152449">
        <w:rPr>
          <w:color w:val="000000"/>
        </w:rPr>
        <w:t>p</w:t>
      </w:r>
      <w:r w:rsidR="008636C0">
        <w:rPr>
          <w:color w:val="000000"/>
        </w:rPr>
        <w:t xml:space="preserve">ercent of GDP) to </w:t>
      </w:r>
      <w:r>
        <w:rPr>
          <w:color w:val="000000"/>
        </w:rPr>
        <w:t>$7.2 billion</w:t>
      </w:r>
      <w:r w:rsidR="00CF13EC">
        <w:rPr>
          <w:color w:val="000000"/>
        </w:rPr>
        <w:t xml:space="preserve"> in </w:t>
      </w:r>
      <w:r w:rsidR="008636C0">
        <w:rPr>
          <w:color w:val="000000"/>
        </w:rPr>
        <w:t xml:space="preserve"> the first </w:t>
      </w:r>
      <w:r w:rsidR="00CF13EC">
        <w:rPr>
          <w:color w:val="000000"/>
        </w:rPr>
        <w:t>semester</w:t>
      </w:r>
      <w:r w:rsidR="000647CD">
        <w:rPr>
          <w:color w:val="000000"/>
        </w:rPr>
        <w:t xml:space="preserve"> (figure 1.b)</w:t>
      </w:r>
      <w:r w:rsidR="008636C0">
        <w:rPr>
          <w:color w:val="000000"/>
        </w:rPr>
        <w:t>. T</w:t>
      </w:r>
      <w:r w:rsidR="00B20FBE">
        <w:rPr>
          <w:color w:val="000000"/>
        </w:rPr>
        <w:t xml:space="preserve">he </w:t>
      </w:r>
      <w:r>
        <w:rPr>
          <w:color w:val="000000"/>
        </w:rPr>
        <w:t>sharp depreciation</w:t>
      </w:r>
      <w:r w:rsidR="00A47EA3">
        <w:rPr>
          <w:color w:val="000000"/>
        </w:rPr>
        <w:t xml:space="preserve"> of the cedi </w:t>
      </w:r>
      <w:r w:rsidR="001E23D9">
        <w:rPr>
          <w:color w:val="000000"/>
        </w:rPr>
        <w:t>and the</w:t>
      </w:r>
      <w:r>
        <w:rPr>
          <w:color w:val="000000"/>
        </w:rPr>
        <w:t xml:space="preserve"> slowing economy</w:t>
      </w:r>
      <w:r w:rsidR="00152449">
        <w:rPr>
          <w:color w:val="000000"/>
        </w:rPr>
        <w:t xml:space="preserve"> weighed</w:t>
      </w:r>
      <w:r w:rsidR="008636C0">
        <w:rPr>
          <w:color w:val="000000"/>
        </w:rPr>
        <w:t xml:space="preserve"> down </w:t>
      </w:r>
      <w:r w:rsidR="00CF13EC">
        <w:rPr>
          <w:color w:val="000000"/>
        </w:rPr>
        <w:t>on</w:t>
      </w:r>
      <w:r w:rsidR="00B20FBE">
        <w:rPr>
          <w:color w:val="000000"/>
        </w:rPr>
        <w:t xml:space="preserve"> import demand. The </w:t>
      </w:r>
      <w:r>
        <w:rPr>
          <w:color w:val="000000"/>
        </w:rPr>
        <w:t>non-oil sector</w:t>
      </w:r>
      <w:r w:rsidR="00860AE4">
        <w:rPr>
          <w:color w:val="000000"/>
        </w:rPr>
        <w:t xml:space="preserve"> </w:t>
      </w:r>
      <w:r w:rsidR="00B20FBE">
        <w:rPr>
          <w:color w:val="000000"/>
        </w:rPr>
        <w:t>accounted fo</w:t>
      </w:r>
      <w:r w:rsidR="00CF13EC">
        <w:rPr>
          <w:color w:val="000000"/>
        </w:rPr>
        <w:t xml:space="preserve">r the larger portion of decline, </w:t>
      </w:r>
      <w:r w:rsidR="008636C0">
        <w:rPr>
          <w:color w:val="000000"/>
        </w:rPr>
        <w:t>with</w:t>
      </w:r>
      <w:r w:rsidR="00B20FBE">
        <w:rPr>
          <w:color w:val="000000"/>
        </w:rPr>
        <w:t xml:space="preserve"> </w:t>
      </w:r>
      <w:r w:rsidR="00860AE4">
        <w:rPr>
          <w:color w:val="000000"/>
        </w:rPr>
        <w:t>$1.3 billion</w:t>
      </w:r>
      <w:r w:rsidR="00100DA0">
        <w:rPr>
          <w:color w:val="000000"/>
        </w:rPr>
        <w:t xml:space="preserve">. </w:t>
      </w:r>
      <w:r w:rsidR="006657A2">
        <w:rPr>
          <w:color w:val="000000"/>
        </w:rPr>
        <w:t>The adjustment was widespread among the types of goods but the largest drop was in capital goods with 33 percent, followed by the consumptions goods</w:t>
      </w:r>
      <w:r w:rsidR="00A47EA3">
        <w:rPr>
          <w:color w:val="000000"/>
        </w:rPr>
        <w:t xml:space="preserve"> with</w:t>
      </w:r>
      <w:r w:rsidR="006657A2">
        <w:rPr>
          <w:color w:val="000000"/>
        </w:rPr>
        <w:t xml:space="preserve"> 20 percent (figure 1.b).</w:t>
      </w:r>
    </w:p>
    <w:p w:rsidR="00A70F3A" w:rsidRDefault="00A70F3A" w:rsidP="00A70F3A">
      <w:pPr>
        <w:spacing w:after="200" w:line="264" w:lineRule="auto"/>
      </w:pPr>
      <w:r>
        <w:rPr>
          <w:color w:val="000000"/>
        </w:rPr>
        <w:t xml:space="preserve">During the first half of 2014, non-residents repatriated $1.1 billion of income generated in Ghana, almost doubling </w:t>
      </w:r>
      <w:r w:rsidR="001E23D9">
        <w:rPr>
          <w:color w:val="000000"/>
        </w:rPr>
        <w:t xml:space="preserve">the </w:t>
      </w:r>
      <w:r>
        <w:rPr>
          <w:color w:val="000000"/>
        </w:rPr>
        <w:t xml:space="preserve">$0.6billion </w:t>
      </w:r>
      <w:r w:rsidR="001E23D9">
        <w:rPr>
          <w:color w:val="000000"/>
        </w:rPr>
        <w:t>repatriated</w:t>
      </w:r>
      <w:r>
        <w:rPr>
          <w:color w:val="000000"/>
        </w:rPr>
        <w:t xml:space="preserve"> during the first half of 2013. With the slight increase in net services imports, the net service and income deficit was an estimated 14.9 percent of GDP in the first half of 2014 compared with 8.4 of GDP during the same period in 2013.</w:t>
      </w:r>
      <w:r w:rsidRPr="00126E4D">
        <w:t xml:space="preserve"> </w:t>
      </w:r>
    </w:p>
    <w:p w:rsidR="007A6AE0" w:rsidRDefault="00CA2B89" w:rsidP="000F5020">
      <w:pPr>
        <w:spacing w:after="200" w:line="264" w:lineRule="auto"/>
        <w:rPr>
          <w:color w:val="000000"/>
        </w:rPr>
      </w:pPr>
      <w:r w:rsidRPr="00B20FBE">
        <w:rPr>
          <w:b/>
          <w:color w:val="000000"/>
        </w:rPr>
        <w:t xml:space="preserve">Financing of the current account deficit </w:t>
      </w:r>
      <w:r w:rsidR="00100DA0">
        <w:rPr>
          <w:b/>
          <w:color w:val="000000"/>
        </w:rPr>
        <w:t>was</w:t>
      </w:r>
      <w:r w:rsidRPr="00B20FBE">
        <w:rPr>
          <w:b/>
          <w:color w:val="000000"/>
        </w:rPr>
        <w:t xml:space="preserve"> challenging amid the significant reversal in short term capital inflows</w:t>
      </w:r>
      <w:r w:rsidR="00654CE1" w:rsidRPr="00B20FBE">
        <w:rPr>
          <w:b/>
          <w:color w:val="000000"/>
        </w:rPr>
        <w:t xml:space="preserve"> (including trade credit)</w:t>
      </w:r>
      <w:r w:rsidR="0050190B" w:rsidRPr="00B20FBE">
        <w:rPr>
          <w:b/>
          <w:color w:val="000000"/>
        </w:rPr>
        <w:t xml:space="preserve"> and portfolio investment</w:t>
      </w:r>
      <w:r w:rsidR="00A47EA3">
        <w:rPr>
          <w:color w:val="000000"/>
        </w:rPr>
        <w:t xml:space="preserve">. </w:t>
      </w:r>
      <w:r>
        <w:rPr>
          <w:color w:val="000000"/>
        </w:rPr>
        <w:t xml:space="preserve">Despite the </w:t>
      </w:r>
      <w:r w:rsidR="0050190B">
        <w:rPr>
          <w:color w:val="000000"/>
        </w:rPr>
        <w:t xml:space="preserve">robust </w:t>
      </w:r>
      <w:r>
        <w:rPr>
          <w:color w:val="000000"/>
        </w:rPr>
        <w:t xml:space="preserve">FDI inflows mainly to the </w:t>
      </w:r>
      <w:r w:rsidR="000F5020">
        <w:rPr>
          <w:color w:val="000000"/>
        </w:rPr>
        <w:t>oil sector</w:t>
      </w:r>
      <w:r w:rsidR="008203FB">
        <w:rPr>
          <w:color w:val="000000"/>
        </w:rPr>
        <w:t xml:space="preserve"> during</w:t>
      </w:r>
      <w:r w:rsidR="00152449">
        <w:rPr>
          <w:color w:val="000000"/>
        </w:rPr>
        <w:t xml:space="preserve"> the</w:t>
      </w:r>
      <w:r w:rsidR="008203FB">
        <w:rPr>
          <w:color w:val="000000"/>
        </w:rPr>
        <w:t xml:space="preserve"> first </w:t>
      </w:r>
      <w:r w:rsidR="008203FB">
        <w:rPr>
          <w:color w:val="000000"/>
        </w:rPr>
        <w:lastRenderedPageBreak/>
        <w:t>half, portfolio investment (debt and equities) marked net outflows</w:t>
      </w:r>
      <w:r w:rsidR="00CE2825">
        <w:rPr>
          <w:color w:val="000000"/>
        </w:rPr>
        <w:t xml:space="preserve"> and</w:t>
      </w:r>
      <w:r w:rsidR="008203FB">
        <w:rPr>
          <w:color w:val="000000"/>
        </w:rPr>
        <w:t xml:space="preserve"> both private and official amortization </w:t>
      </w:r>
      <w:r w:rsidR="00CE2825">
        <w:rPr>
          <w:color w:val="000000"/>
        </w:rPr>
        <w:t>increased</w:t>
      </w:r>
      <w:r w:rsidR="008203FB">
        <w:rPr>
          <w:color w:val="000000"/>
        </w:rPr>
        <w:t xml:space="preserve">. </w:t>
      </w:r>
      <w:r w:rsidR="00CE2825">
        <w:rPr>
          <w:color w:val="000000"/>
        </w:rPr>
        <w:t xml:space="preserve">As a result, </w:t>
      </w:r>
      <w:r w:rsidR="00A70F3A">
        <w:rPr>
          <w:color w:val="000000"/>
        </w:rPr>
        <w:t xml:space="preserve">the </w:t>
      </w:r>
      <w:r>
        <w:rPr>
          <w:color w:val="000000"/>
        </w:rPr>
        <w:t>capital</w:t>
      </w:r>
      <w:r w:rsidR="008203FB">
        <w:rPr>
          <w:color w:val="000000"/>
        </w:rPr>
        <w:t xml:space="preserve"> and financial</w:t>
      </w:r>
      <w:r w:rsidR="000F5020">
        <w:rPr>
          <w:color w:val="000000"/>
        </w:rPr>
        <w:t xml:space="preserve"> account</w:t>
      </w:r>
      <w:r w:rsidR="00A70F3A">
        <w:rPr>
          <w:color w:val="000000"/>
        </w:rPr>
        <w:t>,</w:t>
      </w:r>
      <w:r w:rsidR="008203FB">
        <w:rPr>
          <w:color w:val="000000"/>
        </w:rPr>
        <w:t xml:space="preserve"> including net errors and omissions</w:t>
      </w:r>
      <w:r w:rsidR="00A70F3A">
        <w:rPr>
          <w:color w:val="000000"/>
        </w:rPr>
        <w:t>,</w:t>
      </w:r>
      <w:r w:rsidR="008203FB">
        <w:rPr>
          <w:color w:val="000000"/>
        </w:rPr>
        <w:t xml:space="preserve"> </w:t>
      </w:r>
      <w:r w:rsidR="007A6AE0">
        <w:rPr>
          <w:color w:val="000000"/>
        </w:rPr>
        <w:t>totaled</w:t>
      </w:r>
      <w:r w:rsidR="000F5020">
        <w:rPr>
          <w:color w:val="000000"/>
        </w:rPr>
        <w:t xml:space="preserve"> only</w:t>
      </w:r>
      <w:r w:rsidR="00032336">
        <w:rPr>
          <w:color w:val="000000"/>
        </w:rPr>
        <w:t xml:space="preserve"> </w:t>
      </w:r>
      <w:r w:rsidR="008203FB">
        <w:rPr>
          <w:color w:val="000000"/>
        </w:rPr>
        <w:t>$426 million</w:t>
      </w:r>
      <w:r w:rsidR="00A70F3A">
        <w:rPr>
          <w:color w:val="000000"/>
        </w:rPr>
        <w:t xml:space="preserve"> (</w:t>
      </w:r>
      <w:r w:rsidR="000F5020">
        <w:rPr>
          <w:color w:val="000000"/>
        </w:rPr>
        <w:t>2.4 percent of GDP</w:t>
      </w:r>
      <w:r w:rsidR="00A70F3A">
        <w:rPr>
          <w:color w:val="000000"/>
        </w:rPr>
        <w:t>)</w:t>
      </w:r>
      <w:r w:rsidR="000F5020">
        <w:rPr>
          <w:color w:val="000000"/>
        </w:rPr>
        <w:t xml:space="preserve">. </w:t>
      </w:r>
    </w:p>
    <w:p w:rsidR="002109A0" w:rsidRDefault="00A70F3A" w:rsidP="002109A0">
      <w:pPr>
        <w:spacing w:after="200" w:line="264" w:lineRule="auto"/>
        <w:rPr>
          <w:color w:val="000000"/>
        </w:rPr>
      </w:pPr>
      <w:r>
        <w:rPr>
          <w:color w:val="000000"/>
        </w:rPr>
        <w:t xml:space="preserve">As a result of the external imbalance, </w:t>
      </w:r>
      <w:r w:rsidR="007A6AE0">
        <w:rPr>
          <w:color w:val="000000"/>
        </w:rPr>
        <w:t>the</w:t>
      </w:r>
      <w:r w:rsidR="001E23D9">
        <w:rPr>
          <w:color w:val="000000"/>
        </w:rPr>
        <w:t xml:space="preserve"> Cedi depreciated</w:t>
      </w:r>
      <w:r w:rsidR="00CA2B89">
        <w:rPr>
          <w:color w:val="000000"/>
        </w:rPr>
        <w:t xml:space="preserve"> </w:t>
      </w:r>
      <w:r w:rsidR="004314AE">
        <w:rPr>
          <w:color w:val="000000"/>
        </w:rPr>
        <w:t>sharp</w:t>
      </w:r>
      <w:r w:rsidR="00055D8E">
        <w:rPr>
          <w:color w:val="000000"/>
        </w:rPr>
        <w:t>ly</w:t>
      </w:r>
      <w:r w:rsidR="002109A0">
        <w:rPr>
          <w:color w:val="000000"/>
        </w:rPr>
        <w:t>.</w:t>
      </w:r>
      <w:r w:rsidR="00055D8E">
        <w:rPr>
          <w:color w:val="000000"/>
        </w:rPr>
        <w:t xml:space="preserve"> </w:t>
      </w:r>
      <w:r w:rsidR="00CA2B89" w:rsidRPr="00A200DB">
        <w:rPr>
          <w:color w:val="000000"/>
        </w:rPr>
        <w:t xml:space="preserve"> </w:t>
      </w:r>
      <w:r w:rsidR="004314AE">
        <w:rPr>
          <w:color w:val="000000"/>
        </w:rPr>
        <w:t xml:space="preserve">Actual depreciation </w:t>
      </w:r>
      <w:r>
        <w:rPr>
          <w:color w:val="000000"/>
        </w:rPr>
        <w:t xml:space="preserve">figures </w:t>
      </w:r>
      <w:r w:rsidR="005D44C5">
        <w:rPr>
          <w:color w:val="000000"/>
        </w:rPr>
        <w:t>differ</w:t>
      </w:r>
      <w:r>
        <w:rPr>
          <w:color w:val="000000"/>
        </w:rPr>
        <w:t>,</w:t>
      </w:r>
      <w:r w:rsidR="004314AE">
        <w:rPr>
          <w:color w:val="000000"/>
        </w:rPr>
        <w:t xml:space="preserve"> as </w:t>
      </w:r>
      <w:r w:rsidR="007A6AE0" w:rsidRPr="00D75DBD">
        <w:rPr>
          <w:color w:val="000000"/>
        </w:rPr>
        <w:t>Ghana has</w:t>
      </w:r>
      <w:r>
        <w:rPr>
          <w:color w:val="000000"/>
        </w:rPr>
        <w:t>, in practice, a</w:t>
      </w:r>
      <w:r w:rsidR="00F2534C">
        <w:rPr>
          <w:color w:val="000000"/>
        </w:rPr>
        <w:t xml:space="preserve"> </w:t>
      </w:r>
      <w:r w:rsidR="007A6AE0" w:rsidRPr="00D75DBD">
        <w:rPr>
          <w:color w:val="000000"/>
        </w:rPr>
        <w:t>multiple exchange rate</w:t>
      </w:r>
      <w:r w:rsidR="007A6AE0">
        <w:rPr>
          <w:color w:val="000000"/>
        </w:rPr>
        <w:t xml:space="preserve"> regime; official interbank</w:t>
      </w:r>
      <w:r w:rsidR="00A47EA3">
        <w:rPr>
          <w:color w:val="000000"/>
        </w:rPr>
        <w:t xml:space="preserve"> </w:t>
      </w:r>
      <w:r w:rsidR="007A6AE0">
        <w:rPr>
          <w:color w:val="000000"/>
        </w:rPr>
        <w:t>and forex bureau, with the latter being more prevalent</w:t>
      </w:r>
      <w:r w:rsidR="007A6AE0" w:rsidRPr="00D75DBD">
        <w:rPr>
          <w:color w:val="000000"/>
        </w:rPr>
        <w:t>. The cedi depreciated against the US dollar by 35</w:t>
      </w:r>
      <w:r w:rsidR="007A6AE0">
        <w:rPr>
          <w:color w:val="000000"/>
        </w:rPr>
        <w:t xml:space="preserve"> percent</w:t>
      </w:r>
      <w:r w:rsidR="007A6AE0" w:rsidRPr="00D75DBD">
        <w:rPr>
          <w:color w:val="000000"/>
        </w:rPr>
        <w:t xml:space="preserve"> </w:t>
      </w:r>
      <w:r>
        <w:rPr>
          <w:color w:val="000000"/>
        </w:rPr>
        <w:t>i</w:t>
      </w:r>
      <w:r w:rsidRPr="00D75DBD">
        <w:rPr>
          <w:color w:val="000000"/>
        </w:rPr>
        <w:t xml:space="preserve">n </w:t>
      </w:r>
      <w:r w:rsidR="007A6AE0" w:rsidRPr="00D75DBD">
        <w:rPr>
          <w:color w:val="000000"/>
        </w:rPr>
        <w:t>the official interbank market</w:t>
      </w:r>
      <w:r>
        <w:rPr>
          <w:color w:val="000000"/>
        </w:rPr>
        <w:t>,</w:t>
      </w:r>
      <w:r w:rsidR="007A6AE0" w:rsidRPr="00D75DBD">
        <w:rPr>
          <w:color w:val="000000"/>
        </w:rPr>
        <w:t xml:space="preserve"> but by 43</w:t>
      </w:r>
      <w:r w:rsidR="007A6AE0">
        <w:rPr>
          <w:color w:val="000000"/>
        </w:rPr>
        <w:t xml:space="preserve"> percent</w:t>
      </w:r>
      <w:r w:rsidR="007A6AE0" w:rsidRPr="00D75DBD">
        <w:rPr>
          <w:color w:val="000000"/>
        </w:rPr>
        <w:t xml:space="preserve"> on the forex bureau market </w:t>
      </w:r>
      <w:r w:rsidR="005D44C5">
        <w:rPr>
          <w:color w:val="000000"/>
        </w:rPr>
        <w:t>by</w:t>
      </w:r>
      <w:r w:rsidR="007A6AE0" w:rsidRPr="00D75DBD">
        <w:rPr>
          <w:color w:val="000000"/>
        </w:rPr>
        <w:t xml:space="preserve"> July</w:t>
      </w:r>
      <w:r w:rsidR="005D44C5">
        <w:rPr>
          <w:color w:val="000000"/>
        </w:rPr>
        <w:t xml:space="preserve"> </w:t>
      </w:r>
      <w:r w:rsidR="007A6AE0" w:rsidRPr="00D75DBD">
        <w:rPr>
          <w:color w:val="000000"/>
        </w:rPr>
        <w:t>2014</w:t>
      </w:r>
      <w:r w:rsidR="00544D7B">
        <w:rPr>
          <w:color w:val="000000"/>
        </w:rPr>
        <w:t xml:space="preserve"> (figure 2)</w:t>
      </w:r>
      <w:r w:rsidR="007A6AE0" w:rsidRPr="00D75DBD">
        <w:rPr>
          <w:color w:val="000000"/>
        </w:rPr>
        <w:t xml:space="preserve">. </w:t>
      </w:r>
    </w:p>
    <w:p w:rsidR="002109A0" w:rsidRDefault="007A6AE0" w:rsidP="002109A0">
      <w:pPr>
        <w:spacing w:after="200" w:line="264" w:lineRule="auto"/>
        <w:rPr>
          <w:color w:val="000000"/>
        </w:rPr>
      </w:pPr>
      <w:r>
        <w:rPr>
          <w:color w:val="000000"/>
        </w:rPr>
        <w:t xml:space="preserve">The </w:t>
      </w:r>
      <w:r w:rsidR="00A47EA3">
        <w:rPr>
          <w:color w:val="000000"/>
        </w:rPr>
        <w:t xml:space="preserve">cumulative </w:t>
      </w:r>
      <w:r>
        <w:rPr>
          <w:color w:val="000000"/>
        </w:rPr>
        <w:t xml:space="preserve">depreciation </w:t>
      </w:r>
      <w:r w:rsidR="005D44C5">
        <w:rPr>
          <w:color w:val="000000"/>
        </w:rPr>
        <w:t xml:space="preserve">of official interbank rate </w:t>
      </w:r>
      <w:r>
        <w:rPr>
          <w:color w:val="000000"/>
        </w:rPr>
        <w:t>over the last year was bigger than</w:t>
      </w:r>
      <w:r w:rsidR="005D44C5">
        <w:rPr>
          <w:color w:val="000000"/>
        </w:rPr>
        <w:t xml:space="preserve"> </w:t>
      </w:r>
      <w:r w:rsidR="00771154">
        <w:rPr>
          <w:color w:val="000000"/>
        </w:rPr>
        <w:t xml:space="preserve">30 percent depreciation that </w:t>
      </w:r>
      <w:r w:rsidR="005D44C5">
        <w:rPr>
          <w:color w:val="000000"/>
        </w:rPr>
        <w:t xml:space="preserve">Ghana experienced after the global financial crisis </w:t>
      </w:r>
      <w:r w:rsidR="00771154">
        <w:rPr>
          <w:color w:val="000000"/>
        </w:rPr>
        <w:t>in 2009.</w:t>
      </w:r>
      <w:r>
        <w:rPr>
          <w:color w:val="000000"/>
        </w:rPr>
        <w:t xml:space="preserve"> </w:t>
      </w:r>
      <w:r w:rsidR="002109A0">
        <w:rPr>
          <w:color w:val="000000"/>
        </w:rPr>
        <w:t xml:space="preserve">Ghana’s net international reserves stood at US$601million (12 days of imports of goods and services) as of end June, 2014. </w:t>
      </w:r>
    </w:p>
    <w:p w:rsidR="00EF4EB1" w:rsidRDefault="002109A0" w:rsidP="000F5020">
      <w:pPr>
        <w:spacing w:after="200" w:line="264" w:lineRule="auto"/>
        <w:rPr>
          <w:color w:val="000000"/>
        </w:rPr>
      </w:pPr>
      <w:r>
        <w:rPr>
          <w:color w:val="000000"/>
        </w:rPr>
        <w:t>For 2014, the current account deficit is projected to narrow slightly to 8.7 percent of GDP, on account of a lower trade deficit and decreased net services and income outflow during the second half of 2014.</w:t>
      </w:r>
    </w:p>
    <w:p w:rsidR="007731BC" w:rsidRDefault="007731BC" w:rsidP="000F5020">
      <w:pPr>
        <w:spacing w:after="200" w:line="264" w:lineRule="auto"/>
        <w:rPr>
          <w:color w:val="000000"/>
        </w:rPr>
      </w:pPr>
    </w:p>
    <w:p w:rsidR="00BC03FF" w:rsidRDefault="004809E6" w:rsidP="004809E6">
      <w:pPr>
        <w:pStyle w:val="Caption"/>
        <w:rPr>
          <w:color w:val="000000" w:themeColor="text1"/>
        </w:rPr>
      </w:pPr>
      <w:r w:rsidRPr="001B009A">
        <w:rPr>
          <w:color w:val="000000" w:themeColor="text1"/>
        </w:rPr>
        <w:lastRenderedPageBreak/>
        <w:t xml:space="preserve">Figure </w:t>
      </w:r>
      <w:r>
        <w:rPr>
          <w:color w:val="000000" w:themeColor="text1"/>
        </w:rPr>
        <w:t>2</w:t>
      </w:r>
      <w:r w:rsidRPr="001B009A">
        <w:rPr>
          <w:color w:val="000000" w:themeColor="text1"/>
        </w:rPr>
        <w:t xml:space="preserve">: </w:t>
      </w:r>
      <w:r w:rsidR="00BC03FF">
        <w:rPr>
          <w:color w:val="000000" w:themeColor="text1"/>
        </w:rPr>
        <w:t xml:space="preserve">Ghanaian Cedi against US$ </w:t>
      </w:r>
    </w:p>
    <w:p w:rsidR="00BC03FF" w:rsidRDefault="00BC03FF" w:rsidP="002109A0">
      <w:pPr>
        <w:pStyle w:val="Caption"/>
        <w:rPr>
          <w:color w:val="000000"/>
        </w:rPr>
      </w:pPr>
      <w:r>
        <w:rPr>
          <w:color w:val="000000" w:themeColor="text1"/>
        </w:rPr>
        <w:t>(Official interbank)</w:t>
      </w:r>
      <w:r w:rsidR="004809E6">
        <w:rPr>
          <w:noProof/>
          <w:color w:val="000000"/>
        </w:rPr>
        <w:drawing>
          <wp:inline distT="0" distB="0" distL="0" distR="0" wp14:anchorId="546F82DF" wp14:editId="54FC8E23">
            <wp:extent cx="2918460" cy="17543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6845" cy="1753340"/>
                    </a:xfrm>
                    <a:prstGeom prst="rect">
                      <a:avLst/>
                    </a:prstGeom>
                    <a:noFill/>
                  </pic:spPr>
                </pic:pic>
              </a:graphicData>
            </a:graphic>
          </wp:inline>
        </w:drawing>
      </w:r>
    </w:p>
    <w:p w:rsidR="00BC03FF" w:rsidRPr="009859E1" w:rsidRDefault="00BC03FF" w:rsidP="00BC03FF">
      <w:pPr>
        <w:spacing w:line="264" w:lineRule="auto"/>
        <w:rPr>
          <w:i/>
          <w:sz w:val="18"/>
          <w:szCs w:val="18"/>
        </w:rPr>
      </w:pPr>
      <w:r w:rsidRPr="009859E1">
        <w:rPr>
          <w:i/>
          <w:sz w:val="18"/>
          <w:szCs w:val="18"/>
        </w:rPr>
        <w:t>Source: Bank of Ghana and World Bank staff calculations</w:t>
      </w:r>
    </w:p>
    <w:p w:rsidR="00BC03FF" w:rsidRDefault="00BC03FF" w:rsidP="000F5020">
      <w:pPr>
        <w:spacing w:after="200" w:line="264" w:lineRule="auto"/>
        <w:rPr>
          <w:color w:val="000000"/>
        </w:rPr>
      </w:pPr>
    </w:p>
    <w:p w:rsidR="009859E1" w:rsidRDefault="004314AE" w:rsidP="009859E1">
      <w:pPr>
        <w:spacing w:after="200" w:line="264" w:lineRule="auto"/>
        <w:rPr>
          <w:b/>
          <w:sz w:val="18"/>
          <w:szCs w:val="18"/>
        </w:rPr>
      </w:pPr>
      <w:r>
        <w:rPr>
          <w:color w:val="000000"/>
        </w:rPr>
        <w:t>The capital and financial account (including errors and omissions) is projected to rebalance in the second half of the year</w:t>
      </w:r>
      <w:r w:rsidR="00465AFD">
        <w:rPr>
          <w:color w:val="000000"/>
        </w:rPr>
        <w:t xml:space="preserve">, thanks to the effect of the </w:t>
      </w:r>
      <w:r>
        <w:rPr>
          <w:color w:val="000000"/>
        </w:rPr>
        <w:t xml:space="preserve"> </w:t>
      </w:r>
      <w:r w:rsidR="00D069BD">
        <w:rPr>
          <w:color w:val="000000"/>
        </w:rPr>
        <w:t>Eurobond issued in mid-September</w:t>
      </w:r>
      <w:r w:rsidR="00465AFD">
        <w:rPr>
          <w:color w:val="000000"/>
        </w:rPr>
        <w:t xml:space="preserve"> (US</w:t>
      </w:r>
      <w:r w:rsidR="00E57CC6">
        <w:rPr>
          <w:color w:val="000000"/>
        </w:rPr>
        <w:t>$</w:t>
      </w:r>
      <w:r w:rsidR="00465AFD">
        <w:rPr>
          <w:color w:val="000000"/>
        </w:rPr>
        <w:t xml:space="preserve"> 1 billion)</w:t>
      </w:r>
      <w:r w:rsidR="00E57CC6">
        <w:rPr>
          <w:color w:val="000000"/>
        </w:rPr>
        <w:t>,</w:t>
      </w:r>
      <w:r w:rsidR="00D069BD">
        <w:rPr>
          <w:color w:val="000000"/>
        </w:rPr>
        <w:t xml:space="preserve"> Cocobod loan flows </w:t>
      </w:r>
      <w:r w:rsidR="00D76F82">
        <w:rPr>
          <w:color w:val="000000"/>
        </w:rPr>
        <w:t>(US$1.7 billion)</w:t>
      </w:r>
      <w:r w:rsidR="00465AFD">
        <w:rPr>
          <w:color w:val="000000"/>
        </w:rPr>
        <w:t>,</w:t>
      </w:r>
      <w:r w:rsidR="00D76F82">
        <w:rPr>
          <w:color w:val="000000"/>
        </w:rPr>
        <w:t xml:space="preserve"> </w:t>
      </w:r>
      <w:r w:rsidR="00D069BD">
        <w:rPr>
          <w:color w:val="000000"/>
        </w:rPr>
        <w:t xml:space="preserve">and </w:t>
      </w:r>
      <w:r>
        <w:rPr>
          <w:color w:val="000000"/>
        </w:rPr>
        <w:t xml:space="preserve">slower short term capital outflow in response </w:t>
      </w:r>
      <w:r w:rsidR="00D069BD">
        <w:rPr>
          <w:color w:val="000000"/>
        </w:rPr>
        <w:t xml:space="preserve">to </w:t>
      </w:r>
      <w:r w:rsidR="00055D8E">
        <w:rPr>
          <w:color w:val="000000"/>
        </w:rPr>
        <w:t>the expectation of a positive outcome of the negotiation</w:t>
      </w:r>
      <w:r w:rsidR="00D069BD">
        <w:rPr>
          <w:color w:val="000000"/>
        </w:rPr>
        <w:t xml:space="preserve"> with the </w:t>
      </w:r>
      <w:r>
        <w:rPr>
          <w:color w:val="000000"/>
        </w:rPr>
        <w:t xml:space="preserve">IMF. If the volatility persists or accentuates, and external financing does not materialize, then the reduction in the current account deficit required to close the financing gap would be larger, and force a stronger adjustment </w:t>
      </w:r>
      <w:bookmarkStart w:id="12" w:name="_Toc301346648"/>
      <w:bookmarkStart w:id="13" w:name="_Toc301346645"/>
      <w:r w:rsidR="009859E1">
        <w:rPr>
          <w:color w:val="000000"/>
        </w:rPr>
        <w:t>through relative prices of traded and non-traded goods.</w:t>
      </w:r>
      <w:r w:rsidR="002109A0" w:rsidRPr="00916F71">
        <w:rPr>
          <w:noProof/>
        </w:rPr>
        <w:drawing>
          <wp:anchor distT="0" distB="0" distL="114300" distR="114300" simplePos="0" relativeHeight="251674624" behindDoc="0" locked="0" layoutInCell="1" allowOverlap="1" wp14:anchorId="77E5A87B" wp14:editId="407D79BC">
            <wp:simplePos x="0" y="0"/>
            <wp:positionH relativeFrom="margin">
              <wp:posOffset>-44450</wp:posOffset>
            </wp:positionH>
            <wp:positionV relativeFrom="margin">
              <wp:posOffset>5961380</wp:posOffset>
            </wp:positionV>
            <wp:extent cx="6144260" cy="2258060"/>
            <wp:effectExtent l="0" t="0" r="8890" b="889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4260" cy="2258060"/>
                    </a:xfrm>
                    <a:prstGeom prst="rect">
                      <a:avLst/>
                    </a:prstGeom>
                    <a:noFill/>
                    <a:ln>
                      <a:noFill/>
                    </a:ln>
                  </pic:spPr>
                </pic:pic>
              </a:graphicData>
            </a:graphic>
            <wp14:sizeRelH relativeFrom="margin">
              <wp14:pctWidth>0</wp14:pctWidth>
            </wp14:sizeRelH>
            <wp14:sizeRelV relativeFrom="page">
              <wp14:pctHeight>0</wp14:pctHeight>
            </wp14:sizeRelV>
          </wp:anchor>
        </w:drawing>
      </w:r>
      <w:r w:rsidR="009859E1" w:rsidRPr="00EB730B">
        <w:rPr>
          <w:b/>
          <w:sz w:val="18"/>
          <w:szCs w:val="18"/>
        </w:rPr>
        <w:t xml:space="preserve"> </w:t>
      </w:r>
    </w:p>
    <w:p w:rsidR="00E81F38" w:rsidRDefault="00E81F38" w:rsidP="009859E1">
      <w:pPr>
        <w:spacing w:after="200" w:line="264" w:lineRule="auto"/>
        <w:rPr>
          <w:b/>
          <w:sz w:val="18"/>
          <w:szCs w:val="18"/>
        </w:rPr>
      </w:pPr>
    </w:p>
    <w:p w:rsidR="00E81F38" w:rsidRDefault="00E81F38" w:rsidP="009859E1">
      <w:pPr>
        <w:spacing w:after="200" w:line="264" w:lineRule="auto"/>
        <w:rPr>
          <w:b/>
          <w:sz w:val="18"/>
          <w:szCs w:val="18"/>
        </w:rPr>
      </w:pPr>
    </w:p>
    <w:p w:rsidR="00207342" w:rsidRPr="00D6528E" w:rsidRDefault="00207342" w:rsidP="004A6FEC">
      <w:pPr>
        <w:pStyle w:val="Heading1"/>
        <w:numPr>
          <w:ilvl w:val="0"/>
          <w:numId w:val="7"/>
        </w:numPr>
        <w:spacing w:before="0" w:after="120" w:line="264" w:lineRule="auto"/>
        <w:rPr>
          <w:rStyle w:val="Strong"/>
          <w:b/>
          <w:i/>
          <w:color w:val="002060"/>
        </w:rPr>
      </w:pPr>
      <w:bookmarkStart w:id="14" w:name="_Toc399919636"/>
      <w:r w:rsidRPr="004A6FEC">
        <w:rPr>
          <w:rStyle w:val="Strong"/>
          <w:b/>
          <w:i/>
          <w:color w:val="002060"/>
        </w:rPr>
        <w:lastRenderedPageBreak/>
        <w:t>Fiscal Developments</w:t>
      </w:r>
      <w:bookmarkEnd w:id="12"/>
      <w:bookmarkEnd w:id="14"/>
    </w:p>
    <w:p w:rsidR="00F1633C" w:rsidRDefault="00DA6779" w:rsidP="0051354A">
      <w:pPr>
        <w:spacing w:after="200" w:line="264" w:lineRule="auto"/>
      </w:pPr>
      <w:r w:rsidRPr="00D70CFB">
        <w:rPr>
          <w:b/>
        </w:rPr>
        <w:t xml:space="preserve">The fiscal deficit remains </w:t>
      </w:r>
      <w:r w:rsidR="009A69C8">
        <w:rPr>
          <w:b/>
        </w:rPr>
        <w:t>a major</w:t>
      </w:r>
      <w:r w:rsidR="00EC2E04">
        <w:rPr>
          <w:b/>
        </w:rPr>
        <w:t xml:space="preserve"> source of</w:t>
      </w:r>
      <w:r w:rsidR="009A69C8">
        <w:rPr>
          <w:b/>
        </w:rPr>
        <w:t xml:space="preserve"> </w:t>
      </w:r>
      <w:r>
        <w:rPr>
          <w:b/>
        </w:rPr>
        <w:t xml:space="preserve">vulnerability </w:t>
      </w:r>
      <w:r w:rsidR="00EC2E04">
        <w:rPr>
          <w:b/>
        </w:rPr>
        <w:t>for</w:t>
      </w:r>
      <w:r w:rsidRPr="00D70CFB">
        <w:rPr>
          <w:b/>
        </w:rPr>
        <w:t xml:space="preserve"> the Ghanaian economy</w:t>
      </w:r>
      <w:r w:rsidR="00055D8E">
        <w:rPr>
          <w:b/>
        </w:rPr>
        <w:t xml:space="preserve">. </w:t>
      </w:r>
      <w:r w:rsidRPr="006159FB">
        <w:t xml:space="preserve"> </w:t>
      </w:r>
      <w:r>
        <w:t xml:space="preserve">Preliminary figures show </w:t>
      </w:r>
      <w:r w:rsidRPr="00DA6779">
        <w:t xml:space="preserve">the fiscal deficit </w:t>
      </w:r>
      <w:r w:rsidR="00055D8E">
        <w:t>at</w:t>
      </w:r>
      <w:r w:rsidR="00055D8E" w:rsidRPr="00DA6779">
        <w:t xml:space="preserve"> </w:t>
      </w:r>
      <w:r w:rsidRPr="00DA6779">
        <w:t>9.2</w:t>
      </w:r>
      <w:r w:rsidR="003B342F">
        <w:t xml:space="preserve"> percent</w:t>
      </w:r>
      <w:r w:rsidRPr="00DA6779">
        <w:t xml:space="preserve"> of GDP in the first half of 2014</w:t>
      </w:r>
      <w:r w:rsidR="002109A0">
        <w:t>, higher</w:t>
      </w:r>
      <w:r w:rsidR="003013AE">
        <w:t xml:space="preserve"> than </w:t>
      </w:r>
      <w:r w:rsidR="00EC2E04">
        <w:t xml:space="preserve">the </w:t>
      </w:r>
      <w:r w:rsidR="003013AE">
        <w:t>8.8 percent in the first half of 2013</w:t>
      </w:r>
      <w:r w:rsidR="00055D8E">
        <w:t xml:space="preserve">, due </w:t>
      </w:r>
      <w:r w:rsidR="002109A0">
        <w:t>to the</w:t>
      </w:r>
      <w:r>
        <w:t xml:space="preserve"> </w:t>
      </w:r>
      <w:r w:rsidR="00826ACB">
        <w:t xml:space="preserve">shortfall in revenue collection, </w:t>
      </w:r>
      <w:r w:rsidR="00EC2E04">
        <w:t xml:space="preserve">and </w:t>
      </w:r>
      <w:r w:rsidR="00475E88">
        <w:t xml:space="preserve">rising </w:t>
      </w:r>
      <w:r w:rsidRPr="006159FB">
        <w:t>wage bill</w:t>
      </w:r>
      <w:r>
        <w:t xml:space="preserve"> and </w:t>
      </w:r>
      <w:r w:rsidRPr="006159FB">
        <w:t>interest costs</w:t>
      </w:r>
      <w:r w:rsidR="004A22B9">
        <w:t xml:space="preserve"> (table 2)</w:t>
      </w:r>
      <w:r>
        <w:t xml:space="preserve">. </w:t>
      </w:r>
    </w:p>
    <w:p w:rsidR="009859E1" w:rsidRDefault="00F14CFA" w:rsidP="009859E1">
      <w:pPr>
        <w:spacing w:after="200" w:line="264" w:lineRule="auto"/>
      </w:pPr>
      <w:r w:rsidRPr="00F14CFA">
        <w:t>Total revenue</w:t>
      </w:r>
      <w:r>
        <w:t xml:space="preserve"> </w:t>
      </w:r>
      <w:r w:rsidRPr="00F14CFA">
        <w:t>was dragged down by non-tax revenue</w:t>
      </w:r>
      <w:r w:rsidR="00465AFD">
        <w:t>, which fell to</w:t>
      </w:r>
      <w:r w:rsidRPr="00F14CFA">
        <w:t xml:space="preserve"> </w:t>
      </w:r>
      <w:r w:rsidR="00F1633C">
        <w:t>18.1</w:t>
      </w:r>
      <w:r w:rsidR="003B342F">
        <w:t xml:space="preserve"> percent</w:t>
      </w:r>
      <w:r w:rsidR="00F1633C">
        <w:t xml:space="preserve"> </w:t>
      </w:r>
      <w:r w:rsidR="009A69C8">
        <w:t>of GDP</w:t>
      </w:r>
      <w:r w:rsidR="004A22B9">
        <w:t xml:space="preserve"> </w:t>
      </w:r>
      <w:r w:rsidR="00F1633C">
        <w:t>by June 2014</w:t>
      </w:r>
      <w:r w:rsidR="002109A0">
        <w:t>, compared</w:t>
      </w:r>
      <w:r w:rsidR="00F1633C">
        <w:t xml:space="preserve"> to 19.5</w:t>
      </w:r>
      <w:r w:rsidR="003B342F">
        <w:t xml:space="preserve"> percent</w:t>
      </w:r>
      <w:r w:rsidR="00F1633C">
        <w:t xml:space="preserve"> of GDP during the same period in 2013. </w:t>
      </w:r>
      <w:r w:rsidR="009859E1">
        <w:t xml:space="preserve">During the period, the government </w:t>
      </w:r>
      <w:r w:rsidR="00055D8E">
        <w:t xml:space="preserve">failed to </w:t>
      </w:r>
      <w:r w:rsidR="009859E1">
        <w:t xml:space="preserve">implement planned revenue enhancing   measures such as the change of petroleum excise taxes from specific to ad valorem and taxes on fee-based financial services. </w:t>
      </w:r>
    </w:p>
    <w:p w:rsidR="00534B14" w:rsidRDefault="00534B14" w:rsidP="0051354A">
      <w:pPr>
        <w:spacing w:after="200" w:line="264" w:lineRule="auto"/>
      </w:pPr>
      <w:r>
        <w:t xml:space="preserve">Tax revenue </w:t>
      </w:r>
      <w:r w:rsidR="009A69C8">
        <w:t>remained at</w:t>
      </w:r>
      <w:r>
        <w:t xml:space="preserve"> 15.6</w:t>
      </w:r>
      <w:r w:rsidR="003B342F">
        <w:t xml:space="preserve"> percent</w:t>
      </w:r>
      <w:r>
        <w:t xml:space="preserve"> of GDP, similar to</w:t>
      </w:r>
      <w:r w:rsidR="00465AFD">
        <w:t xml:space="preserve"> the </w:t>
      </w:r>
      <w:r>
        <w:t>1</w:t>
      </w:r>
      <w:r w:rsidR="00E32BB8">
        <w:t>5.5</w:t>
      </w:r>
      <w:r w:rsidR="003B342F">
        <w:t xml:space="preserve"> percent</w:t>
      </w:r>
      <w:r w:rsidR="00E32BB8">
        <w:t xml:space="preserve"> recorded in first</w:t>
      </w:r>
      <w:r w:rsidR="00465AFD">
        <w:t xml:space="preserve"> half</w:t>
      </w:r>
      <w:r w:rsidR="00E32BB8">
        <w:t xml:space="preserve"> of 2013 but</w:t>
      </w:r>
      <w:r w:rsidR="00F14CFA">
        <w:t xml:space="preserve"> stood</w:t>
      </w:r>
      <w:r w:rsidR="00E32BB8">
        <w:t xml:space="preserve"> below the half year budget</w:t>
      </w:r>
      <w:r w:rsidR="00F14CFA">
        <w:t>ed</w:t>
      </w:r>
      <w:r w:rsidR="00E32BB8">
        <w:t xml:space="preserve"> target of </w:t>
      </w:r>
      <w:r w:rsidR="00D069BD">
        <w:t>16.6 percent</w:t>
      </w:r>
      <w:r w:rsidR="00F14CFA">
        <w:t>.</w:t>
      </w:r>
      <w:r w:rsidR="00E32BB8">
        <w:t xml:space="preserve"> The shortfall </w:t>
      </w:r>
      <w:r w:rsidR="00D069BD">
        <w:t xml:space="preserve">vis-à-vis the </w:t>
      </w:r>
      <w:r w:rsidR="009859E1">
        <w:t xml:space="preserve">mid-year </w:t>
      </w:r>
      <w:r w:rsidR="00D069BD">
        <w:t xml:space="preserve">budget </w:t>
      </w:r>
      <w:r w:rsidR="00E32BB8">
        <w:t xml:space="preserve">was </w:t>
      </w:r>
      <w:r w:rsidR="00F14CFA">
        <w:t xml:space="preserve">mainly as </w:t>
      </w:r>
      <w:r w:rsidR="00E32BB8">
        <w:t xml:space="preserve">a result of lower </w:t>
      </w:r>
      <w:r w:rsidR="00752985">
        <w:t xml:space="preserve">payments of </w:t>
      </w:r>
      <w:r w:rsidR="00E32BB8">
        <w:t>corporate tax</w:t>
      </w:r>
      <w:r w:rsidR="00752985">
        <w:t>es</w:t>
      </w:r>
      <w:r w:rsidR="00E32BB8">
        <w:t xml:space="preserve"> and royalties payments </w:t>
      </w:r>
      <w:r w:rsidR="00752985">
        <w:t>by</w:t>
      </w:r>
      <w:r w:rsidR="00E32BB8">
        <w:t xml:space="preserve"> mining companies,</w:t>
      </w:r>
      <w:r w:rsidR="00E32BB8" w:rsidRPr="00E32BB8">
        <w:t xml:space="preserve"> </w:t>
      </w:r>
      <w:r w:rsidR="00752985">
        <w:t xml:space="preserve">a general slowdown of business activities, </w:t>
      </w:r>
      <w:r w:rsidR="00507539">
        <w:t xml:space="preserve">and the non-payment of withholding taxes by some government agencies such as the Ghana Education Trust Fund and some District Assemblies. </w:t>
      </w:r>
    </w:p>
    <w:p w:rsidR="006642A5" w:rsidRDefault="00865360" w:rsidP="0051354A">
      <w:pPr>
        <w:spacing w:after="200" w:line="264" w:lineRule="auto"/>
      </w:pPr>
      <w:r>
        <w:t xml:space="preserve">While revenue declined, total </w:t>
      </w:r>
      <w:r w:rsidR="009A69C8">
        <w:t>e</w:t>
      </w:r>
      <w:r w:rsidR="00DC2C09">
        <w:t xml:space="preserve">xpenditure </w:t>
      </w:r>
      <w:r w:rsidR="00055D8E">
        <w:t>increased slightly to</w:t>
      </w:r>
      <w:r>
        <w:t xml:space="preserve"> </w:t>
      </w:r>
      <w:r w:rsidR="00B80ED2">
        <w:t>22.7</w:t>
      </w:r>
      <w:r w:rsidR="003B342F">
        <w:t xml:space="preserve"> percent</w:t>
      </w:r>
      <w:r w:rsidR="00B80ED2">
        <w:t xml:space="preserve"> </w:t>
      </w:r>
      <w:r w:rsidR="009A69C8">
        <w:t>of GDP</w:t>
      </w:r>
      <w:r w:rsidR="00055D8E">
        <w:t>,</w:t>
      </w:r>
      <w:r w:rsidR="009A69C8">
        <w:t xml:space="preserve"> </w:t>
      </w:r>
      <w:r w:rsidR="00055D8E">
        <w:t>from</w:t>
      </w:r>
      <w:r w:rsidR="00B80ED2">
        <w:t xml:space="preserve"> 22.2</w:t>
      </w:r>
      <w:r w:rsidR="003B342F">
        <w:t xml:space="preserve"> percent</w:t>
      </w:r>
      <w:r w:rsidR="00B80ED2">
        <w:t xml:space="preserve"> </w:t>
      </w:r>
      <w:r w:rsidR="00DC2C09">
        <w:t>in June 2013. The increase was fueled by higher than budgeted wage bill, interest payment and foreign financed capital expenditure.</w:t>
      </w:r>
      <w:r w:rsidR="006642A5">
        <w:t xml:space="preserve"> </w:t>
      </w:r>
    </w:p>
    <w:p w:rsidR="00E81F38" w:rsidRDefault="00E81F38" w:rsidP="00E81F38">
      <w:pPr>
        <w:spacing w:after="200" w:line="264" w:lineRule="auto"/>
      </w:pPr>
      <w:r w:rsidRPr="00DA6779">
        <w:t>The wage bill grew 25.7</w:t>
      </w:r>
      <w:r>
        <w:t xml:space="preserve"> percent</w:t>
      </w:r>
      <w:r w:rsidRPr="00DA6779">
        <w:t xml:space="preserve"> (y-o-y) during the first half of 2014</w:t>
      </w:r>
      <w:r>
        <w:t>,</w:t>
      </w:r>
      <w:r w:rsidRPr="00DA6779">
        <w:t xml:space="preserve"> despite the </w:t>
      </w:r>
      <w:r>
        <w:t xml:space="preserve">government’s </w:t>
      </w:r>
      <w:r w:rsidRPr="00DA6779">
        <w:t>measures to contain it</w:t>
      </w:r>
      <w:r>
        <w:t xml:space="preserve">. The wage bill amounted to 8.8 percent of GDP in the half year of 2014. In addition, the government spent 0.7 percent of GDP (Ghs 379 million) on clearance of wage </w:t>
      </w:r>
      <w:r>
        <w:lastRenderedPageBreak/>
        <w:t>arrears. The wage to tax ratio was planned to reach 48.5 percent by the end of 2014 but reached 56.5 percent in June 2014, diminishing the likelihood of reaching the planned target by year end (figure 3).</w:t>
      </w:r>
    </w:p>
    <w:p w:rsidR="00EC2E04" w:rsidRPr="009859E1" w:rsidRDefault="00EC2E04" w:rsidP="00EC2E04">
      <w:pPr>
        <w:pStyle w:val="Caption"/>
        <w:rPr>
          <w:color w:val="000000" w:themeColor="text1"/>
        </w:rPr>
      </w:pPr>
      <w:bookmarkStart w:id="15" w:name="_Toc382553968"/>
      <w:r w:rsidRPr="009859E1">
        <w:rPr>
          <w:color w:val="000000" w:themeColor="text1"/>
        </w:rPr>
        <w:t xml:space="preserve">Table 2: Central Government budgetary operations, 2012-14 (percent of GDP) </w:t>
      </w:r>
      <w:bookmarkEnd w:id="15"/>
    </w:p>
    <w:p w:rsidR="00EC2E04" w:rsidRDefault="00EC2E04" w:rsidP="009859E1">
      <w:pPr>
        <w:spacing w:line="264" w:lineRule="auto"/>
        <w:rPr>
          <w:b/>
          <w:sz w:val="18"/>
          <w:szCs w:val="18"/>
        </w:rPr>
      </w:pPr>
    </w:p>
    <w:p w:rsidR="009859E1" w:rsidRDefault="009859E1" w:rsidP="009859E1">
      <w:pPr>
        <w:spacing w:line="264" w:lineRule="auto"/>
        <w:rPr>
          <w:b/>
          <w:sz w:val="18"/>
          <w:szCs w:val="18"/>
        </w:rPr>
      </w:pPr>
      <w:r w:rsidRPr="00DC3582">
        <w:rPr>
          <w:noProof/>
        </w:rPr>
        <w:drawing>
          <wp:inline distT="0" distB="0" distL="0" distR="0" wp14:anchorId="28B3EF4D" wp14:editId="19F013D3">
            <wp:extent cx="2857500" cy="34366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215" cy="3443493"/>
                    </a:xfrm>
                    <a:prstGeom prst="rect">
                      <a:avLst/>
                    </a:prstGeom>
                    <a:noFill/>
                    <a:ln>
                      <a:noFill/>
                    </a:ln>
                  </pic:spPr>
                </pic:pic>
              </a:graphicData>
            </a:graphic>
          </wp:inline>
        </w:drawing>
      </w:r>
    </w:p>
    <w:p w:rsidR="009859E1" w:rsidRPr="009859E1" w:rsidRDefault="009859E1" w:rsidP="009859E1">
      <w:pPr>
        <w:spacing w:line="264" w:lineRule="auto"/>
        <w:rPr>
          <w:i/>
          <w:sz w:val="18"/>
          <w:szCs w:val="18"/>
        </w:rPr>
      </w:pPr>
      <w:r w:rsidRPr="009859E1">
        <w:rPr>
          <w:i/>
          <w:sz w:val="18"/>
          <w:szCs w:val="18"/>
        </w:rPr>
        <w:t>Source: Ministry of Finance and Staff calculations</w:t>
      </w:r>
    </w:p>
    <w:p w:rsidR="003439CC" w:rsidRDefault="003439CC" w:rsidP="0051354A">
      <w:pPr>
        <w:spacing w:after="200" w:line="264" w:lineRule="auto"/>
      </w:pPr>
    </w:p>
    <w:p w:rsidR="009859E1" w:rsidRDefault="009859E1" w:rsidP="009859E1">
      <w:pPr>
        <w:spacing w:after="200" w:line="264" w:lineRule="auto"/>
      </w:pPr>
      <w:r>
        <w:t xml:space="preserve">Many factors account for the persistent rise of the wage bill in Ghana. These include the inability of government to implement </w:t>
      </w:r>
      <w:r w:rsidR="00933899">
        <w:t>the net freeze in employment and</w:t>
      </w:r>
      <w:r>
        <w:t xml:space="preserve"> moratorium on public sector wage increase proposed in the 2014 national budget, persisting wage creeps within the public service wage administration, payment for backdated promotions and salary arrears, and higher th</w:t>
      </w:r>
      <w:r w:rsidR="00E57CC6">
        <w:t>an budgeted cost of migration  o</w:t>
      </w:r>
      <w:r>
        <w:t xml:space="preserve">nto the single spine payroll. </w:t>
      </w:r>
    </w:p>
    <w:p w:rsidR="00EC2E04" w:rsidRDefault="00EC2E04" w:rsidP="009859E1">
      <w:pPr>
        <w:spacing w:after="200" w:line="264" w:lineRule="auto"/>
      </w:pPr>
    </w:p>
    <w:p w:rsidR="00E81F38" w:rsidRDefault="00E81F38" w:rsidP="009859E1">
      <w:pPr>
        <w:spacing w:after="200" w:line="264" w:lineRule="auto"/>
      </w:pPr>
    </w:p>
    <w:p w:rsidR="00E81F38" w:rsidRDefault="00E81F38" w:rsidP="00060323">
      <w:pPr>
        <w:pStyle w:val="Caption"/>
        <w:rPr>
          <w:color w:val="000000" w:themeColor="text1"/>
        </w:rPr>
      </w:pPr>
      <w:bookmarkStart w:id="16" w:name="OLE_LINK1"/>
    </w:p>
    <w:p w:rsidR="00E52881" w:rsidRPr="001B009A" w:rsidRDefault="00060323" w:rsidP="00060323">
      <w:pPr>
        <w:pStyle w:val="Caption"/>
        <w:rPr>
          <w:color w:val="000000" w:themeColor="text1"/>
        </w:rPr>
      </w:pPr>
      <w:r w:rsidRPr="001B009A">
        <w:rPr>
          <w:color w:val="000000" w:themeColor="text1"/>
        </w:rPr>
        <w:lastRenderedPageBreak/>
        <w:t xml:space="preserve">Figure </w:t>
      </w:r>
      <w:r w:rsidR="00544D7B">
        <w:rPr>
          <w:color w:val="000000" w:themeColor="text1"/>
        </w:rPr>
        <w:t>3</w:t>
      </w:r>
      <w:r w:rsidRPr="001B009A">
        <w:rPr>
          <w:color w:val="000000" w:themeColor="text1"/>
        </w:rPr>
        <w:t>: Wage to Tax Revenue (Percent)</w:t>
      </w:r>
    </w:p>
    <w:bookmarkEnd w:id="16"/>
    <w:p w:rsidR="00974398" w:rsidRDefault="001B009A" w:rsidP="00711963">
      <w:r w:rsidRPr="001B009A">
        <w:t xml:space="preserve"> </w:t>
      </w:r>
      <w:r w:rsidRPr="001B009A">
        <w:rPr>
          <w:noProof/>
        </w:rPr>
        <w:drawing>
          <wp:inline distT="0" distB="0" distL="0" distR="0" wp14:anchorId="2A3537A2" wp14:editId="56A3FB3F">
            <wp:extent cx="2863215" cy="19051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3215" cy="1905181"/>
                    </a:xfrm>
                    <a:prstGeom prst="rect">
                      <a:avLst/>
                    </a:prstGeom>
                    <a:noFill/>
                    <a:ln>
                      <a:noFill/>
                    </a:ln>
                  </pic:spPr>
                </pic:pic>
              </a:graphicData>
            </a:graphic>
          </wp:inline>
        </w:drawing>
      </w:r>
    </w:p>
    <w:p w:rsidR="00060323" w:rsidRPr="001B009A" w:rsidRDefault="00060323" w:rsidP="00711963">
      <w:pPr>
        <w:rPr>
          <w:i/>
          <w:sz w:val="18"/>
          <w:szCs w:val="18"/>
        </w:rPr>
      </w:pPr>
      <w:r w:rsidRPr="001B009A">
        <w:rPr>
          <w:i/>
          <w:sz w:val="18"/>
          <w:szCs w:val="18"/>
        </w:rPr>
        <w:t>Source: MoF and Staff calculations</w:t>
      </w:r>
    </w:p>
    <w:p w:rsidR="00B80ED2" w:rsidRDefault="00B80ED2" w:rsidP="00060323">
      <w:pPr>
        <w:spacing w:after="200" w:line="264" w:lineRule="auto"/>
      </w:pPr>
    </w:p>
    <w:p w:rsidR="00060323" w:rsidRDefault="00060323" w:rsidP="00060323">
      <w:pPr>
        <w:spacing w:after="200" w:line="264" w:lineRule="auto"/>
      </w:pPr>
      <w:r>
        <w:t xml:space="preserve">As a short term measure to curtail the wage menace, the government agreed with </w:t>
      </w:r>
      <w:r w:rsidR="00E57CC6">
        <w:t xml:space="preserve">the </w:t>
      </w:r>
      <w:r>
        <w:t>labor unions to pay a cost of li</w:t>
      </w:r>
      <w:r w:rsidR="00B80ED2">
        <w:t>ving allowance (C</w:t>
      </w:r>
      <w:r>
        <w:t>ola) of 10</w:t>
      </w:r>
      <w:r w:rsidR="003B342F">
        <w:t xml:space="preserve"> percent</w:t>
      </w:r>
      <w:r>
        <w:t>, effective May 2014 instead of a general s</w:t>
      </w:r>
      <w:r w:rsidR="00B80ED2">
        <w:t>alary increase. The Cola freezes</w:t>
      </w:r>
      <w:r>
        <w:t xml:space="preserve"> the cost of pension in 2014 for </w:t>
      </w:r>
      <w:r w:rsidR="00B80ED2">
        <w:t>employees</w:t>
      </w:r>
      <w:r>
        <w:t xml:space="preserve"> on government payroll.</w:t>
      </w:r>
      <w:r w:rsidR="00DC2C09">
        <w:t xml:space="preserve"> Other measures </w:t>
      </w:r>
      <w:r w:rsidR="00992396">
        <w:t>being pursued include special audit</w:t>
      </w:r>
      <w:r w:rsidR="00991395">
        <w:t xml:space="preserve"> of payroll, electronic salary p</w:t>
      </w:r>
      <w:r w:rsidR="00992396">
        <w:t>ayment vouchers and an upgrade of the payroll</w:t>
      </w:r>
      <w:r w:rsidR="00822CF9">
        <w:t xml:space="preserve"> management system.</w:t>
      </w:r>
      <w:r w:rsidR="00991395">
        <w:t xml:space="preserve"> Government is yet to </w:t>
      </w:r>
      <w:r w:rsidR="00AF59EE">
        <w:t>record gains</w:t>
      </w:r>
      <w:r w:rsidR="00991395">
        <w:t xml:space="preserve"> from these measures.</w:t>
      </w:r>
    </w:p>
    <w:p w:rsidR="003439CC" w:rsidRDefault="00AA6E34" w:rsidP="003439CC">
      <w:pPr>
        <w:spacing w:after="200" w:line="264" w:lineRule="auto"/>
      </w:pPr>
      <w:r>
        <w:t>I</w:t>
      </w:r>
      <w:r w:rsidR="00AF59EE">
        <w:t>nterest payment</w:t>
      </w:r>
      <w:r>
        <w:t>s</w:t>
      </w:r>
      <w:r w:rsidR="00AF59EE">
        <w:t xml:space="preserve"> </w:t>
      </w:r>
      <w:r>
        <w:t xml:space="preserve">constitute </w:t>
      </w:r>
      <w:r w:rsidR="00AF59EE">
        <w:t>the</w:t>
      </w:r>
      <w:r w:rsidR="003439CC">
        <w:t xml:space="preserve"> other </w:t>
      </w:r>
      <w:r>
        <w:t xml:space="preserve">large and </w:t>
      </w:r>
      <w:r w:rsidR="003439CC">
        <w:t>increasing expenditure</w:t>
      </w:r>
      <w:r>
        <w:t xml:space="preserve"> item</w:t>
      </w:r>
      <w:r w:rsidR="003439CC">
        <w:t xml:space="preserve"> in the budget</w:t>
      </w:r>
      <w:r w:rsidR="00AF59EE">
        <w:t>.</w:t>
      </w:r>
      <w:r w:rsidR="003439CC">
        <w:t xml:space="preserve"> (figure 4). The interest expenditure accounted for 40 percent of the revenue for the first half of the year while it reached 6.2 percent of GDP compared to 5.0 percent in June 2013. The increase </w:t>
      </w:r>
      <w:r w:rsidR="00E57CC6">
        <w:t>has been</w:t>
      </w:r>
      <w:r w:rsidR="003439CC">
        <w:t xml:space="preserve"> driven by rising domestic borrowing at high interest r</w:t>
      </w:r>
      <w:r w:rsidR="00EC2E04">
        <w:t xml:space="preserve">ates. Domestic interest payments accounted for 5.3 percent of GDP, up </w:t>
      </w:r>
      <w:r w:rsidR="003439CC">
        <w:t>from 4.4 percent</w:t>
      </w:r>
      <w:r w:rsidR="00EC2E04">
        <w:t xml:space="preserve"> last year,</w:t>
      </w:r>
      <w:r w:rsidR="003439CC">
        <w:t xml:space="preserve"> while external interest payment inched up to 0.9 percent of GDP from 0.7 percent</w:t>
      </w:r>
      <w:r w:rsidR="00EC2E04">
        <w:t xml:space="preserve"> in 2013</w:t>
      </w:r>
      <w:r w:rsidR="003439CC">
        <w:t xml:space="preserve">. </w:t>
      </w:r>
    </w:p>
    <w:p w:rsidR="006A2A4F" w:rsidRDefault="006A2A4F" w:rsidP="003439CC">
      <w:pPr>
        <w:spacing w:after="200" w:line="264" w:lineRule="auto"/>
      </w:pPr>
    </w:p>
    <w:p w:rsidR="00E81F38" w:rsidRDefault="00E81F38" w:rsidP="003439CC">
      <w:pPr>
        <w:spacing w:after="200" w:line="264" w:lineRule="auto"/>
      </w:pPr>
    </w:p>
    <w:p w:rsidR="00E81F38" w:rsidRDefault="00E81F38" w:rsidP="003439CC">
      <w:pPr>
        <w:spacing w:after="200" w:line="264" w:lineRule="auto"/>
      </w:pPr>
    </w:p>
    <w:p w:rsidR="000923AB" w:rsidRPr="00867EA8" w:rsidRDefault="000923AB" w:rsidP="00867EA8">
      <w:pPr>
        <w:pStyle w:val="Caption"/>
        <w:jc w:val="left"/>
        <w:rPr>
          <w:color w:val="000000" w:themeColor="text1"/>
        </w:rPr>
      </w:pPr>
      <w:r w:rsidRPr="00867EA8">
        <w:rPr>
          <w:color w:val="000000" w:themeColor="text1"/>
        </w:rPr>
        <w:lastRenderedPageBreak/>
        <w:t xml:space="preserve">Figure </w:t>
      </w:r>
      <w:r w:rsidR="00544D7B">
        <w:rPr>
          <w:color w:val="000000" w:themeColor="text1"/>
        </w:rPr>
        <w:t>4</w:t>
      </w:r>
      <w:r w:rsidRPr="00867EA8">
        <w:rPr>
          <w:color w:val="000000" w:themeColor="text1"/>
        </w:rPr>
        <w:t xml:space="preserve">: Interest Payments </w:t>
      </w:r>
      <w:r w:rsidR="00D069BD" w:rsidRPr="00867EA8">
        <w:rPr>
          <w:color w:val="000000" w:themeColor="text1"/>
        </w:rPr>
        <w:t>as a</w:t>
      </w:r>
      <w:r w:rsidR="003B342F" w:rsidRPr="00867EA8">
        <w:rPr>
          <w:color w:val="000000" w:themeColor="text1"/>
        </w:rPr>
        <w:t xml:space="preserve"> percent</w:t>
      </w:r>
      <w:r w:rsidRPr="00867EA8">
        <w:rPr>
          <w:color w:val="000000" w:themeColor="text1"/>
        </w:rPr>
        <w:t xml:space="preserve"> of GDP</w:t>
      </w:r>
      <w:r w:rsidR="00867EA8">
        <w:rPr>
          <w:color w:val="000000" w:themeColor="text1"/>
        </w:rPr>
        <w:t xml:space="preserve"> and revenue</w:t>
      </w:r>
      <w:r w:rsidRPr="00867EA8">
        <w:rPr>
          <w:color w:val="000000" w:themeColor="text1"/>
        </w:rPr>
        <w:t xml:space="preserve"> (2004-2014h)</w:t>
      </w:r>
    </w:p>
    <w:p w:rsidR="00974398" w:rsidRDefault="00867EA8" w:rsidP="00711963">
      <w:pPr>
        <w:spacing w:line="264" w:lineRule="auto"/>
      </w:pPr>
      <w:r w:rsidRPr="00867EA8">
        <w:rPr>
          <w:noProof/>
        </w:rPr>
        <w:drawing>
          <wp:inline distT="0" distB="0" distL="0" distR="0" wp14:anchorId="6BEA7EF8" wp14:editId="1E15DD31">
            <wp:extent cx="2863215" cy="18567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3215" cy="1856784"/>
                    </a:xfrm>
                    <a:prstGeom prst="rect">
                      <a:avLst/>
                    </a:prstGeom>
                    <a:noFill/>
                    <a:ln>
                      <a:noFill/>
                    </a:ln>
                  </pic:spPr>
                </pic:pic>
              </a:graphicData>
            </a:graphic>
          </wp:inline>
        </w:drawing>
      </w:r>
    </w:p>
    <w:p w:rsidR="000923AB" w:rsidRPr="00867EA8" w:rsidRDefault="000923AB" w:rsidP="00711963">
      <w:pPr>
        <w:spacing w:line="264" w:lineRule="auto"/>
        <w:rPr>
          <w:i/>
          <w:sz w:val="18"/>
          <w:szCs w:val="18"/>
        </w:rPr>
      </w:pPr>
      <w:r w:rsidRPr="00867EA8">
        <w:rPr>
          <w:i/>
          <w:sz w:val="18"/>
          <w:szCs w:val="18"/>
        </w:rPr>
        <w:t xml:space="preserve">Source: </w:t>
      </w:r>
      <w:r w:rsidR="00826ACB" w:rsidRPr="00867EA8">
        <w:rPr>
          <w:i/>
          <w:sz w:val="18"/>
          <w:szCs w:val="18"/>
        </w:rPr>
        <w:t>MoF</w:t>
      </w:r>
      <w:r w:rsidRPr="00867EA8">
        <w:rPr>
          <w:i/>
          <w:sz w:val="18"/>
          <w:szCs w:val="18"/>
        </w:rPr>
        <w:t xml:space="preserve"> and Staff calculations</w:t>
      </w:r>
    </w:p>
    <w:p w:rsidR="00D069BD" w:rsidRDefault="00D069BD" w:rsidP="00D069BD">
      <w:pPr>
        <w:spacing w:after="200" w:line="264" w:lineRule="auto"/>
      </w:pPr>
    </w:p>
    <w:p w:rsidR="00AE4658" w:rsidRDefault="00EC2E04" w:rsidP="0051354A">
      <w:pPr>
        <w:spacing w:after="200" w:line="264" w:lineRule="auto"/>
      </w:pPr>
      <w:r>
        <w:rPr>
          <w:color w:val="000000"/>
        </w:rPr>
        <w:t>C</w:t>
      </w:r>
      <w:r w:rsidR="00F1449A" w:rsidRPr="00F1449A">
        <w:rPr>
          <w:color w:val="000000"/>
        </w:rPr>
        <w:t xml:space="preserve">apital expenditure </w:t>
      </w:r>
      <w:r w:rsidR="006A0D1B">
        <w:rPr>
          <w:color w:val="000000"/>
        </w:rPr>
        <w:t>rose</w:t>
      </w:r>
      <w:r w:rsidR="00D97B01">
        <w:rPr>
          <w:color w:val="000000"/>
        </w:rPr>
        <w:t xml:space="preserve"> </w:t>
      </w:r>
      <w:r w:rsidR="00D901F1">
        <w:rPr>
          <w:color w:val="000000"/>
        </w:rPr>
        <w:t>slightly</w:t>
      </w:r>
      <w:r w:rsidR="00822CF9">
        <w:rPr>
          <w:color w:val="000000"/>
        </w:rPr>
        <w:t xml:space="preserve"> </w:t>
      </w:r>
      <w:r w:rsidR="00991395">
        <w:rPr>
          <w:color w:val="000000"/>
        </w:rPr>
        <w:t>to 4.6</w:t>
      </w:r>
      <w:r w:rsidR="003B342F">
        <w:rPr>
          <w:color w:val="000000"/>
        </w:rPr>
        <w:t xml:space="preserve"> percent</w:t>
      </w:r>
      <w:r w:rsidR="00991395">
        <w:rPr>
          <w:color w:val="000000"/>
        </w:rPr>
        <w:t xml:space="preserve"> </w:t>
      </w:r>
      <w:r>
        <w:rPr>
          <w:color w:val="000000"/>
        </w:rPr>
        <w:t xml:space="preserve">of GDP </w:t>
      </w:r>
      <w:r w:rsidR="00991395">
        <w:rPr>
          <w:color w:val="000000"/>
        </w:rPr>
        <w:t>in 2014</w:t>
      </w:r>
      <w:r>
        <w:rPr>
          <w:color w:val="000000"/>
        </w:rPr>
        <w:t>, up</w:t>
      </w:r>
      <w:r w:rsidR="00991395" w:rsidRPr="00F1449A">
        <w:rPr>
          <w:color w:val="000000"/>
        </w:rPr>
        <w:t xml:space="preserve"> </w:t>
      </w:r>
      <w:r w:rsidR="00822CF9">
        <w:rPr>
          <w:color w:val="000000"/>
        </w:rPr>
        <w:t>from 4.2</w:t>
      </w:r>
      <w:r w:rsidR="003B342F">
        <w:rPr>
          <w:color w:val="000000"/>
        </w:rPr>
        <w:t xml:space="preserve"> percent</w:t>
      </w:r>
      <w:r w:rsidR="00F1449A" w:rsidRPr="00F1449A">
        <w:rPr>
          <w:color w:val="000000"/>
        </w:rPr>
        <w:t xml:space="preserve"> </w:t>
      </w:r>
      <w:r w:rsidR="006A0D1B">
        <w:rPr>
          <w:color w:val="000000"/>
        </w:rPr>
        <w:t>in</w:t>
      </w:r>
      <w:r w:rsidR="00AF59EE">
        <w:rPr>
          <w:color w:val="000000"/>
        </w:rPr>
        <w:t xml:space="preserve"> June 2013</w:t>
      </w:r>
      <w:r w:rsidR="00D76F82">
        <w:rPr>
          <w:color w:val="000000"/>
        </w:rPr>
        <w:t>.</w:t>
      </w:r>
      <w:r w:rsidR="00733CD5">
        <w:rPr>
          <w:color w:val="000000"/>
        </w:rPr>
        <w:t xml:space="preserve"> The increase </w:t>
      </w:r>
      <w:r w:rsidR="00D76F82">
        <w:rPr>
          <w:color w:val="000000"/>
        </w:rPr>
        <w:t>came in f</w:t>
      </w:r>
      <w:r w:rsidR="00E57CC6">
        <w:rPr>
          <w:color w:val="000000"/>
        </w:rPr>
        <w:t>orm</w:t>
      </w:r>
      <w:r w:rsidR="00D97B01">
        <w:rPr>
          <w:color w:val="000000"/>
        </w:rPr>
        <w:t xml:space="preserve"> of </w:t>
      </w:r>
      <w:r w:rsidR="00F1449A" w:rsidRPr="00F1449A">
        <w:rPr>
          <w:color w:val="000000"/>
        </w:rPr>
        <w:t xml:space="preserve">foreign </w:t>
      </w:r>
      <w:r w:rsidR="00822CF9">
        <w:rPr>
          <w:color w:val="000000"/>
        </w:rPr>
        <w:t xml:space="preserve">capital expenditure </w:t>
      </w:r>
      <w:r w:rsidR="00733CD5">
        <w:rPr>
          <w:color w:val="000000"/>
        </w:rPr>
        <w:t>while domestic financing remained small (</w:t>
      </w:r>
      <w:r w:rsidR="00E57CC6">
        <w:rPr>
          <w:color w:val="000000"/>
        </w:rPr>
        <w:t>t</w:t>
      </w:r>
      <w:r w:rsidR="00733CD5">
        <w:rPr>
          <w:color w:val="000000"/>
        </w:rPr>
        <w:t>able 2)</w:t>
      </w:r>
      <w:r w:rsidR="00E57CC6">
        <w:rPr>
          <w:color w:val="000000"/>
        </w:rPr>
        <w:t>.</w:t>
      </w:r>
      <w:r w:rsidR="00AE4658" w:rsidRPr="00AE4658">
        <w:t xml:space="preserve"> </w:t>
      </w:r>
    </w:p>
    <w:p w:rsidR="00D97B01" w:rsidRDefault="00AE4658" w:rsidP="00D97B01">
      <w:pPr>
        <w:spacing w:after="200" w:line="264" w:lineRule="auto"/>
        <w:rPr>
          <w:color w:val="000000"/>
        </w:rPr>
      </w:pPr>
      <w:r w:rsidRPr="00AE4658">
        <w:rPr>
          <w:color w:val="000000"/>
        </w:rPr>
        <w:t xml:space="preserve">The large fiscal deficit </w:t>
      </w:r>
      <w:r w:rsidR="00733CD5">
        <w:rPr>
          <w:color w:val="000000"/>
        </w:rPr>
        <w:t xml:space="preserve">continued to be </w:t>
      </w:r>
      <w:r w:rsidRPr="00AE4658">
        <w:rPr>
          <w:color w:val="000000"/>
        </w:rPr>
        <w:t>financed mostly with</w:t>
      </w:r>
      <w:r w:rsidR="00AF59EE">
        <w:rPr>
          <w:color w:val="000000"/>
        </w:rPr>
        <w:t xml:space="preserve"> </w:t>
      </w:r>
      <w:r w:rsidRPr="00AE4658">
        <w:rPr>
          <w:color w:val="000000"/>
        </w:rPr>
        <w:t>domestic credit</w:t>
      </w:r>
      <w:r w:rsidR="0089087C">
        <w:rPr>
          <w:color w:val="000000"/>
        </w:rPr>
        <w:t xml:space="preserve"> d</w:t>
      </w:r>
      <w:r w:rsidR="00733CD5">
        <w:rPr>
          <w:color w:val="000000"/>
        </w:rPr>
        <w:t>u</w:t>
      </w:r>
      <w:r w:rsidR="0089087C">
        <w:rPr>
          <w:color w:val="000000"/>
        </w:rPr>
        <w:t>r</w:t>
      </w:r>
      <w:r w:rsidR="00733CD5">
        <w:rPr>
          <w:color w:val="000000"/>
        </w:rPr>
        <w:t>ing the first half of the year</w:t>
      </w:r>
      <w:r w:rsidR="00D97B01">
        <w:rPr>
          <w:color w:val="000000"/>
        </w:rPr>
        <w:t xml:space="preserve">. </w:t>
      </w:r>
      <w:r w:rsidR="00B17227">
        <w:rPr>
          <w:color w:val="000000"/>
        </w:rPr>
        <w:t xml:space="preserve">In fact, </w:t>
      </w:r>
      <w:r w:rsidR="00D97B01">
        <w:rPr>
          <w:color w:val="000000"/>
        </w:rPr>
        <w:t>Bank of Ghana (BoG) financed the entire budget deficit during the first quarter and 70 percent of the total deficit during the first half of the year. The rest was financed by f</w:t>
      </w:r>
      <w:r w:rsidR="00D97B01" w:rsidRPr="00711963">
        <w:rPr>
          <w:color w:val="000000"/>
        </w:rPr>
        <w:t>oreign f</w:t>
      </w:r>
      <w:r w:rsidR="00D97B01">
        <w:rPr>
          <w:color w:val="000000"/>
        </w:rPr>
        <w:t xml:space="preserve">lows </w:t>
      </w:r>
      <w:r w:rsidR="00D97B01" w:rsidRPr="00711963">
        <w:rPr>
          <w:color w:val="000000"/>
        </w:rPr>
        <w:t>(22</w:t>
      </w:r>
      <w:r w:rsidR="00D97B01">
        <w:rPr>
          <w:color w:val="000000"/>
        </w:rPr>
        <w:t xml:space="preserve"> percent of the total</w:t>
      </w:r>
      <w:r w:rsidR="00D97B01" w:rsidRPr="00711963">
        <w:rPr>
          <w:color w:val="000000"/>
        </w:rPr>
        <w:t xml:space="preserve">) and by domestic banking and non-bank institutions. </w:t>
      </w:r>
    </w:p>
    <w:p w:rsidR="00D709F1" w:rsidRDefault="0081700E" w:rsidP="00D97B01">
      <w:pPr>
        <w:spacing w:after="200" w:line="264" w:lineRule="auto"/>
        <w:rPr>
          <w:color w:val="000000"/>
        </w:rPr>
      </w:pPr>
      <w:r>
        <w:rPr>
          <w:color w:val="000000"/>
        </w:rPr>
        <w:t xml:space="preserve">In order to finance the budget deficit, </w:t>
      </w:r>
      <w:r w:rsidR="00D709F1">
        <w:rPr>
          <w:color w:val="000000"/>
        </w:rPr>
        <w:t xml:space="preserve">the </w:t>
      </w:r>
      <w:r w:rsidR="00D97B01">
        <w:rPr>
          <w:color w:val="000000"/>
        </w:rPr>
        <w:t>G</w:t>
      </w:r>
      <w:r w:rsidR="00D97B01" w:rsidRPr="00AE4658">
        <w:rPr>
          <w:color w:val="000000"/>
        </w:rPr>
        <w:t xml:space="preserve">overnment </w:t>
      </w:r>
      <w:r>
        <w:rPr>
          <w:color w:val="000000"/>
        </w:rPr>
        <w:t xml:space="preserve">kept on </w:t>
      </w:r>
      <w:r w:rsidR="00D97B01">
        <w:rPr>
          <w:color w:val="000000"/>
        </w:rPr>
        <w:t xml:space="preserve">adding on to </w:t>
      </w:r>
      <w:r w:rsidR="00D97B01" w:rsidRPr="00AE4658">
        <w:rPr>
          <w:color w:val="000000"/>
        </w:rPr>
        <w:t xml:space="preserve">its stock of public debt, which </w:t>
      </w:r>
      <w:r w:rsidR="00D97B01" w:rsidRPr="00010ADB">
        <w:rPr>
          <w:color w:val="000000"/>
        </w:rPr>
        <w:t xml:space="preserve">reached </w:t>
      </w:r>
      <w:r w:rsidR="008945FA">
        <w:rPr>
          <w:color w:val="000000"/>
        </w:rPr>
        <w:t>58</w:t>
      </w:r>
      <w:r w:rsidR="00FF2C99" w:rsidRPr="004A67AA">
        <w:rPr>
          <w:color w:val="000000"/>
        </w:rPr>
        <w:t xml:space="preserve"> percent</w:t>
      </w:r>
      <w:r w:rsidR="00FF2C99" w:rsidRPr="00010ADB">
        <w:rPr>
          <w:color w:val="000000"/>
        </w:rPr>
        <w:t xml:space="preserve"> </w:t>
      </w:r>
      <w:r w:rsidR="00D76F82" w:rsidRPr="00010ADB">
        <w:rPr>
          <w:color w:val="000000"/>
        </w:rPr>
        <w:t xml:space="preserve">of GDP </w:t>
      </w:r>
      <w:r w:rsidR="00886692">
        <w:rPr>
          <w:color w:val="000000"/>
        </w:rPr>
        <w:t>by</w:t>
      </w:r>
      <w:r w:rsidR="00D76F82" w:rsidRPr="00010ADB">
        <w:rPr>
          <w:color w:val="000000"/>
        </w:rPr>
        <w:t xml:space="preserve"> the end of </w:t>
      </w:r>
      <w:r w:rsidR="0072744C" w:rsidRPr="00010ADB">
        <w:rPr>
          <w:color w:val="000000"/>
        </w:rPr>
        <w:t xml:space="preserve">August </w:t>
      </w:r>
      <w:r w:rsidR="00D76F82" w:rsidRPr="00010ADB">
        <w:rPr>
          <w:color w:val="000000"/>
        </w:rPr>
        <w:t>2014</w:t>
      </w:r>
      <w:r w:rsidR="00797847" w:rsidRPr="00010ADB">
        <w:rPr>
          <w:color w:val="000000"/>
        </w:rPr>
        <w:t>, exclu</w:t>
      </w:r>
      <w:r w:rsidR="00FF2C99" w:rsidRPr="00010ADB">
        <w:rPr>
          <w:color w:val="000000"/>
        </w:rPr>
        <w:t>ding the</w:t>
      </w:r>
      <w:r w:rsidR="00797847" w:rsidRPr="00010ADB">
        <w:rPr>
          <w:color w:val="000000"/>
        </w:rPr>
        <w:t xml:space="preserve"> stock of arrears estimated at 4.8</w:t>
      </w:r>
      <w:r w:rsidR="00FF2C99" w:rsidRPr="00010ADB">
        <w:rPr>
          <w:color w:val="000000"/>
        </w:rPr>
        <w:t xml:space="preserve"> percent</w:t>
      </w:r>
      <w:r w:rsidR="008945FA">
        <w:rPr>
          <w:color w:val="000000"/>
        </w:rPr>
        <w:t xml:space="preserve"> of GDP</w:t>
      </w:r>
      <w:r w:rsidR="00FF2C99" w:rsidRPr="00010ADB">
        <w:rPr>
          <w:color w:val="000000"/>
        </w:rPr>
        <w:t xml:space="preserve"> </w:t>
      </w:r>
      <w:r w:rsidR="00797847" w:rsidRPr="00010ADB">
        <w:rPr>
          <w:color w:val="000000"/>
        </w:rPr>
        <w:t>and SOEs debt of 6.3 percent.</w:t>
      </w:r>
      <w:r w:rsidR="00515E32" w:rsidRPr="00010ADB">
        <w:rPr>
          <w:color w:val="000000"/>
        </w:rPr>
        <w:t xml:space="preserve"> </w:t>
      </w:r>
      <w:r w:rsidR="00D709F1" w:rsidRPr="00010ADB">
        <w:rPr>
          <w:color w:val="000000"/>
        </w:rPr>
        <w:t>By June 2014</w:t>
      </w:r>
      <w:r w:rsidR="00D709F1">
        <w:rPr>
          <w:color w:val="000000"/>
        </w:rPr>
        <w:t>,</w:t>
      </w:r>
      <w:r w:rsidR="00010ADB">
        <w:rPr>
          <w:color w:val="000000"/>
        </w:rPr>
        <w:t xml:space="preserve"> </w:t>
      </w:r>
      <w:r w:rsidR="00D709F1">
        <w:rPr>
          <w:color w:val="000000"/>
        </w:rPr>
        <w:t xml:space="preserve">domestic public </w:t>
      </w:r>
      <w:r w:rsidR="00797847">
        <w:rPr>
          <w:color w:val="000000"/>
        </w:rPr>
        <w:t>debt reached Ghs 28 billion (25.3</w:t>
      </w:r>
      <w:r w:rsidR="00886692">
        <w:rPr>
          <w:color w:val="000000"/>
        </w:rPr>
        <w:t xml:space="preserve"> </w:t>
      </w:r>
      <w:r w:rsidR="00D709F1">
        <w:rPr>
          <w:color w:val="000000"/>
        </w:rPr>
        <w:t xml:space="preserve">percent of GDP). </w:t>
      </w:r>
    </w:p>
    <w:p w:rsidR="00D709F1" w:rsidRDefault="00D709F1" w:rsidP="00D709F1">
      <w:pPr>
        <w:spacing w:after="200" w:line="264" w:lineRule="auto"/>
        <w:rPr>
          <w:color w:val="000000"/>
        </w:rPr>
      </w:pPr>
      <w:r>
        <w:rPr>
          <w:color w:val="000000"/>
        </w:rPr>
        <w:t xml:space="preserve">Most of </w:t>
      </w:r>
      <w:r w:rsidR="00AA6E34">
        <w:rPr>
          <w:color w:val="000000"/>
        </w:rPr>
        <w:t xml:space="preserve">domestic debt </w:t>
      </w:r>
      <w:r w:rsidR="00B73F1D">
        <w:rPr>
          <w:color w:val="000000"/>
        </w:rPr>
        <w:t>issuance</w:t>
      </w:r>
      <w:r>
        <w:rPr>
          <w:color w:val="000000"/>
        </w:rPr>
        <w:t xml:space="preserve"> </w:t>
      </w:r>
      <w:r w:rsidR="00BC487C">
        <w:rPr>
          <w:color w:val="000000"/>
        </w:rPr>
        <w:t>over the last twelve months</w:t>
      </w:r>
      <w:r>
        <w:rPr>
          <w:color w:val="000000"/>
        </w:rPr>
        <w:t xml:space="preserve"> </w:t>
      </w:r>
      <w:r w:rsidR="00AA6E34">
        <w:rPr>
          <w:color w:val="000000"/>
        </w:rPr>
        <w:t>has been of</w:t>
      </w:r>
      <w:r w:rsidR="00BF3998">
        <w:rPr>
          <w:color w:val="000000"/>
        </w:rPr>
        <w:t xml:space="preserve"> short-term maturity</w:t>
      </w:r>
      <w:r w:rsidR="00D901F1">
        <w:rPr>
          <w:color w:val="000000"/>
        </w:rPr>
        <w:t>—maturity with less than one year.</w:t>
      </w:r>
      <w:r>
        <w:rPr>
          <w:color w:val="000000"/>
        </w:rPr>
        <w:t xml:space="preserve"> The share of short-term instruments in total domestic public debt increased to 36.2 percent </w:t>
      </w:r>
      <w:r w:rsidR="00BC487C">
        <w:rPr>
          <w:color w:val="000000"/>
        </w:rPr>
        <w:t xml:space="preserve">in July 2014 </w:t>
      </w:r>
      <w:r>
        <w:rPr>
          <w:color w:val="000000"/>
        </w:rPr>
        <w:t xml:space="preserve">from </w:t>
      </w:r>
      <w:r w:rsidR="00BC487C">
        <w:rPr>
          <w:color w:val="000000"/>
        </w:rPr>
        <w:t>27.5 percent in July 2013 while the m</w:t>
      </w:r>
      <w:r>
        <w:rPr>
          <w:color w:val="000000"/>
        </w:rPr>
        <w:t xml:space="preserve">edium term </w:t>
      </w:r>
      <w:r>
        <w:rPr>
          <w:color w:val="000000"/>
        </w:rPr>
        <w:lastRenderedPageBreak/>
        <w:t xml:space="preserve">instruments </w:t>
      </w:r>
      <w:r w:rsidR="008E7824">
        <w:rPr>
          <w:color w:val="000000"/>
        </w:rPr>
        <w:t>still account for</w:t>
      </w:r>
      <w:r>
        <w:rPr>
          <w:color w:val="000000"/>
        </w:rPr>
        <w:t xml:space="preserve"> </w:t>
      </w:r>
      <w:r w:rsidR="00BC487C">
        <w:rPr>
          <w:color w:val="000000"/>
        </w:rPr>
        <w:t xml:space="preserve">the largest share </w:t>
      </w:r>
      <w:r>
        <w:rPr>
          <w:color w:val="000000"/>
        </w:rPr>
        <w:t>(</w:t>
      </w:r>
      <w:r w:rsidR="008E7824">
        <w:rPr>
          <w:color w:val="000000"/>
        </w:rPr>
        <w:t>t</w:t>
      </w:r>
      <w:r>
        <w:rPr>
          <w:color w:val="000000"/>
        </w:rPr>
        <w:t xml:space="preserve">able </w:t>
      </w:r>
      <w:r w:rsidR="00BC487C">
        <w:rPr>
          <w:color w:val="000000"/>
        </w:rPr>
        <w:t>3</w:t>
      </w:r>
      <w:r>
        <w:rPr>
          <w:color w:val="000000"/>
        </w:rPr>
        <w:t>)</w:t>
      </w:r>
      <w:r w:rsidR="008E7824">
        <w:rPr>
          <w:color w:val="000000"/>
        </w:rPr>
        <w:t>.</w:t>
      </w:r>
    </w:p>
    <w:p w:rsidR="00207342" w:rsidRDefault="00B57C33" w:rsidP="0069703F">
      <w:pPr>
        <w:spacing w:after="200" w:line="264" w:lineRule="auto"/>
        <w:rPr>
          <w:b/>
          <w:sz w:val="18"/>
          <w:szCs w:val="18"/>
        </w:rPr>
      </w:pPr>
      <w:r w:rsidRPr="00711963">
        <w:rPr>
          <w:color w:val="000000"/>
        </w:rPr>
        <w:t>The domestic financing of the deficit is possible due to the Bank of Ghana’s (BoG) accommodative credit policy as it has expanded net credit to the government and to public enterprises.</w:t>
      </w:r>
    </w:p>
    <w:p w:rsidR="00B57C33" w:rsidRPr="00A3199E" w:rsidRDefault="00B57C33" w:rsidP="00B57C33">
      <w:pPr>
        <w:pStyle w:val="Caption"/>
        <w:spacing w:line="264" w:lineRule="auto"/>
        <w:rPr>
          <w:color w:val="000000" w:themeColor="text1"/>
        </w:rPr>
      </w:pPr>
      <w:r w:rsidRPr="00A3199E">
        <w:rPr>
          <w:color w:val="000000" w:themeColor="text1"/>
        </w:rPr>
        <w:t xml:space="preserve">   </w:t>
      </w:r>
      <w:bookmarkStart w:id="17" w:name="_Toc382553969"/>
      <w:r w:rsidRPr="00A3199E">
        <w:rPr>
          <w:color w:val="000000" w:themeColor="text1"/>
        </w:rPr>
        <w:t xml:space="preserve">Table </w:t>
      </w:r>
      <w:r w:rsidR="00BC487C" w:rsidRPr="00A3199E">
        <w:rPr>
          <w:color w:val="000000" w:themeColor="text1"/>
        </w:rPr>
        <w:t>3</w:t>
      </w:r>
      <w:r w:rsidRPr="00A3199E">
        <w:rPr>
          <w:color w:val="000000" w:themeColor="text1"/>
        </w:rPr>
        <w:t xml:space="preserve">: Domestic debt </w:t>
      </w:r>
      <w:r w:rsidR="00D901F1" w:rsidRPr="00A3199E">
        <w:rPr>
          <w:color w:val="000000" w:themeColor="text1"/>
        </w:rPr>
        <w:t xml:space="preserve">stock </w:t>
      </w:r>
      <w:r w:rsidRPr="00A3199E">
        <w:rPr>
          <w:color w:val="000000" w:themeColor="text1"/>
        </w:rPr>
        <w:t>composition by maturity, (</w:t>
      </w:r>
      <w:r w:rsidR="003B342F" w:rsidRPr="00A3199E">
        <w:rPr>
          <w:color w:val="000000" w:themeColor="text1"/>
        </w:rPr>
        <w:t>percent</w:t>
      </w:r>
      <w:r w:rsidRPr="00A3199E">
        <w:rPr>
          <w:color w:val="000000" w:themeColor="text1"/>
        </w:rPr>
        <w:t xml:space="preserve"> of total)</w:t>
      </w:r>
      <w:bookmarkEnd w:id="17"/>
    </w:p>
    <w:p w:rsidR="0075139E" w:rsidRPr="0075139E" w:rsidRDefault="0075139E" w:rsidP="0075139E">
      <w:r w:rsidRPr="0075139E">
        <w:rPr>
          <w:noProof/>
        </w:rPr>
        <w:drawing>
          <wp:inline distT="0" distB="0" distL="0" distR="0" wp14:anchorId="47D36642" wp14:editId="1406DA6E">
            <wp:extent cx="2860243" cy="797357"/>
            <wp:effectExtent l="0" t="0" r="0" b="31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0242" cy="797357"/>
                    </a:xfrm>
                    <a:prstGeom prst="rect">
                      <a:avLst/>
                    </a:prstGeom>
                    <a:noFill/>
                    <a:ln>
                      <a:noFill/>
                    </a:ln>
                  </pic:spPr>
                </pic:pic>
              </a:graphicData>
            </a:graphic>
          </wp:inline>
        </w:drawing>
      </w:r>
    </w:p>
    <w:p w:rsidR="00B57C33" w:rsidRPr="00A3199E" w:rsidRDefault="00B57C33" w:rsidP="00A3199E">
      <w:pPr>
        <w:spacing w:line="264" w:lineRule="auto"/>
        <w:rPr>
          <w:i/>
          <w:sz w:val="18"/>
          <w:szCs w:val="18"/>
        </w:rPr>
      </w:pPr>
      <w:r w:rsidRPr="00672996">
        <w:rPr>
          <w:b/>
          <w:sz w:val="18"/>
          <w:szCs w:val="18"/>
        </w:rPr>
        <w:t xml:space="preserve">    </w:t>
      </w:r>
      <w:r w:rsidRPr="00A3199E">
        <w:rPr>
          <w:i/>
          <w:sz w:val="18"/>
          <w:szCs w:val="18"/>
        </w:rPr>
        <w:t>Source: Bank of Ghana</w:t>
      </w:r>
    </w:p>
    <w:p w:rsidR="00BF7335" w:rsidRDefault="00BF7335" w:rsidP="0051354A">
      <w:pPr>
        <w:pStyle w:val="Caption"/>
        <w:spacing w:line="264" w:lineRule="auto"/>
        <w:rPr>
          <w:color w:val="000000" w:themeColor="text1"/>
        </w:rPr>
      </w:pPr>
      <w:bookmarkStart w:id="18" w:name="_Toc382553970"/>
    </w:p>
    <w:p w:rsidR="009772C7" w:rsidRPr="00064B1D" w:rsidRDefault="0040370E" w:rsidP="0051354A">
      <w:pPr>
        <w:pStyle w:val="Caption"/>
        <w:spacing w:line="264" w:lineRule="auto"/>
        <w:rPr>
          <w:color w:val="000000" w:themeColor="text1"/>
        </w:rPr>
      </w:pPr>
      <w:r w:rsidRPr="00064B1D">
        <w:rPr>
          <w:color w:val="000000" w:themeColor="text1"/>
        </w:rPr>
        <w:t xml:space="preserve">Table </w:t>
      </w:r>
      <w:r w:rsidR="009E6983" w:rsidRPr="00064B1D">
        <w:rPr>
          <w:color w:val="000000" w:themeColor="text1"/>
        </w:rPr>
        <w:t>4</w:t>
      </w:r>
      <w:r w:rsidRPr="00064B1D">
        <w:rPr>
          <w:color w:val="000000" w:themeColor="text1"/>
        </w:rPr>
        <w:t>: Domestic debt composition by holders,</w:t>
      </w:r>
    </w:p>
    <w:p w:rsidR="0040370E" w:rsidRPr="00064B1D" w:rsidRDefault="0040370E" w:rsidP="0051354A">
      <w:pPr>
        <w:pStyle w:val="Caption"/>
        <w:spacing w:line="264" w:lineRule="auto"/>
        <w:rPr>
          <w:color w:val="000000" w:themeColor="text1"/>
        </w:rPr>
      </w:pPr>
      <w:r w:rsidRPr="00064B1D">
        <w:rPr>
          <w:color w:val="000000" w:themeColor="text1"/>
        </w:rPr>
        <w:t>(</w:t>
      </w:r>
      <w:r w:rsidR="0075139E" w:rsidRPr="00064B1D">
        <w:rPr>
          <w:color w:val="000000" w:themeColor="text1"/>
        </w:rPr>
        <w:t>Percent</w:t>
      </w:r>
      <w:r w:rsidR="00481D9F" w:rsidRPr="00064B1D">
        <w:rPr>
          <w:color w:val="000000" w:themeColor="text1"/>
        </w:rPr>
        <w:t xml:space="preserve"> </w:t>
      </w:r>
      <w:r w:rsidRPr="00064B1D">
        <w:rPr>
          <w:color w:val="000000" w:themeColor="text1"/>
        </w:rPr>
        <w:t>of total)</w:t>
      </w:r>
      <w:bookmarkEnd w:id="18"/>
      <w:r w:rsidRPr="00064B1D">
        <w:rPr>
          <w:color w:val="000000" w:themeColor="text1"/>
        </w:rPr>
        <w:t xml:space="preserve"> </w:t>
      </w:r>
    </w:p>
    <w:p w:rsidR="0075139E" w:rsidRPr="0075139E" w:rsidRDefault="0075139E" w:rsidP="0075139E">
      <w:r w:rsidRPr="0075139E">
        <w:rPr>
          <w:noProof/>
        </w:rPr>
        <w:drawing>
          <wp:inline distT="0" distB="0" distL="0" distR="0" wp14:anchorId="65F66961" wp14:editId="393589A7">
            <wp:extent cx="2860243" cy="2435962"/>
            <wp:effectExtent l="0" t="0" r="0" b="254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3215" cy="2438493"/>
                    </a:xfrm>
                    <a:prstGeom prst="rect">
                      <a:avLst/>
                    </a:prstGeom>
                    <a:noFill/>
                    <a:ln>
                      <a:noFill/>
                    </a:ln>
                  </pic:spPr>
                </pic:pic>
              </a:graphicData>
            </a:graphic>
          </wp:inline>
        </w:drawing>
      </w:r>
    </w:p>
    <w:p w:rsidR="0040370E" w:rsidRPr="008D0A90" w:rsidRDefault="0040370E" w:rsidP="00672996">
      <w:pPr>
        <w:rPr>
          <w:i/>
          <w:sz w:val="18"/>
          <w:szCs w:val="18"/>
        </w:rPr>
      </w:pPr>
      <w:r w:rsidRPr="008D0A90">
        <w:rPr>
          <w:i/>
          <w:sz w:val="18"/>
          <w:szCs w:val="18"/>
        </w:rPr>
        <w:t xml:space="preserve">Source: Bank of Ghana </w:t>
      </w:r>
    </w:p>
    <w:p w:rsidR="00A80457" w:rsidRDefault="00A80457" w:rsidP="00E907D1">
      <w:pPr>
        <w:rPr>
          <w:b/>
          <w:sz w:val="8"/>
          <w:szCs w:val="8"/>
        </w:rPr>
      </w:pPr>
    </w:p>
    <w:p w:rsidR="00EB6D38" w:rsidRDefault="00EB6D38" w:rsidP="00E907D1">
      <w:pPr>
        <w:rPr>
          <w:b/>
          <w:sz w:val="8"/>
          <w:szCs w:val="8"/>
        </w:rPr>
      </w:pPr>
    </w:p>
    <w:p w:rsidR="00EB6D38" w:rsidRDefault="00EB6D38" w:rsidP="00E907D1">
      <w:pPr>
        <w:rPr>
          <w:b/>
          <w:sz w:val="8"/>
          <w:szCs w:val="8"/>
        </w:rPr>
      </w:pPr>
    </w:p>
    <w:p w:rsidR="00EB6D38" w:rsidRDefault="00EB6D38" w:rsidP="00E907D1">
      <w:pPr>
        <w:rPr>
          <w:b/>
          <w:sz w:val="8"/>
          <w:szCs w:val="8"/>
        </w:rPr>
      </w:pPr>
    </w:p>
    <w:p w:rsidR="00EB6D38" w:rsidRDefault="00EB6D38" w:rsidP="00EB6D38">
      <w:pPr>
        <w:spacing w:after="200" w:line="264" w:lineRule="auto"/>
        <w:rPr>
          <w:color w:val="000000"/>
        </w:rPr>
      </w:pPr>
      <w:r>
        <w:rPr>
          <w:color w:val="000000"/>
        </w:rPr>
        <w:t>Nevertheless, majority of the debt stock as of July 2014 is still with medium-term maturity</w:t>
      </w:r>
      <w:r w:rsidR="00B73F1D">
        <w:rPr>
          <w:color w:val="000000"/>
        </w:rPr>
        <w:t xml:space="preserve"> together with the Eurobond</w:t>
      </w:r>
      <w:r w:rsidR="00F97E3C">
        <w:rPr>
          <w:color w:val="000000"/>
        </w:rPr>
        <w:t>;</w:t>
      </w:r>
      <w:r>
        <w:rPr>
          <w:color w:val="000000"/>
        </w:rPr>
        <w:t xml:space="preserve"> 91-day treasury bills (22.8 percent), followed by </w:t>
      </w:r>
      <w:r w:rsidRPr="009406EE">
        <w:rPr>
          <w:color w:val="000000"/>
        </w:rPr>
        <w:t>3-Year Fixed Treasury note</w:t>
      </w:r>
      <w:r>
        <w:rPr>
          <w:color w:val="000000"/>
        </w:rPr>
        <w:t xml:space="preserve"> (17.3 percent), </w:t>
      </w:r>
      <w:r w:rsidRPr="009406EE">
        <w:rPr>
          <w:color w:val="000000"/>
        </w:rPr>
        <w:t>Long Term Government Stocks</w:t>
      </w:r>
      <w:r>
        <w:rPr>
          <w:color w:val="000000"/>
        </w:rPr>
        <w:t xml:space="preserve"> (17.2 percent) and the rest (42.7 percent) spread on other instruments. </w:t>
      </w:r>
    </w:p>
    <w:p w:rsidR="00EB6D38" w:rsidRDefault="00EB6D38" w:rsidP="00EB6D38">
      <w:pPr>
        <w:spacing w:after="200" w:line="264" w:lineRule="auto"/>
        <w:rPr>
          <w:color w:val="000000"/>
        </w:rPr>
      </w:pPr>
      <w:r>
        <w:rPr>
          <w:color w:val="000000"/>
        </w:rPr>
        <w:t xml:space="preserve">The banking sector held 52.2 percent of the government domestic debt of which the central </w:t>
      </w:r>
      <w:r>
        <w:rPr>
          <w:color w:val="000000"/>
        </w:rPr>
        <w:lastRenderedPageBreak/>
        <w:t>bank held 24.1 percent of the total domestic debt issued by July 2014. (Table 3)</w:t>
      </w:r>
    </w:p>
    <w:p w:rsidR="009B2591" w:rsidRPr="008D0A90" w:rsidRDefault="00EB6D38" w:rsidP="009B2591">
      <w:pPr>
        <w:pStyle w:val="Caption"/>
        <w:rPr>
          <w:color w:val="000000" w:themeColor="text1"/>
        </w:rPr>
      </w:pPr>
      <w:r>
        <w:rPr>
          <w:color w:val="000000" w:themeColor="text1"/>
        </w:rPr>
        <w:t>F</w:t>
      </w:r>
      <w:r w:rsidR="009B2591" w:rsidRPr="008D0A90">
        <w:rPr>
          <w:color w:val="000000" w:themeColor="text1"/>
        </w:rPr>
        <w:t xml:space="preserve">igure </w:t>
      </w:r>
      <w:r w:rsidR="009A0E7A">
        <w:rPr>
          <w:color w:val="000000" w:themeColor="text1"/>
        </w:rPr>
        <w:t>5</w:t>
      </w:r>
      <w:r w:rsidR="009B2591" w:rsidRPr="008D0A90">
        <w:rPr>
          <w:color w:val="000000" w:themeColor="text1"/>
        </w:rPr>
        <w:t>: 91-day and 182 day Treasury Bills (2014)</w:t>
      </w:r>
    </w:p>
    <w:p w:rsidR="009B11E3" w:rsidRDefault="009B11E3" w:rsidP="008405CD">
      <w:pPr>
        <w:spacing w:line="264" w:lineRule="auto"/>
        <w:rPr>
          <w:color w:val="000000"/>
        </w:rPr>
      </w:pPr>
      <w:r>
        <w:rPr>
          <w:noProof/>
          <w:color w:val="000000"/>
        </w:rPr>
        <w:drawing>
          <wp:inline distT="0" distB="0" distL="0" distR="0" wp14:anchorId="55EE9638" wp14:editId="3D05D848">
            <wp:extent cx="2867558" cy="2282343"/>
            <wp:effectExtent l="0" t="0" r="952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8771" cy="2283308"/>
                    </a:xfrm>
                    <a:prstGeom prst="rect">
                      <a:avLst/>
                    </a:prstGeom>
                    <a:noFill/>
                  </pic:spPr>
                </pic:pic>
              </a:graphicData>
            </a:graphic>
          </wp:inline>
        </w:drawing>
      </w:r>
    </w:p>
    <w:p w:rsidR="009B2591" w:rsidRPr="008D0A90" w:rsidRDefault="009B2591" w:rsidP="008405CD">
      <w:pPr>
        <w:rPr>
          <w:i/>
          <w:sz w:val="18"/>
          <w:szCs w:val="18"/>
        </w:rPr>
      </w:pPr>
      <w:r w:rsidRPr="008D0A90">
        <w:rPr>
          <w:i/>
          <w:sz w:val="18"/>
          <w:szCs w:val="18"/>
        </w:rPr>
        <w:t xml:space="preserve">Source: Bank of Ghana </w:t>
      </w:r>
    </w:p>
    <w:p w:rsidR="00430F0A" w:rsidRDefault="00430F0A" w:rsidP="006A2A4F">
      <w:pPr>
        <w:spacing w:after="200" w:line="264" w:lineRule="auto"/>
      </w:pPr>
    </w:p>
    <w:p w:rsidR="006A2A4F" w:rsidRPr="006A2A4F" w:rsidRDefault="006A2A4F" w:rsidP="006A2A4F">
      <w:pPr>
        <w:spacing w:after="200" w:line="264" w:lineRule="auto"/>
      </w:pPr>
      <w:r w:rsidRPr="006A2A4F">
        <w:t xml:space="preserve">Domestic treasury issues increased to Ghs25.5 billion in September2014 from Ghs19.3billion during the same period last year. Government increased its issues this year in accordance with rising fiscal commitments. (Figure </w:t>
      </w:r>
      <w:r w:rsidR="006A0D1B">
        <w:t>6</w:t>
      </w:r>
      <w:r w:rsidRPr="006A2A4F">
        <w:t>)</w:t>
      </w:r>
    </w:p>
    <w:p w:rsidR="006A2A4F" w:rsidRPr="00851E69" w:rsidRDefault="006A2A4F" w:rsidP="006A2A4F">
      <w:pPr>
        <w:pStyle w:val="Caption"/>
        <w:spacing w:line="264" w:lineRule="auto"/>
        <w:rPr>
          <w:noProof/>
          <w:color w:val="auto"/>
        </w:rPr>
      </w:pPr>
      <w:r w:rsidRPr="006A2A4F">
        <w:rPr>
          <w:color w:val="auto"/>
        </w:rPr>
        <w:t xml:space="preserve">Figure </w:t>
      </w:r>
      <w:r w:rsidR="006A0D1B">
        <w:rPr>
          <w:color w:val="auto"/>
        </w:rPr>
        <w:t>6</w:t>
      </w:r>
      <w:r w:rsidRPr="006A2A4F">
        <w:rPr>
          <w:color w:val="auto"/>
        </w:rPr>
        <w:t>: Government of Ghana Domestic Treasury Issues, 2012-14 (Million Ghana Cedis per week)</w:t>
      </w:r>
      <w:r w:rsidRPr="00851E69">
        <w:rPr>
          <w:color w:val="auto"/>
        </w:rPr>
        <w:t xml:space="preserve"> </w:t>
      </w:r>
    </w:p>
    <w:p w:rsidR="006A2A4F" w:rsidRPr="00F3264D" w:rsidRDefault="006A2A4F" w:rsidP="006A2A4F">
      <w:pPr>
        <w:jc w:val="center"/>
      </w:pPr>
      <w:r>
        <w:rPr>
          <w:noProof/>
        </w:rPr>
        <w:drawing>
          <wp:inline distT="0" distB="0" distL="0" distR="0" wp14:anchorId="24471840" wp14:editId="567A1DC6">
            <wp:extent cx="2801721" cy="214335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9440" cy="2149258"/>
                    </a:xfrm>
                    <a:prstGeom prst="rect">
                      <a:avLst/>
                    </a:prstGeom>
                    <a:noFill/>
                  </pic:spPr>
                </pic:pic>
              </a:graphicData>
            </a:graphic>
          </wp:inline>
        </w:drawing>
      </w:r>
    </w:p>
    <w:p w:rsidR="006A2A4F" w:rsidRPr="00851E69" w:rsidRDefault="006A2A4F" w:rsidP="006A2A4F">
      <w:pPr>
        <w:spacing w:after="200" w:line="264" w:lineRule="auto"/>
        <w:rPr>
          <w:i/>
          <w:sz w:val="18"/>
          <w:szCs w:val="18"/>
        </w:rPr>
      </w:pPr>
      <w:r w:rsidRPr="00851E69">
        <w:rPr>
          <w:i/>
          <w:sz w:val="18"/>
          <w:szCs w:val="18"/>
        </w:rPr>
        <w:t>Source: Bank of Ghana</w:t>
      </w:r>
    </w:p>
    <w:p w:rsidR="00AD1EEE" w:rsidRDefault="009B2591" w:rsidP="009406EE">
      <w:pPr>
        <w:spacing w:after="200" w:line="264" w:lineRule="auto"/>
        <w:rPr>
          <w:color w:val="000000"/>
        </w:rPr>
      </w:pPr>
      <w:r>
        <w:rPr>
          <w:color w:val="000000"/>
        </w:rPr>
        <w:t>On the international front,</w:t>
      </w:r>
      <w:r w:rsidR="00AD1EEE">
        <w:rPr>
          <w:color w:val="000000"/>
        </w:rPr>
        <w:t xml:space="preserve"> </w:t>
      </w:r>
      <w:r w:rsidR="00AD1EEE" w:rsidRPr="00AD1EEE">
        <w:rPr>
          <w:color w:val="000000"/>
        </w:rPr>
        <w:t xml:space="preserve">Ghana issued its third Eurobond in September 2014 valued at $1 billion maturing in 2024. The yield was 8.25 percent </w:t>
      </w:r>
      <w:r w:rsidR="00B23BCB">
        <w:rPr>
          <w:color w:val="000000"/>
        </w:rPr>
        <w:t xml:space="preserve">slightly </w:t>
      </w:r>
      <w:r w:rsidR="00AD1EEE" w:rsidRPr="00AD1EEE">
        <w:rPr>
          <w:color w:val="000000"/>
        </w:rPr>
        <w:t xml:space="preserve">lower than 8.5 percent that Ghana paid last August and Zambia paid </w:t>
      </w:r>
      <w:r w:rsidR="00B73F1D">
        <w:rPr>
          <w:color w:val="000000"/>
        </w:rPr>
        <w:t xml:space="preserve">in </w:t>
      </w:r>
      <w:r w:rsidR="00AD1EEE" w:rsidRPr="00AD1EEE">
        <w:rPr>
          <w:color w:val="000000"/>
        </w:rPr>
        <w:t xml:space="preserve">April 2014 for a </w:t>
      </w:r>
      <w:r w:rsidR="00AD1EEE" w:rsidRPr="00AD1EEE">
        <w:rPr>
          <w:color w:val="000000"/>
        </w:rPr>
        <w:lastRenderedPageBreak/>
        <w:t>similar bond</w:t>
      </w:r>
      <w:r w:rsidR="00B73F1D">
        <w:rPr>
          <w:color w:val="000000"/>
        </w:rPr>
        <w:t xml:space="preserve"> mainly due to the fall in US 10-year Treasury bond yield</w:t>
      </w:r>
      <w:r w:rsidR="00AD1EEE" w:rsidRPr="00AD1EEE">
        <w:rPr>
          <w:color w:val="000000"/>
        </w:rPr>
        <w:t>.</w:t>
      </w:r>
      <w:r w:rsidR="00B23BCB">
        <w:rPr>
          <w:color w:val="000000"/>
        </w:rPr>
        <w:t xml:space="preserve"> That said the yield was much higher than the </w:t>
      </w:r>
      <w:r w:rsidR="00B23BCB" w:rsidRPr="00C233BD">
        <w:rPr>
          <w:color w:val="000000"/>
        </w:rPr>
        <w:t>5.375 percent</w:t>
      </w:r>
      <w:r w:rsidR="00B23BCB">
        <w:rPr>
          <w:color w:val="000000"/>
        </w:rPr>
        <w:t xml:space="preserve"> for the 10-year Eurobond for $500 million </w:t>
      </w:r>
      <w:r w:rsidR="005F5B8C">
        <w:rPr>
          <w:color w:val="000000"/>
        </w:rPr>
        <w:t xml:space="preserve">that Ivory Coast issued in July </w:t>
      </w:r>
      <w:r w:rsidR="00B23BCB">
        <w:rPr>
          <w:color w:val="000000"/>
        </w:rPr>
        <w:t>even after it</w:t>
      </w:r>
      <w:r w:rsidR="00C233BD" w:rsidRPr="00C233BD">
        <w:rPr>
          <w:color w:val="000000"/>
        </w:rPr>
        <w:t xml:space="preserve"> </w:t>
      </w:r>
      <w:r w:rsidR="00B23BCB">
        <w:rPr>
          <w:color w:val="000000"/>
        </w:rPr>
        <w:t>missed</w:t>
      </w:r>
      <w:r w:rsidR="00C233BD" w:rsidRPr="00C233BD">
        <w:rPr>
          <w:color w:val="000000"/>
        </w:rPr>
        <w:t xml:space="preserve"> a coupon payment in December 2010. </w:t>
      </w:r>
    </w:p>
    <w:p w:rsidR="00EE5BD3" w:rsidRDefault="005C5802" w:rsidP="009406EE">
      <w:pPr>
        <w:spacing w:after="200" w:line="264" w:lineRule="auto"/>
        <w:rPr>
          <w:color w:val="000000"/>
        </w:rPr>
      </w:pPr>
      <w:r>
        <w:rPr>
          <w:color w:val="000000"/>
        </w:rPr>
        <w:t xml:space="preserve">The spread on Ghana’s </w:t>
      </w:r>
      <w:r w:rsidR="00107A5C" w:rsidRPr="00107A5C">
        <w:rPr>
          <w:color w:val="000000"/>
        </w:rPr>
        <w:t>Eurobond maturing in 2017 ha</w:t>
      </w:r>
      <w:r>
        <w:rPr>
          <w:color w:val="000000"/>
        </w:rPr>
        <w:t>s narrowed since the announcement of possible IMF program in early September</w:t>
      </w:r>
      <w:r w:rsidR="009C1CBD">
        <w:rPr>
          <w:color w:val="000000"/>
        </w:rPr>
        <w:t xml:space="preserve">. Nevertheless </w:t>
      </w:r>
      <w:r>
        <w:rPr>
          <w:color w:val="000000"/>
        </w:rPr>
        <w:t xml:space="preserve">Ghana still has to pay a premium over </w:t>
      </w:r>
      <w:r w:rsidR="007446B8">
        <w:rPr>
          <w:color w:val="000000"/>
        </w:rPr>
        <w:t xml:space="preserve">the sovereign bonds </w:t>
      </w:r>
      <w:r w:rsidR="009C1CBD">
        <w:rPr>
          <w:color w:val="000000"/>
        </w:rPr>
        <w:t>of</w:t>
      </w:r>
      <w:r w:rsidR="007446B8">
        <w:rPr>
          <w:color w:val="000000"/>
        </w:rPr>
        <w:t xml:space="preserve"> </w:t>
      </w:r>
      <w:r w:rsidR="00733C23">
        <w:rPr>
          <w:color w:val="000000"/>
        </w:rPr>
        <w:t xml:space="preserve">Kenya, </w:t>
      </w:r>
      <w:r w:rsidR="00C62B4B">
        <w:rPr>
          <w:color w:val="000000"/>
        </w:rPr>
        <w:t>Zambia and Tanzania</w:t>
      </w:r>
      <w:r w:rsidR="00733C23">
        <w:rPr>
          <w:color w:val="000000"/>
        </w:rPr>
        <w:t xml:space="preserve"> in the order of 100-150 basis points</w:t>
      </w:r>
      <w:r w:rsidR="00AE4658">
        <w:rPr>
          <w:color w:val="000000"/>
        </w:rPr>
        <w:t xml:space="preserve"> </w:t>
      </w:r>
      <w:r w:rsidR="00D6528E">
        <w:rPr>
          <w:color w:val="000000"/>
        </w:rPr>
        <w:t xml:space="preserve">(figure </w:t>
      </w:r>
      <w:r w:rsidR="006A0D1B">
        <w:rPr>
          <w:color w:val="000000"/>
        </w:rPr>
        <w:t>7</w:t>
      </w:r>
      <w:r w:rsidR="00D6528E">
        <w:rPr>
          <w:color w:val="000000"/>
        </w:rPr>
        <w:t>)</w:t>
      </w:r>
      <w:r w:rsidR="00AE4658">
        <w:rPr>
          <w:color w:val="000000"/>
        </w:rPr>
        <w:t xml:space="preserve">. </w:t>
      </w:r>
    </w:p>
    <w:p w:rsidR="00AE4658" w:rsidRDefault="00AE4658" w:rsidP="00AE4658">
      <w:pPr>
        <w:pStyle w:val="Caption"/>
        <w:rPr>
          <w:color w:val="000000" w:themeColor="text1"/>
        </w:rPr>
      </w:pPr>
      <w:r w:rsidRPr="008D0A90">
        <w:rPr>
          <w:color w:val="000000" w:themeColor="text1"/>
        </w:rPr>
        <w:t xml:space="preserve">Figure </w:t>
      </w:r>
      <w:r w:rsidR="006A0D1B">
        <w:rPr>
          <w:color w:val="000000" w:themeColor="text1"/>
        </w:rPr>
        <w:t>7</w:t>
      </w:r>
      <w:r w:rsidR="00F51CE6" w:rsidRPr="008D0A90">
        <w:rPr>
          <w:color w:val="000000" w:themeColor="text1"/>
        </w:rPr>
        <w:t xml:space="preserve">: </w:t>
      </w:r>
      <w:r w:rsidR="009A0E7A">
        <w:rPr>
          <w:color w:val="000000" w:themeColor="text1"/>
        </w:rPr>
        <w:t>Difference</w:t>
      </w:r>
      <w:r w:rsidR="00F51CE6" w:rsidRPr="008D0A90">
        <w:rPr>
          <w:color w:val="000000" w:themeColor="text1"/>
        </w:rPr>
        <w:t xml:space="preserve"> between </w:t>
      </w:r>
      <w:r w:rsidR="00326F87" w:rsidRPr="008D0A90">
        <w:rPr>
          <w:color w:val="000000" w:themeColor="text1"/>
        </w:rPr>
        <w:t>bond-</w:t>
      </w:r>
      <w:r w:rsidR="00F51CE6" w:rsidRPr="008D0A90">
        <w:rPr>
          <w:color w:val="000000" w:themeColor="text1"/>
        </w:rPr>
        <w:t xml:space="preserve">spreads of Ghana, </w:t>
      </w:r>
      <w:r w:rsidR="009A0E7A">
        <w:rPr>
          <w:color w:val="000000" w:themeColor="text1"/>
        </w:rPr>
        <w:t xml:space="preserve">Kenya, </w:t>
      </w:r>
      <w:r w:rsidR="00F51CE6" w:rsidRPr="008D0A90">
        <w:rPr>
          <w:color w:val="000000" w:themeColor="text1"/>
        </w:rPr>
        <w:t>Tanzania</w:t>
      </w:r>
      <w:r w:rsidR="009A0E7A">
        <w:rPr>
          <w:color w:val="000000" w:themeColor="text1"/>
        </w:rPr>
        <w:t xml:space="preserve"> and Zambia</w:t>
      </w:r>
      <w:r w:rsidR="009A0E7A">
        <w:rPr>
          <w:noProof/>
          <w:color w:val="000000" w:themeColor="text1"/>
        </w:rPr>
        <w:drawing>
          <wp:inline distT="0" distB="0" distL="0" distR="0" wp14:anchorId="25D51C8F" wp14:editId="7BB55570">
            <wp:extent cx="2955341" cy="1784909"/>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6692" cy="1785725"/>
                    </a:xfrm>
                    <a:prstGeom prst="rect">
                      <a:avLst/>
                    </a:prstGeom>
                    <a:noFill/>
                  </pic:spPr>
                </pic:pic>
              </a:graphicData>
            </a:graphic>
          </wp:inline>
        </w:drawing>
      </w:r>
    </w:p>
    <w:p w:rsidR="00F843A8" w:rsidRPr="00FD5F9A" w:rsidRDefault="00FD5F9A" w:rsidP="00F843A8">
      <w:pPr>
        <w:rPr>
          <w:i/>
          <w:sz w:val="18"/>
          <w:szCs w:val="18"/>
        </w:rPr>
      </w:pPr>
      <w:r w:rsidRPr="00FD5F9A">
        <w:rPr>
          <w:i/>
          <w:sz w:val="18"/>
          <w:szCs w:val="18"/>
        </w:rPr>
        <w:t xml:space="preserve">Source: </w:t>
      </w:r>
      <w:r w:rsidR="00C573DD">
        <w:rPr>
          <w:i/>
          <w:sz w:val="18"/>
          <w:szCs w:val="18"/>
        </w:rPr>
        <w:t>J.P. Morgan</w:t>
      </w:r>
    </w:p>
    <w:p w:rsidR="00F843A8" w:rsidRDefault="00F843A8" w:rsidP="00F843A8"/>
    <w:p w:rsidR="00207342" w:rsidRPr="00D6528E" w:rsidRDefault="00207342" w:rsidP="00D6528E">
      <w:pPr>
        <w:pStyle w:val="Heading1"/>
        <w:numPr>
          <w:ilvl w:val="0"/>
          <w:numId w:val="7"/>
        </w:numPr>
        <w:spacing w:before="0" w:after="120" w:line="264" w:lineRule="auto"/>
        <w:rPr>
          <w:rStyle w:val="Strong"/>
          <w:b/>
          <w:i/>
          <w:color w:val="002060"/>
          <w:lang w:val="en-US"/>
        </w:rPr>
      </w:pPr>
      <w:bookmarkStart w:id="19" w:name="_Toc301346647"/>
      <w:bookmarkStart w:id="20" w:name="_Toc399919637"/>
      <w:r w:rsidRPr="00D6528E">
        <w:rPr>
          <w:rStyle w:val="Strong"/>
          <w:b/>
          <w:i/>
          <w:color w:val="002060"/>
        </w:rPr>
        <w:t>Money and Prices</w:t>
      </w:r>
      <w:bookmarkEnd w:id="19"/>
      <w:bookmarkEnd w:id="20"/>
      <w:r w:rsidRPr="00D6528E">
        <w:rPr>
          <w:rStyle w:val="Strong"/>
          <w:b/>
          <w:i/>
          <w:color w:val="002060"/>
        </w:rPr>
        <w:t xml:space="preserve"> </w:t>
      </w:r>
    </w:p>
    <w:p w:rsidR="0006226B" w:rsidRDefault="0072744C" w:rsidP="00B31C9E">
      <w:pPr>
        <w:spacing w:after="200" w:line="264" w:lineRule="auto"/>
      </w:pPr>
      <w:r>
        <w:t>T</w:t>
      </w:r>
      <w:r w:rsidR="0006226B" w:rsidRPr="0006226B">
        <w:t xml:space="preserve">he Bank of Ghana continued to accumulate domestic assets </w:t>
      </w:r>
      <w:r>
        <w:t>while the net foreign assets decreased</w:t>
      </w:r>
      <w:r w:rsidR="00327A53">
        <w:t xml:space="preserve"> in first half of the year</w:t>
      </w:r>
      <w:r>
        <w:t>.</w:t>
      </w:r>
      <w:r w:rsidR="002E5717">
        <w:t xml:space="preserve"> </w:t>
      </w:r>
      <w:r w:rsidR="0006226B" w:rsidRPr="0006226B">
        <w:t>D</w:t>
      </w:r>
      <w:r w:rsidR="00287AA9">
        <w:t>omestic assets increased by Ghs</w:t>
      </w:r>
      <w:r w:rsidR="00327A53">
        <w:t>3.5</w:t>
      </w:r>
      <w:r w:rsidR="00797847">
        <w:t xml:space="preserve">billion </w:t>
      </w:r>
      <w:r w:rsidR="00797847" w:rsidRPr="00B91072">
        <w:t>(</w:t>
      </w:r>
      <w:r w:rsidR="00327A53">
        <w:t>y-o-y)</w:t>
      </w:r>
      <w:r w:rsidRPr="00B91072">
        <w:t xml:space="preserve">, </w:t>
      </w:r>
      <w:r w:rsidR="001523C1">
        <w:t>as a result of a Ghs4</w:t>
      </w:r>
      <w:r w:rsidR="00327A53">
        <w:t>.0</w:t>
      </w:r>
      <w:r w:rsidR="001523C1">
        <w:t xml:space="preserve">billion </w:t>
      </w:r>
      <w:r>
        <w:t xml:space="preserve">claims on the </w:t>
      </w:r>
      <w:r w:rsidR="006A122D">
        <w:t>government</w:t>
      </w:r>
      <w:r w:rsidR="001523C1">
        <w:t xml:space="preserve"> </w:t>
      </w:r>
      <w:r w:rsidR="00A9090C">
        <w:t>and compensated</w:t>
      </w:r>
      <w:r w:rsidR="001523C1">
        <w:t xml:space="preserve"> by a </w:t>
      </w:r>
      <w:r w:rsidR="00327A53">
        <w:t xml:space="preserve">Ghs530 </w:t>
      </w:r>
      <w:r w:rsidR="005A0CDB">
        <w:t>million</w:t>
      </w:r>
      <w:r w:rsidR="001523C1">
        <w:t xml:space="preserve"> </w:t>
      </w:r>
      <w:r w:rsidR="000F4CA4">
        <w:t xml:space="preserve">contraction </w:t>
      </w:r>
      <w:r w:rsidR="001523C1">
        <w:t>from the rest of the economy</w:t>
      </w:r>
      <w:r w:rsidR="0006226B" w:rsidRPr="0006226B">
        <w:t xml:space="preserve">.  On the other hand, </w:t>
      </w:r>
      <w:r w:rsidR="001523C1">
        <w:t>the</w:t>
      </w:r>
      <w:r w:rsidR="0006226B" w:rsidRPr="0006226B">
        <w:t xml:space="preserve"> net</w:t>
      </w:r>
      <w:r w:rsidR="001523C1">
        <w:t xml:space="preserve"> foreign assets declined by </w:t>
      </w:r>
      <w:r w:rsidR="0086492E">
        <w:t xml:space="preserve">Ghs793million </w:t>
      </w:r>
      <w:r w:rsidR="0086492E" w:rsidRPr="0006226B">
        <w:t>(</w:t>
      </w:r>
      <w:r w:rsidR="00C71201">
        <w:t xml:space="preserve">a </w:t>
      </w:r>
      <w:r w:rsidR="00327A53">
        <w:t>15.8</w:t>
      </w:r>
      <w:r w:rsidR="00327A53" w:rsidRPr="00A9090C">
        <w:t xml:space="preserve"> </w:t>
      </w:r>
      <w:r w:rsidR="0006226B" w:rsidRPr="00A9090C">
        <w:t xml:space="preserve">percent </w:t>
      </w:r>
      <w:r w:rsidR="00A9090C" w:rsidRPr="00A9090C">
        <w:t>fall from Ghs5.</w:t>
      </w:r>
      <w:r w:rsidR="0086492E">
        <w:t>0</w:t>
      </w:r>
      <w:r w:rsidR="00A9090C" w:rsidRPr="00A9090C">
        <w:t>billion</w:t>
      </w:r>
      <w:r w:rsidR="00A9090C">
        <w:t xml:space="preserve"> in </w:t>
      </w:r>
      <w:r w:rsidR="0086492E">
        <w:t>June</w:t>
      </w:r>
      <w:r w:rsidR="00A9090C">
        <w:t>, 2013</w:t>
      </w:r>
      <w:r w:rsidR="00A9090C" w:rsidRPr="00A9090C">
        <w:t xml:space="preserve"> to </w:t>
      </w:r>
      <w:r w:rsidR="00C71201">
        <w:t>Ghs</w:t>
      </w:r>
      <w:r w:rsidR="0086492E">
        <w:t>4.2</w:t>
      </w:r>
      <w:r w:rsidR="0006226B" w:rsidRPr="00A9090C">
        <w:t>billio</w:t>
      </w:r>
      <w:r w:rsidR="0006226B" w:rsidRPr="0006226B">
        <w:t xml:space="preserve">n in </w:t>
      </w:r>
      <w:r w:rsidR="0086492E">
        <w:t>June</w:t>
      </w:r>
      <w:r w:rsidR="0006226B" w:rsidRPr="0006226B">
        <w:t xml:space="preserve"> 2014</w:t>
      </w:r>
      <w:r w:rsidR="00C71201">
        <w:t>)</w:t>
      </w:r>
      <w:r w:rsidR="0006226B" w:rsidRPr="0006226B">
        <w:t>.</w:t>
      </w:r>
      <w:r w:rsidR="0006226B">
        <w:t xml:space="preserve"> </w:t>
      </w:r>
      <w:r w:rsidR="007844A5">
        <w:t xml:space="preserve"> </w:t>
      </w:r>
    </w:p>
    <w:p w:rsidR="00B31C9E" w:rsidRDefault="00B31C9E" w:rsidP="00B31C9E">
      <w:pPr>
        <w:spacing w:after="200" w:line="264" w:lineRule="auto"/>
      </w:pPr>
      <w:r>
        <w:t>BoG</w:t>
      </w:r>
      <w:r w:rsidRPr="00B1013B">
        <w:t xml:space="preserve"> sterilized </w:t>
      </w:r>
      <w:r w:rsidR="003B3898">
        <w:t xml:space="preserve">its </w:t>
      </w:r>
      <w:r w:rsidR="003B3898" w:rsidRPr="00B1013B">
        <w:t>monetary expansion</w:t>
      </w:r>
      <w:r w:rsidR="003B3898">
        <w:t xml:space="preserve"> </w:t>
      </w:r>
      <w:r w:rsidRPr="00B1013B">
        <w:t>by increasing op</w:t>
      </w:r>
      <w:r w:rsidR="00F97E3C">
        <w:t>en market operations, and raising</w:t>
      </w:r>
      <w:r w:rsidRPr="00B1013B">
        <w:t xml:space="preserve"> its policy rate by 200 bps in February 2014 and another 100 bps in July to 19</w:t>
      </w:r>
      <w:r>
        <w:t xml:space="preserve"> percent</w:t>
      </w:r>
      <w:r w:rsidRPr="00B1013B">
        <w:t xml:space="preserve"> to control </w:t>
      </w:r>
      <w:r w:rsidRPr="00B1013B">
        <w:lastRenderedPageBreak/>
        <w:t>inflation and arrest the depreciation of cedi.</w:t>
      </w:r>
      <w:r w:rsidR="00F97E3C">
        <w:t xml:space="preserve"> </w:t>
      </w:r>
      <w:r w:rsidR="00F94237">
        <w:t xml:space="preserve">BoG also increased </w:t>
      </w:r>
      <w:r w:rsidR="005A0CDB">
        <w:t>the reserve</w:t>
      </w:r>
      <w:r w:rsidR="006E33DA">
        <w:t xml:space="preserve"> requirement of deposit money banks from 9 percent in the beginning of the year to 11 percent to tighten liquidity in the economy.</w:t>
      </w:r>
    </w:p>
    <w:p w:rsidR="00B152C7" w:rsidRDefault="006E33DA" w:rsidP="00287AA9">
      <w:pPr>
        <w:spacing w:after="200" w:line="264" w:lineRule="auto"/>
      </w:pPr>
      <w:r>
        <w:t>For the half-</w:t>
      </w:r>
      <w:r w:rsidR="00B152C7">
        <w:t>year, d</w:t>
      </w:r>
      <w:r w:rsidR="00287AA9">
        <w:t xml:space="preserve">omestic credit from deposit money banks </w:t>
      </w:r>
      <w:r w:rsidR="00646BB9">
        <w:t xml:space="preserve">to </w:t>
      </w:r>
      <w:r w:rsidR="00F94237">
        <w:t xml:space="preserve">the </w:t>
      </w:r>
      <w:r w:rsidR="004843B2">
        <w:t xml:space="preserve">government increased by </w:t>
      </w:r>
      <w:r w:rsidR="005A0CDB">
        <w:t>29.2percent (y-o-y) to Ghs 5.8</w:t>
      </w:r>
      <w:r w:rsidR="00592E50">
        <w:t xml:space="preserve"> </w:t>
      </w:r>
      <w:r w:rsidR="005A0CDB">
        <w:t>billion while credit</w:t>
      </w:r>
      <w:r w:rsidR="00F94237">
        <w:t xml:space="preserve"> to private secto</w:t>
      </w:r>
      <w:r w:rsidR="005A0CDB">
        <w:t>r increased by 45.8 percent</w:t>
      </w:r>
      <w:r w:rsidR="00327A53">
        <w:t xml:space="preserve"> (y-o-y) to</w:t>
      </w:r>
      <w:r w:rsidR="005A0CDB">
        <w:t xml:space="preserve"> Ghs19.6billion</w:t>
      </w:r>
      <w:r w:rsidR="00327A53">
        <w:t>.</w:t>
      </w:r>
      <w:r w:rsidR="00F94237">
        <w:t xml:space="preserve"> </w:t>
      </w:r>
      <w:r w:rsidR="006A0D1B">
        <w:t>A non-trivial portion of the credit of commercial banks to the private sector originates in the financing of oil imports of the bulk oil distributors that have not been paid by the government.</w:t>
      </w:r>
    </w:p>
    <w:p w:rsidR="00287AA9" w:rsidRDefault="00287AA9" w:rsidP="00287AA9">
      <w:pPr>
        <w:spacing w:after="200" w:line="264" w:lineRule="auto"/>
      </w:pPr>
      <w:r>
        <w:t xml:space="preserve">Total liquidity in the banking sector (M2+) increased by almost 32 percent to Ghs30.7 billion by June 2014. </w:t>
      </w:r>
    </w:p>
    <w:p w:rsidR="00492145" w:rsidRPr="00271FFE" w:rsidRDefault="00492145" w:rsidP="00492145">
      <w:pPr>
        <w:pStyle w:val="Caption"/>
        <w:spacing w:line="264" w:lineRule="auto"/>
        <w:rPr>
          <w:b w:val="0"/>
          <w:bCs w:val="0"/>
          <w:color w:val="auto"/>
          <w:szCs w:val="20"/>
        </w:rPr>
      </w:pPr>
      <w:bookmarkStart w:id="21" w:name="_Toc382553965"/>
      <w:r w:rsidRPr="00271FFE">
        <w:rPr>
          <w:color w:val="auto"/>
        </w:rPr>
        <w:t xml:space="preserve">Figure </w:t>
      </w:r>
      <w:r w:rsidR="00271FFE">
        <w:rPr>
          <w:color w:val="auto"/>
        </w:rPr>
        <w:t>8</w:t>
      </w:r>
      <w:r w:rsidRPr="00271FFE">
        <w:rPr>
          <w:b w:val="0"/>
          <w:bCs w:val="0"/>
          <w:color w:val="auto"/>
          <w:szCs w:val="20"/>
        </w:rPr>
        <w:t xml:space="preserve">: </w:t>
      </w:r>
      <w:r w:rsidRPr="00271FFE">
        <w:rPr>
          <w:color w:val="auto"/>
        </w:rPr>
        <w:t xml:space="preserve">Consumer Price Index Inflation (January </w:t>
      </w:r>
      <w:r w:rsidRPr="00BB55A2">
        <w:rPr>
          <w:color w:val="auto"/>
        </w:rPr>
        <w:t xml:space="preserve">2013 to </w:t>
      </w:r>
      <w:r w:rsidR="00697C8A" w:rsidRPr="00BB55A2">
        <w:rPr>
          <w:color w:val="auto"/>
        </w:rPr>
        <w:t xml:space="preserve">August </w:t>
      </w:r>
      <w:r w:rsidRPr="00BB55A2">
        <w:rPr>
          <w:color w:val="auto"/>
        </w:rPr>
        <w:t>2014</w:t>
      </w:r>
      <w:bookmarkEnd w:id="21"/>
      <w:r w:rsidRPr="00BB55A2">
        <w:rPr>
          <w:color w:val="auto"/>
        </w:rPr>
        <w:t>)</w:t>
      </w:r>
    </w:p>
    <w:p w:rsidR="00D836F1" w:rsidRDefault="00D836F1" w:rsidP="00C64556">
      <w:pPr>
        <w:spacing w:line="264" w:lineRule="auto"/>
        <w:rPr>
          <w:b/>
          <w:noProof/>
          <w:sz w:val="18"/>
          <w:szCs w:val="18"/>
        </w:rPr>
      </w:pPr>
      <w:r>
        <w:rPr>
          <w:b/>
          <w:noProof/>
          <w:sz w:val="18"/>
          <w:szCs w:val="18"/>
        </w:rPr>
        <w:drawing>
          <wp:inline distT="0" distB="0" distL="0" distR="0" wp14:anchorId="769BB26E" wp14:editId="4E1912D5">
            <wp:extent cx="2838297" cy="2026311"/>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6591" cy="2025093"/>
                    </a:xfrm>
                    <a:prstGeom prst="rect">
                      <a:avLst/>
                    </a:prstGeom>
                    <a:noFill/>
                  </pic:spPr>
                </pic:pic>
              </a:graphicData>
            </a:graphic>
          </wp:inline>
        </w:drawing>
      </w:r>
    </w:p>
    <w:p w:rsidR="00492145" w:rsidRPr="00C6606A" w:rsidRDefault="00492145" w:rsidP="00C64556">
      <w:pPr>
        <w:spacing w:line="264" w:lineRule="auto"/>
        <w:rPr>
          <w:i/>
          <w:sz w:val="18"/>
          <w:szCs w:val="18"/>
        </w:rPr>
      </w:pPr>
      <w:r w:rsidRPr="00C6606A">
        <w:rPr>
          <w:i/>
          <w:sz w:val="18"/>
          <w:szCs w:val="18"/>
        </w:rPr>
        <w:t>Source: Ghana Statistical Service</w:t>
      </w:r>
    </w:p>
    <w:p w:rsidR="000622D4" w:rsidRDefault="000622D4" w:rsidP="00C64556">
      <w:pPr>
        <w:spacing w:line="264" w:lineRule="auto"/>
        <w:rPr>
          <w:b/>
          <w:sz w:val="18"/>
          <w:szCs w:val="18"/>
        </w:rPr>
      </w:pPr>
    </w:p>
    <w:p w:rsidR="00592E50" w:rsidRDefault="00592E50" w:rsidP="00592E50">
      <w:pPr>
        <w:spacing w:after="200" w:line="264" w:lineRule="auto"/>
      </w:pPr>
      <w:r>
        <w:t>Inflation is increasing, and there is a wide divergence between consumer and producer prices indices. Consumer price inflation reached 15.9 percent in August, up</w:t>
      </w:r>
      <w:r w:rsidRPr="00492145">
        <w:t xml:space="preserve"> from 13.5</w:t>
      </w:r>
      <w:r>
        <w:t xml:space="preserve"> percent</w:t>
      </w:r>
      <w:r w:rsidRPr="00492145">
        <w:t xml:space="preserve"> in December 2013</w:t>
      </w:r>
      <w:r>
        <w:t xml:space="preserve"> (figure 8). Inflation was driven by the</w:t>
      </w:r>
      <w:r w:rsidRPr="00492145">
        <w:t xml:space="preserve"> non-food inflation</w:t>
      </w:r>
      <w:r>
        <w:t xml:space="preserve"> (24 </w:t>
      </w:r>
      <w:r w:rsidRPr="008C131C">
        <w:t>percent) while food inflation remained subdued at 5.1</w:t>
      </w:r>
      <w:r>
        <w:t xml:space="preserve"> </w:t>
      </w:r>
      <w:r w:rsidRPr="008C131C">
        <w:t>percent.</w:t>
      </w:r>
      <w:r w:rsidRPr="00D836F1">
        <w:t xml:space="preserve"> </w:t>
      </w:r>
      <w:r>
        <w:t>A</w:t>
      </w:r>
      <w:r w:rsidRPr="00492145">
        <w:t>djustments in prices of petroleum and utilities,</w:t>
      </w:r>
      <w:r>
        <w:t xml:space="preserve"> and</w:t>
      </w:r>
      <w:r w:rsidRPr="00492145">
        <w:t xml:space="preserve"> rising prices of imported products </w:t>
      </w:r>
      <w:r>
        <w:t xml:space="preserve">due to the </w:t>
      </w:r>
      <w:r w:rsidRPr="00492145">
        <w:t>depreciation of the Ghanaian cedi</w:t>
      </w:r>
      <w:r>
        <w:t xml:space="preserve"> pushed the </w:t>
      </w:r>
      <w:r>
        <w:lastRenderedPageBreak/>
        <w:t>non-food inflation up to 24 percent in August. (Figure 8)</w:t>
      </w:r>
    </w:p>
    <w:p w:rsidR="00C6606A" w:rsidRDefault="00C6606A" w:rsidP="00C6606A">
      <w:pPr>
        <w:spacing w:after="200" w:line="264" w:lineRule="auto"/>
      </w:pPr>
      <w:r>
        <w:t xml:space="preserve">Similarly, producer price inflation also followed a rising trend to reach </w:t>
      </w:r>
      <w:r w:rsidR="00577B60">
        <w:t>48.3</w:t>
      </w:r>
      <w:r>
        <w:t xml:space="preserve"> percent in </w:t>
      </w:r>
      <w:r w:rsidR="00577B60">
        <w:t>August 2014</w:t>
      </w:r>
      <w:r>
        <w:t xml:space="preserve">, up from </w:t>
      </w:r>
      <w:r w:rsidR="00577B60">
        <w:t>4.7</w:t>
      </w:r>
      <w:r>
        <w:t xml:space="preserve"> percent a year ago</w:t>
      </w:r>
      <w:r w:rsidR="00271FFE">
        <w:t xml:space="preserve"> (figure 9)</w:t>
      </w:r>
      <w:r>
        <w:t xml:space="preserve">. </w:t>
      </w:r>
    </w:p>
    <w:p w:rsidR="00492145" w:rsidRPr="00271FFE" w:rsidRDefault="006E7A2D" w:rsidP="006E7A2D">
      <w:pPr>
        <w:pStyle w:val="Caption"/>
        <w:rPr>
          <w:color w:val="auto"/>
        </w:rPr>
      </w:pPr>
      <w:r w:rsidRPr="00271FFE">
        <w:rPr>
          <w:color w:val="auto"/>
        </w:rPr>
        <w:t xml:space="preserve">Figure </w:t>
      </w:r>
      <w:r w:rsidR="00C6606A" w:rsidRPr="00271FFE">
        <w:rPr>
          <w:color w:val="auto"/>
        </w:rPr>
        <w:t>8</w:t>
      </w:r>
      <w:r w:rsidRPr="00271FFE">
        <w:rPr>
          <w:color w:val="auto"/>
        </w:rPr>
        <w:t>: Producer Price Index (Percent)</w:t>
      </w:r>
    </w:p>
    <w:p w:rsidR="00BB55A2" w:rsidRDefault="00BB55A2" w:rsidP="00FB066E">
      <w:r>
        <w:rPr>
          <w:noProof/>
        </w:rPr>
        <w:drawing>
          <wp:inline distT="0" distB="0" distL="0" distR="0" wp14:anchorId="32F44C5F" wp14:editId="6122ADEE">
            <wp:extent cx="2757830" cy="2077516"/>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682" cy="2081171"/>
                    </a:xfrm>
                    <a:prstGeom prst="rect">
                      <a:avLst/>
                    </a:prstGeom>
                    <a:noFill/>
                  </pic:spPr>
                </pic:pic>
              </a:graphicData>
            </a:graphic>
          </wp:inline>
        </w:drawing>
      </w:r>
    </w:p>
    <w:p w:rsidR="000622D4" w:rsidRDefault="000622D4" w:rsidP="00FB066E">
      <w:pPr>
        <w:pStyle w:val="Caption"/>
        <w:spacing w:after="0"/>
        <w:jc w:val="left"/>
        <w:rPr>
          <w:b w:val="0"/>
          <w:bCs w:val="0"/>
          <w:i/>
          <w:color w:val="auto"/>
          <w:sz w:val="18"/>
        </w:rPr>
      </w:pPr>
      <w:bookmarkStart w:id="22" w:name="_Toc382553966"/>
      <w:r w:rsidRPr="00C6606A">
        <w:rPr>
          <w:b w:val="0"/>
          <w:bCs w:val="0"/>
          <w:i/>
          <w:color w:val="auto"/>
          <w:sz w:val="18"/>
        </w:rPr>
        <w:t>Source: Ghana Statistical Service</w:t>
      </w:r>
    </w:p>
    <w:p w:rsidR="00B73F1D" w:rsidRPr="00B73F1D" w:rsidRDefault="00B73F1D" w:rsidP="00B73F1D"/>
    <w:p w:rsidR="00E35C5F" w:rsidRPr="006142BE" w:rsidRDefault="001178F0" w:rsidP="00994994">
      <w:pPr>
        <w:pStyle w:val="Heading1"/>
        <w:numPr>
          <w:ilvl w:val="0"/>
          <w:numId w:val="7"/>
        </w:numPr>
        <w:spacing w:before="0" w:after="120" w:line="264" w:lineRule="auto"/>
        <w:rPr>
          <w:rStyle w:val="Strong"/>
          <w:b/>
          <w:i/>
          <w:color w:val="002060"/>
        </w:rPr>
      </w:pPr>
      <w:bookmarkStart w:id="23" w:name="_Toc399919638"/>
      <w:bookmarkEnd w:id="22"/>
      <w:r w:rsidRPr="006142BE">
        <w:rPr>
          <w:rStyle w:val="Strong"/>
          <w:b/>
          <w:i/>
          <w:color w:val="002060"/>
        </w:rPr>
        <w:t>Economic Growth</w:t>
      </w:r>
      <w:bookmarkEnd w:id="13"/>
      <w:bookmarkEnd w:id="23"/>
    </w:p>
    <w:p w:rsidR="00E1166E" w:rsidRDefault="00B170AB" w:rsidP="0051354A">
      <w:pPr>
        <w:spacing w:after="200" w:line="264" w:lineRule="auto"/>
        <w:rPr>
          <w:bCs/>
          <w:color w:val="000000"/>
          <w:szCs w:val="22"/>
        </w:rPr>
      </w:pPr>
      <w:r>
        <w:rPr>
          <w:b/>
          <w:bCs/>
          <w:color w:val="000000"/>
          <w:szCs w:val="22"/>
        </w:rPr>
        <w:t xml:space="preserve">Amid </w:t>
      </w:r>
      <w:r w:rsidR="005036AB">
        <w:rPr>
          <w:b/>
          <w:bCs/>
          <w:color w:val="000000"/>
          <w:szCs w:val="22"/>
        </w:rPr>
        <w:t xml:space="preserve">the </w:t>
      </w:r>
      <w:r>
        <w:rPr>
          <w:b/>
          <w:bCs/>
          <w:color w:val="000000"/>
          <w:szCs w:val="22"/>
        </w:rPr>
        <w:t xml:space="preserve">macroeconomic challenges, economic growth slowed down in the first quarter in 2014 as </w:t>
      </w:r>
      <w:r w:rsidR="00E9636E">
        <w:rPr>
          <w:b/>
          <w:bCs/>
          <w:color w:val="000000"/>
          <w:szCs w:val="22"/>
        </w:rPr>
        <w:t xml:space="preserve">the </w:t>
      </w:r>
      <w:r>
        <w:rPr>
          <w:b/>
          <w:bCs/>
          <w:color w:val="000000"/>
          <w:szCs w:val="22"/>
        </w:rPr>
        <w:t xml:space="preserve">manufacturing sector contracted sharply. </w:t>
      </w:r>
      <w:r w:rsidR="00E9636E" w:rsidRPr="00E21E46">
        <w:rPr>
          <w:bCs/>
          <w:color w:val="000000"/>
          <w:szCs w:val="22"/>
        </w:rPr>
        <w:t>GDP growth rate in the first</w:t>
      </w:r>
      <w:r w:rsidRPr="00E21E46">
        <w:rPr>
          <w:bCs/>
          <w:color w:val="000000"/>
          <w:szCs w:val="22"/>
        </w:rPr>
        <w:t xml:space="preserve"> quarter was </w:t>
      </w:r>
      <w:r w:rsidR="00F537F1" w:rsidRPr="00E21E46">
        <w:rPr>
          <w:bCs/>
          <w:color w:val="000000"/>
          <w:szCs w:val="22"/>
        </w:rPr>
        <w:t>6.7</w:t>
      </w:r>
      <w:r w:rsidR="003B342F" w:rsidRPr="00B170AB">
        <w:rPr>
          <w:bCs/>
          <w:color w:val="000000"/>
          <w:szCs w:val="22"/>
        </w:rPr>
        <w:t xml:space="preserve"> percent</w:t>
      </w:r>
      <w:r w:rsidR="00F537F1" w:rsidRPr="00B170AB">
        <w:rPr>
          <w:bCs/>
          <w:color w:val="000000"/>
          <w:szCs w:val="22"/>
        </w:rPr>
        <w:t xml:space="preserve"> (y-o-y)</w:t>
      </w:r>
      <w:r w:rsidR="00E21E46">
        <w:rPr>
          <w:bCs/>
          <w:color w:val="000000"/>
          <w:szCs w:val="22"/>
        </w:rPr>
        <w:t>, though</w:t>
      </w:r>
      <w:r w:rsidR="00E9636E">
        <w:rPr>
          <w:bCs/>
          <w:color w:val="000000"/>
          <w:szCs w:val="22"/>
        </w:rPr>
        <w:t xml:space="preserve"> very likely it will b</w:t>
      </w:r>
      <w:r w:rsidR="00FB066E">
        <w:rPr>
          <w:bCs/>
          <w:color w:val="000000"/>
          <w:szCs w:val="22"/>
        </w:rPr>
        <w:t xml:space="preserve">e revised downward by the GSS. </w:t>
      </w:r>
      <w:r w:rsidR="005036AB">
        <w:rPr>
          <w:bCs/>
          <w:color w:val="000000"/>
          <w:szCs w:val="22"/>
        </w:rPr>
        <w:t xml:space="preserve">The slowdown was mainly driven by the </w:t>
      </w:r>
      <w:r w:rsidR="00ED56F2" w:rsidRPr="00B170AB">
        <w:rPr>
          <w:bCs/>
          <w:color w:val="000000"/>
          <w:szCs w:val="22"/>
        </w:rPr>
        <w:t>21.2</w:t>
      </w:r>
      <w:r w:rsidR="003B342F" w:rsidRPr="00B170AB">
        <w:rPr>
          <w:bCs/>
          <w:color w:val="000000"/>
          <w:szCs w:val="22"/>
        </w:rPr>
        <w:t xml:space="preserve"> percent</w:t>
      </w:r>
      <w:r w:rsidR="00CD6890" w:rsidRPr="00B170AB">
        <w:rPr>
          <w:bCs/>
          <w:color w:val="000000"/>
          <w:szCs w:val="22"/>
        </w:rPr>
        <w:t xml:space="preserve"> contraction in the manufacturing sector which reversed the growth in the entire industry sector</w:t>
      </w:r>
      <w:r w:rsidR="00ED56F2" w:rsidRPr="00B170AB">
        <w:rPr>
          <w:bCs/>
          <w:color w:val="000000"/>
          <w:szCs w:val="22"/>
        </w:rPr>
        <w:t xml:space="preserve"> and other sectors</w:t>
      </w:r>
      <w:r w:rsidR="00CD6890" w:rsidRPr="00B170AB">
        <w:rPr>
          <w:bCs/>
          <w:color w:val="000000"/>
          <w:szCs w:val="22"/>
        </w:rPr>
        <w:t xml:space="preserve">. </w:t>
      </w:r>
    </w:p>
    <w:p w:rsidR="008F6C69" w:rsidRDefault="00FB066E" w:rsidP="0051354A">
      <w:pPr>
        <w:spacing w:after="200" w:line="264" w:lineRule="auto"/>
        <w:rPr>
          <w:bCs/>
          <w:color w:val="000000"/>
          <w:szCs w:val="22"/>
        </w:rPr>
      </w:pPr>
      <w:r>
        <w:rPr>
          <w:bCs/>
          <w:color w:val="000000"/>
          <w:szCs w:val="22"/>
        </w:rPr>
        <w:t>T</w:t>
      </w:r>
      <w:r w:rsidR="008F6C69">
        <w:rPr>
          <w:bCs/>
          <w:color w:val="000000"/>
          <w:szCs w:val="22"/>
        </w:rPr>
        <w:t>he contribution of the service sector reduced to 4.9</w:t>
      </w:r>
      <w:r w:rsidR="003B342F">
        <w:rPr>
          <w:bCs/>
          <w:color w:val="000000"/>
          <w:szCs w:val="22"/>
        </w:rPr>
        <w:t xml:space="preserve"> percent</w:t>
      </w:r>
      <w:r w:rsidR="008F6C69">
        <w:rPr>
          <w:bCs/>
          <w:color w:val="000000"/>
          <w:szCs w:val="22"/>
        </w:rPr>
        <w:t xml:space="preserve"> in Q1 2014 from 5.1</w:t>
      </w:r>
      <w:r w:rsidR="003B342F">
        <w:rPr>
          <w:bCs/>
          <w:color w:val="000000"/>
          <w:szCs w:val="22"/>
        </w:rPr>
        <w:t xml:space="preserve"> percent</w:t>
      </w:r>
      <w:r w:rsidR="008F6C69">
        <w:rPr>
          <w:bCs/>
          <w:color w:val="000000"/>
          <w:szCs w:val="22"/>
        </w:rPr>
        <w:t>, while industry</w:t>
      </w:r>
      <w:r>
        <w:rPr>
          <w:bCs/>
          <w:color w:val="000000"/>
          <w:szCs w:val="22"/>
        </w:rPr>
        <w:t xml:space="preserve"> growth</w:t>
      </w:r>
      <w:r w:rsidR="008F6C69">
        <w:rPr>
          <w:bCs/>
          <w:color w:val="000000"/>
          <w:szCs w:val="22"/>
        </w:rPr>
        <w:t xml:space="preserve"> </w:t>
      </w:r>
      <w:r>
        <w:rPr>
          <w:bCs/>
          <w:color w:val="000000"/>
          <w:szCs w:val="22"/>
        </w:rPr>
        <w:t>collapsed</w:t>
      </w:r>
      <w:r w:rsidR="008F6C69">
        <w:rPr>
          <w:bCs/>
          <w:color w:val="000000"/>
          <w:szCs w:val="22"/>
        </w:rPr>
        <w:t xml:space="preserve"> to</w:t>
      </w:r>
      <w:r w:rsidR="00ED56F2">
        <w:rPr>
          <w:bCs/>
          <w:color w:val="000000"/>
          <w:szCs w:val="22"/>
        </w:rPr>
        <w:t xml:space="preserve"> </w:t>
      </w:r>
      <w:r w:rsidR="008F6C69">
        <w:rPr>
          <w:bCs/>
          <w:color w:val="000000"/>
          <w:szCs w:val="22"/>
        </w:rPr>
        <w:t>3.0</w:t>
      </w:r>
      <w:r w:rsidR="003B342F">
        <w:rPr>
          <w:bCs/>
          <w:color w:val="000000"/>
          <w:szCs w:val="22"/>
        </w:rPr>
        <w:t xml:space="preserve"> percent</w:t>
      </w:r>
      <w:r w:rsidR="00ED56F2">
        <w:rPr>
          <w:bCs/>
          <w:color w:val="000000"/>
          <w:szCs w:val="22"/>
        </w:rPr>
        <w:t xml:space="preserve"> </w:t>
      </w:r>
      <w:r w:rsidR="006A0D1B">
        <w:rPr>
          <w:bCs/>
          <w:color w:val="000000"/>
          <w:szCs w:val="22"/>
        </w:rPr>
        <w:t xml:space="preserve">, </w:t>
      </w:r>
      <w:r w:rsidR="00ED56F2">
        <w:rPr>
          <w:bCs/>
          <w:color w:val="000000"/>
          <w:szCs w:val="22"/>
        </w:rPr>
        <w:t>from</w:t>
      </w:r>
      <w:r w:rsidR="008F6C69">
        <w:rPr>
          <w:bCs/>
          <w:color w:val="000000"/>
          <w:szCs w:val="22"/>
        </w:rPr>
        <w:t xml:space="preserve"> 0.7</w:t>
      </w:r>
      <w:r w:rsidR="003B342F">
        <w:rPr>
          <w:bCs/>
          <w:color w:val="000000"/>
          <w:szCs w:val="22"/>
        </w:rPr>
        <w:t xml:space="preserve"> </w:t>
      </w:r>
      <w:r w:rsidR="009B11E3">
        <w:rPr>
          <w:bCs/>
          <w:color w:val="000000"/>
          <w:szCs w:val="22"/>
        </w:rPr>
        <w:t>percent in</w:t>
      </w:r>
      <w:r w:rsidR="00CD6890">
        <w:rPr>
          <w:bCs/>
          <w:color w:val="000000"/>
          <w:szCs w:val="22"/>
        </w:rPr>
        <w:t xml:space="preserve"> </w:t>
      </w:r>
      <w:r w:rsidR="008F6C69">
        <w:rPr>
          <w:bCs/>
          <w:color w:val="000000"/>
          <w:szCs w:val="22"/>
        </w:rPr>
        <w:t xml:space="preserve">2013.  </w:t>
      </w:r>
      <w:r w:rsidR="00ED56F2">
        <w:rPr>
          <w:bCs/>
          <w:color w:val="000000"/>
          <w:szCs w:val="22"/>
        </w:rPr>
        <w:t>However, the production of oil increased by 16.3</w:t>
      </w:r>
      <w:r w:rsidR="003B342F">
        <w:rPr>
          <w:bCs/>
          <w:color w:val="000000"/>
          <w:szCs w:val="22"/>
        </w:rPr>
        <w:t xml:space="preserve"> percent</w:t>
      </w:r>
      <w:r w:rsidR="0002660A">
        <w:rPr>
          <w:bCs/>
          <w:color w:val="000000"/>
          <w:szCs w:val="22"/>
        </w:rPr>
        <w:t xml:space="preserve"> in real terms</w:t>
      </w:r>
      <w:r w:rsidR="00ED56F2">
        <w:rPr>
          <w:bCs/>
          <w:color w:val="000000"/>
          <w:szCs w:val="22"/>
        </w:rPr>
        <w:t xml:space="preserve"> leading to higher contribution of 2.3</w:t>
      </w:r>
      <w:r w:rsidR="003B342F">
        <w:rPr>
          <w:bCs/>
          <w:color w:val="000000"/>
          <w:szCs w:val="22"/>
        </w:rPr>
        <w:t xml:space="preserve"> percent</w:t>
      </w:r>
      <w:r w:rsidR="00ED56F2">
        <w:rPr>
          <w:bCs/>
          <w:color w:val="000000"/>
          <w:szCs w:val="22"/>
        </w:rPr>
        <w:t xml:space="preserve"> to growth in Q1</w:t>
      </w:r>
      <w:r>
        <w:rPr>
          <w:bCs/>
          <w:color w:val="000000"/>
          <w:szCs w:val="22"/>
        </w:rPr>
        <w:t>, 2014</w:t>
      </w:r>
      <w:r w:rsidR="00ED56F2">
        <w:rPr>
          <w:bCs/>
          <w:color w:val="000000"/>
          <w:szCs w:val="22"/>
        </w:rPr>
        <w:t>.</w:t>
      </w:r>
    </w:p>
    <w:p w:rsidR="000116E5" w:rsidRDefault="00385BDB" w:rsidP="000116E5">
      <w:pPr>
        <w:spacing w:after="200" w:line="264" w:lineRule="auto"/>
        <w:rPr>
          <w:bCs/>
          <w:color w:val="000000"/>
          <w:szCs w:val="22"/>
        </w:rPr>
      </w:pPr>
      <w:r>
        <w:rPr>
          <w:bCs/>
          <w:color w:val="000000"/>
          <w:szCs w:val="22"/>
        </w:rPr>
        <w:t xml:space="preserve">The </w:t>
      </w:r>
      <w:r w:rsidR="007C42D4">
        <w:rPr>
          <w:bCs/>
          <w:color w:val="000000"/>
          <w:szCs w:val="22"/>
        </w:rPr>
        <w:t xml:space="preserve">contribution of the </w:t>
      </w:r>
      <w:r>
        <w:rPr>
          <w:bCs/>
          <w:color w:val="000000"/>
          <w:szCs w:val="22"/>
        </w:rPr>
        <w:t>agriculture sector</w:t>
      </w:r>
      <w:r w:rsidR="00C55D25">
        <w:rPr>
          <w:bCs/>
          <w:color w:val="000000"/>
          <w:szCs w:val="22"/>
        </w:rPr>
        <w:t xml:space="preserve"> to growth</w:t>
      </w:r>
      <w:r>
        <w:rPr>
          <w:bCs/>
          <w:color w:val="000000"/>
          <w:szCs w:val="22"/>
        </w:rPr>
        <w:t xml:space="preserve"> </w:t>
      </w:r>
      <w:r w:rsidR="007C42D4">
        <w:rPr>
          <w:bCs/>
          <w:color w:val="000000"/>
          <w:szCs w:val="22"/>
        </w:rPr>
        <w:t>i</w:t>
      </w:r>
      <w:r w:rsidR="00C55D25">
        <w:rPr>
          <w:bCs/>
          <w:color w:val="000000"/>
          <w:szCs w:val="22"/>
        </w:rPr>
        <w:t>ncreased</w:t>
      </w:r>
      <w:r>
        <w:rPr>
          <w:bCs/>
          <w:color w:val="000000"/>
          <w:szCs w:val="22"/>
        </w:rPr>
        <w:t xml:space="preserve"> 2.4</w:t>
      </w:r>
      <w:r w:rsidR="003B342F">
        <w:rPr>
          <w:bCs/>
          <w:color w:val="000000"/>
          <w:szCs w:val="22"/>
        </w:rPr>
        <w:t xml:space="preserve"> percent</w:t>
      </w:r>
      <w:r>
        <w:rPr>
          <w:bCs/>
          <w:color w:val="000000"/>
          <w:szCs w:val="22"/>
        </w:rPr>
        <w:t xml:space="preserve"> in</w:t>
      </w:r>
      <w:r w:rsidR="007C42D4">
        <w:rPr>
          <w:bCs/>
          <w:color w:val="000000"/>
          <w:szCs w:val="22"/>
        </w:rPr>
        <w:t xml:space="preserve"> Q1 </w:t>
      </w:r>
      <w:r w:rsidR="00C55D25">
        <w:rPr>
          <w:bCs/>
          <w:color w:val="000000"/>
          <w:szCs w:val="22"/>
        </w:rPr>
        <w:t>2014 influenced by higher real</w:t>
      </w:r>
      <w:r w:rsidR="000116E5">
        <w:rPr>
          <w:bCs/>
          <w:color w:val="000000"/>
          <w:szCs w:val="22"/>
        </w:rPr>
        <w:t xml:space="preserve"> production in all sub-sectors</w:t>
      </w:r>
      <w:r w:rsidR="00C55D25">
        <w:rPr>
          <w:bCs/>
          <w:color w:val="000000"/>
          <w:szCs w:val="22"/>
        </w:rPr>
        <w:t xml:space="preserve"> except the livestock sector.</w:t>
      </w:r>
      <w:r w:rsidR="000116E5">
        <w:rPr>
          <w:bCs/>
          <w:color w:val="000000"/>
          <w:szCs w:val="22"/>
        </w:rPr>
        <w:t xml:space="preserve"> </w:t>
      </w:r>
      <w:r w:rsidR="00C55D25">
        <w:rPr>
          <w:bCs/>
          <w:color w:val="000000"/>
          <w:szCs w:val="22"/>
        </w:rPr>
        <w:t>(Figure 15)</w:t>
      </w:r>
    </w:p>
    <w:p w:rsidR="008D3E79" w:rsidRPr="0072491A" w:rsidRDefault="008D3E79" w:rsidP="0051354A">
      <w:pPr>
        <w:pStyle w:val="Caption"/>
        <w:spacing w:line="264" w:lineRule="auto"/>
        <w:rPr>
          <w:bCs w:val="0"/>
          <w:color w:val="000000"/>
          <w:szCs w:val="22"/>
        </w:rPr>
      </w:pPr>
      <w:bookmarkStart w:id="24" w:name="_Toc382553967"/>
      <w:r>
        <w:lastRenderedPageBreak/>
        <w:t xml:space="preserve">Figure </w:t>
      </w:r>
      <w:r w:rsidR="006A0D1B">
        <w:t>9</w:t>
      </w:r>
      <w:r>
        <w:t>:</w:t>
      </w:r>
      <w:r w:rsidR="00C35EC7">
        <w:t xml:space="preserve"> </w:t>
      </w:r>
      <w:r w:rsidR="00690CE3">
        <w:t xml:space="preserve">First </w:t>
      </w:r>
      <w:r w:rsidR="00C35EC7">
        <w:t>quarter growth and sector contribution to growth</w:t>
      </w:r>
      <w:bookmarkEnd w:id="24"/>
      <w:r>
        <w:t xml:space="preserve"> </w:t>
      </w:r>
    </w:p>
    <w:p w:rsidR="003F7BCB" w:rsidRDefault="003F7BCB" w:rsidP="0051354A">
      <w:pPr>
        <w:spacing w:after="200" w:line="264" w:lineRule="auto"/>
        <w:rPr>
          <w:b/>
          <w:bCs/>
          <w:color w:val="000000"/>
          <w:szCs w:val="22"/>
          <w:highlight w:val="yellow"/>
        </w:rPr>
      </w:pPr>
      <w:r>
        <w:rPr>
          <w:b/>
          <w:bCs/>
          <w:noProof/>
          <w:color w:val="000000"/>
          <w:szCs w:val="22"/>
        </w:rPr>
        <w:drawing>
          <wp:inline distT="0" distB="0" distL="0" distR="0" wp14:anchorId="0A776000" wp14:editId="20AA9FFE">
            <wp:extent cx="2689860" cy="2209527"/>
            <wp:effectExtent l="0" t="0" r="0" b="6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2647" cy="2211817"/>
                    </a:xfrm>
                    <a:prstGeom prst="rect">
                      <a:avLst/>
                    </a:prstGeom>
                    <a:noFill/>
                  </pic:spPr>
                </pic:pic>
              </a:graphicData>
            </a:graphic>
          </wp:inline>
        </w:drawing>
      </w:r>
    </w:p>
    <w:p w:rsidR="00C55D25" w:rsidRDefault="00787E18" w:rsidP="0051354A">
      <w:pPr>
        <w:spacing w:after="200" w:line="264" w:lineRule="auto"/>
        <w:rPr>
          <w:b/>
          <w:bCs/>
          <w:color w:val="000000"/>
          <w:sz w:val="18"/>
          <w:szCs w:val="18"/>
        </w:rPr>
      </w:pPr>
      <w:r w:rsidRPr="00437AA0">
        <w:rPr>
          <w:b/>
          <w:bCs/>
          <w:color w:val="000000"/>
          <w:sz w:val="18"/>
          <w:szCs w:val="18"/>
        </w:rPr>
        <w:t xml:space="preserve">Source: Ghana Statistical Service </w:t>
      </w:r>
      <w:r w:rsidR="00DD1869">
        <w:rPr>
          <w:b/>
          <w:bCs/>
          <w:color w:val="000000"/>
          <w:sz w:val="18"/>
          <w:szCs w:val="18"/>
        </w:rPr>
        <w:t xml:space="preserve">and </w:t>
      </w:r>
      <w:r w:rsidR="00DD1869" w:rsidRPr="00437AA0">
        <w:rPr>
          <w:b/>
          <w:bCs/>
          <w:color w:val="000000"/>
          <w:sz w:val="18"/>
          <w:szCs w:val="18"/>
        </w:rPr>
        <w:t>World Bank staff calculations</w:t>
      </w:r>
    </w:p>
    <w:p w:rsidR="008D77F1" w:rsidRPr="00A80457" w:rsidRDefault="00B025F0" w:rsidP="00994994">
      <w:pPr>
        <w:pStyle w:val="Heading1"/>
        <w:keepNext w:val="0"/>
        <w:keepLines w:val="0"/>
        <w:numPr>
          <w:ilvl w:val="0"/>
          <w:numId w:val="7"/>
        </w:numPr>
        <w:spacing w:before="0" w:after="200" w:line="264" w:lineRule="auto"/>
        <w:rPr>
          <w:rStyle w:val="Strong"/>
          <w:b/>
          <w:i/>
          <w:vanish/>
          <w:color w:val="002060"/>
          <w:specVanish/>
        </w:rPr>
      </w:pPr>
      <w:bookmarkStart w:id="25" w:name="_Toc301346650"/>
      <w:bookmarkStart w:id="26" w:name="_Toc399919639"/>
      <w:r w:rsidRPr="00535202">
        <w:rPr>
          <w:rStyle w:val="Strong"/>
          <w:b/>
          <w:i/>
          <w:color w:val="002060"/>
        </w:rPr>
        <w:t>Outlook</w:t>
      </w:r>
      <w:bookmarkEnd w:id="25"/>
      <w:bookmarkEnd w:id="26"/>
    </w:p>
    <w:p w:rsidR="00C5274A" w:rsidRDefault="00FE133E" w:rsidP="0051354A">
      <w:pPr>
        <w:spacing w:after="200" w:line="264" w:lineRule="auto"/>
        <w:rPr>
          <w:color w:val="000000"/>
          <w:szCs w:val="22"/>
        </w:rPr>
      </w:pPr>
      <w:r>
        <w:rPr>
          <w:color w:val="000000"/>
          <w:szCs w:val="22"/>
        </w:rPr>
        <w:t xml:space="preserve"> </w:t>
      </w:r>
    </w:p>
    <w:p w:rsidR="002B4D28" w:rsidRDefault="006E2336" w:rsidP="0051354A">
      <w:pPr>
        <w:spacing w:after="200" w:line="264" w:lineRule="auto"/>
        <w:rPr>
          <w:color w:val="000000"/>
          <w:szCs w:val="22"/>
        </w:rPr>
      </w:pPr>
      <w:r>
        <w:rPr>
          <w:color w:val="000000"/>
          <w:szCs w:val="22"/>
        </w:rPr>
        <w:t xml:space="preserve">Growth </w:t>
      </w:r>
      <w:r w:rsidR="006B4EF0">
        <w:rPr>
          <w:color w:val="000000"/>
          <w:szCs w:val="22"/>
        </w:rPr>
        <w:t xml:space="preserve">in 2014 </w:t>
      </w:r>
      <w:r>
        <w:rPr>
          <w:color w:val="000000"/>
          <w:szCs w:val="22"/>
        </w:rPr>
        <w:t xml:space="preserve">is expected to remain modest </w:t>
      </w:r>
      <w:r w:rsidR="006B4EF0">
        <w:rPr>
          <w:color w:val="000000"/>
          <w:szCs w:val="22"/>
        </w:rPr>
        <w:t xml:space="preserve">at </w:t>
      </w:r>
      <w:r w:rsidR="00D51946">
        <w:rPr>
          <w:color w:val="000000"/>
          <w:szCs w:val="22"/>
        </w:rPr>
        <w:t>around 6</w:t>
      </w:r>
      <w:r w:rsidR="003B342F">
        <w:rPr>
          <w:color w:val="000000"/>
          <w:szCs w:val="22"/>
        </w:rPr>
        <w:t xml:space="preserve"> percent</w:t>
      </w:r>
      <w:r w:rsidR="00F94237">
        <w:rPr>
          <w:color w:val="000000"/>
          <w:szCs w:val="22"/>
        </w:rPr>
        <w:t xml:space="preserve">. </w:t>
      </w:r>
      <w:r>
        <w:rPr>
          <w:color w:val="000000"/>
          <w:szCs w:val="22"/>
        </w:rPr>
        <w:t xml:space="preserve"> </w:t>
      </w:r>
      <w:r w:rsidR="002B4D28">
        <w:rPr>
          <w:color w:val="000000"/>
          <w:szCs w:val="22"/>
        </w:rPr>
        <w:t>Despite the downside risks in the short-term, Ghana’s g</w:t>
      </w:r>
      <w:r w:rsidR="002B4D28" w:rsidRPr="00F371C2">
        <w:rPr>
          <w:color w:val="000000"/>
          <w:szCs w:val="22"/>
        </w:rPr>
        <w:t>rowth prospects</w:t>
      </w:r>
      <w:r w:rsidR="002B4D28">
        <w:rPr>
          <w:color w:val="000000"/>
          <w:szCs w:val="22"/>
        </w:rPr>
        <w:t xml:space="preserve"> </w:t>
      </w:r>
      <w:r w:rsidR="002B4D28" w:rsidRPr="00F371C2">
        <w:rPr>
          <w:color w:val="000000"/>
          <w:szCs w:val="22"/>
        </w:rPr>
        <w:t xml:space="preserve">are positive in the </w:t>
      </w:r>
      <w:r w:rsidR="002B4D28">
        <w:rPr>
          <w:color w:val="000000"/>
          <w:szCs w:val="22"/>
        </w:rPr>
        <w:t>long-</w:t>
      </w:r>
      <w:r w:rsidR="002B4D28" w:rsidRPr="00F371C2">
        <w:rPr>
          <w:color w:val="000000"/>
          <w:szCs w:val="22"/>
        </w:rPr>
        <w:t>term</w:t>
      </w:r>
      <w:r w:rsidR="00E9636E">
        <w:rPr>
          <w:color w:val="000000"/>
          <w:szCs w:val="22"/>
        </w:rPr>
        <w:t>, at</w:t>
      </w:r>
      <w:r w:rsidR="007C2881">
        <w:rPr>
          <w:color w:val="000000"/>
          <w:szCs w:val="22"/>
        </w:rPr>
        <w:t xml:space="preserve"> around </w:t>
      </w:r>
      <w:r w:rsidR="00D63DEE">
        <w:rPr>
          <w:color w:val="000000"/>
          <w:szCs w:val="22"/>
        </w:rPr>
        <w:t>4-</w:t>
      </w:r>
      <w:r w:rsidR="007C2881">
        <w:rPr>
          <w:color w:val="000000"/>
          <w:szCs w:val="22"/>
        </w:rPr>
        <w:t>6 percent per capita</w:t>
      </w:r>
      <w:r w:rsidR="006659AB">
        <w:rPr>
          <w:color w:val="000000"/>
          <w:szCs w:val="22"/>
        </w:rPr>
        <w:t>.</w:t>
      </w:r>
      <w:r w:rsidR="00E9636E">
        <w:rPr>
          <w:color w:val="000000"/>
          <w:szCs w:val="22"/>
        </w:rPr>
        <w:t xml:space="preserve"> But the economy has to be stabilized for the positive projections to materialize.</w:t>
      </w:r>
    </w:p>
    <w:p w:rsidR="00DF73CA" w:rsidRDefault="00E9636E" w:rsidP="0051354A">
      <w:pPr>
        <w:spacing w:after="200" w:line="264" w:lineRule="auto"/>
        <w:rPr>
          <w:color w:val="000000"/>
          <w:szCs w:val="22"/>
        </w:rPr>
      </w:pPr>
      <w:r>
        <w:rPr>
          <w:color w:val="000000"/>
          <w:szCs w:val="22"/>
        </w:rPr>
        <w:t>I</w:t>
      </w:r>
      <w:r w:rsidR="00CA349D">
        <w:rPr>
          <w:color w:val="000000"/>
          <w:szCs w:val="22"/>
        </w:rPr>
        <w:t xml:space="preserve">nflationary pressure </w:t>
      </w:r>
      <w:r>
        <w:rPr>
          <w:color w:val="000000"/>
          <w:szCs w:val="22"/>
        </w:rPr>
        <w:t xml:space="preserve">will </w:t>
      </w:r>
      <w:r w:rsidR="00E635B7">
        <w:rPr>
          <w:color w:val="000000"/>
          <w:szCs w:val="22"/>
        </w:rPr>
        <w:t xml:space="preserve">continue </w:t>
      </w:r>
      <w:r w:rsidR="00CA349D">
        <w:rPr>
          <w:color w:val="000000"/>
          <w:szCs w:val="22"/>
        </w:rPr>
        <w:t>mount</w:t>
      </w:r>
      <w:r w:rsidR="00E635B7">
        <w:rPr>
          <w:color w:val="000000"/>
          <w:szCs w:val="22"/>
        </w:rPr>
        <w:t>ing</w:t>
      </w:r>
      <w:r>
        <w:rPr>
          <w:color w:val="000000"/>
          <w:szCs w:val="22"/>
        </w:rPr>
        <w:t xml:space="preserve">, due to adjustments in petroleum product prices and utilities. </w:t>
      </w:r>
      <w:r w:rsidR="006659AB">
        <w:rPr>
          <w:color w:val="000000"/>
          <w:szCs w:val="22"/>
        </w:rPr>
        <w:t>As a result, i</w:t>
      </w:r>
      <w:r w:rsidR="00664726" w:rsidRPr="00664726">
        <w:rPr>
          <w:color w:val="000000"/>
          <w:szCs w:val="22"/>
        </w:rPr>
        <w:t>nflation is not likely to r</w:t>
      </w:r>
      <w:r w:rsidR="00D63DEE">
        <w:rPr>
          <w:color w:val="000000"/>
          <w:szCs w:val="22"/>
        </w:rPr>
        <w:t>eturn to the target band of 13</w:t>
      </w:r>
      <w:r w:rsidR="00664726" w:rsidRPr="00664726">
        <w:rPr>
          <w:color w:val="000000"/>
          <w:szCs w:val="22"/>
        </w:rPr>
        <w:t>±2 percent before the end of the year.</w:t>
      </w:r>
      <w:r w:rsidR="00664726">
        <w:rPr>
          <w:color w:val="000000"/>
          <w:szCs w:val="22"/>
        </w:rPr>
        <w:t xml:space="preserve"> </w:t>
      </w:r>
      <w:r w:rsidR="00B94D8A">
        <w:rPr>
          <w:color w:val="000000"/>
          <w:szCs w:val="22"/>
        </w:rPr>
        <w:t>The</w:t>
      </w:r>
      <w:r w:rsidR="00FB6E0B">
        <w:rPr>
          <w:color w:val="000000"/>
          <w:szCs w:val="22"/>
        </w:rPr>
        <w:t xml:space="preserve"> producer price </w:t>
      </w:r>
      <w:r w:rsidR="00B94D8A">
        <w:rPr>
          <w:color w:val="000000"/>
          <w:szCs w:val="22"/>
        </w:rPr>
        <w:t xml:space="preserve">inflation is projected to </w:t>
      </w:r>
      <w:r w:rsidR="00664726">
        <w:rPr>
          <w:color w:val="000000"/>
          <w:szCs w:val="22"/>
        </w:rPr>
        <w:t>reach</w:t>
      </w:r>
      <w:r w:rsidR="00B94D8A">
        <w:rPr>
          <w:color w:val="000000"/>
          <w:szCs w:val="22"/>
        </w:rPr>
        <w:t xml:space="preserve"> 50</w:t>
      </w:r>
      <w:r w:rsidR="003B342F">
        <w:rPr>
          <w:color w:val="000000"/>
          <w:szCs w:val="22"/>
        </w:rPr>
        <w:t xml:space="preserve"> percent</w:t>
      </w:r>
      <w:r w:rsidR="00B94D8A">
        <w:rPr>
          <w:color w:val="000000"/>
          <w:szCs w:val="22"/>
        </w:rPr>
        <w:t xml:space="preserve"> by the end of the year due in parts to </w:t>
      </w:r>
      <w:r w:rsidR="0075139E">
        <w:rPr>
          <w:color w:val="000000"/>
          <w:szCs w:val="22"/>
        </w:rPr>
        <w:t xml:space="preserve">the impact of </w:t>
      </w:r>
      <w:r w:rsidR="00B94D8A">
        <w:rPr>
          <w:color w:val="000000"/>
          <w:szCs w:val="22"/>
        </w:rPr>
        <w:t>the exchange rate depreciation</w:t>
      </w:r>
      <w:r w:rsidR="0075139E">
        <w:rPr>
          <w:color w:val="000000"/>
          <w:szCs w:val="22"/>
        </w:rPr>
        <w:t xml:space="preserve"> on the manufacturing sector (which has a significant weight in the producer price basket).</w:t>
      </w:r>
    </w:p>
    <w:p w:rsidR="00A1651A" w:rsidRDefault="00CA349D" w:rsidP="00184CDB">
      <w:pPr>
        <w:spacing w:after="200" w:line="264" w:lineRule="auto"/>
        <w:rPr>
          <w:lang w:eastAsia="x-none"/>
        </w:rPr>
      </w:pPr>
      <w:r>
        <w:rPr>
          <w:color w:val="000000"/>
          <w:szCs w:val="22"/>
        </w:rPr>
        <w:t xml:space="preserve">Other inherent risks in the economy </w:t>
      </w:r>
      <w:r w:rsidR="00604B26">
        <w:rPr>
          <w:color w:val="000000"/>
          <w:szCs w:val="22"/>
        </w:rPr>
        <w:t xml:space="preserve">include the rising wage bill, </w:t>
      </w:r>
      <w:r>
        <w:rPr>
          <w:color w:val="000000"/>
          <w:szCs w:val="22"/>
        </w:rPr>
        <w:t>high</w:t>
      </w:r>
      <w:r w:rsidR="008E15F9">
        <w:rPr>
          <w:color w:val="000000"/>
          <w:szCs w:val="22"/>
        </w:rPr>
        <w:t xml:space="preserve"> and rising</w:t>
      </w:r>
      <w:r>
        <w:rPr>
          <w:color w:val="000000"/>
          <w:szCs w:val="22"/>
        </w:rPr>
        <w:t xml:space="preserve"> interest</w:t>
      </w:r>
      <w:r w:rsidR="00CB57A5">
        <w:rPr>
          <w:color w:val="000000"/>
          <w:szCs w:val="22"/>
        </w:rPr>
        <w:t xml:space="preserve"> rates</w:t>
      </w:r>
      <w:r w:rsidR="00423D9E">
        <w:rPr>
          <w:color w:val="000000"/>
          <w:szCs w:val="22"/>
        </w:rPr>
        <w:t>,</w:t>
      </w:r>
      <w:r w:rsidR="006659AB">
        <w:rPr>
          <w:color w:val="000000"/>
          <w:szCs w:val="22"/>
        </w:rPr>
        <w:t xml:space="preserve"> and</w:t>
      </w:r>
      <w:r w:rsidR="00423D9E">
        <w:rPr>
          <w:color w:val="000000"/>
          <w:szCs w:val="22"/>
        </w:rPr>
        <w:t xml:space="preserve"> </w:t>
      </w:r>
      <w:r w:rsidR="00B94D8A">
        <w:rPr>
          <w:color w:val="000000"/>
          <w:szCs w:val="22"/>
        </w:rPr>
        <w:t xml:space="preserve">the </w:t>
      </w:r>
      <w:r w:rsidR="00604B26">
        <w:rPr>
          <w:color w:val="000000"/>
          <w:szCs w:val="22"/>
        </w:rPr>
        <w:t>loss</w:t>
      </w:r>
      <w:r w:rsidR="00B94D8A">
        <w:rPr>
          <w:color w:val="000000"/>
          <w:szCs w:val="22"/>
        </w:rPr>
        <w:t xml:space="preserve"> of net international reserves. </w:t>
      </w:r>
      <w:r w:rsidR="00604B26">
        <w:rPr>
          <w:color w:val="000000"/>
          <w:szCs w:val="22"/>
        </w:rPr>
        <w:t>Some medium term risks include the persisting energy sector constraints</w:t>
      </w:r>
      <w:r w:rsidR="00CB57A5">
        <w:rPr>
          <w:color w:val="000000"/>
          <w:szCs w:val="22"/>
        </w:rPr>
        <w:t xml:space="preserve">, rising public </w:t>
      </w:r>
      <w:r w:rsidR="0075139E">
        <w:rPr>
          <w:color w:val="000000"/>
          <w:szCs w:val="22"/>
        </w:rPr>
        <w:t>debt and debt service ratios,</w:t>
      </w:r>
      <w:r w:rsidR="00CB57A5">
        <w:rPr>
          <w:color w:val="000000"/>
          <w:szCs w:val="22"/>
        </w:rPr>
        <w:t xml:space="preserve"> cyclical electoral over expenditure, the impact of volatility of international commodity </w:t>
      </w:r>
      <w:r w:rsidR="00CB57A5" w:rsidRPr="003B7508">
        <w:rPr>
          <w:color w:val="000000"/>
          <w:szCs w:val="22"/>
        </w:rPr>
        <w:t>prices</w:t>
      </w:r>
      <w:r w:rsidR="003B7508" w:rsidRPr="003B7508">
        <w:rPr>
          <w:color w:val="000000"/>
          <w:szCs w:val="22"/>
        </w:rPr>
        <w:t xml:space="preserve"> on the external sector.</w:t>
      </w:r>
      <w:r w:rsidR="00A1651A">
        <w:rPr>
          <w:lang w:eastAsia="x-none"/>
        </w:rPr>
        <w:br w:type="page"/>
      </w:r>
    </w:p>
    <w:p w:rsidR="00406347" w:rsidRDefault="00462989" w:rsidP="00406347">
      <w:pPr>
        <w:jc w:val="left"/>
      </w:pPr>
      <w:r>
        <w:rPr>
          <w:rFonts w:eastAsiaTheme="minorHAnsi"/>
          <w:i/>
          <w:sz w:val="18"/>
          <w:szCs w:val="18"/>
        </w:rPr>
        <w:lastRenderedPageBreak/>
        <w:t xml:space="preserve"> </w:t>
      </w:r>
      <w:bookmarkStart w:id="27" w:name="_Toc383600652"/>
    </w:p>
    <w:tbl>
      <w:tblPr>
        <w:tblpPr w:leftFromText="180" w:rightFromText="180" w:horzAnchor="margin" w:tblpXSpec="center" w:tblpY="-450"/>
        <w:tblW w:w="11878" w:type="pct"/>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17365D" w:themeFill="text2" w:themeFillShade="BF"/>
        <w:tblLook w:val="04A0" w:firstRow="1" w:lastRow="0" w:firstColumn="1" w:lastColumn="0" w:noHBand="0" w:noVBand="1"/>
      </w:tblPr>
      <w:tblGrid>
        <w:gridCol w:w="11225"/>
      </w:tblGrid>
      <w:tr w:rsidR="00406347" w:rsidRPr="00535202" w:rsidTr="003F7BCB">
        <w:trPr>
          <w:trHeight w:val="680"/>
        </w:trPr>
        <w:tc>
          <w:tcPr>
            <w:tcW w:w="5000" w:type="pct"/>
            <w:shd w:val="clear" w:color="auto" w:fill="17365D" w:themeFill="text2" w:themeFillShade="BF"/>
          </w:tcPr>
          <w:p w:rsidR="00406347" w:rsidRPr="00E7229D" w:rsidRDefault="006A0D1B" w:rsidP="001C17CA">
            <w:pPr>
              <w:pStyle w:val="Title"/>
              <w:rPr>
                <w:szCs w:val="40"/>
              </w:rPr>
            </w:pPr>
            <w:r>
              <w:rPr>
                <w:szCs w:val="40"/>
              </w:rPr>
              <w:t xml:space="preserve"> </w:t>
            </w:r>
            <w:bookmarkStart w:id="28" w:name="_Toc399919640"/>
            <w:r w:rsidR="001C17CA">
              <w:rPr>
                <w:szCs w:val="40"/>
              </w:rPr>
              <w:t xml:space="preserve">Part II: </w:t>
            </w:r>
            <w:r w:rsidR="00E7229D" w:rsidRPr="001C17CA">
              <w:rPr>
                <w:rFonts w:eastAsia="Calibri"/>
              </w:rPr>
              <w:t>T</w:t>
            </w:r>
            <w:r w:rsidR="00406347" w:rsidRPr="001C17CA">
              <w:rPr>
                <w:rFonts w:eastAsia="Calibri"/>
              </w:rPr>
              <w:t xml:space="preserve">rends in Poverty, Inequality </w:t>
            </w:r>
            <w:r w:rsidR="001C17CA" w:rsidRPr="001C17CA">
              <w:rPr>
                <w:rFonts w:eastAsia="Calibri"/>
              </w:rPr>
              <w:t xml:space="preserve">&amp; </w:t>
            </w:r>
            <w:r w:rsidR="00E7229D" w:rsidRPr="001C17CA">
              <w:rPr>
                <w:rFonts w:eastAsia="Calibri"/>
              </w:rPr>
              <w:t xml:space="preserve">Labor </w:t>
            </w:r>
            <w:bookmarkEnd w:id="28"/>
          </w:p>
        </w:tc>
      </w:tr>
    </w:tbl>
    <w:p w:rsidR="00406347" w:rsidRDefault="00406347" w:rsidP="008C7FBC">
      <w:pPr>
        <w:pStyle w:val="Heading1"/>
        <w:keepNext w:val="0"/>
        <w:keepLines w:val="0"/>
        <w:numPr>
          <w:ilvl w:val="0"/>
          <w:numId w:val="7"/>
        </w:numPr>
        <w:spacing w:before="0" w:after="200" w:line="264" w:lineRule="auto"/>
        <w:rPr>
          <w:rStyle w:val="Strong"/>
          <w:b/>
          <w:i/>
          <w:color w:val="002060"/>
          <w:lang w:val="en-US"/>
        </w:rPr>
      </w:pPr>
      <w:bookmarkStart w:id="29" w:name="_Toc399919641"/>
      <w:r>
        <w:rPr>
          <w:rStyle w:val="Strong"/>
          <w:b/>
          <w:i/>
          <w:color w:val="002060"/>
          <w:lang w:val="en-US"/>
        </w:rPr>
        <w:t>Introduction</w:t>
      </w:r>
      <w:bookmarkEnd w:id="27"/>
      <w:bookmarkEnd w:id="29"/>
      <w:r>
        <w:rPr>
          <w:rStyle w:val="Strong"/>
          <w:b/>
          <w:i/>
          <w:color w:val="002060"/>
          <w:lang w:val="en-US"/>
        </w:rPr>
        <w:t xml:space="preserve"> </w:t>
      </w:r>
    </w:p>
    <w:p w:rsidR="00406347" w:rsidRDefault="00406347" w:rsidP="00406347">
      <w:pPr>
        <w:rPr>
          <w:lang w:eastAsia="x-none"/>
        </w:rPr>
      </w:pPr>
      <w:r>
        <w:rPr>
          <w:lang w:eastAsia="x-none"/>
        </w:rPr>
        <w:t>One of the major challenges facing many developing countries, including Ghana, has been the need for a more comprehensive, reliable and up-to-date statistics and indicators to monitor and evaluate the impact of development policies and programs on the living conditions of their citizens. The Ghana Living Standards Survey was an initiative aimed at addressing this need.</w:t>
      </w:r>
    </w:p>
    <w:p w:rsidR="00406347" w:rsidRDefault="00406347" w:rsidP="00406347">
      <w:pPr>
        <w:rPr>
          <w:lang w:eastAsia="x-none"/>
        </w:rPr>
      </w:pPr>
    </w:p>
    <w:p w:rsidR="00406347" w:rsidRDefault="00406347" w:rsidP="00406347">
      <w:pPr>
        <w:rPr>
          <w:lang w:eastAsia="x-none"/>
        </w:rPr>
      </w:pPr>
      <w:r>
        <w:rPr>
          <w:lang w:eastAsia="x-none"/>
        </w:rPr>
        <w:t>The Ghana Living Standards Survey (GLSS) has emerged as one of the important tools in the welfare monitoring system as it collects information from a nationally representative sample of households for the measurement of the living conditions and well-being of the population. GLSS was conducted in 1987, 1988, 1991/92, 1998/99, 2005/06 and in 2012/13. Three new modules have been introduced in last round: Labor Force Module focusing on employment and time use, a module on Household Access to Financial Services and a module on Governance, Peace and Security.</w:t>
      </w:r>
    </w:p>
    <w:p w:rsidR="00406347" w:rsidRDefault="00406347" w:rsidP="00406347">
      <w:pPr>
        <w:rPr>
          <w:lang w:eastAsia="x-none"/>
        </w:rPr>
      </w:pPr>
    </w:p>
    <w:p w:rsidR="00406347" w:rsidRDefault="00406347" w:rsidP="00406347">
      <w:pPr>
        <w:rPr>
          <w:lang w:eastAsia="x-none"/>
        </w:rPr>
      </w:pPr>
      <w:r>
        <w:rPr>
          <w:lang w:eastAsia="x-none"/>
        </w:rPr>
        <w:t xml:space="preserve">This chapter summarizes the results of two reports: </w:t>
      </w:r>
      <w:r w:rsidRPr="00DD6CC1">
        <w:rPr>
          <w:b/>
          <w:i/>
          <w:lang w:eastAsia="x-none"/>
        </w:rPr>
        <w:t>Poverty Profile in Ghana</w:t>
      </w:r>
      <w:r>
        <w:rPr>
          <w:lang w:eastAsia="x-none"/>
        </w:rPr>
        <w:t xml:space="preserve"> and </w:t>
      </w:r>
      <w:r w:rsidRPr="00DD6CC1">
        <w:rPr>
          <w:b/>
          <w:i/>
          <w:lang w:eastAsia="x-none"/>
        </w:rPr>
        <w:t>Ghana Labor Force Report</w:t>
      </w:r>
      <w:r>
        <w:rPr>
          <w:lang w:eastAsia="x-none"/>
        </w:rPr>
        <w:t xml:space="preserve">, both were published by Ghana Statistical Service (GSS) in </w:t>
      </w:r>
      <w:r w:rsidR="008E15F9">
        <w:rPr>
          <w:lang w:eastAsia="x-none"/>
        </w:rPr>
        <w:t xml:space="preserve">August </w:t>
      </w:r>
      <w:r>
        <w:rPr>
          <w:lang w:eastAsia="x-none"/>
        </w:rPr>
        <w:t>2014. These reports are based on the sixth round of the GLSS (GLSS 6) conducted by GSS over the period from 18th October 2012 to 17th October 2013. Additional reports based on the data are being prepared by the World Bank and will be available in coming months.</w:t>
      </w:r>
    </w:p>
    <w:p w:rsidR="00406347" w:rsidRDefault="00406347" w:rsidP="00406347">
      <w:pPr>
        <w:rPr>
          <w:lang w:eastAsia="x-none"/>
        </w:rPr>
      </w:pPr>
    </w:p>
    <w:p w:rsidR="009C2D97" w:rsidRDefault="00406347" w:rsidP="00406347">
      <w:pPr>
        <w:rPr>
          <w:lang w:eastAsia="x-none"/>
        </w:rPr>
      </w:pPr>
      <w:r>
        <w:rPr>
          <w:lang w:eastAsia="x-none"/>
        </w:rPr>
        <w:t>The reports by the GSS focus on GLSS6 data. While the reports do not seek to compare the results with the previous reports due to recent methodological changes, they provide comparable estimates for the 2005/06 survey, when possible, to reflect upon the changes</w:t>
      </w:r>
      <w:r w:rsidR="008E15F9">
        <w:rPr>
          <w:lang w:eastAsia="x-none"/>
        </w:rPr>
        <w:t>.</w:t>
      </w:r>
      <w:r>
        <w:rPr>
          <w:lang w:eastAsia="x-none"/>
        </w:rPr>
        <w:t xml:space="preserve"> In addition, several social intervention programs including the Livelihood Empowerment against Poverty (LEAP), Capitation Grant and School </w:t>
      </w:r>
    </w:p>
    <w:p w:rsidR="009C2D97" w:rsidRDefault="009C2D97" w:rsidP="00406347">
      <w:pPr>
        <w:rPr>
          <w:lang w:eastAsia="x-none"/>
        </w:rPr>
      </w:pPr>
    </w:p>
    <w:p w:rsidR="009C2D97" w:rsidRDefault="009C2D97" w:rsidP="00406347">
      <w:pPr>
        <w:rPr>
          <w:lang w:eastAsia="x-none"/>
        </w:rPr>
      </w:pPr>
    </w:p>
    <w:p w:rsidR="009C2D97" w:rsidRDefault="009C2D97" w:rsidP="00406347">
      <w:pPr>
        <w:rPr>
          <w:lang w:eastAsia="x-none"/>
        </w:rPr>
      </w:pPr>
    </w:p>
    <w:p w:rsidR="00406347" w:rsidRDefault="00406347" w:rsidP="00406347">
      <w:pPr>
        <w:rPr>
          <w:lang w:eastAsia="x-none"/>
        </w:rPr>
      </w:pPr>
      <w:r>
        <w:rPr>
          <w:lang w:eastAsia="x-none"/>
        </w:rPr>
        <w:t>Feeding Program have been implemented with the aim of alleviating poverty among the vulnerable population.</w:t>
      </w:r>
    </w:p>
    <w:p w:rsidR="00406347" w:rsidRDefault="00406347" w:rsidP="00406347">
      <w:pPr>
        <w:rPr>
          <w:lang w:eastAsia="x-none"/>
        </w:rPr>
      </w:pPr>
    </w:p>
    <w:p w:rsidR="00406347" w:rsidRPr="004011F8" w:rsidRDefault="00406347" w:rsidP="00434E5A">
      <w:pPr>
        <w:rPr>
          <w:rStyle w:val="Strong"/>
          <w:b w:val="0"/>
          <w:color w:val="002060"/>
          <w:szCs w:val="22"/>
        </w:rPr>
      </w:pPr>
      <w:r w:rsidRPr="004011F8">
        <w:rPr>
          <w:rStyle w:val="Strong"/>
          <w:color w:val="002060"/>
          <w:szCs w:val="22"/>
        </w:rPr>
        <w:t>Main findings</w:t>
      </w:r>
      <w:r>
        <w:rPr>
          <w:rStyle w:val="Strong"/>
          <w:color w:val="002060"/>
          <w:szCs w:val="22"/>
        </w:rPr>
        <w:t>:</w:t>
      </w:r>
    </w:p>
    <w:p w:rsidR="00406347" w:rsidRDefault="00406347" w:rsidP="00406347">
      <w:pPr>
        <w:rPr>
          <w:lang w:eastAsia="x-none"/>
        </w:rPr>
      </w:pPr>
      <w:r>
        <w:rPr>
          <w:lang w:eastAsia="x-none"/>
        </w:rPr>
        <w:t>•</w:t>
      </w:r>
      <w:r>
        <w:rPr>
          <w:lang w:eastAsia="x-none"/>
        </w:rPr>
        <w:tab/>
        <w:t xml:space="preserve">About a quarter of Ghanaians are poor whilst those considered as extreme poor are a little less than a tenth of the population. Poverty in Ghana remains a rural phenomenon as more than a quarter of people living in the rural savannah are extremely poor. </w:t>
      </w:r>
    </w:p>
    <w:p w:rsidR="00406347" w:rsidRDefault="00406347" w:rsidP="00406347">
      <w:pPr>
        <w:rPr>
          <w:lang w:eastAsia="x-none"/>
        </w:rPr>
      </w:pPr>
    </w:p>
    <w:p w:rsidR="009572CA" w:rsidRDefault="00406347" w:rsidP="00406347">
      <w:pPr>
        <w:rPr>
          <w:lang w:eastAsia="x-none"/>
        </w:rPr>
      </w:pPr>
      <w:r>
        <w:rPr>
          <w:lang w:eastAsia="x-none"/>
        </w:rPr>
        <w:t>•</w:t>
      </w:r>
      <w:r>
        <w:rPr>
          <w:lang w:eastAsia="x-none"/>
        </w:rPr>
        <w:tab/>
        <w:t>Farmers are not just the poorest in Ghana, but they contribute the m</w:t>
      </w:r>
      <w:r w:rsidR="00646934">
        <w:rPr>
          <w:lang w:eastAsia="x-none"/>
        </w:rPr>
        <w:t xml:space="preserve">ost to Ghana’s poverty levels. </w:t>
      </w:r>
      <w:r w:rsidR="009C12FD">
        <w:rPr>
          <w:lang w:eastAsia="x-none"/>
        </w:rPr>
        <w:t>On the other hand, poverty incidence is the l</w:t>
      </w:r>
      <w:r w:rsidR="009C2D97">
        <w:rPr>
          <w:lang w:eastAsia="x-none"/>
        </w:rPr>
        <w:t>owes</w:t>
      </w:r>
      <w:r w:rsidR="009C12FD">
        <w:rPr>
          <w:lang w:eastAsia="x-none"/>
        </w:rPr>
        <w:t>t among p</w:t>
      </w:r>
      <w:r w:rsidR="00646934">
        <w:rPr>
          <w:lang w:eastAsia="x-none"/>
        </w:rPr>
        <w:t>ublic</w:t>
      </w:r>
      <w:r w:rsidR="009C12FD">
        <w:rPr>
          <w:lang w:eastAsia="x-none"/>
        </w:rPr>
        <w:t xml:space="preserve"> employees. </w:t>
      </w:r>
      <w:r w:rsidR="00646934">
        <w:rPr>
          <w:lang w:eastAsia="x-none"/>
        </w:rPr>
        <w:t xml:space="preserve"> </w:t>
      </w:r>
    </w:p>
    <w:p w:rsidR="009572CA" w:rsidRDefault="009572CA" w:rsidP="00406347">
      <w:pPr>
        <w:rPr>
          <w:lang w:eastAsia="x-none"/>
        </w:rPr>
      </w:pPr>
    </w:p>
    <w:p w:rsidR="00406347" w:rsidRDefault="009572CA" w:rsidP="00406347">
      <w:pPr>
        <w:rPr>
          <w:lang w:eastAsia="x-none"/>
        </w:rPr>
      </w:pPr>
      <w:r>
        <w:rPr>
          <w:lang w:eastAsia="x-none"/>
        </w:rPr>
        <w:t>•</w:t>
      </w:r>
      <w:r>
        <w:rPr>
          <w:lang w:eastAsia="x-none"/>
        </w:rPr>
        <w:tab/>
      </w:r>
      <w:r w:rsidR="00406347">
        <w:rPr>
          <w:lang w:eastAsia="x-none"/>
        </w:rPr>
        <w:t xml:space="preserve">Lack of education is still a hindrance to poverty reduction. Aside the fact that households with uneducated household heads are the poorest in Ghana, they contribute the most to Ghana poverty incidence. </w:t>
      </w:r>
    </w:p>
    <w:p w:rsidR="00406347" w:rsidRDefault="00406347" w:rsidP="00406347">
      <w:pPr>
        <w:rPr>
          <w:lang w:eastAsia="x-none"/>
        </w:rPr>
      </w:pPr>
    </w:p>
    <w:p w:rsidR="00406347" w:rsidRDefault="00406347" w:rsidP="00406347">
      <w:pPr>
        <w:rPr>
          <w:lang w:eastAsia="x-none"/>
        </w:rPr>
      </w:pPr>
      <w:r>
        <w:rPr>
          <w:lang w:eastAsia="x-none"/>
        </w:rPr>
        <w:t>•</w:t>
      </w:r>
      <w:r>
        <w:rPr>
          <w:lang w:eastAsia="x-none"/>
        </w:rPr>
        <w:tab/>
        <w:t xml:space="preserve">Income inequality—measured by the Gini coefficient—has increased slightly from 41.9 in 2005/06 to 42.3 in 2012/13. The increase, even if it is small, implies that a lot more Ghanaians did not benefit from the robust growth rates since 2005. </w:t>
      </w:r>
    </w:p>
    <w:p w:rsidR="00406347" w:rsidRDefault="00406347" w:rsidP="00406347">
      <w:pPr>
        <w:rPr>
          <w:lang w:eastAsia="x-none"/>
        </w:rPr>
      </w:pPr>
      <w:r>
        <w:rPr>
          <w:lang w:eastAsia="x-none"/>
        </w:rPr>
        <w:t>•</w:t>
      </w:r>
      <w:r>
        <w:rPr>
          <w:lang w:eastAsia="x-none"/>
        </w:rPr>
        <w:tab/>
        <w:t xml:space="preserve">The unemployment rate is stated as 4 percent for 2012/13. While this rate is quite low in any international standards, the numbers should be evaluated against the size of informal sector as well under-employment in Ghana.  On average 33 percent of employed people’s time is deemed to be inactive; i.e. there is underemployment.  </w:t>
      </w:r>
    </w:p>
    <w:p w:rsidR="00406347" w:rsidRDefault="00406347" w:rsidP="00406347">
      <w:pPr>
        <w:rPr>
          <w:lang w:eastAsia="x-none"/>
        </w:rPr>
      </w:pPr>
    </w:p>
    <w:p w:rsidR="00E7229D" w:rsidRDefault="00E7229D" w:rsidP="00406347">
      <w:pPr>
        <w:rPr>
          <w:lang w:eastAsia="x-none"/>
        </w:rPr>
      </w:pPr>
    </w:p>
    <w:p w:rsidR="00E7229D" w:rsidRDefault="00E7229D" w:rsidP="00406347">
      <w:pPr>
        <w:rPr>
          <w:lang w:eastAsia="x-none"/>
        </w:rPr>
      </w:pPr>
    </w:p>
    <w:p w:rsidR="00870748" w:rsidRDefault="00870748" w:rsidP="00406347">
      <w:pPr>
        <w:rPr>
          <w:lang w:eastAsia="x-none"/>
        </w:rPr>
      </w:pPr>
    </w:p>
    <w:p w:rsidR="00870748" w:rsidRDefault="00870748" w:rsidP="00406347">
      <w:pPr>
        <w:rPr>
          <w:lang w:eastAsia="x-none"/>
        </w:rPr>
      </w:pPr>
    </w:p>
    <w:p w:rsidR="00870748" w:rsidRDefault="00870748" w:rsidP="00406347">
      <w:pPr>
        <w:rPr>
          <w:lang w:eastAsia="x-none"/>
        </w:rPr>
      </w:pPr>
    </w:p>
    <w:p w:rsidR="009C2D97" w:rsidRDefault="009C2D97" w:rsidP="00406347">
      <w:pPr>
        <w:rPr>
          <w:lang w:eastAsia="x-none"/>
        </w:rPr>
      </w:pPr>
    </w:p>
    <w:p w:rsidR="009C2D97" w:rsidRDefault="009C2D97" w:rsidP="00406347">
      <w:pPr>
        <w:rPr>
          <w:lang w:eastAsia="x-none"/>
        </w:rPr>
      </w:pPr>
    </w:p>
    <w:p w:rsidR="00406347" w:rsidRPr="00E8055D" w:rsidRDefault="00406347" w:rsidP="008C7FBC">
      <w:pPr>
        <w:pStyle w:val="Heading1"/>
        <w:keepNext w:val="0"/>
        <w:keepLines w:val="0"/>
        <w:numPr>
          <w:ilvl w:val="0"/>
          <w:numId w:val="7"/>
        </w:numPr>
        <w:spacing w:before="0" w:after="200" w:line="264" w:lineRule="auto"/>
        <w:rPr>
          <w:rStyle w:val="Strong"/>
          <w:b/>
          <w:i/>
          <w:color w:val="002060"/>
          <w:lang w:val="en-US"/>
        </w:rPr>
      </w:pPr>
      <w:r w:rsidRPr="00E8055D">
        <w:rPr>
          <w:rStyle w:val="Heading2Char"/>
        </w:rPr>
        <w:lastRenderedPageBreak/>
        <w:t xml:space="preserve"> </w:t>
      </w:r>
      <w:bookmarkStart w:id="30" w:name="_Toc399919642"/>
      <w:r w:rsidRPr="00E8055D">
        <w:rPr>
          <w:rStyle w:val="Strong"/>
          <w:b/>
          <w:i/>
          <w:color w:val="002060"/>
          <w:lang w:val="en-US"/>
        </w:rPr>
        <w:t>Poverty and Inequality in Ghana</w:t>
      </w:r>
      <w:bookmarkEnd w:id="30"/>
    </w:p>
    <w:p w:rsidR="00406347" w:rsidRDefault="00406347" w:rsidP="00406347">
      <w:pPr>
        <w:rPr>
          <w:lang w:eastAsia="x-none"/>
        </w:rPr>
      </w:pPr>
      <w:r>
        <w:rPr>
          <w:lang w:eastAsia="x-none"/>
        </w:rPr>
        <w:t xml:space="preserve">The </w:t>
      </w:r>
      <w:r w:rsidRPr="007312D0">
        <w:rPr>
          <w:lang w:eastAsia="x-none"/>
        </w:rPr>
        <w:t xml:space="preserve">Poverty Profile in Ghana </w:t>
      </w:r>
      <w:r>
        <w:rPr>
          <w:lang w:eastAsia="x-none"/>
        </w:rPr>
        <w:t xml:space="preserve">report examines the poverty levels and patterns in Ghana among geographical and administrative regions as well as among the various socioeconomic groups to better understand the improvements in poverty levels in Ghana as well as remaining vulnerabilities. The analysis </w:t>
      </w:r>
      <w:r w:rsidR="00D73A19">
        <w:rPr>
          <w:lang w:eastAsia="x-none"/>
        </w:rPr>
        <w:t>is based mostly</w:t>
      </w:r>
      <w:r>
        <w:rPr>
          <w:lang w:eastAsia="x-none"/>
        </w:rPr>
        <w:t xml:space="preserve"> on two indicators: the poverty incidence (P0) which measures the proportion of the population that is poor, and the </w:t>
      </w:r>
      <w:r w:rsidR="00D73A19">
        <w:rPr>
          <w:lang w:eastAsia="x-none"/>
        </w:rPr>
        <w:t xml:space="preserve">poverty </w:t>
      </w:r>
      <w:r>
        <w:rPr>
          <w:lang w:eastAsia="x-none"/>
        </w:rPr>
        <w:t>gap index (P1) which measures intensity of poverty in a country. The gap index is the average ratio of the gap to which individuals fall below the poverty line (for non-poor the gap is counted as zero) as the proportion of the poverty line. The measure does not reflect changes in inequality among the poor, but it adds up the extent to which individuals on average fall below the poverty line, and expresses it as a percentage of the poverty line.</w:t>
      </w:r>
    </w:p>
    <w:p w:rsidR="00406347" w:rsidRDefault="00406347" w:rsidP="00406347">
      <w:pPr>
        <w:rPr>
          <w:lang w:eastAsia="x-none"/>
        </w:rPr>
      </w:pPr>
    </w:p>
    <w:p w:rsidR="00406347" w:rsidRDefault="00406347" w:rsidP="00406347">
      <w:pPr>
        <w:rPr>
          <w:lang w:eastAsia="x-none"/>
        </w:rPr>
      </w:pPr>
      <w:r>
        <w:rPr>
          <w:lang w:eastAsia="x-none"/>
        </w:rPr>
        <w:t xml:space="preserve">The report findings are based on the revised poverty lines for Ghana. As the consumption patterns changed, </w:t>
      </w:r>
      <w:r w:rsidR="00D73A19">
        <w:rPr>
          <w:lang w:eastAsia="x-none"/>
        </w:rPr>
        <w:t>GSS</w:t>
      </w:r>
      <w:r w:rsidR="00F2534C">
        <w:rPr>
          <w:lang w:eastAsia="x-none"/>
        </w:rPr>
        <w:t xml:space="preserve"> </w:t>
      </w:r>
      <w:r w:rsidR="00D73A19">
        <w:rPr>
          <w:lang w:eastAsia="x-none"/>
        </w:rPr>
        <w:t>was deemed</w:t>
      </w:r>
      <w:r>
        <w:rPr>
          <w:lang w:eastAsia="x-none"/>
        </w:rPr>
        <w:t xml:space="preserve"> necessary to update the</w:t>
      </w:r>
      <w:r w:rsidR="00D73A19">
        <w:rPr>
          <w:lang w:eastAsia="x-none"/>
        </w:rPr>
        <w:t xml:space="preserve"> composition of</w:t>
      </w:r>
      <w:r>
        <w:rPr>
          <w:lang w:eastAsia="x-none"/>
        </w:rPr>
        <w:t xml:space="preserve"> minimum </w:t>
      </w:r>
      <w:r w:rsidR="00D73A19">
        <w:rPr>
          <w:lang w:eastAsia="x-none"/>
        </w:rPr>
        <w:t xml:space="preserve">consumption </w:t>
      </w:r>
      <w:r>
        <w:rPr>
          <w:lang w:eastAsia="x-none"/>
        </w:rPr>
        <w:t xml:space="preserve">basket </w:t>
      </w:r>
      <w:r w:rsidR="00D73A19">
        <w:rPr>
          <w:lang w:eastAsia="x-none"/>
        </w:rPr>
        <w:t>to attain</w:t>
      </w:r>
      <w:r>
        <w:rPr>
          <w:lang w:eastAsia="x-none"/>
        </w:rPr>
        <w:t xml:space="preserve"> an acceptable living standard</w:t>
      </w:r>
      <w:r w:rsidR="00D73A19">
        <w:rPr>
          <w:lang w:eastAsia="x-none"/>
        </w:rPr>
        <w:t xml:space="preserve">. </w:t>
      </w:r>
      <w:r>
        <w:rPr>
          <w:lang w:eastAsia="x-none"/>
        </w:rPr>
        <w:t xml:space="preserve"> </w:t>
      </w:r>
    </w:p>
    <w:p w:rsidR="00406347" w:rsidRDefault="00406347" w:rsidP="00406347">
      <w:pPr>
        <w:rPr>
          <w:lang w:eastAsia="x-none"/>
        </w:rPr>
      </w:pPr>
    </w:p>
    <w:p w:rsidR="00406347" w:rsidRDefault="00406347" w:rsidP="00406347">
      <w:pPr>
        <w:rPr>
          <w:lang w:eastAsia="x-none"/>
        </w:rPr>
      </w:pPr>
      <w:r>
        <w:rPr>
          <w:lang w:eastAsia="x-none"/>
        </w:rPr>
        <w:t xml:space="preserve">Based on the </w:t>
      </w:r>
      <w:r w:rsidR="00D73A19">
        <w:rPr>
          <w:lang w:eastAsia="x-none"/>
        </w:rPr>
        <w:t xml:space="preserve">revised </w:t>
      </w:r>
      <w:r>
        <w:rPr>
          <w:lang w:eastAsia="x-none"/>
        </w:rPr>
        <w:t xml:space="preserve">consumption basket, the </w:t>
      </w:r>
      <w:r w:rsidRPr="007312D0">
        <w:rPr>
          <w:i/>
          <w:lang w:eastAsia="x-none"/>
        </w:rPr>
        <w:t>extreme poverty</w:t>
      </w:r>
      <w:r>
        <w:rPr>
          <w:lang w:eastAsia="x-none"/>
        </w:rPr>
        <w:t xml:space="preserve"> line for Ghana is Ghs</w:t>
      </w:r>
      <w:r w:rsidR="00D73A19">
        <w:rPr>
          <w:lang w:eastAsia="x-none"/>
        </w:rPr>
        <w:t xml:space="preserve"> </w:t>
      </w:r>
      <w:r>
        <w:rPr>
          <w:lang w:eastAsia="x-none"/>
        </w:rPr>
        <w:t xml:space="preserve">792.05 per adult per year. This is </w:t>
      </w:r>
      <w:r w:rsidR="00D73A19">
        <w:rPr>
          <w:lang w:eastAsia="x-none"/>
        </w:rPr>
        <w:t xml:space="preserve">the cost of the consumption basket </w:t>
      </w:r>
      <w:r>
        <w:rPr>
          <w:lang w:eastAsia="x-none"/>
        </w:rPr>
        <w:t xml:space="preserve">needed to meet the nutritional </w:t>
      </w:r>
      <w:r>
        <w:rPr>
          <w:lang w:eastAsia="x-none"/>
        </w:rPr>
        <w:lastRenderedPageBreak/>
        <w:t>requirements of household members. Individuals whose total expenditure falls below this line are considered to be in extreme poverty</w:t>
      </w:r>
      <w:r w:rsidR="006659AB">
        <w:rPr>
          <w:lang w:eastAsia="x-none"/>
        </w:rPr>
        <w:t xml:space="preserve">. </w:t>
      </w:r>
      <w:r>
        <w:rPr>
          <w:lang w:eastAsia="x-none"/>
        </w:rPr>
        <w:t xml:space="preserve">The </w:t>
      </w:r>
      <w:r w:rsidRPr="007312D0">
        <w:rPr>
          <w:i/>
          <w:lang w:eastAsia="x-none"/>
        </w:rPr>
        <w:t>absolute poverty</w:t>
      </w:r>
      <w:r>
        <w:rPr>
          <w:lang w:eastAsia="x-none"/>
        </w:rPr>
        <w:t xml:space="preserve"> line is Ghs 1,314.00 per adult per year. This incorporates both essential food and non-food consumption. </w:t>
      </w:r>
    </w:p>
    <w:p w:rsidR="00406347" w:rsidRDefault="00406347" w:rsidP="00406347">
      <w:pPr>
        <w:rPr>
          <w:lang w:eastAsia="x-none"/>
        </w:rPr>
      </w:pPr>
    </w:p>
    <w:p w:rsidR="00406347" w:rsidRDefault="00406347" w:rsidP="00406347">
      <w:pPr>
        <w:rPr>
          <w:lang w:eastAsia="x-none"/>
        </w:rPr>
      </w:pPr>
      <w:r w:rsidRPr="00F20040">
        <w:rPr>
          <w:b/>
          <w:lang w:eastAsia="x-none"/>
        </w:rPr>
        <w:t xml:space="preserve">According to the </w:t>
      </w:r>
      <w:r w:rsidR="006659AB">
        <w:rPr>
          <w:b/>
          <w:lang w:eastAsia="x-none"/>
        </w:rPr>
        <w:t>GLSS</w:t>
      </w:r>
      <w:r w:rsidR="00D73A19">
        <w:rPr>
          <w:b/>
          <w:lang w:eastAsia="x-none"/>
        </w:rPr>
        <w:t>6 results</w:t>
      </w:r>
      <w:r w:rsidRPr="00F20040">
        <w:rPr>
          <w:b/>
          <w:lang w:eastAsia="x-none"/>
        </w:rPr>
        <w:t xml:space="preserve">, </w:t>
      </w:r>
      <w:r w:rsidR="00D73A19">
        <w:rPr>
          <w:b/>
          <w:lang w:eastAsia="x-none"/>
        </w:rPr>
        <w:t>24.2</w:t>
      </w:r>
      <w:r w:rsidR="006659AB">
        <w:rPr>
          <w:b/>
          <w:lang w:eastAsia="x-none"/>
        </w:rPr>
        <w:t xml:space="preserve"> percent</w:t>
      </w:r>
      <w:r w:rsidRPr="00F20040">
        <w:rPr>
          <w:b/>
          <w:lang w:eastAsia="x-none"/>
        </w:rPr>
        <w:t xml:space="preserve"> of Ghanaians were poor, whilst those considered as extreme poor were 8.4 percent of the population.</w:t>
      </w:r>
      <w:r>
        <w:rPr>
          <w:lang w:eastAsia="x-none"/>
        </w:rPr>
        <w:t xml:space="preserve"> About 5.9 million people in Ghana live</w:t>
      </w:r>
      <w:r w:rsidR="005379AD">
        <w:rPr>
          <w:lang w:eastAsia="x-none"/>
        </w:rPr>
        <w:t>d</w:t>
      </w:r>
      <w:r>
        <w:rPr>
          <w:lang w:eastAsia="x-none"/>
        </w:rPr>
        <w:t xml:space="preserve"> on less than Ghs 1,314.00 in 2013</w:t>
      </w:r>
      <w:r w:rsidR="006659AB">
        <w:rPr>
          <w:lang w:eastAsia="x-none"/>
        </w:rPr>
        <w:t>.</w:t>
      </w:r>
      <w:r w:rsidR="00AE2496">
        <w:rPr>
          <w:lang w:eastAsia="x-none"/>
        </w:rPr>
        <w:t xml:space="preserve"> More than two million</w:t>
      </w:r>
      <w:r>
        <w:rPr>
          <w:lang w:eastAsia="x-none"/>
        </w:rPr>
        <w:t xml:space="preserve"> Ghanaians are extremely poor and cannot afford to feed themselves in order to consume 2,900 calories per adult equivalent of food per day, even if they were to spend all their </w:t>
      </w:r>
      <w:r w:rsidR="005379AD">
        <w:rPr>
          <w:lang w:eastAsia="x-none"/>
        </w:rPr>
        <w:t xml:space="preserve">income </w:t>
      </w:r>
      <w:r>
        <w:rPr>
          <w:lang w:eastAsia="x-none"/>
        </w:rPr>
        <w:t>on food (</w:t>
      </w:r>
      <w:r w:rsidR="00E91B71">
        <w:rPr>
          <w:lang w:eastAsia="x-none"/>
        </w:rPr>
        <w:t>t</w:t>
      </w:r>
      <w:r>
        <w:rPr>
          <w:lang w:eastAsia="x-none"/>
        </w:rPr>
        <w:t>able 2.1, figure 2.1).</w:t>
      </w:r>
    </w:p>
    <w:p w:rsidR="00406347" w:rsidRDefault="00406347" w:rsidP="00406347">
      <w:pPr>
        <w:rPr>
          <w:lang w:eastAsia="x-none"/>
        </w:rPr>
      </w:pPr>
    </w:p>
    <w:p w:rsidR="006659AB" w:rsidRDefault="00103C00" w:rsidP="00406347">
      <w:pPr>
        <w:rPr>
          <w:lang w:eastAsia="x-none"/>
        </w:rPr>
      </w:pPr>
      <w:r w:rsidRPr="00103C00">
        <w:rPr>
          <w:noProof/>
        </w:rPr>
        <w:drawing>
          <wp:anchor distT="0" distB="0" distL="114300" distR="114300" simplePos="0" relativeHeight="251676672" behindDoc="0" locked="0" layoutInCell="1" allowOverlap="1" wp14:anchorId="619690C8" wp14:editId="683D27D0">
            <wp:simplePos x="0" y="0"/>
            <wp:positionH relativeFrom="margin">
              <wp:posOffset>29845</wp:posOffset>
            </wp:positionH>
            <wp:positionV relativeFrom="margin">
              <wp:posOffset>5593080</wp:posOffset>
            </wp:positionV>
            <wp:extent cx="5992495" cy="2720340"/>
            <wp:effectExtent l="0" t="0" r="825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92495" cy="2720340"/>
                    </a:xfrm>
                    <a:prstGeom prst="rect">
                      <a:avLst/>
                    </a:prstGeom>
                    <a:noFill/>
                    <a:ln>
                      <a:noFill/>
                    </a:ln>
                  </pic:spPr>
                </pic:pic>
              </a:graphicData>
            </a:graphic>
            <wp14:sizeRelH relativeFrom="margin">
              <wp14:pctWidth>0</wp14:pctWidth>
            </wp14:sizeRelH>
            <wp14:sizeRelV relativeFrom="page">
              <wp14:pctHeight>0</wp14:pctHeight>
            </wp14:sizeRelV>
          </wp:anchor>
        </w:drawing>
      </w:r>
      <w:r w:rsidR="00406347" w:rsidRPr="00F20040">
        <w:rPr>
          <w:b/>
          <w:lang w:eastAsia="x-none"/>
        </w:rPr>
        <w:t xml:space="preserve">This represents a significant reduction in poverty rates </w:t>
      </w:r>
      <w:r w:rsidR="005379AD">
        <w:rPr>
          <w:b/>
          <w:lang w:eastAsia="x-none"/>
        </w:rPr>
        <w:t>since 2006</w:t>
      </w:r>
      <w:r w:rsidR="00406347" w:rsidRPr="00F20040">
        <w:rPr>
          <w:b/>
          <w:lang w:eastAsia="x-none"/>
        </w:rPr>
        <w:t>.</w:t>
      </w:r>
      <w:r w:rsidR="00406347">
        <w:rPr>
          <w:lang w:eastAsia="x-none"/>
        </w:rPr>
        <w:t xml:space="preserve"> Since the consumption basket was recalculated in GLSS 6, </w:t>
      </w:r>
      <w:r w:rsidR="005379AD">
        <w:rPr>
          <w:lang w:eastAsia="x-none"/>
        </w:rPr>
        <w:t xml:space="preserve">some </w:t>
      </w:r>
      <w:r w:rsidR="00406347">
        <w:rPr>
          <w:lang w:eastAsia="x-none"/>
        </w:rPr>
        <w:t xml:space="preserve">adjustments are required to make the results of the previous survey comparable. After such adjustments, the comparison shows that Ghana experienced a 7.7 percentage point reduction in overall poverty and 8.1 percentage point in extreme poverty since 2005/06. Poverty rates in both urban and rural areas were reduced albeit from smaller levels in urban areas. The significant reduction strengthens Ghana’s position to achieve the first Millennium Development Goal, which seeks to halve the poverty rates by 2015 from the rate in 1991/92 </w:t>
      </w:r>
    </w:p>
    <w:p w:rsidR="006659AB" w:rsidRDefault="003E3397" w:rsidP="00406347">
      <w:pPr>
        <w:rPr>
          <w:lang w:eastAsia="x-none"/>
        </w:rPr>
      </w:pPr>
      <w:r w:rsidRPr="003E3397">
        <w:rPr>
          <w:noProof/>
        </w:rPr>
        <w:lastRenderedPageBreak/>
        <w:drawing>
          <wp:anchor distT="0" distB="0" distL="114300" distR="114300" simplePos="0" relativeHeight="251677696" behindDoc="0" locked="0" layoutInCell="1" allowOverlap="1" wp14:anchorId="0D2D4AA1" wp14:editId="1D94C3D4">
            <wp:simplePos x="0" y="0"/>
            <wp:positionH relativeFrom="margin">
              <wp:posOffset>680720</wp:posOffset>
            </wp:positionH>
            <wp:positionV relativeFrom="margin">
              <wp:posOffset>30480</wp:posOffset>
            </wp:positionV>
            <wp:extent cx="4663440" cy="2393315"/>
            <wp:effectExtent l="0" t="0" r="3810" b="698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3440" cy="239331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406347" w:rsidRDefault="00406347" w:rsidP="00406347">
      <w:pPr>
        <w:rPr>
          <w:lang w:eastAsia="x-none"/>
        </w:rPr>
      </w:pPr>
      <w:r>
        <w:rPr>
          <w:lang w:eastAsia="x-none"/>
        </w:rPr>
        <w:t xml:space="preserve">(51.7percent) at a minimum basket (poverty line) of Ghs 3,708 in 1991/92. </w:t>
      </w:r>
    </w:p>
    <w:p w:rsidR="00406347" w:rsidRDefault="00406347" w:rsidP="00406347">
      <w:pPr>
        <w:rPr>
          <w:b/>
          <w:lang w:eastAsia="x-none"/>
        </w:rPr>
      </w:pPr>
    </w:p>
    <w:p w:rsidR="00406347" w:rsidRDefault="00406347" w:rsidP="00406347">
      <w:pPr>
        <w:rPr>
          <w:lang w:eastAsia="x-none"/>
        </w:rPr>
      </w:pPr>
      <w:r w:rsidRPr="00B86F13">
        <w:rPr>
          <w:b/>
          <w:lang w:eastAsia="x-none"/>
        </w:rPr>
        <w:t>The poverty decline in Ghana has not been evenly distributed geographically</w:t>
      </w:r>
      <w:r>
        <w:rPr>
          <w:b/>
          <w:lang w:eastAsia="x-none"/>
        </w:rPr>
        <w:t>, however</w:t>
      </w:r>
      <w:r w:rsidRPr="00B86F13">
        <w:rPr>
          <w:b/>
          <w:lang w:eastAsia="x-none"/>
        </w:rPr>
        <w:t>.</w:t>
      </w:r>
      <w:r>
        <w:rPr>
          <w:lang w:eastAsia="x-none"/>
        </w:rPr>
        <w:t xml:space="preserve"> The poverty rates declined significantly in Accra, urban and rural Savannah and rural coastal, while it increased in urban and rural forest and urban coastal (figure 2.2). </w:t>
      </w:r>
    </w:p>
    <w:p w:rsidR="00406347" w:rsidRDefault="00406347" w:rsidP="00406347">
      <w:pPr>
        <w:rPr>
          <w:lang w:eastAsia="x-none"/>
        </w:rPr>
      </w:pPr>
    </w:p>
    <w:p w:rsidR="00226809" w:rsidRDefault="00406347">
      <w:pPr>
        <w:rPr>
          <w:lang w:eastAsia="x-none"/>
        </w:rPr>
      </w:pPr>
      <w:r w:rsidRPr="00B86F13">
        <w:rPr>
          <w:b/>
          <w:lang w:eastAsia="x-none"/>
        </w:rPr>
        <w:t>Poverty continues to be a disproportionately rural phenomenon.</w:t>
      </w:r>
      <w:r>
        <w:rPr>
          <w:lang w:eastAsia="x-none"/>
        </w:rPr>
        <w:t xml:space="preserve"> According to 2012/13 survey, 50 percent of the Ghanaians living in the rural communities contributed as much as 78 percent to the national poverty incidence levels, whilst the remaining half living in urban communities contribute just 22 percent. Among rural localities</w:t>
      </w:r>
      <w:r w:rsidR="006659AB">
        <w:rPr>
          <w:lang w:eastAsia="x-none"/>
        </w:rPr>
        <w:t xml:space="preserve">, </w:t>
      </w:r>
      <w:r>
        <w:rPr>
          <w:lang w:eastAsia="x-none"/>
        </w:rPr>
        <w:t xml:space="preserve">the poverty incidence is much higher among </w:t>
      </w:r>
    </w:p>
    <w:p w:rsidR="00226809" w:rsidRDefault="00226809">
      <w:pPr>
        <w:rPr>
          <w:lang w:eastAsia="x-none"/>
        </w:rPr>
      </w:pPr>
    </w:p>
    <w:p w:rsidR="00406347" w:rsidRDefault="00C66E54">
      <w:pPr>
        <w:rPr>
          <w:lang w:eastAsia="x-none"/>
        </w:rPr>
      </w:pPr>
      <w:r w:rsidRPr="00C66E54">
        <w:rPr>
          <w:noProof/>
        </w:rPr>
        <w:drawing>
          <wp:anchor distT="0" distB="0" distL="114300" distR="114300" simplePos="0" relativeHeight="251678720" behindDoc="0" locked="0" layoutInCell="1" allowOverlap="1" wp14:anchorId="6F295E79" wp14:editId="211A4C95">
            <wp:simplePos x="0" y="0"/>
            <wp:positionH relativeFrom="margin">
              <wp:posOffset>677545</wp:posOffset>
            </wp:positionH>
            <wp:positionV relativeFrom="margin">
              <wp:posOffset>5882640</wp:posOffset>
            </wp:positionV>
            <wp:extent cx="4645660" cy="2423160"/>
            <wp:effectExtent l="0" t="0" r="254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45660" cy="2423160"/>
                    </a:xfrm>
                    <a:prstGeom prst="rect">
                      <a:avLst/>
                    </a:prstGeom>
                    <a:noFill/>
                    <a:ln>
                      <a:noFill/>
                    </a:ln>
                  </pic:spPr>
                </pic:pic>
              </a:graphicData>
            </a:graphic>
            <wp14:sizeRelH relativeFrom="margin">
              <wp14:pctWidth>0</wp14:pctWidth>
            </wp14:sizeRelH>
            <wp14:sizeRelV relativeFrom="page">
              <wp14:pctHeight>0</wp14:pctHeight>
            </wp14:sizeRelV>
          </wp:anchor>
        </w:drawing>
      </w:r>
      <w:r w:rsidR="00406347">
        <w:rPr>
          <w:lang w:eastAsia="x-none"/>
        </w:rPr>
        <w:t xml:space="preserve">those living in </w:t>
      </w:r>
      <w:r w:rsidR="005379AD">
        <w:rPr>
          <w:lang w:eastAsia="x-none"/>
        </w:rPr>
        <w:t xml:space="preserve">Rural Savannah </w:t>
      </w:r>
      <w:r w:rsidR="00406347">
        <w:rPr>
          <w:lang w:eastAsia="x-none"/>
        </w:rPr>
        <w:t>localities</w:t>
      </w:r>
      <w:r w:rsidR="005379AD">
        <w:rPr>
          <w:lang w:eastAsia="x-none"/>
        </w:rPr>
        <w:t xml:space="preserve"> (55</w:t>
      </w:r>
      <w:r w:rsidR="006659AB">
        <w:rPr>
          <w:lang w:eastAsia="x-none"/>
        </w:rPr>
        <w:t xml:space="preserve"> percent</w:t>
      </w:r>
      <w:r w:rsidR="005379AD">
        <w:rPr>
          <w:lang w:eastAsia="x-none"/>
        </w:rPr>
        <w:t>)</w:t>
      </w:r>
      <w:r w:rsidR="00406347">
        <w:rPr>
          <w:lang w:eastAsia="x-none"/>
        </w:rPr>
        <w:t xml:space="preserve">. The report indicates that in 2012/13 contribution to poverty incidence in </w:t>
      </w:r>
      <w:r w:rsidR="005379AD">
        <w:rPr>
          <w:lang w:eastAsia="x-none"/>
        </w:rPr>
        <w:t xml:space="preserve">Rural Savannah </w:t>
      </w:r>
      <w:r w:rsidR="00406347">
        <w:rPr>
          <w:lang w:eastAsia="x-none"/>
        </w:rPr>
        <w:t xml:space="preserve">localities is higher than </w:t>
      </w:r>
      <w:r w:rsidR="005379AD">
        <w:rPr>
          <w:lang w:eastAsia="x-none"/>
        </w:rPr>
        <w:t xml:space="preserve">Rural Coastal </w:t>
      </w:r>
      <w:r w:rsidR="00406347">
        <w:rPr>
          <w:lang w:eastAsia="x-none"/>
        </w:rPr>
        <w:t xml:space="preserve">and </w:t>
      </w:r>
      <w:r w:rsidR="005379AD">
        <w:rPr>
          <w:lang w:eastAsia="x-none"/>
        </w:rPr>
        <w:t xml:space="preserve">Rural Forest </w:t>
      </w:r>
      <w:r w:rsidR="00406347">
        <w:rPr>
          <w:lang w:eastAsia="x-none"/>
        </w:rPr>
        <w:t xml:space="preserve">localities combined. Notably, </w:t>
      </w:r>
      <w:r w:rsidR="005379AD">
        <w:rPr>
          <w:lang w:eastAsia="x-none"/>
        </w:rPr>
        <w:t xml:space="preserve">Rural </w:t>
      </w:r>
      <w:r w:rsidR="00406347">
        <w:rPr>
          <w:lang w:eastAsia="x-none"/>
        </w:rPr>
        <w:t>Savannah contribute</w:t>
      </w:r>
      <w:r w:rsidR="005379AD">
        <w:rPr>
          <w:lang w:eastAsia="x-none"/>
        </w:rPr>
        <w:t>s</w:t>
      </w:r>
      <w:r w:rsidR="00406347">
        <w:rPr>
          <w:lang w:eastAsia="x-none"/>
        </w:rPr>
        <w:t xml:space="preserve"> </w:t>
      </w:r>
      <w:r w:rsidR="005379AD">
        <w:rPr>
          <w:lang w:eastAsia="x-none"/>
        </w:rPr>
        <w:t>41</w:t>
      </w:r>
      <w:r w:rsidR="00406347">
        <w:rPr>
          <w:lang w:eastAsia="x-none"/>
        </w:rPr>
        <w:t xml:space="preserve"> per cent to the overall poverty in Ghana. </w:t>
      </w:r>
    </w:p>
    <w:p w:rsidR="00406347" w:rsidRDefault="00406347" w:rsidP="00406347">
      <w:pPr>
        <w:rPr>
          <w:lang w:eastAsia="x-none"/>
        </w:rPr>
      </w:pPr>
    </w:p>
    <w:p w:rsidR="00406347" w:rsidRDefault="00406347" w:rsidP="00406347">
      <w:pPr>
        <w:rPr>
          <w:lang w:eastAsia="x-none"/>
        </w:rPr>
      </w:pPr>
      <w:r>
        <w:rPr>
          <w:lang w:eastAsia="x-none"/>
        </w:rPr>
        <w:t xml:space="preserve">Similarly, although extreme poverty is relatively low in Ghana with less than ten percent of the population, it is quite concentrated in </w:t>
      </w:r>
      <w:r w:rsidR="006659AB">
        <w:rPr>
          <w:lang w:eastAsia="x-none"/>
        </w:rPr>
        <w:t>R</w:t>
      </w:r>
      <w:r>
        <w:rPr>
          <w:lang w:eastAsia="x-none"/>
        </w:rPr>
        <w:t>ural Savannah areas, with more than a quarter of people living in the rural savannah areas of Ghana considered to be extremely poor (figure 2.1).</w:t>
      </w:r>
    </w:p>
    <w:p w:rsidR="00406347" w:rsidRDefault="00406347" w:rsidP="00406347">
      <w:pPr>
        <w:rPr>
          <w:lang w:eastAsia="x-none"/>
        </w:rPr>
      </w:pPr>
    </w:p>
    <w:p w:rsidR="00406347" w:rsidRDefault="00406347" w:rsidP="00406347">
      <w:pPr>
        <w:rPr>
          <w:lang w:eastAsia="x-none"/>
        </w:rPr>
      </w:pPr>
      <w:r>
        <w:rPr>
          <w:lang w:eastAsia="x-none"/>
        </w:rPr>
        <w:t xml:space="preserve">Ghana’s rural areas are also where the poverty gap—average fall below the poverty line—is the largest (table 2.1). While on average the poor population in Ghana lived 32 percent below the poverty line of GH¢1,314, the rural population </w:t>
      </w:r>
      <w:r>
        <w:rPr>
          <w:lang w:eastAsia="x-none"/>
        </w:rPr>
        <w:lastRenderedPageBreak/>
        <w:t>contributes more than 80 percent of the poverty gap, which needs to be closed to reduce poverty.</w:t>
      </w:r>
    </w:p>
    <w:p w:rsidR="00406347" w:rsidRDefault="00C66E54" w:rsidP="00406347">
      <w:pPr>
        <w:rPr>
          <w:lang w:eastAsia="x-none"/>
        </w:rPr>
      </w:pPr>
      <w:r w:rsidRPr="00C66E54">
        <w:rPr>
          <w:noProof/>
        </w:rPr>
        <w:drawing>
          <wp:anchor distT="0" distB="0" distL="114300" distR="114300" simplePos="0" relativeHeight="251679744" behindDoc="0" locked="0" layoutInCell="1" allowOverlap="1" wp14:anchorId="08F8B6F1" wp14:editId="488EE19D">
            <wp:simplePos x="0" y="0"/>
            <wp:positionH relativeFrom="margin">
              <wp:posOffset>640080</wp:posOffset>
            </wp:positionH>
            <wp:positionV relativeFrom="margin">
              <wp:posOffset>-233680</wp:posOffset>
            </wp:positionV>
            <wp:extent cx="4744720" cy="2571115"/>
            <wp:effectExtent l="0" t="0" r="0" b="63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44720" cy="257111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406347" w:rsidRDefault="00406347" w:rsidP="00406347">
      <w:pPr>
        <w:rPr>
          <w:lang w:eastAsia="x-none"/>
        </w:rPr>
      </w:pPr>
      <w:r w:rsidRPr="00B86F13">
        <w:rPr>
          <w:b/>
          <w:lang w:eastAsia="x-none"/>
        </w:rPr>
        <w:t>Accra recorded the lowest poverty incidence among all the geographical areas.</w:t>
      </w:r>
      <w:r>
        <w:rPr>
          <w:lang w:eastAsia="x-none"/>
        </w:rPr>
        <w:t xml:space="preserve"> This low rate of 3.5 percent may be due to the fact that Accra</w:t>
      </w:r>
      <w:r w:rsidR="005379AD">
        <w:rPr>
          <w:lang w:eastAsia="x-none"/>
        </w:rPr>
        <w:t>,</w:t>
      </w:r>
      <w:r w:rsidR="00E40D85">
        <w:rPr>
          <w:lang w:eastAsia="x-none"/>
        </w:rPr>
        <w:t xml:space="preserve"> b</w:t>
      </w:r>
      <w:r>
        <w:rPr>
          <w:lang w:eastAsia="x-none"/>
        </w:rPr>
        <w:t>e</w:t>
      </w:r>
      <w:r w:rsidR="005379AD">
        <w:rPr>
          <w:lang w:eastAsia="x-none"/>
        </w:rPr>
        <w:t>ing</w:t>
      </w:r>
      <w:r>
        <w:rPr>
          <w:lang w:eastAsia="x-none"/>
        </w:rPr>
        <w:t xml:space="preserve"> the capital of Ghana witnessed the highest rural-urban migration, with many people who come to seek for job been engaged as self-employed within the services sector where most of the youth are</w:t>
      </w:r>
      <w:r w:rsidR="007247B1">
        <w:rPr>
          <w:lang w:eastAsia="x-none"/>
        </w:rPr>
        <w:t xml:space="preserve"> </w:t>
      </w:r>
      <w:r>
        <w:rPr>
          <w:lang w:eastAsia="x-none"/>
        </w:rPr>
        <w:t xml:space="preserve">engaged in petty trading. This sector, according to the numerous reports on the performance of the economy published between 2007 and 2013 by the Ghana Statistical Service shows that the sector has been the main driver of Ghana’s GDP. A large proportion of individuals engaging in these economic activities lived above the poverty line. </w:t>
      </w:r>
    </w:p>
    <w:p w:rsidR="00406347" w:rsidRDefault="00406347" w:rsidP="00406347">
      <w:pPr>
        <w:rPr>
          <w:lang w:eastAsia="x-none"/>
        </w:rPr>
      </w:pPr>
    </w:p>
    <w:p w:rsidR="001B43F4" w:rsidRDefault="00C66E54" w:rsidP="00406347">
      <w:pPr>
        <w:rPr>
          <w:lang w:eastAsia="x-none"/>
        </w:rPr>
      </w:pPr>
      <w:r w:rsidRPr="00C66E54">
        <w:rPr>
          <w:noProof/>
        </w:rPr>
        <w:drawing>
          <wp:anchor distT="0" distB="0" distL="114300" distR="114300" simplePos="0" relativeHeight="251680768" behindDoc="0" locked="0" layoutInCell="1" allowOverlap="1" wp14:anchorId="2C72285E" wp14:editId="328359F1">
            <wp:simplePos x="0" y="0"/>
            <wp:positionH relativeFrom="margin">
              <wp:posOffset>558800</wp:posOffset>
            </wp:positionH>
            <wp:positionV relativeFrom="margin">
              <wp:posOffset>5704205</wp:posOffset>
            </wp:positionV>
            <wp:extent cx="4826000" cy="2545080"/>
            <wp:effectExtent l="0" t="0" r="0" b="762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26000" cy="2545080"/>
                    </a:xfrm>
                    <a:prstGeom prst="rect">
                      <a:avLst/>
                    </a:prstGeom>
                    <a:noFill/>
                    <a:ln>
                      <a:noFill/>
                    </a:ln>
                  </pic:spPr>
                </pic:pic>
              </a:graphicData>
            </a:graphic>
            <wp14:sizeRelH relativeFrom="margin">
              <wp14:pctWidth>0</wp14:pctWidth>
            </wp14:sizeRelH>
            <wp14:sizeRelV relativeFrom="page">
              <wp14:pctHeight>0</wp14:pctHeight>
            </wp14:sizeRelV>
          </wp:anchor>
        </w:drawing>
      </w:r>
      <w:r w:rsidR="00406347" w:rsidRPr="00A022BC">
        <w:rPr>
          <w:b/>
          <w:lang w:eastAsia="x-none"/>
        </w:rPr>
        <w:t>The types of economic activity and education level of the head of the house</w:t>
      </w:r>
      <w:r w:rsidR="00406347">
        <w:rPr>
          <w:b/>
          <w:lang w:eastAsia="x-none"/>
        </w:rPr>
        <w:t>hold</w:t>
      </w:r>
      <w:r w:rsidR="00406347" w:rsidRPr="00A022BC">
        <w:rPr>
          <w:b/>
          <w:lang w:eastAsia="x-none"/>
        </w:rPr>
        <w:t xml:space="preserve"> seem to matter considerably.</w:t>
      </w:r>
      <w:r w:rsidR="00406347">
        <w:rPr>
          <w:lang w:eastAsia="x-none"/>
        </w:rPr>
        <w:t xml:space="preserve"> The poverty incidence among households engaged </w:t>
      </w:r>
      <w:r w:rsidR="00CA2C69">
        <w:rPr>
          <w:lang w:eastAsia="x-none"/>
        </w:rPr>
        <w:t>in</w:t>
      </w:r>
      <w:r w:rsidR="00406347">
        <w:rPr>
          <w:lang w:eastAsia="x-none"/>
        </w:rPr>
        <w:t xml:space="preserve"> self-</w:t>
      </w:r>
      <w:r w:rsidR="00CA2C69">
        <w:rPr>
          <w:lang w:eastAsia="x-none"/>
        </w:rPr>
        <w:t xml:space="preserve">employment </w:t>
      </w:r>
      <w:r w:rsidR="00406347">
        <w:rPr>
          <w:lang w:eastAsia="x-none"/>
        </w:rPr>
        <w:t>in agricultural sector is highest whilst households whose head are paid employees, self-employed in non-agricultural sector or retired are less likely to</w:t>
      </w:r>
      <w:r w:rsidR="001B43F4">
        <w:rPr>
          <w:lang w:eastAsia="x-none"/>
        </w:rPr>
        <w:t xml:space="preserve"> </w:t>
      </w:r>
      <w:r w:rsidR="00406347">
        <w:rPr>
          <w:lang w:eastAsia="x-none"/>
        </w:rPr>
        <w:t xml:space="preserve">be poor (figure 2.3). </w:t>
      </w:r>
    </w:p>
    <w:p w:rsidR="00F91B5E" w:rsidRDefault="00F91B5E" w:rsidP="00406347">
      <w:pPr>
        <w:rPr>
          <w:lang w:eastAsia="x-none"/>
        </w:rPr>
      </w:pPr>
    </w:p>
    <w:p w:rsidR="00C23D76" w:rsidRDefault="00406347" w:rsidP="00406347">
      <w:pPr>
        <w:rPr>
          <w:lang w:eastAsia="x-none"/>
        </w:rPr>
      </w:pPr>
      <w:r w:rsidRPr="00C23D76">
        <w:rPr>
          <w:lang w:eastAsia="x-none"/>
        </w:rPr>
        <w:t>Despite the slight improvement since 2005/06, farmers are still the poorest in Ghana.</w:t>
      </w:r>
      <w:r>
        <w:rPr>
          <w:lang w:eastAsia="x-none"/>
        </w:rPr>
        <w:t xml:space="preserve"> </w:t>
      </w:r>
      <w:r w:rsidR="00CA2C69">
        <w:rPr>
          <w:lang w:eastAsia="x-none"/>
        </w:rPr>
        <w:t xml:space="preserve">The GSS report shows how </w:t>
      </w:r>
      <w:r>
        <w:rPr>
          <w:lang w:eastAsia="x-none"/>
        </w:rPr>
        <w:t xml:space="preserve">households in the Savannah are poorer compared to other areas </w:t>
      </w:r>
      <w:r w:rsidR="00CA2C69">
        <w:rPr>
          <w:lang w:eastAsia="x-none"/>
        </w:rPr>
        <w:t xml:space="preserve">while </w:t>
      </w:r>
      <w:r>
        <w:rPr>
          <w:lang w:eastAsia="x-none"/>
        </w:rPr>
        <w:t>agriculture is the</w:t>
      </w:r>
      <w:r w:rsidR="00CA2C69">
        <w:rPr>
          <w:lang w:eastAsia="x-none"/>
        </w:rPr>
        <w:t>ir</w:t>
      </w:r>
      <w:r>
        <w:rPr>
          <w:lang w:eastAsia="x-none"/>
        </w:rPr>
        <w:t xml:space="preserve"> main economic activity</w:t>
      </w:r>
      <w:r w:rsidR="00CA2C69">
        <w:rPr>
          <w:lang w:eastAsia="x-none"/>
        </w:rPr>
        <w:t xml:space="preserve">. </w:t>
      </w:r>
    </w:p>
    <w:p w:rsidR="00F91B5E" w:rsidRDefault="00F91B5E" w:rsidP="00F91B5E">
      <w:pPr>
        <w:rPr>
          <w:lang w:eastAsia="x-none"/>
        </w:rPr>
      </w:pPr>
    </w:p>
    <w:p w:rsidR="00F91B5E" w:rsidRDefault="00F91B5E" w:rsidP="00F91B5E">
      <w:pPr>
        <w:rPr>
          <w:lang w:eastAsia="x-none"/>
        </w:rPr>
      </w:pPr>
      <w:r>
        <w:rPr>
          <w:lang w:eastAsia="x-none"/>
        </w:rPr>
        <w:t>Among employed population, public employees are the group with the least incidence of poverty.</w:t>
      </w:r>
    </w:p>
    <w:p w:rsidR="00406347" w:rsidRDefault="00CA2C69" w:rsidP="00406347">
      <w:pPr>
        <w:rPr>
          <w:lang w:eastAsia="x-none"/>
        </w:rPr>
      </w:pPr>
      <w:r>
        <w:rPr>
          <w:lang w:eastAsia="x-none"/>
        </w:rPr>
        <w:t xml:space="preserve">The GSS report also shows that </w:t>
      </w:r>
      <w:r w:rsidR="00406347">
        <w:rPr>
          <w:lang w:eastAsia="x-none"/>
        </w:rPr>
        <w:t xml:space="preserve">poverty incidence among households headed by a person with </w:t>
      </w:r>
      <w:r w:rsidR="00406347">
        <w:rPr>
          <w:lang w:eastAsia="x-none"/>
        </w:rPr>
        <w:lastRenderedPageBreak/>
        <w:t>secondary education or higher is lower than the national average (figure 2.3). The contribution to national poverty incidence by households headed by an uneducated person is about twice their population share, whilst the contribution of households headed by highly educated persons are almost nonexistence.</w:t>
      </w:r>
    </w:p>
    <w:p w:rsidR="00406347" w:rsidRDefault="00406347" w:rsidP="00406347">
      <w:pPr>
        <w:rPr>
          <w:b/>
          <w:lang w:eastAsia="x-none"/>
        </w:rPr>
      </w:pPr>
    </w:p>
    <w:p w:rsidR="00EB6EB6" w:rsidRDefault="00406347" w:rsidP="00406347">
      <w:pPr>
        <w:rPr>
          <w:lang w:eastAsia="x-none"/>
        </w:rPr>
      </w:pPr>
      <w:r w:rsidRPr="00A022BC">
        <w:rPr>
          <w:b/>
          <w:lang w:eastAsia="x-none"/>
        </w:rPr>
        <w:t xml:space="preserve">Despite the reduction in poverty rates, inequality </w:t>
      </w:r>
      <w:r w:rsidR="00CA2C69">
        <w:rPr>
          <w:b/>
          <w:lang w:eastAsia="x-none"/>
        </w:rPr>
        <w:t xml:space="preserve">increased and </w:t>
      </w:r>
      <w:r w:rsidRPr="00A022BC">
        <w:rPr>
          <w:b/>
          <w:lang w:eastAsia="x-none"/>
        </w:rPr>
        <w:t>remains prevalent.</w:t>
      </w:r>
      <w:r>
        <w:rPr>
          <w:lang w:eastAsia="x-none"/>
        </w:rPr>
        <w:t xml:space="preserve"> Nationally, the Gini coefficient increased slightly from 41.9 in 2005/06 to 42.3 in 2012/13. The increase, even though small, implies that Ghanaians did not benefit equally from the robust growth rates since 2005</w:t>
      </w:r>
      <w:r w:rsidR="00EB6EB6">
        <w:rPr>
          <w:lang w:eastAsia="x-none"/>
        </w:rPr>
        <w:t xml:space="preserve"> (figure 2.4)</w:t>
      </w:r>
      <w:r>
        <w:rPr>
          <w:lang w:eastAsia="x-none"/>
        </w:rPr>
        <w:t>.</w:t>
      </w:r>
    </w:p>
    <w:p w:rsidR="00406347" w:rsidRDefault="00406347" w:rsidP="00406347">
      <w:pPr>
        <w:rPr>
          <w:lang w:eastAsia="x-none"/>
        </w:rPr>
      </w:pPr>
      <w:r>
        <w:rPr>
          <w:lang w:eastAsia="x-none"/>
        </w:rPr>
        <w:t xml:space="preserve"> </w:t>
      </w:r>
    </w:p>
    <w:p w:rsidR="00C23D76" w:rsidRDefault="00406347" w:rsidP="00406347">
      <w:pPr>
        <w:rPr>
          <w:noProof/>
        </w:rPr>
      </w:pPr>
      <w:r>
        <w:rPr>
          <w:lang w:eastAsia="x-none"/>
        </w:rPr>
        <w:t xml:space="preserve">Among regions, urban regions seem to have </w:t>
      </w:r>
      <w:r w:rsidR="00C23D76">
        <w:rPr>
          <w:lang w:eastAsia="x-none"/>
        </w:rPr>
        <w:t>experienced</w:t>
      </w:r>
      <w:r w:rsidR="006241B3">
        <w:rPr>
          <w:lang w:eastAsia="x-none"/>
        </w:rPr>
        <w:t xml:space="preserve"> a more equitable growth. While Accra</w:t>
      </w:r>
      <w:r w:rsidR="00C23D76">
        <w:rPr>
          <w:lang w:eastAsia="x-none"/>
        </w:rPr>
        <w:t>’s Gini coefficient fell from</w:t>
      </w:r>
      <w:r w:rsidR="006241B3">
        <w:rPr>
          <w:lang w:eastAsia="x-none"/>
        </w:rPr>
        <w:t xml:space="preserve"> 41.5</w:t>
      </w:r>
      <w:r w:rsidR="00C23D76">
        <w:rPr>
          <w:lang w:eastAsia="x-none"/>
        </w:rPr>
        <w:t xml:space="preserve"> </w:t>
      </w:r>
      <w:r w:rsidR="006241B3">
        <w:rPr>
          <w:lang w:eastAsia="x-none"/>
        </w:rPr>
        <w:t xml:space="preserve">to 36, the Rural Coastal region Gini increased from 34 to 43. </w:t>
      </w:r>
      <w:r>
        <w:rPr>
          <w:lang w:eastAsia="x-none"/>
        </w:rPr>
        <w:t xml:space="preserve"> </w:t>
      </w:r>
      <w:r w:rsidR="00C23D76">
        <w:rPr>
          <w:lang w:eastAsia="x-none"/>
        </w:rPr>
        <w:t xml:space="preserve">On </w:t>
      </w:r>
      <w:r>
        <w:rPr>
          <w:lang w:eastAsia="x-none"/>
        </w:rPr>
        <w:t>the other hand, all the rural areas experienced a worsening inequality between the two periods, with the rural coastal been the worst affected. The worsening inequality in the rural coastal localities is largely due to worsening levels of inequality in the Volta region of Ghana, where households in the rural localities are predominantly engaged in fishing.</w:t>
      </w:r>
      <w:r w:rsidR="00C23D76">
        <w:rPr>
          <w:noProof/>
        </w:rPr>
        <w:t xml:space="preserve"> </w:t>
      </w:r>
    </w:p>
    <w:p w:rsidR="00C23D76" w:rsidRDefault="00C23D76" w:rsidP="00406347">
      <w:pPr>
        <w:rPr>
          <w:noProof/>
        </w:rPr>
      </w:pPr>
    </w:p>
    <w:p w:rsidR="00406347" w:rsidRDefault="006241B3" w:rsidP="00406347">
      <w:pPr>
        <w:rPr>
          <w:noProof/>
        </w:rPr>
      </w:pPr>
      <w:r>
        <w:rPr>
          <w:noProof/>
        </w:rPr>
        <w:t>A</w:t>
      </w:r>
      <w:r w:rsidR="00C23D76">
        <w:rPr>
          <w:noProof/>
        </w:rPr>
        <w:t xml:space="preserve"> </w:t>
      </w:r>
      <w:r>
        <w:rPr>
          <w:noProof/>
        </w:rPr>
        <w:t>more detailed analysis of the povery trends an</w:t>
      </w:r>
      <w:r w:rsidR="00C23D76">
        <w:rPr>
          <w:noProof/>
        </w:rPr>
        <w:t>d determinants needs to be under</w:t>
      </w:r>
      <w:r>
        <w:rPr>
          <w:noProof/>
        </w:rPr>
        <w:t>t</w:t>
      </w:r>
      <w:r w:rsidR="00C23D76">
        <w:rPr>
          <w:noProof/>
        </w:rPr>
        <w:t>a</w:t>
      </w:r>
      <w:r>
        <w:rPr>
          <w:noProof/>
        </w:rPr>
        <w:t>ken</w:t>
      </w:r>
      <w:r w:rsidR="000506C8">
        <w:rPr>
          <w:noProof/>
        </w:rPr>
        <w:t xml:space="preserve"> </w:t>
      </w:r>
      <w:r w:rsidR="009C12FD">
        <w:rPr>
          <w:noProof/>
        </w:rPr>
        <w:t xml:space="preserve">in order </w:t>
      </w:r>
      <w:r w:rsidR="000506C8">
        <w:rPr>
          <w:noProof/>
        </w:rPr>
        <w:t xml:space="preserve">to understand </w:t>
      </w:r>
      <w:r w:rsidR="009C12FD">
        <w:rPr>
          <w:noProof/>
        </w:rPr>
        <w:t>how to reduce the</w:t>
      </w:r>
      <w:r w:rsidR="00F91B5E">
        <w:rPr>
          <w:noProof/>
        </w:rPr>
        <w:t xml:space="preserve"> inequlity</w:t>
      </w:r>
      <w:r w:rsidR="009C12FD">
        <w:rPr>
          <w:noProof/>
        </w:rPr>
        <w:t xml:space="preserve"> in Ghana</w:t>
      </w:r>
      <w:r>
        <w:rPr>
          <w:noProof/>
        </w:rPr>
        <w:t>.</w:t>
      </w:r>
      <w:r w:rsidR="00C23D76">
        <w:rPr>
          <w:noProof/>
        </w:rPr>
        <w:t xml:space="preserve"> </w:t>
      </w:r>
    </w:p>
    <w:p w:rsidR="00406347" w:rsidRDefault="00406347" w:rsidP="00406347">
      <w:pPr>
        <w:rPr>
          <w:noProof/>
        </w:rPr>
      </w:pPr>
    </w:p>
    <w:p w:rsidR="00406347" w:rsidRPr="00E8055D" w:rsidRDefault="00406347" w:rsidP="008C7FBC">
      <w:pPr>
        <w:pStyle w:val="Heading1"/>
        <w:keepNext w:val="0"/>
        <w:keepLines w:val="0"/>
        <w:numPr>
          <w:ilvl w:val="0"/>
          <w:numId w:val="7"/>
        </w:numPr>
        <w:spacing w:before="0" w:after="200" w:line="264" w:lineRule="auto"/>
        <w:rPr>
          <w:rStyle w:val="Strong"/>
          <w:b/>
          <w:i/>
          <w:color w:val="002060"/>
          <w:lang w:val="en-US"/>
        </w:rPr>
      </w:pPr>
      <w:bookmarkStart w:id="31" w:name="_Toc399919643"/>
      <w:r w:rsidRPr="00E8055D">
        <w:rPr>
          <w:rStyle w:val="Strong"/>
          <w:b/>
          <w:i/>
          <w:color w:val="002060"/>
          <w:lang w:val="en-US"/>
        </w:rPr>
        <w:t>Employment trends in Ghana</w:t>
      </w:r>
      <w:bookmarkEnd w:id="31"/>
    </w:p>
    <w:p w:rsidR="00B256EF" w:rsidRDefault="00406347" w:rsidP="00406347">
      <w:pPr>
        <w:tabs>
          <w:tab w:val="left" w:pos="255"/>
          <w:tab w:val="center" w:pos="4680"/>
        </w:tabs>
      </w:pPr>
      <w:r>
        <w:t>Jobs are a critical concern in Ghana, for government, the business community, and all Ghanaians</w:t>
      </w:r>
      <w:r w:rsidR="00C23D76">
        <w:t xml:space="preserve">. </w:t>
      </w:r>
      <w:r>
        <w:t xml:space="preserve">Employment opportunities are </w:t>
      </w:r>
    </w:p>
    <w:p w:rsidR="00EC1DC7" w:rsidRDefault="00EC1DC7" w:rsidP="00406347">
      <w:pPr>
        <w:tabs>
          <w:tab w:val="left" w:pos="255"/>
          <w:tab w:val="center" w:pos="4680"/>
        </w:tabs>
      </w:pPr>
    </w:p>
    <w:p w:rsidR="00EC1DC7" w:rsidRDefault="00EC1DC7" w:rsidP="00406347">
      <w:pPr>
        <w:tabs>
          <w:tab w:val="left" w:pos="255"/>
          <w:tab w:val="center" w:pos="4680"/>
        </w:tabs>
      </w:pPr>
    </w:p>
    <w:p w:rsidR="00406347" w:rsidRDefault="00EC1DC7" w:rsidP="00406347">
      <w:pPr>
        <w:tabs>
          <w:tab w:val="left" w:pos="255"/>
          <w:tab w:val="center" w:pos="4680"/>
        </w:tabs>
      </w:pPr>
      <w:r w:rsidRPr="00EC1DC7">
        <w:rPr>
          <w:noProof/>
        </w:rPr>
        <w:lastRenderedPageBreak/>
        <w:drawing>
          <wp:anchor distT="0" distB="0" distL="114300" distR="114300" simplePos="0" relativeHeight="251681792" behindDoc="0" locked="0" layoutInCell="1" allowOverlap="1" wp14:anchorId="741E4A70" wp14:editId="491AAD5D">
            <wp:simplePos x="0" y="0"/>
            <wp:positionH relativeFrom="margin">
              <wp:posOffset>320675</wp:posOffset>
            </wp:positionH>
            <wp:positionV relativeFrom="margin">
              <wp:posOffset>6604000</wp:posOffset>
            </wp:positionV>
            <wp:extent cx="5348605" cy="1306830"/>
            <wp:effectExtent l="0" t="0" r="4445" b="762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48605" cy="1306830"/>
                    </a:xfrm>
                    <a:prstGeom prst="rect">
                      <a:avLst/>
                    </a:prstGeom>
                    <a:noFill/>
                    <a:ln>
                      <a:noFill/>
                    </a:ln>
                  </pic:spPr>
                </pic:pic>
              </a:graphicData>
            </a:graphic>
            <wp14:sizeRelH relativeFrom="margin">
              <wp14:pctWidth>0</wp14:pctWidth>
            </wp14:sizeRelH>
            <wp14:sizeRelV relativeFrom="page">
              <wp14:pctHeight>0</wp14:pctHeight>
            </wp14:sizeRelV>
          </wp:anchor>
        </w:drawing>
      </w:r>
      <w:r w:rsidR="00406347">
        <w:t>instrumental to achieving economic and social development and as a principal source of household income. As discussed in the previous section, certain types of jobs can be instrumental in reducing poverty.</w:t>
      </w:r>
    </w:p>
    <w:p w:rsidR="00406347" w:rsidRDefault="00406347" w:rsidP="00406347">
      <w:pPr>
        <w:tabs>
          <w:tab w:val="left" w:pos="255"/>
          <w:tab w:val="center" w:pos="4680"/>
        </w:tabs>
      </w:pPr>
    </w:p>
    <w:p w:rsidR="00406347" w:rsidRDefault="00406347" w:rsidP="00406347">
      <w:pPr>
        <w:tabs>
          <w:tab w:val="left" w:pos="255"/>
          <w:tab w:val="center" w:pos="4680"/>
        </w:tabs>
      </w:pPr>
      <w:r>
        <w:t xml:space="preserve">This section summarizes recent data from the ‘Ghana Labor Force Report’ published in </w:t>
      </w:r>
      <w:r w:rsidR="006241B3">
        <w:t xml:space="preserve">August </w:t>
      </w:r>
      <w:r>
        <w:t xml:space="preserve">2014 by the Ghana Statistical </w:t>
      </w:r>
      <w:r w:rsidR="006241B3">
        <w:t xml:space="preserve">Service </w:t>
      </w:r>
      <w:r>
        <w:t xml:space="preserve">which </w:t>
      </w:r>
      <w:r w:rsidR="006241B3">
        <w:t xml:space="preserve">presents </w:t>
      </w:r>
      <w:r>
        <w:t>information on the trends, types and changes in the Ghanaian labor force. Comparisons are made with an earlier version of the survey conducted in 2005/06.</w:t>
      </w:r>
    </w:p>
    <w:p w:rsidR="00406347" w:rsidRDefault="00406347" w:rsidP="00406347">
      <w:pPr>
        <w:tabs>
          <w:tab w:val="left" w:pos="255"/>
          <w:tab w:val="center" w:pos="4680"/>
        </w:tabs>
      </w:pPr>
    </w:p>
    <w:p w:rsidR="00406347" w:rsidRDefault="00406347" w:rsidP="00406347">
      <w:pPr>
        <w:tabs>
          <w:tab w:val="left" w:pos="255"/>
          <w:tab w:val="center" w:pos="4680"/>
        </w:tabs>
      </w:pPr>
      <w:r w:rsidRPr="00490611">
        <w:rPr>
          <w:rFonts w:asciiTheme="minorHAnsi" w:hAnsiTheme="minorHAnsi"/>
          <w:b/>
        </w:rPr>
        <w:t xml:space="preserve">The Ghanaian Statistical </w:t>
      </w:r>
      <w:r w:rsidR="00B90D17">
        <w:rPr>
          <w:rFonts w:asciiTheme="minorHAnsi" w:hAnsiTheme="minorHAnsi"/>
          <w:b/>
        </w:rPr>
        <w:t>Service</w:t>
      </w:r>
      <w:r w:rsidR="00B90D17" w:rsidRPr="00490611">
        <w:rPr>
          <w:rFonts w:asciiTheme="minorHAnsi" w:hAnsiTheme="minorHAnsi"/>
          <w:b/>
        </w:rPr>
        <w:t xml:space="preserve"> </w:t>
      </w:r>
      <w:r w:rsidR="00B90D17">
        <w:rPr>
          <w:rFonts w:asciiTheme="minorHAnsi" w:hAnsiTheme="minorHAnsi"/>
          <w:b/>
        </w:rPr>
        <w:t>reports</w:t>
      </w:r>
      <w:r w:rsidR="00B90D17" w:rsidRPr="00490611">
        <w:rPr>
          <w:rFonts w:asciiTheme="minorHAnsi" w:hAnsiTheme="minorHAnsi"/>
          <w:b/>
        </w:rPr>
        <w:t xml:space="preserve"> </w:t>
      </w:r>
      <w:r w:rsidRPr="00490611">
        <w:rPr>
          <w:rFonts w:asciiTheme="minorHAnsi" w:hAnsiTheme="minorHAnsi"/>
          <w:b/>
        </w:rPr>
        <w:t>a national rate of unemployment of 4.1</w:t>
      </w:r>
      <w:r w:rsidRPr="00490611">
        <w:rPr>
          <w:b/>
        </w:rPr>
        <w:t xml:space="preserve"> percent</w:t>
      </w:r>
      <w:r>
        <w:rPr>
          <w:b/>
        </w:rPr>
        <w:t>—</w:t>
      </w:r>
      <w:r w:rsidRPr="00490611">
        <w:rPr>
          <w:rFonts w:asciiTheme="minorHAnsi" w:hAnsiTheme="minorHAnsi"/>
          <w:b/>
        </w:rPr>
        <w:t>those over 15 years without jobs and potentially available for jobs</w:t>
      </w:r>
      <w:r>
        <w:rPr>
          <w:b/>
        </w:rPr>
        <w:t>— in 2012/13</w:t>
      </w:r>
      <w:r w:rsidRPr="00490611">
        <w:rPr>
          <w:rFonts w:asciiTheme="minorHAnsi" w:hAnsiTheme="minorHAnsi"/>
          <w:b/>
        </w:rPr>
        <w:t>.</w:t>
      </w:r>
      <w:r>
        <w:rPr>
          <w:rFonts w:asciiTheme="minorHAnsi" w:hAnsiTheme="minorHAnsi"/>
        </w:rPr>
        <w:t xml:space="preserve">  There is variation between genders (the male rate is reported as 3.9</w:t>
      </w:r>
      <w:r>
        <w:t xml:space="preserve"> percent</w:t>
      </w:r>
      <w:r>
        <w:rPr>
          <w:rFonts w:asciiTheme="minorHAnsi" w:hAnsiTheme="minorHAnsi"/>
        </w:rPr>
        <w:t xml:space="preserve"> and female rate at 4.3</w:t>
      </w:r>
      <w:r>
        <w:t xml:space="preserve"> percent</w:t>
      </w:r>
      <w:r>
        <w:rPr>
          <w:rFonts w:asciiTheme="minorHAnsi" w:hAnsiTheme="minorHAnsi"/>
        </w:rPr>
        <w:t>) and whether job seeking citizens are living in rural or urban areas (the rural rate is 3.3</w:t>
      </w:r>
      <w:r>
        <w:t xml:space="preserve"> percent</w:t>
      </w:r>
      <w:r>
        <w:rPr>
          <w:rFonts w:asciiTheme="minorHAnsi" w:hAnsiTheme="minorHAnsi"/>
        </w:rPr>
        <w:t xml:space="preserve"> and the urban rate is 4.9</w:t>
      </w:r>
      <w:r>
        <w:t xml:space="preserve"> percent</w:t>
      </w:r>
      <w:r>
        <w:rPr>
          <w:rFonts w:asciiTheme="minorHAnsi" w:hAnsiTheme="minorHAnsi"/>
        </w:rPr>
        <w:t>); see Table 2.</w:t>
      </w:r>
      <w:r>
        <w:t>2</w:t>
      </w:r>
      <w:r>
        <w:rPr>
          <w:rFonts w:asciiTheme="minorHAnsi" w:hAnsiTheme="minorHAnsi"/>
        </w:rPr>
        <w:t xml:space="preserve">.  </w:t>
      </w:r>
    </w:p>
    <w:p w:rsidR="007247B1" w:rsidRDefault="007247B1" w:rsidP="00406347">
      <w:pPr>
        <w:tabs>
          <w:tab w:val="left" w:pos="255"/>
          <w:tab w:val="center" w:pos="4680"/>
        </w:tabs>
        <w:rPr>
          <w:rFonts w:asciiTheme="minorHAnsi" w:hAnsiTheme="minorHAnsi"/>
          <w:b/>
        </w:rPr>
      </w:pPr>
    </w:p>
    <w:p w:rsidR="00406347" w:rsidRDefault="00406347" w:rsidP="00406347">
      <w:pPr>
        <w:tabs>
          <w:tab w:val="left" w:pos="255"/>
          <w:tab w:val="center" w:pos="4680"/>
        </w:tabs>
        <w:rPr>
          <w:color w:val="000000" w:themeColor="text1"/>
        </w:rPr>
      </w:pPr>
      <w:r w:rsidRPr="00CF35A3">
        <w:rPr>
          <w:rFonts w:asciiTheme="minorHAnsi" w:hAnsiTheme="minorHAnsi"/>
          <w:b/>
        </w:rPr>
        <w:t>These unemployment numbers are very small when compared globally, but care must be taken in interpreting these numbers; as is the case in any economy with a large informal sector</w:t>
      </w:r>
      <w:r w:rsidRPr="00CF35A3">
        <w:rPr>
          <w:rStyle w:val="FootnoteReference"/>
          <w:rFonts w:asciiTheme="minorHAnsi" w:hAnsiTheme="minorHAnsi"/>
          <w:b/>
        </w:rPr>
        <w:footnoteReference w:id="1"/>
      </w:r>
      <w:r w:rsidRPr="00CF35A3">
        <w:rPr>
          <w:rFonts w:asciiTheme="minorHAnsi" w:hAnsiTheme="minorHAnsi"/>
          <w:b/>
        </w:rPr>
        <w:t>.</w:t>
      </w:r>
      <w:r>
        <w:rPr>
          <w:rFonts w:asciiTheme="minorHAnsi" w:hAnsiTheme="minorHAnsi"/>
        </w:rPr>
        <w:t xml:space="preserve"> In such cases, standard </w:t>
      </w:r>
      <w:r w:rsidRPr="0077607A">
        <w:t>indicators of unemploy</w:t>
      </w:r>
      <w:r>
        <w:t xml:space="preserve">ment offer </w:t>
      </w:r>
      <w:r w:rsidRPr="0077607A">
        <w:t>only a partial and not very useful description of the labor market</w:t>
      </w:r>
      <w:r>
        <w:t xml:space="preserve">. </w:t>
      </w:r>
      <w:r w:rsidRPr="00F42537">
        <w:rPr>
          <w:color w:val="000000" w:themeColor="text1"/>
        </w:rPr>
        <w:t>Many people can be labeled ‘employed’ in this manner whilst being engaged in activities with limited productivity</w:t>
      </w:r>
      <w:r>
        <w:rPr>
          <w:color w:val="000000" w:themeColor="text1"/>
        </w:rPr>
        <w:t>, underemployment</w:t>
      </w:r>
      <w:r w:rsidRPr="00F42537">
        <w:rPr>
          <w:color w:val="000000" w:themeColor="text1"/>
        </w:rPr>
        <w:t xml:space="preserve"> and very low associated incomes.</w:t>
      </w:r>
    </w:p>
    <w:p w:rsidR="00406347" w:rsidRDefault="00406347" w:rsidP="00406347">
      <w:pPr>
        <w:tabs>
          <w:tab w:val="left" w:pos="255"/>
          <w:tab w:val="center" w:pos="4680"/>
        </w:tabs>
        <w:rPr>
          <w:rFonts w:asciiTheme="minorHAnsi" w:hAnsiTheme="minorHAnsi"/>
        </w:rPr>
      </w:pPr>
    </w:p>
    <w:p w:rsidR="00B256EF" w:rsidRDefault="00B256EF" w:rsidP="00406347">
      <w:pPr>
        <w:tabs>
          <w:tab w:val="left" w:pos="255"/>
          <w:tab w:val="center" w:pos="4680"/>
        </w:tabs>
        <w:rPr>
          <w:rFonts w:asciiTheme="minorHAnsi" w:hAnsiTheme="minorHAnsi"/>
        </w:rPr>
      </w:pPr>
    </w:p>
    <w:p w:rsidR="00B256EF" w:rsidRPr="00D24A85" w:rsidRDefault="00B256EF" w:rsidP="00406347">
      <w:pPr>
        <w:tabs>
          <w:tab w:val="left" w:pos="255"/>
          <w:tab w:val="center" w:pos="4680"/>
        </w:tabs>
        <w:rPr>
          <w:rFonts w:asciiTheme="minorHAnsi" w:hAnsiTheme="minorHAnsi"/>
        </w:rPr>
      </w:pPr>
    </w:p>
    <w:p w:rsidR="00406347" w:rsidRDefault="00406347" w:rsidP="00406347">
      <w:pPr>
        <w:rPr>
          <w:rFonts w:asciiTheme="minorHAnsi" w:hAnsiTheme="minorHAnsi"/>
        </w:rPr>
      </w:pPr>
      <w:r w:rsidRPr="001B2498">
        <w:rPr>
          <w:rFonts w:asciiTheme="minorHAnsi" w:hAnsiTheme="minorHAnsi"/>
          <w:b/>
        </w:rPr>
        <w:lastRenderedPageBreak/>
        <w:t>The unemployment numbers exclude those reported to be ‘economically not active’, i.e. not seeking work.</w:t>
      </w:r>
      <w:r>
        <w:rPr>
          <w:rFonts w:asciiTheme="minorHAnsi" w:hAnsiTheme="minorHAnsi"/>
        </w:rPr>
        <w:t xml:space="preserve"> This group categorizes 20</w:t>
      </w:r>
      <w:r>
        <w:t xml:space="preserve"> percent</w:t>
      </w:r>
      <w:r w:rsidRPr="00FD0708">
        <w:rPr>
          <w:rFonts w:asciiTheme="minorHAnsi" w:hAnsiTheme="minorHAnsi"/>
        </w:rPr>
        <w:t xml:space="preserve"> of the population </w:t>
      </w:r>
      <w:r>
        <w:rPr>
          <w:rFonts w:asciiTheme="minorHAnsi" w:hAnsiTheme="minorHAnsi"/>
        </w:rPr>
        <w:t xml:space="preserve">(15 years and over) </w:t>
      </w:r>
      <w:r w:rsidRPr="00FD0708">
        <w:rPr>
          <w:rFonts w:asciiTheme="minorHAnsi" w:hAnsiTheme="minorHAnsi"/>
        </w:rPr>
        <w:t>and includes those</w:t>
      </w:r>
      <w:r>
        <w:rPr>
          <w:rFonts w:asciiTheme="minorHAnsi" w:hAnsiTheme="minorHAnsi"/>
        </w:rPr>
        <w:t>: studying;</w:t>
      </w:r>
      <w:r w:rsidRPr="00FD0708">
        <w:rPr>
          <w:rFonts w:asciiTheme="minorHAnsi" w:hAnsiTheme="minorHAnsi"/>
        </w:rPr>
        <w:t xml:space="preserve"> performing household duties</w:t>
      </w:r>
      <w:r>
        <w:rPr>
          <w:rFonts w:asciiTheme="minorHAnsi" w:hAnsiTheme="minorHAnsi"/>
        </w:rPr>
        <w:t>;</w:t>
      </w:r>
      <w:r w:rsidRPr="00FD0708">
        <w:rPr>
          <w:rFonts w:asciiTheme="minorHAnsi" w:hAnsiTheme="minorHAnsi"/>
        </w:rPr>
        <w:t xml:space="preserve"> </w:t>
      </w:r>
      <w:r>
        <w:rPr>
          <w:rFonts w:asciiTheme="minorHAnsi" w:hAnsiTheme="minorHAnsi"/>
        </w:rPr>
        <w:t>retired;</w:t>
      </w:r>
      <w:r w:rsidRPr="00FD0708">
        <w:rPr>
          <w:rFonts w:asciiTheme="minorHAnsi" w:hAnsiTheme="minorHAnsi"/>
        </w:rPr>
        <w:t xml:space="preserve"> disabled and persons unable to work on account of their age.</w:t>
      </w:r>
      <w:r>
        <w:rPr>
          <w:rFonts w:asciiTheme="minorHAnsi" w:hAnsiTheme="minorHAnsi"/>
        </w:rPr>
        <w:t xml:space="preserve"> This group has decreased considerably from</w:t>
      </w:r>
      <w:r>
        <w:t xml:space="preserve"> about </w:t>
      </w:r>
      <w:r>
        <w:rPr>
          <w:rFonts w:asciiTheme="minorHAnsi" w:hAnsiTheme="minorHAnsi"/>
        </w:rPr>
        <w:t>30</w:t>
      </w:r>
      <w:r>
        <w:t xml:space="preserve"> percent</w:t>
      </w:r>
      <w:r>
        <w:rPr>
          <w:rFonts w:asciiTheme="minorHAnsi" w:hAnsiTheme="minorHAnsi"/>
        </w:rPr>
        <w:t xml:space="preserve"> of the population reported in an earlier round of the survey (GLSS5) conducted during </w:t>
      </w:r>
      <w:r>
        <w:t>2005/06</w:t>
      </w:r>
      <w:r>
        <w:rPr>
          <w:rFonts w:asciiTheme="minorHAnsi" w:hAnsiTheme="minorHAnsi"/>
        </w:rPr>
        <w:t xml:space="preserve">.  </w:t>
      </w:r>
    </w:p>
    <w:p w:rsidR="00406347" w:rsidRDefault="00406347" w:rsidP="00406347">
      <w:pPr>
        <w:ind w:left="255"/>
        <w:rPr>
          <w:rFonts w:asciiTheme="minorHAnsi" w:hAnsiTheme="minorHAnsi"/>
          <w:b/>
        </w:rPr>
      </w:pPr>
    </w:p>
    <w:p w:rsidR="00406347" w:rsidRDefault="00406347" w:rsidP="00406347">
      <w:pPr>
        <w:rPr>
          <w:rFonts w:asciiTheme="minorHAnsi" w:hAnsiTheme="minorHAnsi"/>
        </w:rPr>
      </w:pPr>
      <w:r w:rsidRPr="001B2498">
        <w:rPr>
          <w:rFonts w:asciiTheme="minorHAnsi" w:hAnsiTheme="minorHAnsi"/>
          <w:b/>
        </w:rPr>
        <w:t>There is also some variance in the activity rates across age groups</w:t>
      </w:r>
      <w:r>
        <w:rPr>
          <w:rFonts w:asciiTheme="minorHAnsi" w:hAnsiTheme="minorHAnsi"/>
          <w:b/>
        </w:rPr>
        <w:t>.</w:t>
      </w:r>
      <w:r>
        <w:rPr>
          <w:rFonts w:asciiTheme="minorHAnsi" w:hAnsiTheme="minorHAnsi"/>
        </w:rPr>
        <w:t xml:space="preserve"> Almost 90</w:t>
      </w:r>
      <w:r>
        <w:t xml:space="preserve"> percent</w:t>
      </w:r>
      <w:r>
        <w:rPr>
          <w:rFonts w:asciiTheme="minorHAnsi" w:hAnsiTheme="minorHAnsi"/>
        </w:rPr>
        <w:t xml:space="preserve"> of adults aged 25 to 64 years are reported as economically active compared to 57</w:t>
      </w:r>
      <w:r>
        <w:t xml:space="preserve"> percent</w:t>
      </w:r>
      <w:r>
        <w:rPr>
          <w:rFonts w:asciiTheme="minorHAnsi" w:hAnsiTheme="minorHAnsi"/>
        </w:rPr>
        <w:t xml:space="preserve"> of those aged 65 or more, 52</w:t>
      </w:r>
      <w:r>
        <w:t xml:space="preserve"> percent</w:t>
      </w:r>
      <w:r>
        <w:rPr>
          <w:rFonts w:asciiTheme="minorHAnsi" w:hAnsiTheme="minorHAnsi"/>
        </w:rPr>
        <w:t xml:space="preserve"> of those between 15 and 24 years and 28</w:t>
      </w:r>
      <w:r>
        <w:t xml:space="preserve"> percent</w:t>
      </w:r>
      <w:r>
        <w:rPr>
          <w:rFonts w:asciiTheme="minorHAnsi" w:hAnsiTheme="minorHAnsi"/>
        </w:rPr>
        <w:t xml:space="preserve"> of those between 5 and 14 years (Figure 2.</w:t>
      </w:r>
      <w:r>
        <w:t>5</w:t>
      </w:r>
      <w:r>
        <w:rPr>
          <w:rFonts w:asciiTheme="minorHAnsi" w:hAnsiTheme="minorHAnsi"/>
        </w:rPr>
        <w:t>). When everyone above 7 years of age is considered, 60</w:t>
      </w:r>
      <w:r>
        <w:t xml:space="preserve"> percent</w:t>
      </w:r>
      <w:r>
        <w:rPr>
          <w:rFonts w:asciiTheme="minorHAnsi" w:hAnsiTheme="minorHAnsi"/>
        </w:rPr>
        <w:t xml:space="preserve"> of the population is reported as economically active compared to the 54.1</w:t>
      </w:r>
      <w:r>
        <w:t xml:space="preserve"> percent</w:t>
      </w:r>
      <w:r>
        <w:rPr>
          <w:rFonts w:asciiTheme="minorHAnsi" w:hAnsiTheme="minorHAnsi"/>
        </w:rPr>
        <w:t xml:space="preserve"> reported in the previous survey (for those over 7 years).  Interestingly the most significant change between the surveys there has been an increase of those aged 15-24, from 39</w:t>
      </w:r>
      <w:r>
        <w:t xml:space="preserve"> percent</w:t>
      </w:r>
      <w:r>
        <w:rPr>
          <w:rFonts w:asciiTheme="minorHAnsi" w:hAnsiTheme="minorHAnsi"/>
        </w:rPr>
        <w:t xml:space="preserve"> deemed economically active to 52</w:t>
      </w:r>
      <w:r>
        <w:t xml:space="preserve"> percent</w:t>
      </w:r>
      <w:r>
        <w:rPr>
          <w:rFonts w:asciiTheme="minorHAnsi" w:hAnsiTheme="minorHAnsi"/>
        </w:rPr>
        <w:t xml:space="preserve">.  </w:t>
      </w:r>
    </w:p>
    <w:p w:rsidR="00EB6EB6" w:rsidRDefault="00EB6EB6" w:rsidP="004B4DDA">
      <w:pPr>
        <w:pStyle w:val="NoSpacing"/>
        <w:jc w:val="both"/>
        <w:rPr>
          <w:rFonts w:asciiTheme="minorHAnsi" w:hAnsiTheme="minorHAnsi"/>
        </w:rPr>
      </w:pPr>
    </w:p>
    <w:p w:rsidR="00EB6EB6" w:rsidRDefault="00406347" w:rsidP="001C2535">
      <w:pPr>
        <w:rPr>
          <w:b/>
          <w:sz w:val="18"/>
          <w:szCs w:val="18"/>
        </w:rPr>
      </w:pPr>
      <w:r>
        <w:rPr>
          <w:b/>
          <w:sz w:val="18"/>
          <w:szCs w:val="18"/>
        </w:rPr>
        <w:t>F</w:t>
      </w:r>
      <w:r>
        <w:rPr>
          <w:rFonts w:asciiTheme="minorHAnsi" w:hAnsiTheme="minorHAnsi"/>
          <w:b/>
          <w:sz w:val="18"/>
          <w:szCs w:val="18"/>
        </w:rPr>
        <w:t xml:space="preserve">igure </w:t>
      </w:r>
      <w:r w:rsidRPr="00F42537">
        <w:rPr>
          <w:rFonts w:asciiTheme="minorHAnsi" w:hAnsiTheme="minorHAnsi"/>
          <w:b/>
          <w:sz w:val="18"/>
          <w:szCs w:val="18"/>
        </w:rPr>
        <w:t>2.</w:t>
      </w:r>
      <w:r>
        <w:rPr>
          <w:b/>
          <w:sz w:val="18"/>
          <w:szCs w:val="18"/>
        </w:rPr>
        <w:t>5</w:t>
      </w:r>
      <w:r w:rsidRPr="00F42537">
        <w:rPr>
          <w:rFonts w:asciiTheme="minorHAnsi" w:hAnsiTheme="minorHAnsi"/>
          <w:b/>
          <w:sz w:val="18"/>
          <w:szCs w:val="18"/>
        </w:rPr>
        <w:t xml:space="preserve">: </w:t>
      </w:r>
      <w:r w:rsidRPr="000E5630">
        <w:rPr>
          <w:b/>
          <w:sz w:val="18"/>
          <w:szCs w:val="18"/>
        </w:rPr>
        <w:t>Proportion of people economically active by the age group</w:t>
      </w:r>
    </w:p>
    <w:p w:rsidR="00406347" w:rsidRDefault="00406347" w:rsidP="001C2535">
      <w:pPr>
        <w:rPr>
          <w:b/>
          <w:sz w:val="18"/>
          <w:szCs w:val="18"/>
        </w:rPr>
      </w:pPr>
      <w:r>
        <w:rPr>
          <w:b/>
          <w:noProof/>
          <w:sz w:val="18"/>
          <w:szCs w:val="18"/>
        </w:rPr>
        <w:drawing>
          <wp:inline distT="0" distB="0" distL="0" distR="0" wp14:anchorId="1F799A3C" wp14:editId="171EB449">
            <wp:extent cx="2750820" cy="2042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1651" cy="2042777"/>
                    </a:xfrm>
                    <a:prstGeom prst="rect">
                      <a:avLst/>
                    </a:prstGeom>
                    <a:noFill/>
                  </pic:spPr>
                </pic:pic>
              </a:graphicData>
            </a:graphic>
          </wp:inline>
        </w:drawing>
      </w:r>
    </w:p>
    <w:p w:rsidR="00406347" w:rsidRPr="00F61B67" w:rsidRDefault="00406347" w:rsidP="00406347">
      <w:pPr>
        <w:pStyle w:val="NoSpacing"/>
        <w:ind w:left="255"/>
        <w:jc w:val="center"/>
        <w:rPr>
          <w:i/>
          <w:sz w:val="18"/>
          <w:szCs w:val="18"/>
        </w:rPr>
      </w:pPr>
      <w:r w:rsidRPr="00F61B67">
        <w:rPr>
          <w:i/>
          <w:sz w:val="18"/>
          <w:szCs w:val="18"/>
        </w:rPr>
        <w:t>Source: GLSS5 and GLSS6, Ghana Statistical Service.</w:t>
      </w:r>
    </w:p>
    <w:p w:rsidR="00B256EF" w:rsidRDefault="00B256EF" w:rsidP="00B256EF">
      <w:pPr>
        <w:pStyle w:val="NoSpacing"/>
        <w:jc w:val="both"/>
        <w:rPr>
          <w:rFonts w:asciiTheme="minorHAnsi" w:hAnsiTheme="minorHAnsi"/>
          <w:b/>
          <w:color w:val="000000" w:themeColor="text1"/>
        </w:rPr>
      </w:pPr>
    </w:p>
    <w:p w:rsidR="00B256EF" w:rsidRDefault="00B256EF" w:rsidP="00B256EF">
      <w:pPr>
        <w:pStyle w:val="NoSpacing"/>
        <w:jc w:val="both"/>
        <w:rPr>
          <w:rFonts w:asciiTheme="minorHAnsi" w:hAnsiTheme="minorHAnsi"/>
        </w:rPr>
      </w:pPr>
      <w:r w:rsidRPr="001B2498">
        <w:rPr>
          <w:rFonts w:asciiTheme="minorHAnsi" w:hAnsiTheme="minorHAnsi"/>
          <w:b/>
          <w:color w:val="000000" w:themeColor="text1"/>
        </w:rPr>
        <w:t>Even when people are deemed economically</w:t>
      </w:r>
      <w:r>
        <w:rPr>
          <w:rFonts w:asciiTheme="minorHAnsi" w:hAnsiTheme="minorHAnsi"/>
          <w:b/>
          <w:color w:val="000000" w:themeColor="text1"/>
        </w:rPr>
        <w:t xml:space="preserve"> </w:t>
      </w:r>
      <w:r w:rsidRPr="001B2498">
        <w:rPr>
          <w:rFonts w:asciiTheme="minorHAnsi" w:hAnsiTheme="minorHAnsi"/>
          <w:b/>
          <w:color w:val="000000" w:themeColor="text1"/>
        </w:rPr>
        <w:t>active and employed</w:t>
      </w:r>
      <w:r>
        <w:rPr>
          <w:rFonts w:asciiTheme="minorHAnsi" w:hAnsiTheme="minorHAnsi"/>
          <w:b/>
          <w:color w:val="000000" w:themeColor="text1"/>
        </w:rPr>
        <w:t xml:space="preserve">, there are reported levels of </w:t>
      </w:r>
      <w:r w:rsidRPr="001B2498">
        <w:rPr>
          <w:rFonts w:asciiTheme="minorHAnsi" w:hAnsiTheme="minorHAnsi"/>
          <w:b/>
          <w:color w:val="000000" w:themeColor="text1"/>
        </w:rPr>
        <w:t>under</w:t>
      </w:r>
      <w:r>
        <w:rPr>
          <w:rFonts w:asciiTheme="minorHAnsi" w:hAnsiTheme="minorHAnsi"/>
          <w:b/>
          <w:color w:val="000000" w:themeColor="text1"/>
        </w:rPr>
        <w:t>-</w:t>
      </w:r>
      <w:r w:rsidRPr="001B2498">
        <w:rPr>
          <w:rFonts w:asciiTheme="minorHAnsi" w:hAnsiTheme="minorHAnsi"/>
          <w:b/>
          <w:color w:val="000000" w:themeColor="text1"/>
        </w:rPr>
        <w:t>employment.</w:t>
      </w:r>
      <w:r>
        <w:rPr>
          <w:rFonts w:asciiTheme="minorHAnsi" w:hAnsiTheme="minorHAnsi"/>
          <w:color w:val="000000" w:themeColor="text1"/>
        </w:rPr>
        <w:t xml:space="preserve"> </w:t>
      </w:r>
      <w:r>
        <w:rPr>
          <w:rFonts w:asciiTheme="minorHAnsi" w:hAnsiTheme="minorHAnsi" w:cs="Arial"/>
          <w:color w:val="000000" w:themeColor="text1"/>
          <w:shd w:val="clear" w:color="auto" w:fill="FFFFFF"/>
        </w:rPr>
        <w:t xml:space="preserve">Time-related </w:t>
      </w:r>
      <w:r w:rsidRPr="00746CF1">
        <w:rPr>
          <w:rFonts w:asciiTheme="minorHAnsi" w:hAnsiTheme="minorHAnsi" w:cs="Arial"/>
          <w:color w:val="000000" w:themeColor="text1"/>
          <w:shd w:val="clear" w:color="auto" w:fill="FFFFFF"/>
        </w:rPr>
        <w:t>underemployment exists when the hours of</w:t>
      </w:r>
      <w:r>
        <w:rPr>
          <w:rFonts w:asciiTheme="minorHAnsi" w:hAnsiTheme="minorHAnsi" w:cs="Arial"/>
          <w:color w:val="000000" w:themeColor="text1"/>
          <w:shd w:val="clear" w:color="auto" w:fill="FFFFFF"/>
        </w:rPr>
        <w:t xml:space="preserve"> </w:t>
      </w:r>
      <w:r w:rsidRPr="00746CF1">
        <w:rPr>
          <w:rFonts w:asciiTheme="minorHAnsi" w:hAnsiTheme="minorHAnsi" w:cs="Arial"/>
          <w:color w:val="000000" w:themeColor="text1"/>
          <w:shd w:val="clear" w:color="auto" w:fill="FFFFFF"/>
        </w:rPr>
        <w:t xml:space="preserve">work of an employed person are insufficient in relation to an alternative employment situation in which </w:t>
      </w:r>
      <w:r w:rsidRPr="00746CF1">
        <w:rPr>
          <w:rFonts w:asciiTheme="minorHAnsi" w:hAnsiTheme="minorHAnsi" w:cs="Arial"/>
          <w:color w:val="000000" w:themeColor="text1"/>
          <w:shd w:val="clear" w:color="auto" w:fill="FFFFFF"/>
        </w:rPr>
        <w:lastRenderedPageBreak/>
        <w:t>the person is willing and available to engage.</w:t>
      </w:r>
      <w:r w:rsidRPr="00746CF1">
        <w:rPr>
          <w:rStyle w:val="apple-converted-space"/>
          <w:rFonts w:asciiTheme="minorHAnsi" w:hAnsiTheme="minorHAnsi" w:cs="Arial"/>
          <w:color w:val="000000" w:themeColor="text1"/>
          <w:shd w:val="clear" w:color="auto" w:fill="FFFFFF"/>
        </w:rPr>
        <w:t> </w:t>
      </w:r>
      <w:r>
        <w:rPr>
          <w:rFonts w:asciiTheme="minorHAnsi" w:hAnsiTheme="minorHAnsi"/>
          <w:color w:val="000000" w:themeColor="text1"/>
        </w:rPr>
        <w:t xml:space="preserve"> </w:t>
      </w:r>
      <w:r w:rsidRPr="004D6313">
        <w:rPr>
          <w:rFonts w:asciiTheme="minorHAnsi" w:hAnsiTheme="minorHAnsi"/>
        </w:rPr>
        <w:t>On average 33</w:t>
      </w:r>
      <w:r>
        <w:rPr>
          <w:rFonts w:asciiTheme="minorHAnsi" w:hAnsiTheme="minorHAnsi"/>
        </w:rPr>
        <w:t xml:space="preserve"> percent</w:t>
      </w:r>
      <w:r w:rsidRPr="004D6313">
        <w:rPr>
          <w:rFonts w:asciiTheme="minorHAnsi" w:hAnsiTheme="minorHAnsi"/>
        </w:rPr>
        <w:t xml:space="preserve"> of employed people’s time is deemed to be inactive; i.e. there is underemployment</w:t>
      </w:r>
      <w:r>
        <w:rPr>
          <w:rFonts w:asciiTheme="minorHAnsi" w:hAnsiTheme="minorHAnsi"/>
        </w:rPr>
        <w:t xml:space="preserve"> (Figure 2.6)</w:t>
      </w:r>
      <w:r w:rsidRPr="004D6313">
        <w:rPr>
          <w:rFonts w:asciiTheme="minorHAnsi" w:hAnsiTheme="minorHAnsi"/>
        </w:rPr>
        <w:t>.</w:t>
      </w:r>
      <w:r>
        <w:rPr>
          <w:rFonts w:asciiTheme="minorHAnsi" w:hAnsiTheme="minorHAnsi"/>
        </w:rPr>
        <w:t xml:space="preserve"> The extent is higher in rural areas (41 percent) and relative to urban areas (26 percent) and for females (37 percent) relative to males (30 percent). </w:t>
      </w:r>
    </w:p>
    <w:p w:rsidR="00406347" w:rsidRDefault="00406347" w:rsidP="00406347">
      <w:pPr>
        <w:pStyle w:val="NoSpacing"/>
        <w:ind w:left="255"/>
        <w:jc w:val="center"/>
        <w:rPr>
          <w:sz w:val="18"/>
          <w:szCs w:val="18"/>
        </w:rPr>
      </w:pPr>
    </w:p>
    <w:p w:rsidR="007247B1" w:rsidRDefault="007247B1" w:rsidP="00B256EF">
      <w:pPr>
        <w:rPr>
          <w:b/>
          <w:sz w:val="18"/>
          <w:szCs w:val="18"/>
        </w:rPr>
      </w:pPr>
      <w:r w:rsidRPr="001B2498">
        <w:rPr>
          <w:rFonts w:asciiTheme="minorHAnsi" w:hAnsiTheme="minorHAnsi"/>
          <w:b/>
        </w:rPr>
        <w:t>Most employed people in Ghana are engaged in agri-business (48</w:t>
      </w:r>
      <w:r>
        <w:rPr>
          <w:b/>
        </w:rPr>
        <w:t xml:space="preserve"> percent</w:t>
      </w:r>
      <w:r w:rsidRPr="001B2498">
        <w:rPr>
          <w:rFonts w:asciiTheme="minorHAnsi" w:hAnsiTheme="minorHAnsi"/>
          <w:b/>
        </w:rPr>
        <w:t>), and a further 36</w:t>
      </w:r>
      <w:r>
        <w:rPr>
          <w:b/>
        </w:rPr>
        <w:t xml:space="preserve"> percent</w:t>
      </w:r>
      <w:r w:rsidRPr="001B2498">
        <w:rPr>
          <w:rFonts w:asciiTheme="minorHAnsi" w:hAnsiTheme="minorHAnsi"/>
          <w:b/>
        </w:rPr>
        <w:t xml:space="preserve"> are employed in the informal private sector (Figure 2.</w:t>
      </w:r>
      <w:r>
        <w:rPr>
          <w:rFonts w:asciiTheme="minorHAnsi" w:hAnsiTheme="minorHAnsi"/>
          <w:b/>
        </w:rPr>
        <w:t>7</w:t>
      </w:r>
      <w:r w:rsidRPr="001B2498">
        <w:rPr>
          <w:rFonts w:asciiTheme="minorHAnsi" w:hAnsiTheme="minorHAnsi"/>
          <w:b/>
        </w:rPr>
        <w:t xml:space="preserve">). </w:t>
      </w:r>
      <w:r>
        <w:rPr>
          <w:rFonts w:asciiTheme="minorHAnsi" w:hAnsiTheme="minorHAnsi"/>
        </w:rPr>
        <w:t>Only 8.2</w:t>
      </w:r>
      <w:r>
        <w:t xml:space="preserve"> percent</w:t>
      </w:r>
      <w:r>
        <w:rPr>
          <w:rFonts w:asciiTheme="minorHAnsi" w:hAnsiTheme="minorHAnsi"/>
        </w:rPr>
        <w:t xml:space="preserve"> are working in the formal private sector and 7.6</w:t>
      </w:r>
      <w:r>
        <w:t xml:space="preserve"> percent</w:t>
      </w:r>
      <w:r>
        <w:rPr>
          <w:rFonts w:asciiTheme="minorHAnsi" w:hAnsiTheme="minorHAnsi"/>
        </w:rPr>
        <w:t xml:space="preserve"> across the public sector. This is further reflected in reported number of self-employed workers (52</w:t>
      </w:r>
      <w:r>
        <w:t xml:space="preserve"> percent</w:t>
      </w:r>
      <w:r>
        <w:rPr>
          <w:rFonts w:asciiTheme="minorHAnsi" w:hAnsiTheme="minorHAnsi"/>
        </w:rPr>
        <w:t>) and that only are 20</w:t>
      </w:r>
      <w:r>
        <w:t xml:space="preserve"> percent</w:t>
      </w:r>
      <w:r>
        <w:rPr>
          <w:rFonts w:asciiTheme="minorHAnsi" w:hAnsiTheme="minorHAnsi"/>
        </w:rPr>
        <w:t xml:space="preserve"> are wage earners (Figure 2.6). </w:t>
      </w:r>
    </w:p>
    <w:p w:rsidR="007247B1" w:rsidRDefault="007247B1" w:rsidP="00406347">
      <w:pPr>
        <w:tabs>
          <w:tab w:val="left" w:pos="255"/>
          <w:tab w:val="center" w:pos="4680"/>
        </w:tabs>
        <w:ind w:left="255"/>
        <w:jc w:val="center"/>
        <w:rPr>
          <w:rFonts w:asciiTheme="minorHAnsi" w:hAnsiTheme="minorHAnsi"/>
          <w:b/>
          <w:sz w:val="18"/>
          <w:szCs w:val="18"/>
        </w:rPr>
      </w:pPr>
    </w:p>
    <w:p w:rsidR="00406347" w:rsidRDefault="00406347" w:rsidP="00406347">
      <w:pPr>
        <w:tabs>
          <w:tab w:val="left" w:pos="255"/>
          <w:tab w:val="center" w:pos="4680"/>
        </w:tabs>
        <w:ind w:left="255"/>
        <w:jc w:val="center"/>
        <w:rPr>
          <w:rFonts w:asciiTheme="minorHAnsi" w:hAnsiTheme="minorHAnsi"/>
          <w:b/>
          <w:sz w:val="18"/>
          <w:szCs w:val="18"/>
        </w:rPr>
      </w:pPr>
      <w:r>
        <w:rPr>
          <w:rFonts w:asciiTheme="minorHAnsi" w:hAnsiTheme="minorHAnsi"/>
          <w:b/>
          <w:sz w:val="18"/>
          <w:szCs w:val="18"/>
        </w:rPr>
        <w:t xml:space="preserve">Figure </w:t>
      </w:r>
      <w:r w:rsidRPr="00F42537">
        <w:rPr>
          <w:rFonts w:asciiTheme="minorHAnsi" w:hAnsiTheme="minorHAnsi"/>
          <w:b/>
          <w:sz w:val="18"/>
          <w:szCs w:val="18"/>
        </w:rPr>
        <w:t>2.</w:t>
      </w:r>
      <w:r>
        <w:rPr>
          <w:b/>
          <w:sz w:val="18"/>
          <w:szCs w:val="18"/>
        </w:rPr>
        <w:t>6</w:t>
      </w:r>
      <w:r w:rsidRPr="00F42537">
        <w:rPr>
          <w:rFonts w:asciiTheme="minorHAnsi" w:hAnsiTheme="minorHAnsi"/>
          <w:b/>
          <w:sz w:val="18"/>
          <w:szCs w:val="18"/>
        </w:rPr>
        <w:t xml:space="preserve">: </w:t>
      </w:r>
      <w:r>
        <w:rPr>
          <w:rFonts w:asciiTheme="minorHAnsi" w:hAnsiTheme="minorHAnsi"/>
          <w:b/>
          <w:sz w:val="18"/>
          <w:szCs w:val="18"/>
        </w:rPr>
        <w:t>Proportion of time underemployed</w:t>
      </w:r>
    </w:p>
    <w:p w:rsidR="00406347" w:rsidRDefault="00406347" w:rsidP="00406347">
      <w:pPr>
        <w:tabs>
          <w:tab w:val="left" w:pos="255"/>
          <w:tab w:val="center" w:pos="4680"/>
        </w:tabs>
        <w:ind w:left="255"/>
        <w:jc w:val="center"/>
        <w:rPr>
          <w:b/>
          <w:sz w:val="18"/>
          <w:szCs w:val="18"/>
        </w:rPr>
      </w:pPr>
    </w:p>
    <w:p w:rsidR="00406347" w:rsidRPr="008F6CEC" w:rsidRDefault="00406347" w:rsidP="00406347">
      <w:pPr>
        <w:tabs>
          <w:tab w:val="left" w:pos="255"/>
          <w:tab w:val="center" w:pos="4680"/>
        </w:tabs>
        <w:ind w:left="255"/>
        <w:jc w:val="center"/>
        <w:rPr>
          <w:rFonts w:asciiTheme="minorHAnsi" w:hAnsiTheme="minorHAnsi"/>
          <w:b/>
          <w:sz w:val="18"/>
          <w:szCs w:val="18"/>
        </w:rPr>
      </w:pPr>
      <w:r>
        <w:rPr>
          <w:rFonts w:asciiTheme="minorHAnsi" w:hAnsiTheme="minorHAnsi"/>
          <w:b/>
          <w:sz w:val="18"/>
          <w:szCs w:val="18"/>
        </w:rPr>
        <w:t xml:space="preserve"> </w:t>
      </w:r>
      <w:r>
        <w:rPr>
          <w:noProof/>
          <w:sz w:val="18"/>
          <w:szCs w:val="18"/>
        </w:rPr>
        <w:drawing>
          <wp:inline distT="0" distB="0" distL="0" distR="0" wp14:anchorId="0FF708BF" wp14:editId="13175205">
            <wp:extent cx="2597150" cy="20408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7150" cy="2040898"/>
                    </a:xfrm>
                    <a:prstGeom prst="rect">
                      <a:avLst/>
                    </a:prstGeom>
                    <a:noFill/>
                  </pic:spPr>
                </pic:pic>
              </a:graphicData>
            </a:graphic>
          </wp:inline>
        </w:drawing>
      </w:r>
    </w:p>
    <w:p w:rsidR="00406347" w:rsidRPr="00F61B67" w:rsidRDefault="00406347" w:rsidP="00406347">
      <w:pPr>
        <w:pStyle w:val="NoSpacing"/>
        <w:ind w:left="255"/>
        <w:jc w:val="center"/>
        <w:rPr>
          <w:i/>
          <w:sz w:val="18"/>
          <w:szCs w:val="18"/>
        </w:rPr>
      </w:pPr>
      <w:r w:rsidRPr="00F61B67">
        <w:rPr>
          <w:i/>
          <w:sz w:val="18"/>
          <w:szCs w:val="18"/>
        </w:rPr>
        <w:t>Source: GLSS6, Ghana Statistical Service,</w:t>
      </w:r>
      <w:r w:rsidR="00B256EF">
        <w:rPr>
          <w:i/>
          <w:sz w:val="18"/>
          <w:szCs w:val="18"/>
        </w:rPr>
        <w:t xml:space="preserve"> August</w:t>
      </w:r>
      <w:r w:rsidRPr="00F61B67">
        <w:rPr>
          <w:i/>
          <w:sz w:val="18"/>
          <w:szCs w:val="18"/>
        </w:rPr>
        <w:t xml:space="preserve"> 2014.</w:t>
      </w:r>
    </w:p>
    <w:p w:rsidR="00406347" w:rsidRPr="00DB0722" w:rsidRDefault="00406347" w:rsidP="00406347">
      <w:pPr>
        <w:pStyle w:val="NoSpacing"/>
        <w:ind w:left="255"/>
        <w:rPr>
          <w:sz w:val="18"/>
          <w:szCs w:val="18"/>
        </w:rPr>
      </w:pPr>
    </w:p>
    <w:p w:rsidR="00F05D55" w:rsidRDefault="00F05D55" w:rsidP="003B568E">
      <w:pPr>
        <w:tabs>
          <w:tab w:val="left" w:pos="255"/>
          <w:tab w:val="center" w:pos="4680"/>
        </w:tabs>
        <w:rPr>
          <w:rFonts w:asciiTheme="minorHAnsi" w:hAnsiTheme="minorHAnsi"/>
        </w:rPr>
      </w:pPr>
      <w:r w:rsidRPr="004A29E2">
        <w:rPr>
          <w:rFonts w:asciiTheme="minorHAnsi" w:hAnsiTheme="minorHAnsi"/>
          <w:b/>
        </w:rPr>
        <w:t xml:space="preserve">The combined </w:t>
      </w:r>
      <w:r>
        <w:rPr>
          <w:rFonts w:asciiTheme="minorHAnsi" w:hAnsiTheme="minorHAnsi"/>
          <w:b/>
        </w:rPr>
        <w:t>share of w</w:t>
      </w:r>
      <w:r w:rsidRPr="004A29E2">
        <w:rPr>
          <w:rFonts w:asciiTheme="minorHAnsi" w:hAnsiTheme="minorHAnsi"/>
          <w:b/>
        </w:rPr>
        <w:t xml:space="preserve">orkers </w:t>
      </w:r>
      <w:r>
        <w:rPr>
          <w:rFonts w:asciiTheme="minorHAnsi" w:hAnsiTheme="minorHAnsi"/>
          <w:b/>
        </w:rPr>
        <w:t xml:space="preserve">that </w:t>
      </w:r>
      <w:r w:rsidRPr="004A29E2">
        <w:rPr>
          <w:rFonts w:asciiTheme="minorHAnsi" w:hAnsiTheme="minorHAnsi"/>
          <w:b/>
        </w:rPr>
        <w:t>are engaged in the informal or agri-business sectors</w:t>
      </w:r>
      <w:r>
        <w:rPr>
          <w:rFonts w:asciiTheme="minorHAnsi" w:hAnsiTheme="minorHAnsi"/>
          <w:b/>
        </w:rPr>
        <w:t xml:space="preserve"> is </w:t>
      </w:r>
      <w:r w:rsidRPr="004A29E2">
        <w:rPr>
          <w:rFonts w:asciiTheme="minorHAnsi" w:hAnsiTheme="minorHAnsi"/>
          <w:b/>
        </w:rPr>
        <w:t>84</w:t>
      </w:r>
      <w:r w:rsidRPr="004A29E2">
        <w:rPr>
          <w:b/>
        </w:rPr>
        <w:t xml:space="preserve"> percent</w:t>
      </w:r>
      <w:r>
        <w:rPr>
          <w:rFonts w:asciiTheme="minorHAnsi" w:hAnsiTheme="minorHAnsi"/>
          <w:b/>
        </w:rPr>
        <w:t>.</w:t>
      </w:r>
      <w:r w:rsidRPr="004A29E2">
        <w:rPr>
          <w:rFonts w:asciiTheme="minorHAnsi" w:hAnsiTheme="minorHAnsi"/>
          <w:b/>
        </w:rPr>
        <w:t xml:space="preserve"> </w:t>
      </w:r>
      <w:r w:rsidRPr="004404BC">
        <w:rPr>
          <w:rFonts w:asciiTheme="minorHAnsi" w:hAnsiTheme="minorHAnsi"/>
        </w:rPr>
        <w:t>This suggests that the formal sector (both public and private) cannot generate jobs in sufficient numbers and people are pushed into the informal sector.</w:t>
      </w:r>
    </w:p>
    <w:p w:rsidR="00BC4075" w:rsidRDefault="00BC4075" w:rsidP="003B568E">
      <w:pPr>
        <w:tabs>
          <w:tab w:val="left" w:pos="255"/>
          <w:tab w:val="center" w:pos="4680"/>
        </w:tabs>
        <w:rPr>
          <w:rFonts w:asciiTheme="minorHAnsi" w:hAnsiTheme="minorHAnsi"/>
          <w:b/>
          <w:sz w:val="18"/>
          <w:szCs w:val="18"/>
        </w:rPr>
      </w:pPr>
    </w:p>
    <w:p w:rsidR="0024786A" w:rsidRDefault="0024786A" w:rsidP="003B568E">
      <w:pPr>
        <w:rPr>
          <w:rFonts w:asciiTheme="minorHAnsi" w:hAnsiTheme="minorHAnsi"/>
        </w:rPr>
      </w:pPr>
      <w:r>
        <w:rPr>
          <w:rFonts w:asciiTheme="minorHAnsi" w:hAnsiTheme="minorHAnsi"/>
        </w:rPr>
        <w:t xml:space="preserve">These </w:t>
      </w:r>
      <w:r w:rsidRPr="007A2900">
        <w:rPr>
          <w:rFonts w:asciiTheme="minorHAnsi" w:hAnsiTheme="minorHAnsi"/>
        </w:rPr>
        <w:t>sector</w:t>
      </w:r>
      <w:r>
        <w:rPr>
          <w:rFonts w:asciiTheme="minorHAnsi" w:hAnsiTheme="minorHAnsi"/>
        </w:rPr>
        <w:t>s</w:t>
      </w:r>
      <w:r w:rsidRPr="007A2900">
        <w:rPr>
          <w:rFonts w:asciiTheme="minorHAnsi" w:hAnsiTheme="minorHAnsi"/>
        </w:rPr>
        <w:t xml:space="preserve"> </w:t>
      </w:r>
      <w:r>
        <w:rPr>
          <w:rFonts w:asciiTheme="minorHAnsi" w:hAnsiTheme="minorHAnsi"/>
        </w:rPr>
        <w:t xml:space="preserve">are </w:t>
      </w:r>
      <w:r w:rsidRPr="007A2900">
        <w:rPr>
          <w:rFonts w:asciiTheme="minorHAnsi" w:hAnsiTheme="minorHAnsi"/>
        </w:rPr>
        <w:t xml:space="preserve">made up </w:t>
      </w:r>
      <w:r>
        <w:rPr>
          <w:rFonts w:asciiTheme="minorHAnsi" w:hAnsiTheme="minorHAnsi"/>
        </w:rPr>
        <w:t xml:space="preserve">predominantly </w:t>
      </w:r>
      <w:r w:rsidRPr="007A2900">
        <w:rPr>
          <w:rFonts w:asciiTheme="minorHAnsi" w:hAnsiTheme="minorHAnsi"/>
        </w:rPr>
        <w:t>of small</w:t>
      </w:r>
      <w:r>
        <w:rPr>
          <w:rFonts w:asciiTheme="minorHAnsi" w:hAnsiTheme="minorHAnsi"/>
        </w:rPr>
        <w:t>-</w:t>
      </w:r>
      <w:r w:rsidR="00F05D55">
        <w:rPr>
          <w:rFonts w:asciiTheme="minorHAnsi" w:hAnsiTheme="minorHAnsi"/>
        </w:rPr>
        <w:t xml:space="preserve"> </w:t>
      </w:r>
      <w:r>
        <w:rPr>
          <w:rFonts w:asciiTheme="minorHAnsi" w:hAnsiTheme="minorHAnsi"/>
        </w:rPr>
        <w:t xml:space="preserve">and </w:t>
      </w:r>
      <w:r w:rsidRPr="007A2900">
        <w:rPr>
          <w:rFonts w:asciiTheme="minorHAnsi" w:hAnsiTheme="minorHAnsi"/>
        </w:rPr>
        <w:t>medium-</w:t>
      </w:r>
      <w:r>
        <w:rPr>
          <w:rFonts w:asciiTheme="minorHAnsi" w:hAnsiTheme="minorHAnsi"/>
        </w:rPr>
        <w:t xml:space="preserve">size </w:t>
      </w:r>
      <w:r w:rsidRPr="007A2900">
        <w:rPr>
          <w:rFonts w:asciiTheme="minorHAnsi" w:hAnsiTheme="minorHAnsi"/>
        </w:rPr>
        <w:t>businesses which consist of producers, wholesale</w:t>
      </w:r>
      <w:r>
        <w:rPr>
          <w:rFonts w:asciiTheme="minorHAnsi" w:hAnsiTheme="minorHAnsi"/>
        </w:rPr>
        <w:t>rs,</w:t>
      </w:r>
      <w:r w:rsidRPr="007A2900">
        <w:rPr>
          <w:rFonts w:asciiTheme="minorHAnsi" w:hAnsiTheme="minorHAnsi"/>
        </w:rPr>
        <w:t xml:space="preserve"> retailers, and service providers</w:t>
      </w:r>
      <w:r>
        <w:rPr>
          <w:rFonts w:asciiTheme="minorHAnsi" w:hAnsiTheme="minorHAnsi"/>
        </w:rPr>
        <w:t xml:space="preserve">. These businesses are staffed and run by </w:t>
      </w:r>
      <w:r w:rsidRPr="007A2900">
        <w:rPr>
          <w:rFonts w:asciiTheme="minorHAnsi" w:hAnsiTheme="minorHAnsi"/>
        </w:rPr>
        <w:t xml:space="preserve">family workers, casual wage workers, </w:t>
      </w:r>
      <w:r>
        <w:rPr>
          <w:rFonts w:asciiTheme="minorHAnsi" w:hAnsiTheme="minorHAnsi"/>
        </w:rPr>
        <w:t xml:space="preserve">and </w:t>
      </w:r>
      <w:r w:rsidRPr="007A2900">
        <w:rPr>
          <w:rFonts w:asciiTheme="minorHAnsi" w:hAnsiTheme="minorHAnsi"/>
        </w:rPr>
        <w:t>home-based work</w:t>
      </w:r>
      <w:r>
        <w:rPr>
          <w:rFonts w:asciiTheme="minorHAnsi" w:hAnsiTheme="minorHAnsi"/>
        </w:rPr>
        <w:t xml:space="preserve">. Activities include: farming; </w:t>
      </w:r>
      <w:r w:rsidRPr="007A2900">
        <w:rPr>
          <w:rFonts w:asciiTheme="minorHAnsi" w:hAnsiTheme="minorHAnsi"/>
        </w:rPr>
        <w:t>street vending</w:t>
      </w:r>
      <w:r>
        <w:rPr>
          <w:rFonts w:asciiTheme="minorHAnsi" w:hAnsiTheme="minorHAnsi"/>
        </w:rPr>
        <w:t>; artisans and craft-work; trading;</w:t>
      </w:r>
      <w:r w:rsidRPr="007A2900">
        <w:rPr>
          <w:rFonts w:asciiTheme="minorHAnsi" w:hAnsiTheme="minorHAnsi"/>
        </w:rPr>
        <w:t xml:space="preserve"> </w:t>
      </w:r>
      <w:r>
        <w:rPr>
          <w:rFonts w:asciiTheme="minorHAnsi" w:hAnsiTheme="minorHAnsi"/>
        </w:rPr>
        <w:t xml:space="preserve">and </w:t>
      </w:r>
      <w:r w:rsidRPr="007A2900">
        <w:rPr>
          <w:rFonts w:asciiTheme="minorHAnsi" w:hAnsiTheme="minorHAnsi"/>
        </w:rPr>
        <w:t xml:space="preserve">food </w:t>
      </w:r>
      <w:r>
        <w:rPr>
          <w:rFonts w:asciiTheme="minorHAnsi" w:hAnsiTheme="minorHAnsi"/>
        </w:rPr>
        <w:t>processing, among others</w:t>
      </w:r>
      <w:r w:rsidRPr="007A2900">
        <w:rPr>
          <w:rFonts w:asciiTheme="minorHAnsi" w:hAnsiTheme="minorHAnsi"/>
        </w:rPr>
        <w:t xml:space="preserve">. </w:t>
      </w:r>
    </w:p>
    <w:p w:rsidR="00F05D55" w:rsidRDefault="00F05D55" w:rsidP="003B568E">
      <w:pPr>
        <w:rPr>
          <w:rFonts w:asciiTheme="minorHAnsi" w:hAnsiTheme="minorHAnsi"/>
        </w:rPr>
      </w:pPr>
      <w:r w:rsidRPr="00560D53">
        <w:rPr>
          <w:rFonts w:asciiTheme="minorHAnsi" w:hAnsiTheme="minorHAnsi"/>
          <w:b/>
        </w:rPr>
        <w:lastRenderedPageBreak/>
        <w:t>When economic sectors are considered, the largest share (45</w:t>
      </w:r>
      <w:r>
        <w:rPr>
          <w:b/>
        </w:rPr>
        <w:t xml:space="preserve"> </w:t>
      </w:r>
      <w:r w:rsidRPr="00560D53">
        <w:rPr>
          <w:b/>
        </w:rPr>
        <w:t>percent</w:t>
      </w:r>
      <w:r w:rsidRPr="00560D53">
        <w:rPr>
          <w:rFonts w:asciiTheme="minorHAnsi" w:hAnsiTheme="minorHAnsi"/>
          <w:b/>
        </w:rPr>
        <w:t>) of those employed, are active in the agriculture</w:t>
      </w:r>
      <w:r w:rsidRPr="00560D53">
        <w:rPr>
          <w:b/>
        </w:rPr>
        <w:t>,</w:t>
      </w:r>
      <w:r w:rsidRPr="00560D53">
        <w:rPr>
          <w:rFonts w:asciiTheme="minorHAnsi" w:hAnsiTheme="minorHAnsi"/>
          <w:b/>
        </w:rPr>
        <w:t xml:space="preserve"> forestry</w:t>
      </w:r>
      <w:r w:rsidRPr="00560D53">
        <w:rPr>
          <w:b/>
        </w:rPr>
        <w:t>,</w:t>
      </w:r>
      <w:r w:rsidRPr="00560D53">
        <w:rPr>
          <w:rFonts w:asciiTheme="minorHAnsi" w:hAnsiTheme="minorHAnsi"/>
          <w:b/>
        </w:rPr>
        <w:t xml:space="preserve"> and fisheries sector.</w:t>
      </w:r>
      <w:r>
        <w:rPr>
          <w:rFonts w:asciiTheme="minorHAnsi" w:hAnsiTheme="minorHAnsi"/>
        </w:rPr>
        <w:t xml:space="preserve"> This is followed by the wholesale and retail sector (20</w:t>
      </w:r>
      <w:r>
        <w:t xml:space="preserve"> percent</w:t>
      </w:r>
      <w:r>
        <w:rPr>
          <w:rFonts w:asciiTheme="minorHAnsi" w:hAnsiTheme="minorHAnsi"/>
        </w:rPr>
        <w:t>) and manufacturing (9</w:t>
      </w:r>
      <w:r>
        <w:t xml:space="preserve"> percent</w:t>
      </w:r>
      <w:r>
        <w:rPr>
          <w:rFonts w:asciiTheme="minorHAnsi" w:hAnsiTheme="minorHAnsi"/>
        </w:rPr>
        <w:t>) (Figure 2.</w:t>
      </w:r>
      <w:r w:rsidR="00BC4075">
        <w:rPr>
          <w:rFonts w:asciiTheme="minorHAnsi" w:hAnsiTheme="minorHAnsi"/>
        </w:rPr>
        <w:t>8</w:t>
      </w:r>
      <w:r>
        <w:rPr>
          <w:rFonts w:asciiTheme="minorHAnsi" w:hAnsiTheme="minorHAnsi"/>
        </w:rPr>
        <w:t xml:space="preserve">).  </w:t>
      </w:r>
    </w:p>
    <w:p w:rsidR="00F05D55" w:rsidRDefault="00F05D55" w:rsidP="003B568E">
      <w:pPr>
        <w:rPr>
          <w:rFonts w:asciiTheme="minorHAnsi" w:hAnsiTheme="minorHAnsi"/>
        </w:rPr>
      </w:pPr>
    </w:p>
    <w:p w:rsidR="00E91B71" w:rsidRPr="00A169B9" w:rsidRDefault="00E91B71" w:rsidP="003B568E">
      <w:pPr>
        <w:rPr>
          <w:rFonts w:asciiTheme="minorHAnsi" w:hAnsiTheme="minorHAnsi"/>
          <w:color w:val="000000" w:themeColor="text1"/>
        </w:rPr>
      </w:pPr>
      <w:r w:rsidRPr="00A40FE4">
        <w:rPr>
          <w:rFonts w:asciiTheme="minorHAnsi" w:hAnsiTheme="minorHAnsi"/>
          <w:b/>
          <w:color w:val="000000" w:themeColor="text1"/>
        </w:rPr>
        <w:t xml:space="preserve">The average hourly earnings of Ghanaian workers is reported as </w:t>
      </w:r>
      <w:r>
        <w:rPr>
          <w:rFonts w:asciiTheme="minorHAnsi" w:hAnsiTheme="minorHAnsi"/>
          <w:b/>
          <w:color w:val="000000" w:themeColor="text1"/>
        </w:rPr>
        <w:t>Ghs</w:t>
      </w:r>
      <w:r w:rsidRPr="00A40FE4">
        <w:rPr>
          <w:rFonts w:asciiTheme="minorHAnsi" w:eastAsia="Times New Roman" w:hAnsiTheme="minorHAnsi"/>
          <w:b/>
          <w:color w:val="000000" w:themeColor="text1"/>
        </w:rPr>
        <w:t>1.82 (US$0.49 in September 2014), but there is considerable range across occupations (Figure 2.</w:t>
      </w:r>
      <w:r w:rsidR="00BC4075">
        <w:rPr>
          <w:rFonts w:asciiTheme="minorHAnsi" w:eastAsia="Times New Roman" w:hAnsiTheme="minorHAnsi"/>
          <w:b/>
          <w:color w:val="000000" w:themeColor="text1"/>
        </w:rPr>
        <w:t>9</w:t>
      </w:r>
      <w:r w:rsidRPr="00A40FE4">
        <w:rPr>
          <w:rFonts w:asciiTheme="minorHAnsi" w:eastAsia="Times New Roman" w:hAnsiTheme="minorHAnsi"/>
          <w:b/>
          <w:color w:val="000000" w:themeColor="text1"/>
        </w:rPr>
        <w:t>).</w:t>
      </w:r>
      <w:r w:rsidRPr="00A169B9">
        <w:rPr>
          <w:rFonts w:asciiTheme="minorHAnsi" w:eastAsia="Times New Roman" w:hAnsiTheme="minorHAnsi"/>
          <w:color w:val="000000" w:themeColor="text1"/>
        </w:rPr>
        <w:t xml:space="preserve"> </w:t>
      </w:r>
      <w:r>
        <w:rPr>
          <w:rFonts w:asciiTheme="minorHAnsi" w:eastAsia="Times New Roman" w:hAnsiTheme="minorHAnsi"/>
          <w:color w:val="000000" w:themeColor="text1"/>
        </w:rPr>
        <w:t xml:space="preserve">The lowest earnings are in agriculture, (where a significant portion of workers are engaged) and the highest in public administration and </w:t>
      </w:r>
      <w:r>
        <w:rPr>
          <w:rFonts w:eastAsia="Times New Roman"/>
          <w:color w:val="000000" w:themeColor="text1"/>
        </w:rPr>
        <w:t>defense</w:t>
      </w:r>
      <w:r>
        <w:rPr>
          <w:rFonts w:asciiTheme="minorHAnsi" w:eastAsia="Times New Roman" w:hAnsiTheme="minorHAnsi"/>
          <w:color w:val="000000" w:themeColor="text1"/>
        </w:rPr>
        <w:t>; education; and electricity, gas and air conditioning supply.  This reflects considerable inequality.</w:t>
      </w:r>
    </w:p>
    <w:p w:rsidR="00F05D55" w:rsidRDefault="00F05D55" w:rsidP="00406347">
      <w:pPr>
        <w:ind w:left="255"/>
        <w:rPr>
          <w:rFonts w:asciiTheme="minorHAnsi" w:hAnsiTheme="minorHAnsi"/>
        </w:rPr>
      </w:pPr>
    </w:p>
    <w:p w:rsidR="00406347" w:rsidRDefault="00406347" w:rsidP="00406347">
      <w:pPr>
        <w:tabs>
          <w:tab w:val="left" w:pos="255"/>
          <w:tab w:val="center" w:pos="4680"/>
        </w:tabs>
        <w:ind w:left="255"/>
        <w:jc w:val="center"/>
        <w:rPr>
          <w:b/>
          <w:sz w:val="18"/>
          <w:szCs w:val="18"/>
        </w:rPr>
      </w:pPr>
      <w:r>
        <w:rPr>
          <w:rFonts w:asciiTheme="minorHAnsi" w:hAnsiTheme="minorHAnsi"/>
          <w:b/>
          <w:sz w:val="18"/>
          <w:szCs w:val="18"/>
        </w:rPr>
        <w:t xml:space="preserve">Figure </w:t>
      </w:r>
      <w:r w:rsidRPr="00F42537">
        <w:rPr>
          <w:rFonts w:asciiTheme="minorHAnsi" w:hAnsiTheme="minorHAnsi"/>
          <w:b/>
          <w:sz w:val="18"/>
          <w:szCs w:val="18"/>
        </w:rPr>
        <w:t>2.</w:t>
      </w:r>
      <w:r w:rsidR="00A731CB">
        <w:rPr>
          <w:rFonts w:asciiTheme="minorHAnsi" w:hAnsiTheme="minorHAnsi"/>
          <w:b/>
          <w:sz w:val="18"/>
          <w:szCs w:val="18"/>
        </w:rPr>
        <w:t>7</w:t>
      </w:r>
      <w:r w:rsidRPr="00F42537">
        <w:rPr>
          <w:rFonts w:asciiTheme="minorHAnsi" w:hAnsiTheme="minorHAnsi"/>
          <w:b/>
          <w:sz w:val="18"/>
          <w:szCs w:val="18"/>
        </w:rPr>
        <w:t xml:space="preserve">: </w:t>
      </w:r>
      <w:r>
        <w:rPr>
          <w:rFonts w:asciiTheme="minorHAnsi" w:hAnsiTheme="minorHAnsi"/>
          <w:b/>
          <w:sz w:val="18"/>
          <w:szCs w:val="18"/>
        </w:rPr>
        <w:t>Categories of Employment</w:t>
      </w:r>
    </w:p>
    <w:p w:rsidR="00406347" w:rsidRDefault="00406347" w:rsidP="00406347">
      <w:pPr>
        <w:tabs>
          <w:tab w:val="left" w:pos="255"/>
          <w:tab w:val="center" w:pos="4680"/>
        </w:tabs>
        <w:ind w:left="255"/>
        <w:jc w:val="center"/>
        <w:rPr>
          <w:i/>
          <w:sz w:val="18"/>
          <w:szCs w:val="18"/>
        </w:rPr>
      </w:pPr>
      <w:r>
        <w:rPr>
          <w:b/>
          <w:noProof/>
          <w:sz w:val="18"/>
          <w:szCs w:val="18"/>
        </w:rPr>
        <w:drawing>
          <wp:inline distT="0" distB="0" distL="0" distR="0" wp14:anchorId="00B23A00" wp14:editId="5067BD9C">
            <wp:extent cx="2703360" cy="19050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2974" cy="1904728"/>
                    </a:xfrm>
                    <a:prstGeom prst="rect">
                      <a:avLst/>
                    </a:prstGeom>
                    <a:noFill/>
                  </pic:spPr>
                </pic:pic>
              </a:graphicData>
            </a:graphic>
          </wp:inline>
        </w:drawing>
      </w:r>
    </w:p>
    <w:p w:rsidR="00406347" w:rsidRPr="001522E6" w:rsidRDefault="00406347" w:rsidP="00406347">
      <w:pPr>
        <w:tabs>
          <w:tab w:val="left" w:pos="255"/>
          <w:tab w:val="center" w:pos="4680"/>
        </w:tabs>
        <w:ind w:left="255"/>
        <w:jc w:val="center"/>
        <w:rPr>
          <w:b/>
          <w:sz w:val="18"/>
          <w:szCs w:val="18"/>
        </w:rPr>
      </w:pPr>
      <w:r w:rsidRPr="00F61B67">
        <w:rPr>
          <w:i/>
          <w:sz w:val="18"/>
          <w:szCs w:val="18"/>
        </w:rPr>
        <w:t xml:space="preserve">Source GLSS6, Ghana Statistical Service, </w:t>
      </w:r>
      <w:r w:rsidR="00B256EF">
        <w:rPr>
          <w:i/>
          <w:sz w:val="18"/>
          <w:szCs w:val="18"/>
        </w:rPr>
        <w:t xml:space="preserve">August </w:t>
      </w:r>
      <w:r w:rsidRPr="00F61B67">
        <w:rPr>
          <w:i/>
          <w:sz w:val="18"/>
          <w:szCs w:val="18"/>
        </w:rPr>
        <w:t>2014.</w:t>
      </w:r>
    </w:p>
    <w:p w:rsidR="00406347" w:rsidRDefault="00406347" w:rsidP="00406347">
      <w:pPr>
        <w:ind w:left="255"/>
        <w:rPr>
          <w:rFonts w:asciiTheme="minorHAnsi" w:hAnsiTheme="minorHAnsi"/>
        </w:rPr>
      </w:pPr>
    </w:p>
    <w:p w:rsidR="00846D5C" w:rsidRDefault="00846D5C" w:rsidP="00406347">
      <w:pPr>
        <w:pStyle w:val="NoSpacing"/>
        <w:ind w:left="255"/>
        <w:jc w:val="center"/>
        <w:rPr>
          <w:b/>
          <w:sz w:val="18"/>
          <w:szCs w:val="18"/>
        </w:rPr>
      </w:pPr>
    </w:p>
    <w:p w:rsidR="00846D5C" w:rsidRDefault="00846D5C" w:rsidP="00406347">
      <w:pPr>
        <w:pStyle w:val="NoSpacing"/>
        <w:ind w:left="255"/>
        <w:jc w:val="center"/>
        <w:rPr>
          <w:b/>
          <w:sz w:val="18"/>
          <w:szCs w:val="18"/>
        </w:rPr>
      </w:pPr>
    </w:p>
    <w:p w:rsidR="00406347" w:rsidRPr="00375C4B" w:rsidRDefault="00406347" w:rsidP="00406347">
      <w:pPr>
        <w:pStyle w:val="NoSpacing"/>
        <w:ind w:left="255"/>
        <w:jc w:val="center"/>
        <w:rPr>
          <w:b/>
          <w:sz w:val="18"/>
          <w:szCs w:val="18"/>
        </w:rPr>
      </w:pPr>
      <w:r w:rsidRPr="00375C4B">
        <w:rPr>
          <w:b/>
          <w:sz w:val="18"/>
          <w:szCs w:val="18"/>
        </w:rPr>
        <w:t>Figure 2.</w:t>
      </w:r>
      <w:r w:rsidR="00A731CB">
        <w:rPr>
          <w:b/>
          <w:sz w:val="18"/>
          <w:szCs w:val="18"/>
        </w:rPr>
        <w:t>8</w:t>
      </w:r>
      <w:r w:rsidRPr="00375C4B">
        <w:rPr>
          <w:b/>
          <w:sz w:val="18"/>
          <w:szCs w:val="18"/>
        </w:rPr>
        <w:t xml:space="preserve">: </w:t>
      </w:r>
      <w:r>
        <w:rPr>
          <w:b/>
          <w:sz w:val="18"/>
          <w:szCs w:val="18"/>
        </w:rPr>
        <w:t xml:space="preserve">Employment by economic sector </w:t>
      </w:r>
    </w:p>
    <w:p w:rsidR="00406347" w:rsidRPr="00026522" w:rsidRDefault="00406347" w:rsidP="00406347">
      <w:pPr>
        <w:pStyle w:val="NoSpacing"/>
        <w:ind w:left="255"/>
        <w:jc w:val="center"/>
        <w:rPr>
          <w:sz w:val="18"/>
          <w:szCs w:val="18"/>
        </w:rPr>
      </w:pPr>
      <w:r>
        <w:rPr>
          <w:noProof/>
          <w:sz w:val="18"/>
          <w:szCs w:val="18"/>
        </w:rPr>
        <w:drawing>
          <wp:inline distT="0" distB="0" distL="0" distR="0" wp14:anchorId="36E1D893" wp14:editId="113E489C">
            <wp:extent cx="2879610" cy="22326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7585" cy="2231090"/>
                    </a:xfrm>
                    <a:prstGeom prst="rect">
                      <a:avLst/>
                    </a:prstGeom>
                    <a:noFill/>
                  </pic:spPr>
                </pic:pic>
              </a:graphicData>
            </a:graphic>
          </wp:inline>
        </w:drawing>
      </w:r>
    </w:p>
    <w:p w:rsidR="00406347" w:rsidRPr="00F61B67" w:rsidRDefault="00406347" w:rsidP="00406347">
      <w:pPr>
        <w:pStyle w:val="NoSpacing"/>
        <w:ind w:left="255"/>
        <w:jc w:val="center"/>
        <w:rPr>
          <w:i/>
          <w:sz w:val="18"/>
          <w:szCs w:val="18"/>
        </w:rPr>
      </w:pPr>
      <w:r w:rsidRPr="00F61B67">
        <w:rPr>
          <w:i/>
          <w:sz w:val="18"/>
          <w:szCs w:val="18"/>
        </w:rPr>
        <w:t xml:space="preserve">Source GLSS6, Ghana Statistical Service, </w:t>
      </w:r>
      <w:r w:rsidR="00B256EF">
        <w:rPr>
          <w:i/>
          <w:sz w:val="18"/>
          <w:szCs w:val="18"/>
        </w:rPr>
        <w:t xml:space="preserve">August </w:t>
      </w:r>
      <w:r w:rsidRPr="00F61B67">
        <w:rPr>
          <w:i/>
          <w:sz w:val="18"/>
          <w:szCs w:val="18"/>
        </w:rPr>
        <w:t>2014.</w:t>
      </w:r>
    </w:p>
    <w:p w:rsidR="003B568E" w:rsidRDefault="003B568E" w:rsidP="003B568E">
      <w:pPr>
        <w:pStyle w:val="NoSpacing"/>
        <w:jc w:val="both"/>
        <w:rPr>
          <w:b/>
        </w:rPr>
      </w:pPr>
    </w:p>
    <w:p w:rsidR="003B568E" w:rsidRDefault="003B568E" w:rsidP="003B568E">
      <w:pPr>
        <w:pStyle w:val="NoSpacing"/>
        <w:jc w:val="both"/>
      </w:pPr>
      <w:r>
        <w:rPr>
          <w:b/>
        </w:rPr>
        <w:lastRenderedPageBreak/>
        <w:t>T</w:t>
      </w:r>
      <w:r w:rsidRPr="00A40FE4">
        <w:rPr>
          <w:b/>
        </w:rPr>
        <w:t>here has been considerable nominal growth in basic wages since 2007-08 (Figure 2.</w:t>
      </w:r>
      <w:r w:rsidR="00BC4075">
        <w:rPr>
          <w:b/>
        </w:rPr>
        <w:t>10</w:t>
      </w:r>
      <w:r w:rsidRPr="00A40FE4">
        <w:rPr>
          <w:b/>
        </w:rPr>
        <w:t>).</w:t>
      </w:r>
      <w:r>
        <w:t xml:space="preserve"> This is expected given the rates of inflation recorded, but there is a considerable range in the magnitude of the changes.  For example nominal wages in agriculture, forestry and fishing—where the majority of workers are engaged—have only increased by 102 percent, whilst wages in the public sector and defense have increased by 495 percent.</w:t>
      </w:r>
    </w:p>
    <w:p w:rsidR="00846D5C" w:rsidRDefault="00846D5C" w:rsidP="003B568E">
      <w:pPr>
        <w:pStyle w:val="NoSpacing"/>
        <w:jc w:val="both"/>
      </w:pPr>
    </w:p>
    <w:p w:rsidR="00406347" w:rsidRPr="000477BD" w:rsidRDefault="00406347" w:rsidP="00406347">
      <w:pPr>
        <w:pStyle w:val="NoSpacing"/>
        <w:ind w:left="255"/>
        <w:jc w:val="center"/>
        <w:rPr>
          <w:b/>
        </w:rPr>
      </w:pPr>
      <w:r>
        <w:rPr>
          <w:b/>
          <w:sz w:val="18"/>
          <w:szCs w:val="18"/>
        </w:rPr>
        <w:t>Figure 2.</w:t>
      </w:r>
      <w:r w:rsidR="00A731CB">
        <w:rPr>
          <w:b/>
          <w:sz w:val="18"/>
          <w:szCs w:val="18"/>
        </w:rPr>
        <w:t>9</w:t>
      </w:r>
      <w:r w:rsidRPr="000477BD">
        <w:rPr>
          <w:b/>
          <w:sz w:val="18"/>
          <w:szCs w:val="18"/>
        </w:rPr>
        <w:t>: Average basic hourly earnings (GH₵), selected industries</w:t>
      </w:r>
      <w:r>
        <w:rPr>
          <w:b/>
          <w:sz w:val="18"/>
          <w:szCs w:val="18"/>
        </w:rPr>
        <w:t xml:space="preserve"> </w:t>
      </w:r>
      <w:r w:rsidR="009760CC">
        <w:rPr>
          <w:b/>
          <w:noProof/>
          <w:sz w:val="18"/>
          <w:szCs w:val="18"/>
        </w:rPr>
        <w:drawing>
          <wp:inline distT="0" distB="0" distL="0" distR="0" wp14:anchorId="1D744DE8" wp14:editId="11DD90D4">
            <wp:extent cx="2997200" cy="2844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9433" cy="2846919"/>
                    </a:xfrm>
                    <a:prstGeom prst="rect">
                      <a:avLst/>
                    </a:prstGeom>
                    <a:noFill/>
                  </pic:spPr>
                </pic:pic>
              </a:graphicData>
            </a:graphic>
          </wp:inline>
        </w:drawing>
      </w:r>
    </w:p>
    <w:p w:rsidR="00406347" w:rsidRPr="003B568E" w:rsidRDefault="00406347" w:rsidP="00406347">
      <w:pPr>
        <w:pStyle w:val="NoSpacing"/>
        <w:ind w:left="255"/>
        <w:jc w:val="center"/>
        <w:rPr>
          <w:i/>
          <w:sz w:val="18"/>
          <w:szCs w:val="18"/>
        </w:rPr>
      </w:pPr>
      <w:r w:rsidRPr="003B568E">
        <w:rPr>
          <w:i/>
          <w:sz w:val="18"/>
          <w:szCs w:val="18"/>
        </w:rPr>
        <w:t>Source: GLSS6, Ghana Statistical Service,</w:t>
      </w:r>
      <w:r w:rsidR="003B568E">
        <w:rPr>
          <w:i/>
          <w:sz w:val="18"/>
          <w:szCs w:val="18"/>
        </w:rPr>
        <w:t xml:space="preserve"> August </w:t>
      </w:r>
      <w:r w:rsidRPr="003B568E">
        <w:rPr>
          <w:i/>
          <w:sz w:val="18"/>
          <w:szCs w:val="18"/>
        </w:rPr>
        <w:t xml:space="preserve"> 2014.</w:t>
      </w:r>
    </w:p>
    <w:p w:rsidR="00406347" w:rsidRDefault="00406347" w:rsidP="00406347">
      <w:pPr>
        <w:pStyle w:val="NoSpacing"/>
        <w:ind w:left="255"/>
        <w:jc w:val="both"/>
        <w:rPr>
          <w:b/>
        </w:rPr>
      </w:pPr>
    </w:p>
    <w:p w:rsidR="00406347" w:rsidRDefault="00A731CB" w:rsidP="00406347">
      <w:pPr>
        <w:pStyle w:val="NoSpacing"/>
        <w:ind w:left="255"/>
        <w:jc w:val="center"/>
        <w:rPr>
          <w:b/>
          <w:sz w:val="18"/>
          <w:szCs w:val="18"/>
        </w:rPr>
      </w:pPr>
      <w:r>
        <w:rPr>
          <w:b/>
          <w:sz w:val="18"/>
          <w:szCs w:val="18"/>
        </w:rPr>
        <w:t>Figure 2.10</w:t>
      </w:r>
      <w:r w:rsidR="00406347" w:rsidRPr="000477BD">
        <w:rPr>
          <w:b/>
          <w:sz w:val="18"/>
          <w:szCs w:val="18"/>
        </w:rPr>
        <w:t>: Nominal growth in average basic hourly earnings (GH</w:t>
      </w:r>
      <w:r w:rsidR="00406347">
        <w:rPr>
          <w:b/>
          <w:sz w:val="18"/>
          <w:szCs w:val="18"/>
        </w:rPr>
        <w:t>s</w:t>
      </w:r>
      <w:r w:rsidR="00406347" w:rsidRPr="000477BD">
        <w:rPr>
          <w:b/>
          <w:sz w:val="18"/>
          <w:szCs w:val="18"/>
        </w:rPr>
        <w:t>); 2007-2012</w:t>
      </w:r>
      <w:r w:rsidR="00406347">
        <w:rPr>
          <w:b/>
          <w:sz w:val="18"/>
          <w:szCs w:val="18"/>
        </w:rPr>
        <w:t xml:space="preserve">, </w:t>
      </w:r>
      <w:r w:rsidR="00406347" w:rsidRPr="000477BD">
        <w:rPr>
          <w:b/>
          <w:sz w:val="18"/>
          <w:szCs w:val="18"/>
        </w:rPr>
        <w:t>selected industries</w:t>
      </w:r>
    </w:p>
    <w:p w:rsidR="00406347" w:rsidRPr="000477BD" w:rsidRDefault="00406347" w:rsidP="00406347">
      <w:pPr>
        <w:pStyle w:val="NoSpacing"/>
        <w:ind w:left="255"/>
        <w:jc w:val="center"/>
        <w:rPr>
          <w:b/>
          <w:sz w:val="18"/>
          <w:szCs w:val="18"/>
        </w:rPr>
      </w:pPr>
    </w:p>
    <w:p w:rsidR="00406347" w:rsidRDefault="00406347" w:rsidP="00406347">
      <w:pPr>
        <w:pStyle w:val="NoSpacing"/>
        <w:ind w:left="255"/>
        <w:jc w:val="center"/>
        <w:rPr>
          <w:b/>
        </w:rPr>
      </w:pPr>
      <w:r>
        <w:rPr>
          <w:b/>
          <w:noProof/>
        </w:rPr>
        <w:drawing>
          <wp:inline distT="0" distB="0" distL="0" distR="0" wp14:anchorId="7C09DCCB" wp14:editId="21685866">
            <wp:extent cx="2398174" cy="2225040"/>
            <wp:effectExtent l="0" t="0" r="254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3044" cy="2229558"/>
                    </a:xfrm>
                    <a:prstGeom prst="rect">
                      <a:avLst/>
                    </a:prstGeom>
                    <a:noFill/>
                  </pic:spPr>
                </pic:pic>
              </a:graphicData>
            </a:graphic>
          </wp:inline>
        </w:drawing>
      </w:r>
    </w:p>
    <w:p w:rsidR="00314A10" w:rsidRPr="000659D3" w:rsidRDefault="007247B1" w:rsidP="003B568E">
      <w:pPr>
        <w:ind w:firstLine="255"/>
        <w:jc w:val="left"/>
        <w:rPr>
          <w:color w:val="000000"/>
          <w:szCs w:val="22"/>
        </w:rPr>
        <w:sectPr w:rsidR="00314A10" w:rsidRPr="000659D3" w:rsidSect="006A12D0">
          <w:type w:val="continuous"/>
          <w:pgSz w:w="12240" w:h="15840" w:code="1"/>
          <w:pgMar w:top="1440" w:right="1350" w:bottom="1350" w:left="1440" w:header="720" w:footer="720" w:gutter="0"/>
          <w:cols w:num="2" w:space="432"/>
          <w:titlePg/>
          <w:docGrid w:linePitch="360"/>
        </w:sectPr>
      </w:pPr>
      <w:r w:rsidRPr="004B4DDA">
        <w:rPr>
          <w:i/>
          <w:sz w:val="18"/>
          <w:szCs w:val="18"/>
        </w:rPr>
        <w:t>Source: GLSS6, Ghana Statistical Service,</w:t>
      </w:r>
      <w:r w:rsidR="00B256EF">
        <w:rPr>
          <w:i/>
          <w:sz w:val="18"/>
          <w:szCs w:val="18"/>
        </w:rPr>
        <w:t xml:space="preserve"> August</w:t>
      </w:r>
      <w:r w:rsidRPr="004B4DDA">
        <w:rPr>
          <w:i/>
          <w:sz w:val="18"/>
          <w:szCs w:val="18"/>
        </w:rPr>
        <w:t xml:space="preserve"> 2014</w:t>
      </w:r>
    </w:p>
    <w:p w:rsidR="005D4F75" w:rsidRPr="005F4D12" w:rsidRDefault="00966004" w:rsidP="00966004">
      <w:pPr>
        <w:pStyle w:val="Caption"/>
        <w:rPr>
          <w:noProof/>
          <w:color w:val="17365D" w:themeColor="text2" w:themeShade="BF"/>
        </w:rPr>
      </w:pPr>
      <w:bookmarkStart w:id="32" w:name="_Toc288820980"/>
      <w:bookmarkStart w:id="33" w:name="_Toc382553972"/>
      <w:r w:rsidRPr="005F4D12">
        <w:rPr>
          <w:color w:val="17365D" w:themeColor="text2" w:themeShade="BF"/>
        </w:rPr>
        <w:lastRenderedPageBreak/>
        <w:t xml:space="preserve">Appendix </w:t>
      </w:r>
      <w:r w:rsidR="00C563AC" w:rsidRPr="005F4D12">
        <w:rPr>
          <w:color w:val="17365D" w:themeColor="text2" w:themeShade="BF"/>
        </w:rPr>
        <w:t xml:space="preserve">Table </w:t>
      </w:r>
      <w:r w:rsidR="0032430D" w:rsidRPr="005F4D12">
        <w:rPr>
          <w:color w:val="17365D" w:themeColor="text2" w:themeShade="BF"/>
        </w:rPr>
        <w:fldChar w:fldCharType="begin"/>
      </w:r>
      <w:r w:rsidR="0032430D" w:rsidRPr="005F4D12">
        <w:rPr>
          <w:color w:val="17365D" w:themeColor="text2" w:themeShade="BF"/>
        </w:rPr>
        <w:instrText xml:space="preserve"> SEQ Appendix \* ARABIC </w:instrText>
      </w:r>
      <w:r w:rsidR="0032430D" w:rsidRPr="005F4D12">
        <w:rPr>
          <w:color w:val="17365D" w:themeColor="text2" w:themeShade="BF"/>
        </w:rPr>
        <w:fldChar w:fldCharType="separate"/>
      </w:r>
      <w:r w:rsidR="0070748C">
        <w:rPr>
          <w:noProof/>
          <w:color w:val="17365D" w:themeColor="text2" w:themeShade="BF"/>
        </w:rPr>
        <w:t>1</w:t>
      </w:r>
      <w:r w:rsidR="0032430D" w:rsidRPr="005F4D12">
        <w:rPr>
          <w:noProof/>
          <w:color w:val="17365D" w:themeColor="text2" w:themeShade="BF"/>
        </w:rPr>
        <w:fldChar w:fldCharType="end"/>
      </w:r>
      <w:r w:rsidR="000139DB" w:rsidRPr="005F4D12">
        <w:rPr>
          <w:noProof/>
          <w:color w:val="17365D" w:themeColor="text2" w:themeShade="BF"/>
        </w:rPr>
        <w:t>:  Ghana - Economic Indicators</w:t>
      </w:r>
      <w:bookmarkEnd w:id="32"/>
      <w:r w:rsidR="000139DB" w:rsidRPr="005F4D12">
        <w:rPr>
          <w:noProof/>
          <w:color w:val="17365D" w:themeColor="text2" w:themeShade="BF"/>
        </w:rPr>
        <w:t>, 2000–1</w:t>
      </w:r>
      <w:r w:rsidR="006E1F7E" w:rsidRPr="005F4D12">
        <w:rPr>
          <w:noProof/>
          <w:color w:val="17365D" w:themeColor="text2" w:themeShade="BF"/>
        </w:rPr>
        <w:t>3</w:t>
      </w:r>
      <w:bookmarkEnd w:id="33"/>
    </w:p>
    <w:tbl>
      <w:tblPr>
        <w:tblW w:w="5054" w:type="pct"/>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shd w:val="clear" w:color="auto" w:fill="EAF1DD" w:themeFill="accent3" w:themeFillTint="33"/>
        <w:tblLayout w:type="fixed"/>
        <w:tblLook w:val="0680" w:firstRow="0" w:lastRow="0" w:firstColumn="1" w:lastColumn="0" w:noHBand="1" w:noVBand="1"/>
      </w:tblPr>
      <w:tblGrid>
        <w:gridCol w:w="3749"/>
        <w:gridCol w:w="638"/>
        <w:gridCol w:w="638"/>
        <w:gridCol w:w="638"/>
        <w:gridCol w:w="637"/>
        <w:gridCol w:w="637"/>
        <w:gridCol w:w="637"/>
        <w:gridCol w:w="637"/>
        <w:gridCol w:w="637"/>
        <w:gridCol w:w="724"/>
        <w:gridCol w:w="637"/>
        <w:gridCol w:w="637"/>
        <w:gridCol w:w="727"/>
        <w:gridCol w:w="727"/>
        <w:gridCol w:w="744"/>
        <w:gridCol w:w="724"/>
        <w:gridCol w:w="715"/>
      </w:tblGrid>
      <w:tr w:rsidR="0061119F" w:rsidRPr="00535202" w:rsidTr="003F7BCB">
        <w:trPr>
          <w:cantSplit/>
          <w:trHeight w:val="135"/>
          <w:tblHeader/>
          <w:jc w:val="center"/>
        </w:trPr>
        <w:tc>
          <w:tcPr>
            <w:tcW w:w="1294" w:type="pct"/>
            <w:tcBorders>
              <w:bottom w:val="single" w:sz="4" w:space="0" w:color="365F91"/>
              <w:right w:val="single" w:sz="4" w:space="0" w:color="auto"/>
            </w:tcBorders>
            <w:shd w:val="clear" w:color="auto" w:fill="C2D69B" w:themeFill="accent3" w:themeFillTint="99"/>
            <w:noWrap/>
            <w:hideMark/>
          </w:tcPr>
          <w:p w:rsidR="00C7201E" w:rsidRPr="00535202" w:rsidRDefault="00C7201E" w:rsidP="005E4563">
            <w:pPr>
              <w:spacing w:line="276" w:lineRule="auto"/>
              <w:jc w:val="right"/>
              <w:rPr>
                <w:rFonts w:cs="Arial"/>
                <w:sz w:val="17"/>
                <w:szCs w:val="17"/>
              </w:rPr>
            </w:pPr>
          </w:p>
        </w:tc>
        <w:tc>
          <w:tcPr>
            <w:tcW w:w="220" w:type="pct"/>
            <w:tcBorders>
              <w:left w:val="single" w:sz="4" w:space="0" w:color="auto"/>
              <w:bottom w:val="single" w:sz="4" w:space="0" w:color="365F91"/>
            </w:tcBorders>
            <w:shd w:val="clear" w:color="auto" w:fill="C2D69B" w:themeFill="accent3" w:themeFillTint="99"/>
          </w:tcPr>
          <w:p w:rsidR="00C7201E" w:rsidRPr="005E4563" w:rsidRDefault="00C7201E" w:rsidP="000139DB">
            <w:pPr>
              <w:spacing w:line="276" w:lineRule="auto"/>
              <w:jc w:val="right"/>
              <w:rPr>
                <w:rFonts w:cs="Arial"/>
                <w:b/>
                <w:sz w:val="16"/>
                <w:szCs w:val="16"/>
              </w:rPr>
            </w:pPr>
            <w:r w:rsidRPr="005E4563">
              <w:rPr>
                <w:rFonts w:cs="Arial"/>
                <w:sz w:val="16"/>
                <w:szCs w:val="16"/>
              </w:rPr>
              <w:t> </w:t>
            </w:r>
            <w:r w:rsidRPr="005E4563">
              <w:rPr>
                <w:rFonts w:cs="Arial"/>
                <w:b/>
                <w:sz w:val="16"/>
                <w:szCs w:val="16"/>
              </w:rPr>
              <w:t>2000</w:t>
            </w:r>
          </w:p>
        </w:tc>
        <w:tc>
          <w:tcPr>
            <w:tcW w:w="220" w:type="pct"/>
            <w:tcBorders>
              <w:bottom w:val="single" w:sz="4" w:space="0" w:color="365F91"/>
            </w:tcBorders>
            <w:shd w:val="clear" w:color="auto" w:fill="C2D69B" w:themeFill="accent3" w:themeFillTint="99"/>
            <w:noWrap/>
            <w:hideMark/>
          </w:tcPr>
          <w:p w:rsidR="00C7201E" w:rsidRPr="005E4563" w:rsidRDefault="00C7201E" w:rsidP="000139DB">
            <w:pPr>
              <w:jc w:val="right"/>
              <w:rPr>
                <w:rFonts w:ascii="Arial Narrow" w:hAnsi="Arial Narrow" w:cs="Arial"/>
                <w:b/>
                <w:bCs/>
                <w:sz w:val="16"/>
                <w:szCs w:val="16"/>
              </w:rPr>
            </w:pPr>
            <w:r w:rsidRPr="005E4563">
              <w:rPr>
                <w:rFonts w:ascii="Arial Narrow" w:hAnsi="Arial Narrow" w:cs="Arial"/>
                <w:b/>
                <w:bCs/>
                <w:sz w:val="16"/>
                <w:szCs w:val="16"/>
              </w:rPr>
              <w:t>2001</w:t>
            </w:r>
          </w:p>
        </w:tc>
        <w:tc>
          <w:tcPr>
            <w:tcW w:w="220" w:type="pct"/>
            <w:tcBorders>
              <w:bottom w:val="single" w:sz="4" w:space="0" w:color="365F91"/>
            </w:tcBorders>
            <w:shd w:val="clear" w:color="auto" w:fill="C2D69B" w:themeFill="accent3" w:themeFillTint="99"/>
            <w:noWrap/>
            <w:hideMark/>
          </w:tcPr>
          <w:p w:rsidR="00C7201E" w:rsidRPr="005E4563" w:rsidRDefault="00C7201E" w:rsidP="000139DB">
            <w:pPr>
              <w:jc w:val="right"/>
              <w:rPr>
                <w:rFonts w:ascii="Arial Narrow" w:hAnsi="Arial Narrow" w:cs="Arial"/>
                <w:b/>
                <w:bCs/>
                <w:sz w:val="16"/>
                <w:szCs w:val="16"/>
              </w:rPr>
            </w:pPr>
            <w:r w:rsidRPr="005E4563">
              <w:rPr>
                <w:rFonts w:ascii="Arial Narrow" w:hAnsi="Arial Narrow" w:cs="Arial"/>
                <w:b/>
                <w:bCs/>
                <w:sz w:val="16"/>
                <w:szCs w:val="16"/>
              </w:rPr>
              <w:t>2002</w:t>
            </w:r>
          </w:p>
        </w:tc>
        <w:tc>
          <w:tcPr>
            <w:tcW w:w="220" w:type="pct"/>
            <w:tcBorders>
              <w:bottom w:val="single" w:sz="4" w:space="0" w:color="365F91"/>
            </w:tcBorders>
            <w:shd w:val="clear" w:color="auto" w:fill="C2D69B" w:themeFill="accent3" w:themeFillTint="99"/>
            <w:noWrap/>
            <w:hideMark/>
          </w:tcPr>
          <w:p w:rsidR="00C7201E" w:rsidRPr="005E4563" w:rsidRDefault="00C7201E" w:rsidP="000139DB">
            <w:pPr>
              <w:jc w:val="right"/>
              <w:rPr>
                <w:rFonts w:ascii="Arial Narrow" w:hAnsi="Arial Narrow" w:cs="Arial"/>
                <w:b/>
                <w:bCs/>
                <w:sz w:val="16"/>
                <w:szCs w:val="16"/>
              </w:rPr>
            </w:pPr>
            <w:r w:rsidRPr="005E4563">
              <w:rPr>
                <w:rFonts w:ascii="Arial Narrow" w:hAnsi="Arial Narrow" w:cs="Arial"/>
                <w:b/>
                <w:bCs/>
                <w:sz w:val="16"/>
                <w:szCs w:val="16"/>
              </w:rPr>
              <w:t>2003</w:t>
            </w:r>
          </w:p>
        </w:tc>
        <w:tc>
          <w:tcPr>
            <w:tcW w:w="220" w:type="pct"/>
            <w:tcBorders>
              <w:bottom w:val="single" w:sz="4" w:space="0" w:color="365F91"/>
            </w:tcBorders>
            <w:shd w:val="clear" w:color="auto" w:fill="C2D69B" w:themeFill="accent3" w:themeFillTint="99"/>
            <w:noWrap/>
            <w:hideMark/>
          </w:tcPr>
          <w:p w:rsidR="00C7201E" w:rsidRPr="005E4563" w:rsidRDefault="00C7201E" w:rsidP="000139DB">
            <w:pPr>
              <w:jc w:val="right"/>
              <w:rPr>
                <w:rFonts w:ascii="Arial Narrow" w:hAnsi="Arial Narrow" w:cs="Arial"/>
                <w:b/>
                <w:bCs/>
                <w:sz w:val="16"/>
                <w:szCs w:val="16"/>
              </w:rPr>
            </w:pPr>
            <w:r w:rsidRPr="005E4563">
              <w:rPr>
                <w:rFonts w:ascii="Arial Narrow" w:hAnsi="Arial Narrow" w:cs="Arial"/>
                <w:b/>
                <w:bCs/>
                <w:sz w:val="16"/>
                <w:szCs w:val="16"/>
              </w:rPr>
              <w:t>2004</w:t>
            </w:r>
          </w:p>
        </w:tc>
        <w:tc>
          <w:tcPr>
            <w:tcW w:w="220" w:type="pct"/>
            <w:tcBorders>
              <w:bottom w:val="single" w:sz="4" w:space="0" w:color="365F91"/>
            </w:tcBorders>
            <w:shd w:val="clear" w:color="auto" w:fill="C2D69B" w:themeFill="accent3" w:themeFillTint="99"/>
            <w:noWrap/>
            <w:hideMark/>
          </w:tcPr>
          <w:p w:rsidR="00C7201E" w:rsidRPr="005E4563" w:rsidRDefault="00C7201E" w:rsidP="000139DB">
            <w:pPr>
              <w:jc w:val="right"/>
              <w:rPr>
                <w:rFonts w:ascii="Arial Narrow" w:hAnsi="Arial Narrow" w:cs="Arial"/>
                <w:b/>
                <w:bCs/>
                <w:sz w:val="16"/>
                <w:szCs w:val="16"/>
              </w:rPr>
            </w:pPr>
            <w:r w:rsidRPr="005E4563">
              <w:rPr>
                <w:rFonts w:ascii="Arial Narrow" w:hAnsi="Arial Narrow" w:cs="Arial"/>
                <w:b/>
                <w:bCs/>
                <w:sz w:val="16"/>
                <w:szCs w:val="16"/>
              </w:rPr>
              <w:t>2005</w:t>
            </w:r>
          </w:p>
        </w:tc>
        <w:tc>
          <w:tcPr>
            <w:tcW w:w="220" w:type="pct"/>
            <w:tcBorders>
              <w:bottom w:val="single" w:sz="4" w:space="0" w:color="365F91"/>
            </w:tcBorders>
            <w:shd w:val="clear" w:color="auto" w:fill="C2D69B" w:themeFill="accent3" w:themeFillTint="99"/>
            <w:noWrap/>
            <w:hideMark/>
          </w:tcPr>
          <w:p w:rsidR="00C7201E" w:rsidRPr="005E4563" w:rsidRDefault="00C7201E" w:rsidP="000139DB">
            <w:pPr>
              <w:jc w:val="right"/>
              <w:rPr>
                <w:rFonts w:ascii="Arial Narrow" w:hAnsi="Arial Narrow" w:cs="Arial"/>
                <w:b/>
                <w:bCs/>
                <w:sz w:val="16"/>
                <w:szCs w:val="16"/>
              </w:rPr>
            </w:pPr>
            <w:r w:rsidRPr="005E4563">
              <w:rPr>
                <w:rFonts w:ascii="Arial Narrow" w:hAnsi="Arial Narrow" w:cs="Arial"/>
                <w:b/>
                <w:bCs/>
                <w:sz w:val="16"/>
                <w:szCs w:val="16"/>
              </w:rPr>
              <w:t>2006</w:t>
            </w:r>
          </w:p>
        </w:tc>
        <w:tc>
          <w:tcPr>
            <w:tcW w:w="220" w:type="pct"/>
            <w:tcBorders>
              <w:bottom w:val="single" w:sz="4" w:space="0" w:color="365F91"/>
            </w:tcBorders>
            <w:shd w:val="clear" w:color="auto" w:fill="C2D69B" w:themeFill="accent3" w:themeFillTint="99"/>
            <w:noWrap/>
            <w:hideMark/>
          </w:tcPr>
          <w:p w:rsidR="00C7201E" w:rsidRPr="005E4563" w:rsidRDefault="00C7201E" w:rsidP="000139DB">
            <w:pPr>
              <w:jc w:val="right"/>
              <w:rPr>
                <w:rFonts w:ascii="Arial Narrow" w:hAnsi="Arial Narrow" w:cs="Arial"/>
                <w:b/>
                <w:bCs/>
                <w:sz w:val="16"/>
                <w:szCs w:val="16"/>
              </w:rPr>
            </w:pPr>
            <w:r w:rsidRPr="005E4563">
              <w:rPr>
                <w:rFonts w:ascii="Arial Narrow" w:hAnsi="Arial Narrow" w:cs="Arial"/>
                <w:b/>
                <w:bCs/>
                <w:sz w:val="16"/>
                <w:szCs w:val="16"/>
              </w:rPr>
              <w:t>2007</w:t>
            </w:r>
          </w:p>
        </w:tc>
        <w:tc>
          <w:tcPr>
            <w:tcW w:w="250" w:type="pct"/>
            <w:tcBorders>
              <w:bottom w:val="single" w:sz="4" w:space="0" w:color="365F91"/>
            </w:tcBorders>
            <w:shd w:val="clear" w:color="auto" w:fill="C2D69B" w:themeFill="accent3" w:themeFillTint="99"/>
            <w:noWrap/>
            <w:hideMark/>
          </w:tcPr>
          <w:p w:rsidR="00C7201E" w:rsidRPr="005E4563" w:rsidRDefault="00C7201E" w:rsidP="000139DB">
            <w:pPr>
              <w:jc w:val="right"/>
              <w:rPr>
                <w:rFonts w:ascii="Arial Narrow" w:hAnsi="Arial Narrow" w:cs="Arial"/>
                <w:b/>
                <w:bCs/>
                <w:sz w:val="16"/>
                <w:szCs w:val="16"/>
              </w:rPr>
            </w:pPr>
            <w:r w:rsidRPr="005E4563">
              <w:rPr>
                <w:rFonts w:ascii="Arial Narrow" w:hAnsi="Arial Narrow" w:cs="Arial"/>
                <w:b/>
                <w:bCs/>
                <w:sz w:val="16"/>
                <w:szCs w:val="16"/>
              </w:rPr>
              <w:t>2008</w:t>
            </w:r>
          </w:p>
        </w:tc>
        <w:tc>
          <w:tcPr>
            <w:tcW w:w="220" w:type="pct"/>
            <w:tcBorders>
              <w:bottom w:val="single" w:sz="4" w:space="0" w:color="365F91"/>
            </w:tcBorders>
            <w:shd w:val="clear" w:color="auto" w:fill="C2D69B" w:themeFill="accent3" w:themeFillTint="99"/>
            <w:noWrap/>
            <w:hideMark/>
          </w:tcPr>
          <w:p w:rsidR="00C7201E" w:rsidRPr="005E4563" w:rsidRDefault="00C7201E" w:rsidP="000139DB">
            <w:pPr>
              <w:jc w:val="right"/>
              <w:rPr>
                <w:rFonts w:ascii="Arial Narrow" w:hAnsi="Arial Narrow" w:cs="Arial"/>
                <w:b/>
                <w:bCs/>
                <w:sz w:val="16"/>
                <w:szCs w:val="16"/>
              </w:rPr>
            </w:pPr>
            <w:r w:rsidRPr="005E4563">
              <w:rPr>
                <w:rFonts w:ascii="Arial Narrow" w:hAnsi="Arial Narrow" w:cs="Arial"/>
                <w:b/>
                <w:bCs/>
                <w:sz w:val="16"/>
                <w:szCs w:val="16"/>
              </w:rPr>
              <w:t>2009</w:t>
            </w:r>
          </w:p>
        </w:tc>
        <w:tc>
          <w:tcPr>
            <w:tcW w:w="220" w:type="pct"/>
            <w:tcBorders>
              <w:bottom w:val="single" w:sz="4" w:space="0" w:color="365F91"/>
            </w:tcBorders>
            <w:shd w:val="clear" w:color="auto" w:fill="C2D69B" w:themeFill="accent3" w:themeFillTint="99"/>
            <w:noWrap/>
            <w:hideMark/>
          </w:tcPr>
          <w:p w:rsidR="00C7201E" w:rsidRPr="005E4563" w:rsidRDefault="00C7201E" w:rsidP="000139DB">
            <w:pPr>
              <w:jc w:val="right"/>
              <w:rPr>
                <w:rFonts w:ascii="Arial Narrow" w:hAnsi="Arial Narrow" w:cs="Arial"/>
                <w:b/>
                <w:bCs/>
                <w:sz w:val="16"/>
                <w:szCs w:val="16"/>
              </w:rPr>
            </w:pPr>
            <w:r w:rsidRPr="005E4563">
              <w:rPr>
                <w:rFonts w:ascii="Arial Narrow" w:hAnsi="Arial Narrow" w:cs="Arial"/>
                <w:b/>
                <w:bCs/>
                <w:sz w:val="16"/>
                <w:szCs w:val="16"/>
              </w:rPr>
              <w:t>2010</w:t>
            </w:r>
          </w:p>
        </w:tc>
        <w:tc>
          <w:tcPr>
            <w:tcW w:w="251" w:type="pct"/>
            <w:tcBorders>
              <w:bottom w:val="single" w:sz="4" w:space="0" w:color="365F91"/>
            </w:tcBorders>
            <w:shd w:val="clear" w:color="auto" w:fill="C2D69B" w:themeFill="accent3" w:themeFillTint="99"/>
            <w:noWrap/>
            <w:hideMark/>
          </w:tcPr>
          <w:p w:rsidR="00C7201E" w:rsidRPr="005E4563" w:rsidRDefault="00C7201E" w:rsidP="000139DB">
            <w:pPr>
              <w:jc w:val="right"/>
              <w:rPr>
                <w:rFonts w:ascii="Arial Narrow" w:hAnsi="Arial Narrow" w:cs="Arial"/>
                <w:b/>
                <w:bCs/>
                <w:sz w:val="16"/>
                <w:szCs w:val="16"/>
              </w:rPr>
            </w:pPr>
            <w:r w:rsidRPr="005E4563">
              <w:rPr>
                <w:rFonts w:ascii="Arial Narrow" w:hAnsi="Arial Narrow" w:cs="Arial"/>
                <w:b/>
                <w:bCs/>
                <w:sz w:val="16"/>
                <w:szCs w:val="16"/>
              </w:rPr>
              <w:t>2011</w:t>
            </w:r>
          </w:p>
        </w:tc>
        <w:tc>
          <w:tcPr>
            <w:tcW w:w="251" w:type="pct"/>
            <w:tcBorders>
              <w:bottom w:val="single" w:sz="4" w:space="0" w:color="365F91"/>
            </w:tcBorders>
            <w:shd w:val="clear" w:color="auto" w:fill="C2D69B" w:themeFill="accent3" w:themeFillTint="99"/>
            <w:hideMark/>
          </w:tcPr>
          <w:p w:rsidR="00C7201E" w:rsidRPr="005E4563" w:rsidRDefault="00C7201E" w:rsidP="000139DB">
            <w:pPr>
              <w:jc w:val="right"/>
              <w:rPr>
                <w:rFonts w:ascii="Arial Narrow" w:hAnsi="Arial Narrow" w:cs="Arial"/>
                <w:b/>
                <w:bCs/>
                <w:color w:val="000000"/>
                <w:sz w:val="16"/>
                <w:szCs w:val="16"/>
              </w:rPr>
            </w:pPr>
            <w:r w:rsidRPr="005E4563">
              <w:rPr>
                <w:rFonts w:ascii="Arial Narrow" w:hAnsi="Arial Narrow" w:cs="Arial"/>
                <w:b/>
                <w:bCs/>
                <w:color w:val="000000"/>
                <w:sz w:val="16"/>
                <w:szCs w:val="16"/>
              </w:rPr>
              <w:t>Avg. '00–'11</w:t>
            </w:r>
          </w:p>
        </w:tc>
        <w:tc>
          <w:tcPr>
            <w:tcW w:w="257" w:type="pct"/>
            <w:tcBorders>
              <w:bottom w:val="single" w:sz="4" w:space="0" w:color="365F91"/>
            </w:tcBorders>
            <w:shd w:val="clear" w:color="auto" w:fill="C2D69B" w:themeFill="accent3" w:themeFillTint="99"/>
            <w:hideMark/>
          </w:tcPr>
          <w:p w:rsidR="00C7201E" w:rsidRPr="005E4563" w:rsidRDefault="00C7201E" w:rsidP="005E4563">
            <w:pPr>
              <w:spacing w:line="276" w:lineRule="auto"/>
              <w:jc w:val="right"/>
              <w:rPr>
                <w:rFonts w:ascii="Cambria" w:eastAsia="Times New Roman" w:hAnsi="Cambria" w:cs="Arial"/>
                <w:b/>
                <w:bCs/>
                <w:i/>
                <w:iCs/>
                <w:color w:val="404040"/>
                <w:sz w:val="16"/>
                <w:szCs w:val="16"/>
              </w:rPr>
            </w:pPr>
            <w:r w:rsidRPr="005E4563">
              <w:rPr>
                <w:rFonts w:cs="Arial"/>
                <w:b/>
                <w:bCs/>
                <w:sz w:val="16"/>
                <w:szCs w:val="16"/>
              </w:rPr>
              <w:t>2012 est.</w:t>
            </w:r>
          </w:p>
        </w:tc>
        <w:tc>
          <w:tcPr>
            <w:tcW w:w="250" w:type="pct"/>
            <w:tcBorders>
              <w:bottom w:val="single" w:sz="4" w:space="0" w:color="365F91"/>
            </w:tcBorders>
            <w:shd w:val="clear" w:color="auto" w:fill="C2D69B" w:themeFill="accent3" w:themeFillTint="99"/>
            <w:hideMark/>
          </w:tcPr>
          <w:p w:rsidR="00C7201E" w:rsidRPr="005E4563" w:rsidRDefault="00C7201E" w:rsidP="00437AA0">
            <w:pPr>
              <w:spacing w:line="276" w:lineRule="auto"/>
              <w:ind w:right="-108"/>
              <w:jc w:val="left"/>
              <w:rPr>
                <w:rFonts w:ascii="Cambria" w:eastAsia="Times New Roman" w:hAnsi="Cambria" w:cs="Arial"/>
                <w:b/>
                <w:bCs/>
                <w:i/>
                <w:iCs/>
                <w:color w:val="404040"/>
                <w:sz w:val="16"/>
                <w:szCs w:val="16"/>
              </w:rPr>
            </w:pPr>
            <w:r w:rsidRPr="005E4563">
              <w:rPr>
                <w:rFonts w:cs="Arial"/>
                <w:b/>
                <w:bCs/>
                <w:sz w:val="16"/>
                <w:szCs w:val="16"/>
              </w:rPr>
              <w:t xml:space="preserve">2013 </w:t>
            </w:r>
            <w:r>
              <w:rPr>
                <w:rFonts w:cs="Arial"/>
                <w:b/>
                <w:bCs/>
                <w:sz w:val="16"/>
                <w:szCs w:val="16"/>
              </w:rPr>
              <w:t>estimate</w:t>
            </w:r>
          </w:p>
        </w:tc>
        <w:tc>
          <w:tcPr>
            <w:tcW w:w="247" w:type="pct"/>
            <w:tcBorders>
              <w:bottom w:val="single" w:sz="4" w:space="0" w:color="365F91"/>
            </w:tcBorders>
            <w:shd w:val="clear" w:color="auto" w:fill="C2D69B" w:themeFill="accent3" w:themeFillTint="99"/>
          </w:tcPr>
          <w:p w:rsidR="00C7201E" w:rsidRDefault="00C7201E" w:rsidP="006B0D58">
            <w:pPr>
              <w:spacing w:line="276" w:lineRule="auto"/>
              <w:ind w:right="-108"/>
              <w:jc w:val="left"/>
              <w:rPr>
                <w:rFonts w:cs="Arial"/>
                <w:b/>
                <w:bCs/>
                <w:sz w:val="16"/>
                <w:szCs w:val="16"/>
              </w:rPr>
            </w:pPr>
            <w:r>
              <w:rPr>
                <w:rFonts w:cs="Arial"/>
                <w:b/>
                <w:bCs/>
                <w:sz w:val="16"/>
                <w:szCs w:val="16"/>
              </w:rPr>
              <w:t>2014</w:t>
            </w:r>
          </w:p>
          <w:p w:rsidR="00C7201E" w:rsidRPr="005E4563" w:rsidRDefault="00C7201E" w:rsidP="006B0D58">
            <w:pPr>
              <w:spacing w:line="276" w:lineRule="auto"/>
              <w:ind w:right="-108"/>
              <w:jc w:val="left"/>
              <w:rPr>
                <w:rFonts w:cs="Arial"/>
                <w:b/>
                <w:bCs/>
                <w:sz w:val="16"/>
                <w:szCs w:val="16"/>
              </w:rPr>
            </w:pPr>
            <w:r>
              <w:rPr>
                <w:rFonts w:cs="Arial"/>
                <w:b/>
                <w:bCs/>
                <w:sz w:val="16"/>
                <w:szCs w:val="16"/>
              </w:rPr>
              <w:t>forecast</w:t>
            </w:r>
          </w:p>
        </w:tc>
      </w:tr>
      <w:tr w:rsidR="0061119F"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hideMark/>
          </w:tcPr>
          <w:p w:rsidR="00C7201E" w:rsidRDefault="00C7201E">
            <w:pPr>
              <w:spacing w:line="276" w:lineRule="auto"/>
              <w:jc w:val="left"/>
              <w:rPr>
                <w:rFonts w:ascii="Cambria" w:eastAsia="Times New Roman" w:hAnsi="Cambria" w:cs="Arial"/>
                <w:b/>
                <w:bCs/>
                <w:i/>
                <w:iCs/>
                <w:color w:val="404040"/>
                <w:sz w:val="17"/>
                <w:szCs w:val="17"/>
              </w:rPr>
            </w:pPr>
            <w:r w:rsidRPr="00535202">
              <w:rPr>
                <w:rFonts w:cs="Arial"/>
                <w:b/>
                <w:bCs/>
                <w:sz w:val="17"/>
                <w:szCs w:val="17"/>
              </w:rPr>
              <w:t>Income and Economic Growth</w:t>
            </w:r>
          </w:p>
        </w:tc>
        <w:tc>
          <w:tcPr>
            <w:tcW w:w="220" w:type="pct"/>
            <w:tcBorders>
              <w:left w:val="single" w:sz="4" w:space="0" w:color="auto"/>
            </w:tcBorders>
            <w:shd w:val="clear" w:color="auto" w:fill="EAF1DD" w:themeFill="accent3" w:themeFillTint="33"/>
            <w:vAlign w:val="bottom"/>
          </w:tcPr>
          <w:p w:rsidR="00C7201E" w:rsidRPr="005E4563" w:rsidRDefault="00C7201E" w:rsidP="005E4563">
            <w:pPr>
              <w:spacing w:line="276" w:lineRule="auto"/>
              <w:jc w:val="left"/>
              <w:rPr>
                <w:rFonts w:ascii="Cambria" w:eastAsia="Times New Roman" w:hAnsi="Cambria" w:cs="Arial"/>
                <w:b/>
                <w:bCs/>
                <w:i/>
                <w:iCs/>
                <w:color w:val="404040"/>
                <w:sz w:val="16"/>
                <w:szCs w:val="16"/>
              </w:rPr>
            </w:pPr>
          </w:p>
        </w:tc>
        <w:tc>
          <w:tcPr>
            <w:tcW w:w="220" w:type="pct"/>
            <w:shd w:val="clear" w:color="auto" w:fill="EAF1DD" w:themeFill="accent3" w:themeFillTint="33"/>
            <w:noWrap/>
            <w:vAlign w:val="bottom"/>
            <w:hideMark/>
          </w:tcPr>
          <w:p w:rsidR="00C7201E" w:rsidRPr="005E4563" w:rsidRDefault="00C7201E" w:rsidP="005F014E">
            <w:pPr>
              <w:spacing w:line="276" w:lineRule="auto"/>
              <w:jc w:val="right"/>
              <w:rPr>
                <w:rFonts w:cs="Arial"/>
                <w:b/>
                <w:bCs/>
                <w:sz w:val="16"/>
                <w:szCs w:val="16"/>
              </w:rPr>
            </w:pPr>
            <w:r w:rsidRPr="005E4563">
              <w:rPr>
                <w:rFonts w:cs="Arial"/>
                <w:b/>
                <w:bCs/>
                <w:sz w:val="16"/>
                <w:szCs w:val="16"/>
              </w:rPr>
              <w:t> </w:t>
            </w:r>
          </w:p>
        </w:tc>
        <w:tc>
          <w:tcPr>
            <w:tcW w:w="220" w:type="pct"/>
            <w:shd w:val="clear" w:color="auto" w:fill="EAF1DD" w:themeFill="accent3" w:themeFillTint="33"/>
            <w:noWrap/>
            <w:vAlign w:val="bottom"/>
            <w:hideMark/>
          </w:tcPr>
          <w:p w:rsidR="00C7201E" w:rsidRPr="005E4563" w:rsidRDefault="00C7201E" w:rsidP="005F014E">
            <w:pPr>
              <w:spacing w:line="276" w:lineRule="auto"/>
              <w:jc w:val="right"/>
              <w:rPr>
                <w:rFonts w:cs="Arial"/>
                <w:b/>
                <w:bCs/>
                <w:sz w:val="16"/>
                <w:szCs w:val="16"/>
              </w:rPr>
            </w:pPr>
            <w:r w:rsidRPr="005E4563">
              <w:rPr>
                <w:rFonts w:cs="Arial"/>
                <w:b/>
                <w:bCs/>
                <w:sz w:val="16"/>
                <w:szCs w:val="16"/>
              </w:rPr>
              <w:t> </w:t>
            </w:r>
          </w:p>
        </w:tc>
        <w:tc>
          <w:tcPr>
            <w:tcW w:w="220" w:type="pct"/>
            <w:shd w:val="clear" w:color="auto" w:fill="EAF1DD" w:themeFill="accent3" w:themeFillTint="33"/>
            <w:noWrap/>
            <w:vAlign w:val="bottom"/>
            <w:hideMark/>
          </w:tcPr>
          <w:p w:rsidR="00C7201E" w:rsidRPr="005E4563" w:rsidRDefault="00C7201E" w:rsidP="005F014E">
            <w:pPr>
              <w:spacing w:line="276" w:lineRule="auto"/>
              <w:jc w:val="right"/>
              <w:rPr>
                <w:rFonts w:cs="Arial"/>
                <w:b/>
                <w:bCs/>
                <w:sz w:val="16"/>
                <w:szCs w:val="16"/>
              </w:rPr>
            </w:pPr>
            <w:r w:rsidRPr="005E4563">
              <w:rPr>
                <w:rFonts w:cs="Arial"/>
                <w:b/>
                <w:bCs/>
                <w:sz w:val="16"/>
                <w:szCs w:val="16"/>
              </w:rPr>
              <w:t> </w:t>
            </w:r>
          </w:p>
        </w:tc>
        <w:tc>
          <w:tcPr>
            <w:tcW w:w="220" w:type="pct"/>
            <w:shd w:val="clear" w:color="auto" w:fill="EAF1DD" w:themeFill="accent3" w:themeFillTint="33"/>
            <w:noWrap/>
            <w:vAlign w:val="bottom"/>
            <w:hideMark/>
          </w:tcPr>
          <w:p w:rsidR="00C7201E" w:rsidRPr="005E4563" w:rsidRDefault="00C7201E" w:rsidP="005F014E">
            <w:pPr>
              <w:spacing w:line="276" w:lineRule="auto"/>
              <w:jc w:val="right"/>
              <w:rPr>
                <w:rFonts w:cs="Arial"/>
                <w:b/>
                <w:bCs/>
                <w:sz w:val="16"/>
                <w:szCs w:val="16"/>
              </w:rPr>
            </w:pPr>
            <w:r w:rsidRPr="005E4563">
              <w:rPr>
                <w:rFonts w:cs="Arial"/>
                <w:b/>
                <w:bCs/>
                <w:sz w:val="16"/>
                <w:szCs w:val="16"/>
              </w:rPr>
              <w:t> </w:t>
            </w:r>
          </w:p>
        </w:tc>
        <w:tc>
          <w:tcPr>
            <w:tcW w:w="220" w:type="pct"/>
            <w:shd w:val="clear" w:color="auto" w:fill="EAF1DD" w:themeFill="accent3" w:themeFillTint="33"/>
            <w:noWrap/>
            <w:vAlign w:val="bottom"/>
            <w:hideMark/>
          </w:tcPr>
          <w:p w:rsidR="00C7201E" w:rsidRPr="005E4563" w:rsidRDefault="00C7201E" w:rsidP="005F014E">
            <w:pPr>
              <w:spacing w:line="276" w:lineRule="auto"/>
              <w:jc w:val="right"/>
              <w:rPr>
                <w:rFonts w:cs="Arial"/>
                <w:b/>
                <w:bCs/>
                <w:sz w:val="16"/>
                <w:szCs w:val="16"/>
              </w:rPr>
            </w:pPr>
            <w:r w:rsidRPr="005E4563">
              <w:rPr>
                <w:rFonts w:cs="Arial"/>
                <w:b/>
                <w:bCs/>
                <w:sz w:val="16"/>
                <w:szCs w:val="16"/>
              </w:rPr>
              <w:t> </w:t>
            </w:r>
          </w:p>
        </w:tc>
        <w:tc>
          <w:tcPr>
            <w:tcW w:w="220" w:type="pct"/>
            <w:shd w:val="clear" w:color="auto" w:fill="EAF1DD" w:themeFill="accent3" w:themeFillTint="33"/>
            <w:noWrap/>
            <w:vAlign w:val="bottom"/>
            <w:hideMark/>
          </w:tcPr>
          <w:p w:rsidR="00C7201E" w:rsidRPr="005E4563" w:rsidRDefault="00C7201E" w:rsidP="005F014E">
            <w:pPr>
              <w:spacing w:line="276" w:lineRule="auto"/>
              <w:jc w:val="right"/>
              <w:rPr>
                <w:rFonts w:cs="Arial"/>
                <w:b/>
                <w:bCs/>
                <w:sz w:val="16"/>
                <w:szCs w:val="16"/>
              </w:rPr>
            </w:pPr>
            <w:r w:rsidRPr="005E4563">
              <w:rPr>
                <w:rFonts w:cs="Arial"/>
                <w:b/>
                <w:bCs/>
                <w:sz w:val="16"/>
                <w:szCs w:val="16"/>
              </w:rPr>
              <w:t> </w:t>
            </w:r>
          </w:p>
        </w:tc>
        <w:tc>
          <w:tcPr>
            <w:tcW w:w="220" w:type="pct"/>
            <w:shd w:val="clear" w:color="auto" w:fill="EAF1DD" w:themeFill="accent3" w:themeFillTint="33"/>
            <w:noWrap/>
            <w:vAlign w:val="bottom"/>
            <w:hideMark/>
          </w:tcPr>
          <w:p w:rsidR="00C7201E" w:rsidRPr="005E4563" w:rsidRDefault="00C7201E" w:rsidP="005F014E">
            <w:pPr>
              <w:spacing w:line="276" w:lineRule="auto"/>
              <w:jc w:val="right"/>
              <w:rPr>
                <w:rFonts w:cs="Arial"/>
                <w:b/>
                <w:bCs/>
                <w:sz w:val="16"/>
                <w:szCs w:val="16"/>
              </w:rPr>
            </w:pPr>
            <w:r w:rsidRPr="005E4563">
              <w:rPr>
                <w:rFonts w:cs="Arial"/>
                <w:b/>
                <w:bCs/>
                <w:sz w:val="16"/>
                <w:szCs w:val="16"/>
              </w:rPr>
              <w:t> </w:t>
            </w:r>
          </w:p>
        </w:tc>
        <w:tc>
          <w:tcPr>
            <w:tcW w:w="250" w:type="pct"/>
            <w:shd w:val="clear" w:color="auto" w:fill="EAF1DD" w:themeFill="accent3" w:themeFillTint="33"/>
            <w:noWrap/>
            <w:vAlign w:val="bottom"/>
            <w:hideMark/>
          </w:tcPr>
          <w:p w:rsidR="00C7201E" w:rsidRPr="005E4563" w:rsidRDefault="00C7201E" w:rsidP="005F014E">
            <w:pPr>
              <w:spacing w:line="276" w:lineRule="auto"/>
              <w:jc w:val="right"/>
              <w:rPr>
                <w:rFonts w:cs="Arial"/>
                <w:sz w:val="16"/>
                <w:szCs w:val="16"/>
              </w:rPr>
            </w:pPr>
            <w:r w:rsidRPr="005E4563">
              <w:rPr>
                <w:rFonts w:cs="Arial"/>
                <w:sz w:val="16"/>
                <w:szCs w:val="16"/>
              </w:rPr>
              <w:t> </w:t>
            </w:r>
          </w:p>
        </w:tc>
        <w:tc>
          <w:tcPr>
            <w:tcW w:w="220" w:type="pct"/>
            <w:shd w:val="clear" w:color="auto" w:fill="EAF1DD" w:themeFill="accent3" w:themeFillTint="33"/>
            <w:noWrap/>
            <w:vAlign w:val="bottom"/>
            <w:hideMark/>
          </w:tcPr>
          <w:p w:rsidR="00C7201E" w:rsidRPr="005E4563" w:rsidRDefault="00C7201E" w:rsidP="005F014E">
            <w:pPr>
              <w:spacing w:line="276" w:lineRule="auto"/>
              <w:jc w:val="right"/>
              <w:rPr>
                <w:rFonts w:cs="Arial"/>
                <w:sz w:val="16"/>
                <w:szCs w:val="16"/>
              </w:rPr>
            </w:pPr>
            <w:r w:rsidRPr="005E4563">
              <w:rPr>
                <w:rFonts w:cs="Arial"/>
                <w:sz w:val="16"/>
                <w:szCs w:val="16"/>
              </w:rPr>
              <w:t> </w:t>
            </w:r>
          </w:p>
        </w:tc>
        <w:tc>
          <w:tcPr>
            <w:tcW w:w="220" w:type="pct"/>
            <w:shd w:val="clear" w:color="auto" w:fill="EAF1DD" w:themeFill="accent3" w:themeFillTint="33"/>
            <w:noWrap/>
            <w:vAlign w:val="bottom"/>
            <w:hideMark/>
          </w:tcPr>
          <w:p w:rsidR="00C7201E" w:rsidRPr="005E4563" w:rsidRDefault="00C7201E" w:rsidP="005F014E">
            <w:pPr>
              <w:spacing w:line="276" w:lineRule="auto"/>
              <w:jc w:val="right"/>
              <w:rPr>
                <w:rFonts w:cs="Arial"/>
                <w:sz w:val="16"/>
                <w:szCs w:val="16"/>
              </w:rPr>
            </w:pPr>
            <w:r w:rsidRPr="005E4563">
              <w:rPr>
                <w:rFonts w:cs="Arial"/>
                <w:sz w:val="16"/>
                <w:szCs w:val="16"/>
              </w:rPr>
              <w:t> </w:t>
            </w:r>
          </w:p>
        </w:tc>
        <w:tc>
          <w:tcPr>
            <w:tcW w:w="251" w:type="pct"/>
            <w:shd w:val="clear" w:color="auto" w:fill="EAF1DD" w:themeFill="accent3" w:themeFillTint="33"/>
            <w:noWrap/>
            <w:vAlign w:val="bottom"/>
            <w:hideMark/>
          </w:tcPr>
          <w:p w:rsidR="00C7201E" w:rsidRPr="005E4563" w:rsidRDefault="00C7201E" w:rsidP="005F014E">
            <w:pPr>
              <w:spacing w:line="276" w:lineRule="auto"/>
              <w:jc w:val="right"/>
              <w:rPr>
                <w:rFonts w:cs="Arial"/>
                <w:sz w:val="16"/>
                <w:szCs w:val="16"/>
              </w:rPr>
            </w:pPr>
            <w:r w:rsidRPr="005E4563">
              <w:rPr>
                <w:rFonts w:cs="Arial"/>
                <w:sz w:val="16"/>
                <w:szCs w:val="16"/>
              </w:rPr>
              <w:t> </w:t>
            </w:r>
          </w:p>
        </w:tc>
        <w:tc>
          <w:tcPr>
            <w:tcW w:w="251" w:type="pct"/>
            <w:shd w:val="clear" w:color="auto" w:fill="EAF1DD" w:themeFill="accent3" w:themeFillTint="33"/>
            <w:noWrap/>
            <w:vAlign w:val="bottom"/>
            <w:hideMark/>
          </w:tcPr>
          <w:p w:rsidR="00C7201E" w:rsidRPr="005E4563" w:rsidRDefault="00C7201E" w:rsidP="005F014E">
            <w:pPr>
              <w:spacing w:line="276" w:lineRule="auto"/>
              <w:jc w:val="right"/>
              <w:rPr>
                <w:rFonts w:cs="Arial"/>
                <w:b/>
                <w:bCs/>
                <w:sz w:val="16"/>
                <w:szCs w:val="16"/>
              </w:rPr>
            </w:pPr>
            <w:r w:rsidRPr="005E4563">
              <w:rPr>
                <w:rFonts w:cs="Arial"/>
                <w:b/>
                <w:bCs/>
                <w:sz w:val="16"/>
                <w:szCs w:val="16"/>
              </w:rPr>
              <w:t> </w:t>
            </w:r>
          </w:p>
        </w:tc>
        <w:tc>
          <w:tcPr>
            <w:tcW w:w="257" w:type="pct"/>
            <w:shd w:val="clear" w:color="auto" w:fill="EAF1DD" w:themeFill="accent3" w:themeFillTint="33"/>
            <w:noWrap/>
            <w:vAlign w:val="bottom"/>
            <w:hideMark/>
          </w:tcPr>
          <w:p w:rsidR="00C7201E" w:rsidRPr="005E4563" w:rsidRDefault="00C7201E" w:rsidP="005F014E">
            <w:pPr>
              <w:spacing w:line="276" w:lineRule="auto"/>
              <w:jc w:val="right"/>
              <w:rPr>
                <w:rFonts w:cs="Arial"/>
                <w:b/>
                <w:bCs/>
                <w:sz w:val="16"/>
                <w:szCs w:val="16"/>
              </w:rPr>
            </w:pPr>
            <w:r w:rsidRPr="005E4563">
              <w:rPr>
                <w:rFonts w:cs="Arial"/>
                <w:b/>
                <w:bCs/>
                <w:sz w:val="16"/>
                <w:szCs w:val="16"/>
              </w:rPr>
              <w:t> </w:t>
            </w:r>
          </w:p>
        </w:tc>
        <w:tc>
          <w:tcPr>
            <w:tcW w:w="250" w:type="pct"/>
            <w:shd w:val="clear" w:color="auto" w:fill="EAF1DD" w:themeFill="accent3" w:themeFillTint="33"/>
            <w:noWrap/>
            <w:vAlign w:val="bottom"/>
            <w:hideMark/>
          </w:tcPr>
          <w:p w:rsidR="00C7201E" w:rsidRPr="005E4563" w:rsidRDefault="00C7201E" w:rsidP="005F014E">
            <w:pPr>
              <w:spacing w:line="276" w:lineRule="auto"/>
              <w:jc w:val="right"/>
              <w:rPr>
                <w:rFonts w:cs="Arial"/>
                <w:b/>
                <w:bCs/>
                <w:sz w:val="16"/>
                <w:szCs w:val="16"/>
              </w:rPr>
            </w:pPr>
            <w:r w:rsidRPr="005E4563">
              <w:rPr>
                <w:rFonts w:cs="Arial"/>
                <w:b/>
                <w:bCs/>
                <w:sz w:val="16"/>
                <w:szCs w:val="16"/>
              </w:rPr>
              <w:t> </w:t>
            </w:r>
          </w:p>
        </w:tc>
        <w:tc>
          <w:tcPr>
            <w:tcW w:w="247" w:type="pct"/>
            <w:shd w:val="clear" w:color="auto" w:fill="EAF1DD" w:themeFill="accent3" w:themeFillTint="33"/>
          </w:tcPr>
          <w:p w:rsidR="00C7201E" w:rsidRPr="005E4563" w:rsidRDefault="00C7201E" w:rsidP="005F014E">
            <w:pPr>
              <w:spacing w:line="276" w:lineRule="auto"/>
              <w:jc w:val="right"/>
              <w:rPr>
                <w:rFonts w:cs="Arial"/>
                <w:b/>
                <w:bCs/>
                <w:sz w:val="16"/>
                <w:szCs w:val="16"/>
              </w:rPr>
            </w:pPr>
          </w:p>
        </w:tc>
      </w:tr>
      <w:tr w:rsidR="0061119F"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7F35A5" w:rsidRPr="00994994" w:rsidRDefault="007F35A5">
            <w:pPr>
              <w:rPr>
                <w:sz w:val="16"/>
                <w:szCs w:val="16"/>
              </w:rPr>
            </w:pPr>
            <w:r w:rsidRPr="00994994">
              <w:rPr>
                <w:sz w:val="16"/>
                <w:szCs w:val="16"/>
              </w:rPr>
              <w:t xml:space="preserve">GDP growth (annual </w:t>
            </w:r>
            <w:r w:rsidR="003B342F">
              <w:rPr>
                <w:sz w:val="16"/>
                <w:szCs w:val="16"/>
              </w:rPr>
              <w:t xml:space="preserve"> percent</w:t>
            </w:r>
            <w:r w:rsidRPr="00994994">
              <w:rPr>
                <w:sz w:val="16"/>
                <w:szCs w:val="16"/>
              </w:rPr>
              <w:t xml:space="preserve">) </w:t>
            </w:r>
          </w:p>
        </w:tc>
        <w:tc>
          <w:tcPr>
            <w:tcW w:w="220" w:type="pct"/>
            <w:tcBorders>
              <w:left w:val="single" w:sz="4" w:space="0" w:color="auto"/>
            </w:tcBorders>
            <w:shd w:val="clear" w:color="auto" w:fill="EAF1DD" w:themeFill="accent3" w:themeFillTint="33"/>
            <w:vAlign w:val="bottom"/>
          </w:tcPr>
          <w:p w:rsidR="007F35A5" w:rsidRPr="00994994" w:rsidRDefault="007F35A5" w:rsidP="00AC2B77">
            <w:pPr>
              <w:jc w:val="center"/>
              <w:rPr>
                <w:sz w:val="16"/>
                <w:szCs w:val="16"/>
              </w:rPr>
            </w:pPr>
            <w:r w:rsidRPr="0058600B">
              <w:rPr>
                <w:sz w:val="16"/>
                <w:szCs w:val="16"/>
              </w:rPr>
              <w:t>4.2</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4.5</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4.8</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5.2</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5.4</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6.2</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4.6</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6.5</w:t>
            </w:r>
          </w:p>
        </w:tc>
        <w:tc>
          <w:tcPr>
            <w:tcW w:w="25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8.4</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4.0</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8.0</w:t>
            </w:r>
          </w:p>
        </w:tc>
        <w:tc>
          <w:tcPr>
            <w:tcW w:w="251"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15.0</w:t>
            </w:r>
          </w:p>
        </w:tc>
        <w:tc>
          <w:tcPr>
            <w:tcW w:w="251"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6.4</w:t>
            </w:r>
          </w:p>
        </w:tc>
        <w:tc>
          <w:tcPr>
            <w:tcW w:w="257"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7.9</w:t>
            </w:r>
          </w:p>
        </w:tc>
        <w:tc>
          <w:tcPr>
            <w:tcW w:w="25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5.4</w:t>
            </w:r>
          </w:p>
        </w:tc>
        <w:tc>
          <w:tcPr>
            <w:tcW w:w="247" w:type="pct"/>
            <w:shd w:val="clear" w:color="auto" w:fill="EAF1DD" w:themeFill="accent3" w:themeFillTint="33"/>
            <w:vAlign w:val="bottom"/>
          </w:tcPr>
          <w:p w:rsidR="007F35A5" w:rsidRPr="00994994" w:rsidRDefault="00184CDB" w:rsidP="00AC2B77">
            <w:pPr>
              <w:jc w:val="center"/>
              <w:rPr>
                <w:sz w:val="16"/>
                <w:szCs w:val="16"/>
              </w:rPr>
            </w:pPr>
            <w:r>
              <w:rPr>
                <w:sz w:val="16"/>
                <w:szCs w:val="16"/>
              </w:rPr>
              <w:t>6.0</w:t>
            </w:r>
          </w:p>
        </w:tc>
      </w:tr>
      <w:tr w:rsidR="0061119F"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7F35A5" w:rsidRPr="00994994" w:rsidRDefault="007F35A5">
            <w:pPr>
              <w:rPr>
                <w:sz w:val="16"/>
                <w:szCs w:val="16"/>
              </w:rPr>
            </w:pPr>
            <w:r w:rsidRPr="00994994">
              <w:rPr>
                <w:sz w:val="16"/>
                <w:szCs w:val="16"/>
              </w:rPr>
              <w:t xml:space="preserve">GDP per capita growth (annual </w:t>
            </w:r>
            <w:r w:rsidR="003B342F">
              <w:rPr>
                <w:sz w:val="16"/>
                <w:szCs w:val="16"/>
              </w:rPr>
              <w:t xml:space="preserve"> percent</w:t>
            </w:r>
            <w:r w:rsidRPr="00994994">
              <w:rPr>
                <w:sz w:val="16"/>
                <w:szCs w:val="16"/>
              </w:rPr>
              <w:t xml:space="preserve">) </w:t>
            </w:r>
          </w:p>
        </w:tc>
        <w:tc>
          <w:tcPr>
            <w:tcW w:w="220" w:type="pct"/>
            <w:tcBorders>
              <w:left w:val="single" w:sz="4" w:space="0" w:color="auto"/>
            </w:tcBorders>
            <w:shd w:val="clear" w:color="auto" w:fill="EAF1DD" w:themeFill="accent3" w:themeFillTint="33"/>
            <w:vAlign w:val="bottom"/>
          </w:tcPr>
          <w:p w:rsidR="007F35A5" w:rsidRPr="00994994" w:rsidRDefault="007F35A5" w:rsidP="00AC2B77">
            <w:pPr>
              <w:jc w:val="center"/>
              <w:rPr>
                <w:sz w:val="16"/>
                <w:szCs w:val="16"/>
              </w:rPr>
            </w:pPr>
            <w:r w:rsidRPr="0058600B">
              <w:rPr>
                <w:sz w:val="16"/>
                <w:szCs w:val="16"/>
              </w:rPr>
              <w:t>1.6</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1.9</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2.2</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2.6</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2.7</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3.5</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1.9</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3.9</w:t>
            </w:r>
          </w:p>
        </w:tc>
        <w:tc>
          <w:tcPr>
            <w:tcW w:w="25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5.8</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1.4</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5.4</w:t>
            </w:r>
          </w:p>
        </w:tc>
        <w:tc>
          <w:tcPr>
            <w:tcW w:w="251"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11.8</w:t>
            </w:r>
          </w:p>
        </w:tc>
        <w:tc>
          <w:tcPr>
            <w:tcW w:w="251"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3.7</w:t>
            </w:r>
          </w:p>
        </w:tc>
        <w:tc>
          <w:tcPr>
            <w:tcW w:w="257"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5.3</w:t>
            </w:r>
          </w:p>
        </w:tc>
        <w:tc>
          <w:tcPr>
            <w:tcW w:w="25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2.8</w:t>
            </w:r>
          </w:p>
        </w:tc>
        <w:tc>
          <w:tcPr>
            <w:tcW w:w="247" w:type="pct"/>
            <w:shd w:val="clear" w:color="auto" w:fill="EAF1DD" w:themeFill="accent3" w:themeFillTint="33"/>
            <w:vAlign w:val="bottom"/>
          </w:tcPr>
          <w:p w:rsidR="007F35A5" w:rsidRPr="00994994" w:rsidRDefault="00184CDB" w:rsidP="00AC2B77">
            <w:pPr>
              <w:jc w:val="center"/>
              <w:rPr>
                <w:sz w:val="16"/>
                <w:szCs w:val="16"/>
              </w:rPr>
            </w:pPr>
            <w:r>
              <w:rPr>
                <w:sz w:val="16"/>
                <w:szCs w:val="16"/>
              </w:rPr>
              <w:t>3.4</w:t>
            </w:r>
          </w:p>
        </w:tc>
      </w:tr>
      <w:tr w:rsidR="0061119F"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7F35A5" w:rsidRPr="00994994" w:rsidRDefault="007F35A5">
            <w:pPr>
              <w:rPr>
                <w:sz w:val="16"/>
                <w:szCs w:val="16"/>
              </w:rPr>
            </w:pPr>
            <w:r w:rsidRPr="00994994">
              <w:rPr>
                <w:sz w:val="16"/>
                <w:szCs w:val="16"/>
              </w:rPr>
              <w:t xml:space="preserve">GDP per capita (US$) </w:t>
            </w:r>
          </w:p>
        </w:tc>
        <w:tc>
          <w:tcPr>
            <w:tcW w:w="220" w:type="pct"/>
            <w:tcBorders>
              <w:left w:val="single" w:sz="4" w:space="0" w:color="auto"/>
            </w:tcBorders>
            <w:shd w:val="clear" w:color="auto" w:fill="EAF1DD" w:themeFill="accent3" w:themeFillTint="33"/>
            <w:vAlign w:val="bottom"/>
          </w:tcPr>
          <w:p w:rsidR="007F35A5" w:rsidRPr="00994994" w:rsidRDefault="007F35A5" w:rsidP="00AC2B77">
            <w:pPr>
              <w:jc w:val="center"/>
              <w:rPr>
                <w:sz w:val="16"/>
                <w:szCs w:val="16"/>
              </w:rPr>
            </w:pPr>
            <w:r w:rsidRPr="0058600B">
              <w:rPr>
                <w:sz w:val="16"/>
                <w:szCs w:val="16"/>
              </w:rPr>
              <w:t>393</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387</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482</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556</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706</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824</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953</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1,127</w:t>
            </w:r>
          </w:p>
        </w:tc>
        <w:tc>
          <w:tcPr>
            <w:tcW w:w="25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1,266</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1,124</w:t>
            </w:r>
          </w:p>
        </w:tc>
        <w:tc>
          <w:tcPr>
            <w:tcW w:w="22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1,358</w:t>
            </w:r>
          </w:p>
        </w:tc>
        <w:tc>
          <w:tcPr>
            <w:tcW w:w="251"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1,580</w:t>
            </w:r>
          </w:p>
        </w:tc>
        <w:tc>
          <w:tcPr>
            <w:tcW w:w="251"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896</w:t>
            </w:r>
          </w:p>
        </w:tc>
        <w:tc>
          <w:tcPr>
            <w:tcW w:w="257"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1,622</w:t>
            </w:r>
          </w:p>
        </w:tc>
        <w:tc>
          <w:tcPr>
            <w:tcW w:w="250" w:type="pct"/>
            <w:shd w:val="clear" w:color="auto" w:fill="EAF1DD" w:themeFill="accent3" w:themeFillTint="33"/>
            <w:noWrap/>
            <w:vAlign w:val="bottom"/>
          </w:tcPr>
          <w:p w:rsidR="007F35A5" w:rsidRPr="00994994" w:rsidRDefault="007F35A5" w:rsidP="00AC2B77">
            <w:pPr>
              <w:jc w:val="center"/>
              <w:rPr>
                <w:sz w:val="16"/>
                <w:szCs w:val="16"/>
              </w:rPr>
            </w:pPr>
            <w:r w:rsidRPr="0058600B">
              <w:rPr>
                <w:sz w:val="16"/>
                <w:szCs w:val="16"/>
              </w:rPr>
              <w:t>1,730</w:t>
            </w:r>
          </w:p>
        </w:tc>
        <w:tc>
          <w:tcPr>
            <w:tcW w:w="247" w:type="pct"/>
            <w:shd w:val="clear" w:color="auto" w:fill="EAF1DD" w:themeFill="accent3" w:themeFillTint="33"/>
            <w:vAlign w:val="bottom"/>
          </w:tcPr>
          <w:p w:rsidR="007F35A5" w:rsidRPr="00994994" w:rsidRDefault="001C043A" w:rsidP="00AC2B77">
            <w:pPr>
              <w:jc w:val="center"/>
              <w:rPr>
                <w:sz w:val="16"/>
                <w:szCs w:val="16"/>
              </w:rPr>
            </w:pPr>
            <w:r w:rsidRPr="001C043A">
              <w:rPr>
                <w:sz w:val="16"/>
                <w:szCs w:val="16"/>
              </w:rPr>
              <w:t>1,319</w:t>
            </w:r>
          </w:p>
        </w:tc>
      </w:tr>
      <w:tr w:rsidR="0061119F"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C7201E" w:rsidRPr="00994994" w:rsidRDefault="00C7201E">
            <w:pPr>
              <w:rPr>
                <w:sz w:val="16"/>
                <w:szCs w:val="16"/>
              </w:rPr>
            </w:pPr>
            <w:r w:rsidRPr="00994994">
              <w:rPr>
                <w:sz w:val="16"/>
                <w:szCs w:val="16"/>
              </w:rPr>
              <w:t xml:space="preserve">GDP per capita, PPP (current international US$) </w:t>
            </w:r>
          </w:p>
        </w:tc>
        <w:tc>
          <w:tcPr>
            <w:tcW w:w="220" w:type="pct"/>
            <w:tcBorders>
              <w:left w:val="single" w:sz="4" w:space="0" w:color="auto"/>
            </w:tcBorders>
            <w:shd w:val="clear" w:color="auto" w:fill="EAF1DD" w:themeFill="accent3" w:themeFillTint="33"/>
          </w:tcPr>
          <w:p w:rsidR="00C7201E" w:rsidRPr="00994994" w:rsidRDefault="00C7201E" w:rsidP="00AC2B77">
            <w:pPr>
              <w:jc w:val="center"/>
              <w:rPr>
                <w:sz w:val="16"/>
                <w:szCs w:val="16"/>
              </w:rPr>
            </w:pPr>
          </w:p>
        </w:tc>
        <w:tc>
          <w:tcPr>
            <w:tcW w:w="220" w:type="pct"/>
            <w:shd w:val="clear" w:color="auto" w:fill="EAF1DD" w:themeFill="accent3" w:themeFillTint="33"/>
            <w:noWrap/>
          </w:tcPr>
          <w:p w:rsidR="00C7201E" w:rsidRPr="00994994" w:rsidRDefault="00C7201E" w:rsidP="00AC2B77">
            <w:pPr>
              <w:jc w:val="center"/>
              <w:rPr>
                <w:sz w:val="16"/>
                <w:szCs w:val="16"/>
              </w:rPr>
            </w:pPr>
          </w:p>
        </w:tc>
        <w:tc>
          <w:tcPr>
            <w:tcW w:w="220" w:type="pct"/>
            <w:shd w:val="clear" w:color="auto" w:fill="EAF1DD" w:themeFill="accent3" w:themeFillTint="33"/>
            <w:noWrap/>
          </w:tcPr>
          <w:p w:rsidR="00C7201E" w:rsidRPr="00994994" w:rsidRDefault="00C7201E" w:rsidP="00AC2B77">
            <w:pPr>
              <w:jc w:val="center"/>
              <w:rPr>
                <w:sz w:val="16"/>
                <w:szCs w:val="16"/>
              </w:rPr>
            </w:pPr>
          </w:p>
        </w:tc>
        <w:tc>
          <w:tcPr>
            <w:tcW w:w="220" w:type="pct"/>
            <w:shd w:val="clear" w:color="auto" w:fill="EAF1DD" w:themeFill="accent3" w:themeFillTint="33"/>
            <w:noWrap/>
          </w:tcPr>
          <w:p w:rsidR="00C7201E" w:rsidRPr="00994994" w:rsidRDefault="00C7201E" w:rsidP="00AC2B77">
            <w:pPr>
              <w:jc w:val="center"/>
              <w:rPr>
                <w:sz w:val="16"/>
                <w:szCs w:val="16"/>
              </w:rPr>
            </w:pPr>
          </w:p>
        </w:tc>
        <w:tc>
          <w:tcPr>
            <w:tcW w:w="220" w:type="pct"/>
            <w:shd w:val="clear" w:color="auto" w:fill="EAF1DD" w:themeFill="accent3" w:themeFillTint="33"/>
            <w:noWrap/>
          </w:tcPr>
          <w:p w:rsidR="00C7201E" w:rsidRPr="00994994" w:rsidRDefault="00C7201E" w:rsidP="00AC2B77">
            <w:pPr>
              <w:jc w:val="center"/>
              <w:rPr>
                <w:sz w:val="16"/>
                <w:szCs w:val="16"/>
              </w:rPr>
            </w:pPr>
          </w:p>
        </w:tc>
        <w:tc>
          <w:tcPr>
            <w:tcW w:w="220" w:type="pct"/>
            <w:shd w:val="clear" w:color="auto" w:fill="EAF1DD" w:themeFill="accent3" w:themeFillTint="33"/>
            <w:noWrap/>
          </w:tcPr>
          <w:p w:rsidR="00C7201E" w:rsidRPr="00994994" w:rsidRDefault="00C7201E" w:rsidP="00AC2B77">
            <w:pPr>
              <w:jc w:val="center"/>
              <w:rPr>
                <w:sz w:val="16"/>
                <w:szCs w:val="16"/>
              </w:rPr>
            </w:pPr>
          </w:p>
        </w:tc>
        <w:tc>
          <w:tcPr>
            <w:tcW w:w="220" w:type="pct"/>
            <w:shd w:val="clear" w:color="auto" w:fill="EAF1DD" w:themeFill="accent3" w:themeFillTint="33"/>
            <w:noWrap/>
          </w:tcPr>
          <w:p w:rsidR="00C7201E" w:rsidRPr="00994994" w:rsidRDefault="00C7201E" w:rsidP="00AC2B77">
            <w:pPr>
              <w:jc w:val="center"/>
              <w:rPr>
                <w:sz w:val="16"/>
                <w:szCs w:val="16"/>
              </w:rPr>
            </w:pPr>
          </w:p>
        </w:tc>
        <w:tc>
          <w:tcPr>
            <w:tcW w:w="220" w:type="pct"/>
            <w:shd w:val="clear" w:color="auto" w:fill="EAF1DD" w:themeFill="accent3" w:themeFillTint="33"/>
            <w:noWrap/>
          </w:tcPr>
          <w:p w:rsidR="00C7201E" w:rsidRPr="00994994" w:rsidRDefault="00C7201E" w:rsidP="00AC2B77">
            <w:pPr>
              <w:jc w:val="center"/>
              <w:rPr>
                <w:sz w:val="16"/>
                <w:szCs w:val="16"/>
              </w:rPr>
            </w:pPr>
          </w:p>
        </w:tc>
        <w:tc>
          <w:tcPr>
            <w:tcW w:w="250" w:type="pct"/>
            <w:shd w:val="clear" w:color="auto" w:fill="EAF1DD" w:themeFill="accent3" w:themeFillTint="33"/>
            <w:noWrap/>
          </w:tcPr>
          <w:p w:rsidR="00C7201E" w:rsidRPr="00994994" w:rsidRDefault="00C7201E" w:rsidP="00AC2B77">
            <w:pPr>
              <w:jc w:val="center"/>
              <w:rPr>
                <w:sz w:val="16"/>
                <w:szCs w:val="16"/>
              </w:rPr>
            </w:pPr>
          </w:p>
        </w:tc>
        <w:tc>
          <w:tcPr>
            <w:tcW w:w="220" w:type="pct"/>
            <w:shd w:val="clear" w:color="auto" w:fill="EAF1DD" w:themeFill="accent3" w:themeFillTint="33"/>
            <w:noWrap/>
          </w:tcPr>
          <w:p w:rsidR="00C7201E" w:rsidRPr="00994994" w:rsidRDefault="00C7201E" w:rsidP="00AC2B77">
            <w:pPr>
              <w:jc w:val="center"/>
              <w:rPr>
                <w:sz w:val="16"/>
                <w:szCs w:val="16"/>
              </w:rPr>
            </w:pPr>
          </w:p>
        </w:tc>
        <w:tc>
          <w:tcPr>
            <w:tcW w:w="220" w:type="pct"/>
            <w:shd w:val="clear" w:color="auto" w:fill="EAF1DD" w:themeFill="accent3" w:themeFillTint="33"/>
            <w:noWrap/>
          </w:tcPr>
          <w:p w:rsidR="00C7201E" w:rsidRPr="00994994" w:rsidRDefault="00C7201E" w:rsidP="00AC2B77">
            <w:pPr>
              <w:jc w:val="center"/>
              <w:rPr>
                <w:sz w:val="16"/>
                <w:szCs w:val="16"/>
              </w:rPr>
            </w:pPr>
          </w:p>
        </w:tc>
        <w:tc>
          <w:tcPr>
            <w:tcW w:w="251" w:type="pct"/>
            <w:shd w:val="clear" w:color="auto" w:fill="EAF1DD" w:themeFill="accent3" w:themeFillTint="33"/>
            <w:noWrap/>
          </w:tcPr>
          <w:p w:rsidR="00C7201E" w:rsidRPr="00994994" w:rsidRDefault="00C7201E" w:rsidP="00AC2B77">
            <w:pPr>
              <w:jc w:val="center"/>
              <w:rPr>
                <w:sz w:val="16"/>
                <w:szCs w:val="16"/>
              </w:rPr>
            </w:pPr>
          </w:p>
        </w:tc>
        <w:tc>
          <w:tcPr>
            <w:tcW w:w="251" w:type="pct"/>
            <w:shd w:val="clear" w:color="auto" w:fill="EAF1DD" w:themeFill="accent3" w:themeFillTint="33"/>
            <w:noWrap/>
          </w:tcPr>
          <w:p w:rsidR="00C7201E" w:rsidRPr="00994994" w:rsidRDefault="00C7201E" w:rsidP="00AC2B77">
            <w:pPr>
              <w:jc w:val="center"/>
              <w:rPr>
                <w:sz w:val="16"/>
                <w:szCs w:val="16"/>
              </w:rPr>
            </w:pPr>
          </w:p>
        </w:tc>
        <w:tc>
          <w:tcPr>
            <w:tcW w:w="257" w:type="pct"/>
            <w:shd w:val="clear" w:color="auto" w:fill="EAF1DD" w:themeFill="accent3" w:themeFillTint="33"/>
            <w:noWrap/>
          </w:tcPr>
          <w:p w:rsidR="00C7201E" w:rsidRPr="00994994" w:rsidRDefault="00C7201E" w:rsidP="00AC2B77">
            <w:pPr>
              <w:jc w:val="center"/>
              <w:rPr>
                <w:sz w:val="16"/>
                <w:szCs w:val="16"/>
              </w:rPr>
            </w:pPr>
          </w:p>
        </w:tc>
        <w:tc>
          <w:tcPr>
            <w:tcW w:w="250" w:type="pct"/>
            <w:shd w:val="clear" w:color="auto" w:fill="EAF1DD" w:themeFill="accent3" w:themeFillTint="33"/>
            <w:noWrap/>
          </w:tcPr>
          <w:p w:rsidR="00C7201E" w:rsidRPr="00994994" w:rsidRDefault="00C7201E" w:rsidP="00AC2B77">
            <w:pPr>
              <w:jc w:val="center"/>
              <w:rPr>
                <w:sz w:val="16"/>
                <w:szCs w:val="16"/>
              </w:rPr>
            </w:pPr>
          </w:p>
        </w:tc>
        <w:tc>
          <w:tcPr>
            <w:tcW w:w="247" w:type="pct"/>
            <w:shd w:val="clear" w:color="auto" w:fill="EAF1DD" w:themeFill="accent3" w:themeFillTint="33"/>
          </w:tcPr>
          <w:p w:rsidR="00C7201E" w:rsidRPr="00994994" w:rsidRDefault="00C7201E" w:rsidP="00AC2B77">
            <w:pPr>
              <w:jc w:val="center"/>
              <w:rPr>
                <w:sz w:val="16"/>
                <w:szCs w:val="16"/>
              </w:rPr>
            </w:pP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 xml:space="preserve">Private Consumption growth (annual </w:t>
            </w:r>
            <w:r>
              <w:rPr>
                <w:sz w:val="16"/>
                <w:szCs w:val="16"/>
              </w:rPr>
              <w:t xml:space="preserve"> percent</w:t>
            </w:r>
            <w:r w:rsidRPr="00994994">
              <w:rPr>
                <w:sz w:val="16"/>
                <w:szCs w:val="16"/>
              </w:rPr>
              <w:t>)</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-2.4</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31.8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41.5</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23.7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42.3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23.2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19.3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22.6</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35.8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10.2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26.5</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2.5</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23.1</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21.2</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29.7</w:t>
            </w:r>
          </w:p>
        </w:tc>
        <w:tc>
          <w:tcPr>
            <w:tcW w:w="247" w:type="pct"/>
            <w:shd w:val="clear" w:color="auto" w:fill="EAF1DD" w:themeFill="accent3" w:themeFillTint="33"/>
            <w:vAlign w:val="bottom"/>
          </w:tcPr>
          <w:p w:rsidR="001C043A" w:rsidRPr="00994994" w:rsidRDefault="001C043A" w:rsidP="00AC2B77">
            <w:pPr>
              <w:jc w:val="center"/>
              <w:rPr>
                <w:sz w:val="16"/>
                <w:szCs w:val="16"/>
              </w:rPr>
            </w:pPr>
            <w:r w:rsidRPr="001C043A">
              <w:rPr>
                <w:sz w:val="16"/>
                <w:szCs w:val="16"/>
              </w:rPr>
              <w:t>21.5</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 xml:space="preserve">Gross Fixed Investment ( </w:t>
            </w:r>
            <w:r>
              <w:rPr>
                <w:sz w:val="16"/>
                <w:szCs w:val="16"/>
              </w:rPr>
              <w:t xml:space="preserve"> percent</w:t>
            </w:r>
            <w:r w:rsidRPr="00994994">
              <w:rPr>
                <w:sz w:val="16"/>
                <w:szCs w:val="16"/>
              </w:rPr>
              <w:t xml:space="preserve"> of GDP)</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21.4</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23.3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17.8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20.4</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23.1</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24.1</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21.6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22.9</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23.0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23.8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23.0</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18.6</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21.9</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33.2</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31.0</w:t>
            </w:r>
          </w:p>
        </w:tc>
        <w:tc>
          <w:tcPr>
            <w:tcW w:w="247" w:type="pct"/>
            <w:shd w:val="clear" w:color="auto" w:fill="EAF1DD" w:themeFill="accent3" w:themeFillTint="33"/>
            <w:vAlign w:val="bottom"/>
          </w:tcPr>
          <w:p w:rsidR="001C043A" w:rsidRPr="00994994" w:rsidRDefault="001C043A" w:rsidP="00AC2B77">
            <w:pPr>
              <w:jc w:val="center"/>
              <w:rPr>
                <w:sz w:val="16"/>
                <w:szCs w:val="16"/>
              </w:rPr>
            </w:pPr>
            <w:r w:rsidRPr="001C043A">
              <w:rPr>
                <w:sz w:val="16"/>
                <w:szCs w:val="16"/>
              </w:rPr>
              <w:t>32.2</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 xml:space="preserve">Gross Fixed Investment - Public ( </w:t>
            </w:r>
            <w:r>
              <w:rPr>
                <w:sz w:val="16"/>
                <w:szCs w:val="16"/>
              </w:rPr>
              <w:t xml:space="preserve"> percent</w:t>
            </w:r>
            <w:r w:rsidRPr="00994994">
              <w:rPr>
                <w:sz w:val="16"/>
                <w:szCs w:val="16"/>
              </w:rPr>
              <w:t xml:space="preserve"> of GDP)</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6.3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9.3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6.2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7.5</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7.4</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7.7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8.7</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9.1</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7.1</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7.6</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6.2</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7.3</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6.6</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6.0</w:t>
            </w:r>
          </w:p>
        </w:tc>
        <w:tc>
          <w:tcPr>
            <w:tcW w:w="247" w:type="pct"/>
            <w:shd w:val="clear" w:color="auto" w:fill="EAF1DD" w:themeFill="accent3" w:themeFillTint="33"/>
            <w:vAlign w:val="bottom"/>
          </w:tcPr>
          <w:p w:rsidR="001C043A" w:rsidRPr="00994994" w:rsidRDefault="001C043A" w:rsidP="00AC2B77">
            <w:pPr>
              <w:jc w:val="center"/>
              <w:rPr>
                <w:sz w:val="16"/>
                <w:szCs w:val="16"/>
              </w:rPr>
            </w:pPr>
            <w:r w:rsidRPr="001C043A">
              <w:rPr>
                <w:sz w:val="16"/>
                <w:szCs w:val="16"/>
              </w:rPr>
              <w:t>8.2</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 xml:space="preserve">Gross Fixed Investment - Private ( </w:t>
            </w:r>
            <w:r>
              <w:rPr>
                <w:sz w:val="16"/>
                <w:szCs w:val="16"/>
              </w:rPr>
              <w:t xml:space="preserve"> percent</w:t>
            </w:r>
            <w:r w:rsidRPr="00994994">
              <w:rPr>
                <w:sz w:val="16"/>
                <w:szCs w:val="16"/>
              </w:rPr>
              <w:t xml:space="preserve"> of GDP)</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15.0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14.0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13.8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14.2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15.6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16.7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13.9</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14.2</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13.8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16.7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15.4</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12.3</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14.6</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26.6</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25.0</w:t>
            </w:r>
          </w:p>
        </w:tc>
        <w:tc>
          <w:tcPr>
            <w:tcW w:w="247" w:type="pct"/>
            <w:shd w:val="clear" w:color="auto" w:fill="EAF1DD" w:themeFill="accent3" w:themeFillTint="33"/>
            <w:vAlign w:val="bottom"/>
          </w:tcPr>
          <w:p w:rsidR="001C043A" w:rsidRPr="00994994" w:rsidRDefault="001C043A" w:rsidP="00AC2B77">
            <w:pPr>
              <w:jc w:val="center"/>
              <w:rPr>
                <w:sz w:val="16"/>
                <w:szCs w:val="16"/>
              </w:rPr>
            </w:pPr>
            <w:r w:rsidRPr="001C043A">
              <w:rPr>
                <w:sz w:val="16"/>
                <w:szCs w:val="16"/>
              </w:rPr>
              <w:t>24.0</w:t>
            </w:r>
          </w:p>
        </w:tc>
      </w:tr>
      <w:tr w:rsidR="0061119F"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hideMark/>
          </w:tcPr>
          <w:p w:rsidR="00C7201E" w:rsidRPr="00994994" w:rsidRDefault="00C7201E">
            <w:pPr>
              <w:spacing w:line="276" w:lineRule="auto"/>
              <w:jc w:val="left"/>
              <w:rPr>
                <w:rFonts w:eastAsia="Times New Roman" w:cs="Arial"/>
                <w:b/>
                <w:bCs/>
                <w:sz w:val="16"/>
                <w:szCs w:val="16"/>
              </w:rPr>
            </w:pPr>
            <w:r w:rsidRPr="00994994">
              <w:rPr>
                <w:rFonts w:cs="Arial"/>
                <w:b/>
                <w:bCs/>
                <w:sz w:val="16"/>
                <w:szCs w:val="16"/>
              </w:rPr>
              <w:t>Money and Prices</w:t>
            </w:r>
          </w:p>
        </w:tc>
        <w:tc>
          <w:tcPr>
            <w:tcW w:w="220" w:type="pct"/>
            <w:tcBorders>
              <w:left w:val="single" w:sz="4" w:space="0" w:color="auto"/>
            </w:tcBorders>
            <w:shd w:val="clear" w:color="auto" w:fill="EAF1DD" w:themeFill="accent3" w:themeFillTint="33"/>
          </w:tcPr>
          <w:p w:rsidR="00C7201E" w:rsidRPr="00994994" w:rsidRDefault="00C7201E" w:rsidP="00AC2B77">
            <w:pPr>
              <w:spacing w:line="276" w:lineRule="auto"/>
              <w:jc w:val="center"/>
              <w:rPr>
                <w:rFonts w:eastAsia="Times New Roman" w:cs="Arial"/>
                <w:b/>
                <w:bCs/>
                <w:sz w:val="16"/>
                <w:szCs w:val="16"/>
              </w:rPr>
            </w:pPr>
          </w:p>
        </w:tc>
        <w:tc>
          <w:tcPr>
            <w:tcW w:w="220" w:type="pct"/>
            <w:shd w:val="clear" w:color="auto" w:fill="EAF1DD" w:themeFill="accent3" w:themeFillTint="33"/>
            <w:noWrap/>
            <w:hideMark/>
          </w:tcPr>
          <w:p w:rsidR="00C7201E" w:rsidRPr="00994994" w:rsidRDefault="00C7201E" w:rsidP="00AC2B77">
            <w:pPr>
              <w:spacing w:line="276" w:lineRule="auto"/>
              <w:jc w:val="center"/>
              <w:rPr>
                <w:rFonts w:eastAsia="Times New Roman" w:cs="Arial"/>
                <w:sz w:val="16"/>
                <w:szCs w:val="16"/>
              </w:rPr>
            </w:pPr>
          </w:p>
        </w:tc>
        <w:tc>
          <w:tcPr>
            <w:tcW w:w="220" w:type="pct"/>
            <w:shd w:val="clear" w:color="auto" w:fill="EAF1DD" w:themeFill="accent3" w:themeFillTint="33"/>
            <w:noWrap/>
            <w:hideMark/>
          </w:tcPr>
          <w:p w:rsidR="00C7201E" w:rsidRPr="00994994" w:rsidRDefault="00C7201E" w:rsidP="00AC2B77">
            <w:pPr>
              <w:spacing w:line="276" w:lineRule="auto"/>
              <w:jc w:val="center"/>
              <w:rPr>
                <w:rFonts w:eastAsia="Times New Roman" w:cs="Arial"/>
                <w:sz w:val="16"/>
                <w:szCs w:val="16"/>
              </w:rPr>
            </w:pPr>
          </w:p>
        </w:tc>
        <w:tc>
          <w:tcPr>
            <w:tcW w:w="220" w:type="pct"/>
            <w:shd w:val="clear" w:color="auto" w:fill="EAF1DD" w:themeFill="accent3" w:themeFillTint="33"/>
            <w:noWrap/>
            <w:hideMark/>
          </w:tcPr>
          <w:p w:rsidR="00C7201E" w:rsidRPr="00994994" w:rsidRDefault="00C7201E" w:rsidP="00AC2B77">
            <w:pPr>
              <w:spacing w:line="276" w:lineRule="auto"/>
              <w:jc w:val="center"/>
              <w:rPr>
                <w:rFonts w:eastAsia="Times New Roman" w:cs="Arial"/>
                <w:sz w:val="16"/>
                <w:szCs w:val="16"/>
              </w:rPr>
            </w:pPr>
          </w:p>
        </w:tc>
        <w:tc>
          <w:tcPr>
            <w:tcW w:w="220" w:type="pct"/>
            <w:shd w:val="clear" w:color="auto" w:fill="EAF1DD" w:themeFill="accent3" w:themeFillTint="33"/>
            <w:noWrap/>
            <w:hideMark/>
          </w:tcPr>
          <w:p w:rsidR="00C7201E" w:rsidRPr="00994994" w:rsidRDefault="00C7201E" w:rsidP="00AC2B77">
            <w:pPr>
              <w:spacing w:line="276" w:lineRule="auto"/>
              <w:jc w:val="center"/>
              <w:rPr>
                <w:rFonts w:eastAsia="Times New Roman" w:cs="Arial"/>
                <w:sz w:val="16"/>
                <w:szCs w:val="16"/>
              </w:rPr>
            </w:pPr>
          </w:p>
        </w:tc>
        <w:tc>
          <w:tcPr>
            <w:tcW w:w="220" w:type="pct"/>
            <w:shd w:val="clear" w:color="auto" w:fill="EAF1DD" w:themeFill="accent3" w:themeFillTint="33"/>
            <w:noWrap/>
            <w:hideMark/>
          </w:tcPr>
          <w:p w:rsidR="00C7201E" w:rsidRPr="00994994" w:rsidRDefault="00C7201E" w:rsidP="00AC2B77">
            <w:pPr>
              <w:spacing w:line="276" w:lineRule="auto"/>
              <w:jc w:val="center"/>
              <w:rPr>
                <w:rFonts w:eastAsia="Times New Roman" w:cs="Arial"/>
                <w:sz w:val="16"/>
                <w:szCs w:val="16"/>
              </w:rPr>
            </w:pPr>
          </w:p>
        </w:tc>
        <w:tc>
          <w:tcPr>
            <w:tcW w:w="220" w:type="pct"/>
            <w:shd w:val="clear" w:color="auto" w:fill="EAF1DD" w:themeFill="accent3" w:themeFillTint="33"/>
            <w:noWrap/>
            <w:hideMark/>
          </w:tcPr>
          <w:p w:rsidR="00C7201E" w:rsidRPr="00994994" w:rsidRDefault="00C7201E" w:rsidP="00AC2B77">
            <w:pPr>
              <w:spacing w:line="276" w:lineRule="auto"/>
              <w:jc w:val="center"/>
              <w:rPr>
                <w:rFonts w:eastAsia="Times New Roman" w:cs="Arial"/>
                <w:sz w:val="16"/>
                <w:szCs w:val="16"/>
              </w:rPr>
            </w:pPr>
          </w:p>
        </w:tc>
        <w:tc>
          <w:tcPr>
            <w:tcW w:w="220" w:type="pct"/>
            <w:shd w:val="clear" w:color="auto" w:fill="EAF1DD" w:themeFill="accent3" w:themeFillTint="33"/>
            <w:noWrap/>
            <w:hideMark/>
          </w:tcPr>
          <w:p w:rsidR="00C7201E" w:rsidRPr="00994994" w:rsidRDefault="00C7201E" w:rsidP="00AC2B77">
            <w:pPr>
              <w:spacing w:line="276" w:lineRule="auto"/>
              <w:jc w:val="center"/>
              <w:rPr>
                <w:rFonts w:eastAsia="Times New Roman" w:cs="Arial"/>
                <w:sz w:val="16"/>
                <w:szCs w:val="16"/>
              </w:rPr>
            </w:pPr>
          </w:p>
        </w:tc>
        <w:tc>
          <w:tcPr>
            <w:tcW w:w="250" w:type="pct"/>
            <w:shd w:val="clear" w:color="auto" w:fill="EAF1DD" w:themeFill="accent3" w:themeFillTint="33"/>
            <w:noWrap/>
            <w:hideMark/>
          </w:tcPr>
          <w:p w:rsidR="00C7201E" w:rsidRPr="00994994" w:rsidRDefault="00C7201E" w:rsidP="00AC2B77">
            <w:pPr>
              <w:spacing w:line="276" w:lineRule="auto"/>
              <w:jc w:val="center"/>
              <w:rPr>
                <w:rFonts w:eastAsia="Times New Roman" w:cs="Arial"/>
                <w:sz w:val="16"/>
                <w:szCs w:val="16"/>
              </w:rPr>
            </w:pPr>
          </w:p>
        </w:tc>
        <w:tc>
          <w:tcPr>
            <w:tcW w:w="220" w:type="pct"/>
            <w:shd w:val="clear" w:color="auto" w:fill="EAF1DD" w:themeFill="accent3" w:themeFillTint="33"/>
            <w:noWrap/>
            <w:hideMark/>
          </w:tcPr>
          <w:p w:rsidR="00C7201E" w:rsidRPr="00994994" w:rsidRDefault="00C7201E" w:rsidP="00AC2B77">
            <w:pPr>
              <w:spacing w:line="276" w:lineRule="auto"/>
              <w:jc w:val="center"/>
              <w:rPr>
                <w:rFonts w:cs="Arial"/>
                <w:sz w:val="16"/>
                <w:szCs w:val="16"/>
              </w:rPr>
            </w:pPr>
          </w:p>
        </w:tc>
        <w:tc>
          <w:tcPr>
            <w:tcW w:w="220" w:type="pct"/>
            <w:shd w:val="clear" w:color="auto" w:fill="EAF1DD" w:themeFill="accent3" w:themeFillTint="33"/>
            <w:noWrap/>
            <w:hideMark/>
          </w:tcPr>
          <w:p w:rsidR="00C7201E" w:rsidRPr="00994994" w:rsidRDefault="00C7201E" w:rsidP="00AC2B77">
            <w:pPr>
              <w:spacing w:line="276" w:lineRule="auto"/>
              <w:jc w:val="center"/>
              <w:rPr>
                <w:rFonts w:cs="Arial"/>
                <w:sz w:val="16"/>
                <w:szCs w:val="16"/>
              </w:rPr>
            </w:pPr>
          </w:p>
        </w:tc>
        <w:tc>
          <w:tcPr>
            <w:tcW w:w="251" w:type="pct"/>
            <w:shd w:val="clear" w:color="auto" w:fill="EAF1DD" w:themeFill="accent3" w:themeFillTint="33"/>
            <w:noWrap/>
            <w:hideMark/>
          </w:tcPr>
          <w:p w:rsidR="00C7201E" w:rsidRPr="00994994" w:rsidRDefault="00C7201E" w:rsidP="00AC2B77">
            <w:pPr>
              <w:spacing w:line="276" w:lineRule="auto"/>
              <w:jc w:val="center"/>
              <w:rPr>
                <w:rFonts w:cs="Arial"/>
                <w:sz w:val="16"/>
                <w:szCs w:val="16"/>
              </w:rPr>
            </w:pPr>
          </w:p>
        </w:tc>
        <w:tc>
          <w:tcPr>
            <w:tcW w:w="251" w:type="pct"/>
            <w:shd w:val="clear" w:color="auto" w:fill="EAF1DD" w:themeFill="accent3" w:themeFillTint="33"/>
            <w:noWrap/>
            <w:hideMark/>
          </w:tcPr>
          <w:p w:rsidR="00C7201E" w:rsidRPr="00994994" w:rsidRDefault="00C7201E" w:rsidP="00AC2B77">
            <w:pPr>
              <w:spacing w:line="276" w:lineRule="auto"/>
              <w:jc w:val="center"/>
              <w:rPr>
                <w:rFonts w:cs="Arial"/>
                <w:sz w:val="16"/>
                <w:szCs w:val="16"/>
              </w:rPr>
            </w:pPr>
          </w:p>
        </w:tc>
        <w:tc>
          <w:tcPr>
            <w:tcW w:w="257" w:type="pct"/>
            <w:shd w:val="clear" w:color="auto" w:fill="EAF1DD" w:themeFill="accent3" w:themeFillTint="33"/>
            <w:noWrap/>
            <w:hideMark/>
          </w:tcPr>
          <w:p w:rsidR="00C7201E" w:rsidRPr="00994994" w:rsidRDefault="00C7201E" w:rsidP="00AC2B77">
            <w:pPr>
              <w:spacing w:line="276" w:lineRule="auto"/>
              <w:jc w:val="center"/>
              <w:rPr>
                <w:rFonts w:cs="Arial"/>
                <w:sz w:val="16"/>
                <w:szCs w:val="16"/>
              </w:rPr>
            </w:pPr>
          </w:p>
        </w:tc>
        <w:tc>
          <w:tcPr>
            <w:tcW w:w="250" w:type="pct"/>
            <w:shd w:val="clear" w:color="auto" w:fill="EAF1DD" w:themeFill="accent3" w:themeFillTint="33"/>
            <w:noWrap/>
            <w:hideMark/>
          </w:tcPr>
          <w:p w:rsidR="00C7201E" w:rsidRPr="00994994" w:rsidRDefault="00C7201E" w:rsidP="00AC2B77">
            <w:pPr>
              <w:spacing w:line="276" w:lineRule="auto"/>
              <w:jc w:val="center"/>
              <w:rPr>
                <w:rFonts w:cs="Arial"/>
                <w:sz w:val="16"/>
                <w:szCs w:val="16"/>
              </w:rPr>
            </w:pPr>
          </w:p>
        </w:tc>
        <w:tc>
          <w:tcPr>
            <w:tcW w:w="247" w:type="pct"/>
            <w:shd w:val="clear" w:color="auto" w:fill="EAF1DD" w:themeFill="accent3" w:themeFillTint="33"/>
          </w:tcPr>
          <w:p w:rsidR="00C7201E" w:rsidRPr="00994994" w:rsidRDefault="00C7201E" w:rsidP="00AC2B77">
            <w:pPr>
              <w:spacing w:line="276" w:lineRule="auto"/>
              <w:jc w:val="center"/>
              <w:rPr>
                <w:rFonts w:cs="Arial"/>
                <w:sz w:val="16"/>
                <w:szCs w:val="16"/>
              </w:rPr>
            </w:pP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 xml:space="preserve">Inflation, consumer prices (annual </w:t>
            </w:r>
            <w:r>
              <w:rPr>
                <w:sz w:val="16"/>
                <w:szCs w:val="16"/>
              </w:rPr>
              <w:t xml:space="preserve"> percent</w:t>
            </w:r>
            <w:r w:rsidRPr="00994994">
              <w:rPr>
                <w:sz w:val="16"/>
                <w:szCs w:val="16"/>
              </w:rPr>
              <w:t>, end of year)</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40.5</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21.3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15.2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23.6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11.8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14.8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10.9</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12.7</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18.1</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16.0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8.6</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8.6</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16.8</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8.8</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13.5</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14.0</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 xml:space="preserve">Inflation, consumer prices (annual </w:t>
            </w:r>
            <w:r>
              <w:rPr>
                <w:sz w:val="16"/>
                <w:szCs w:val="16"/>
              </w:rPr>
              <w:t xml:space="preserve"> percent</w:t>
            </w:r>
            <w:r w:rsidRPr="00994994">
              <w:rPr>
                <w:sz w:val="16"/>
                <w:szCs w:val="16"/>
              </w:rPr>
              <w:t>, period average)</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25.2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32.9</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14.8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26.7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12.6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15.1</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10.2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10.7</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16.5</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19.3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10.7</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8.7</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16.9</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9.2</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11.3</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13.9</w:t>
            </w:r>
          </w:p>
        </w:tc>
      </w:tr>
      <w:tr w:rsidR="001C043A" w:rsidRPr="00535202" w:rsidTr="003F7BCB">
        <w:trPr>
          <w:cantSplit/>
          <w:trHeight w:val="168"/>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Treasury Bill Rate (</w:t>
            </w:r>
            <w:r>
              <w:rPr>
                <w:sz w:val="16"/>
                <w:szCs w:val="16"/>
              </w:rPr>
              <w:t xml:space="preserve"> percent</w:t>
            </w:r>
            <w:r w:rsidRPr="00994994">
              <w:rPr>
                <w:sz w:val="16"/>
                <w:szCs w:val="16"/>
              </w:rPr>
              <w:t>)</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39.1</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40.9</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25.1</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28.6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17.3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15.4</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10.2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9.9</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17.8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25.4</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14.1</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10.7</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 xml:space="preserve">21.2 </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18.7</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18.8</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19.5</w:t>
            </w:r>
          </w:p>
        </w:tc>
      </w:tr>
      <w:tr w:rsidR="001C043A" w:rsidRPr="00535202" w:rsidTr="003F7BCB">
        <w:trPr>
          <w:cantSplit/>
          <w:trHeight w:val="160"/>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Nominal Exchange Rate (End of period)</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0.7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0.7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0.8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0.9</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0.9</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0.9</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0.9</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1.0</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1.4</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1.5</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1.6</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 xml:space="preserve">1.1 </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1.8</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2.20</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3.20</w:t>
            </w:r>
          </w:p>
        </w:tc>
      </w:tr>
      <w:tr w:rsidR="001C043A" w:rsidRPr="00535202" w:rsidTr="003F7BCB">
        <w:trPr>
          <w:cantSplit/>
          <w:trHeight w:val="134"/>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Real Exchange Rate Index (2005=100)</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92.0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93.0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92.6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92.8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91.5</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100.0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105.3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104.5</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99.5</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91.6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97.6</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92.7</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 xml:space="preserve">96.1 </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93.7</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91.2</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101.3</w:t>
            </w:r>
          </w:p>
        </w:tc>
      </w:tr>
      <w:tr w:rsidR="0061119F"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hideMark/>
          </w:tcPr>
          <w:p w:rsidR="00C7201E" w:rsidRPr="00994994" w:rsidRDefault="00C7201E">
            <w:pPr>
              <w:spacing w:line="276" w:lineRule="auto"/>
              <w:jc w:val="left"/>
              <w:rPr>
                <w:rFonts w:cs="Arial"/>
                <w:b/>
                <w:bCs/>
                <w:sz w:val="16"/>
                <w:szCs w:val="16"/>
              </w:rPr>
            </w:pPr>
            <w:r w:rsidRPr="00994994">
              <w:rPr>
                <w:rFonts w:cs="Arial"/>
                <w:b/>
                <w:bCs/>
                <w:sz w:val="16"/>
                <w:szCs w:val="16"/>
              </w:rPr>
              <w:t>Fiscal</w:t>
            </w:r>
          </w:p>
        </w:tc>
        <w:tc>
          <w:tcPr>
            <w:tcW w:w="220" w:type="pct"/>
            <w:tcBorders>
              <w:left w:val="single" w:sz="4" w:space="0" w:color="auto"/>
            </w:tcBorders>
            <w:shd w:val="clear" w:color="auto" w:fill="EAF1DD" w:themeFill="accent3" w:themeFillTint="33"/>
          </w:tcPr>
          <w:p w:rsidR="00C7201E" w:rsidRPr="00994994" w:rsidRDefault="00C7201E" w:rsidP="00AC2B77">
            <w:pPr>
              <w:spacing w:line="276" w:lineRule="auto"/>
              <w:jc w:val="center"/>
              <w:rPr>
                <w:rFonts w:cs="Arial"/>
                <w:b/>
                <w:bCs/>
                <w:sz w:val="16"/>
                <w:szCs w:val="16"/>
              </w:rPr>
            </w:pPr>
          </w:p>
        </w:tc>
        <w:tc>
          <w:tcPr>
            <w:tcW w:w="220" w:type="pct"/>
            <w:shd w:val="clear" w:color="auto" w:fill="EAF1DD" w:themeFill="accent3" w:themeFillTint="33"/>
            <w:noWrap/>
            <w:hideMark/>
          </w:tcPr>
          <w:p w:rsidR="00C7201E" w:rsidRPr="00994994" w:rsidRDefault="00C7201E" w:rsidP="00AC2B77">
            <w:pPr>
              <w:spacing w:line="276" w:lineRule="auto"/>
              <w:jc w:val="center"/>
              <w:rPr>
                <w:rFonts w:cs="Arial"/>
                <w:sz w:val="16"/>
                <w:szCs w:val="16"/>
              </w:rPr>
            </w:pPr>
          </w:p>
        </w:tc>
        <w:tc>
          <w:tcPr>
            <w:tcW w:w="220" w:type="pct"/>
            <w:shd w:val="clear" w:color="auto" w:fill="EAF1DD" w:themeFill="accent3" w:themeFillTint="33"/>
            <w:noWrap/>
            <w:hideMark/>
          </w:tcPr>
          <w:p w:rsidR="00C7201E" w:rsidRPr="00994994" w:rsidRDefault="00C7201E" w:rsidP="00AC2B77">
            <w:pPr>
              <w:spacing w:line="276" w:lineRule="auto"/>
              <w:jc w:val="center"/>
              <w:rPr>
                <w:rFonts w:cs="Arial"/>
                <w:sz w:val="16"/>
                <w:szCs w:val="16"/>
              </w:rPr>
            </w:pPr>
          </w:p>
        </w:tc>
        <w:tc>
          <w:tcPr>
            <w:tcW w:w="220" w:type="pct"/>
            <w:shd w:val="clear" w:color="auto" w:fill="EAF1DD" w:themeFill="accent3" w:themeFillTint="33"/>
            <w:noWrap/>
            <w:hideMark/>
          </w:tcPr>
          <w:p w:rsidR="00C7201E" w:rsidRPr="00994994" w:rsidRDefault="00C7201E" w:rsidP="00AC2B77">
            <w:pPr>
              <w:spacing w:line="276" w:lineRule="auto"/>
              <w:jc w:val="center"/>
              <w:rPr>
                <w:rFonts w:cs="Arial"/>
                <w:sz w:val="16"/>
                <w:szCs w:val="16"/>
              </w:rPr>
            </w:pPr>
          </w:p>
        </w:tc>
        <w:tc>
          <w:tcPr>
            <w:tcW w:w="220" w:type="pct"/>
            <w:shd w:val="clear" w:color="auto" w:fill="EAF1DD" w:themeFill="accent3" w:themeFillTint="33"/>
            <w:noWrap/>
            <w:hideMark/>
          </w:tcPr>
          <w:p w:rsidR="00C7201E" w:rsidRPr="00994994" w:rsidRDefault="00C7201E" w:rsidP="00AC2B77">
            <w:pPr>
              <w:spacing w:line="276" w:lineRule="auto"/>
              <w:jc w:val="center"/>
              <w:rPr>
                <w:rFonts w:cs="Arial"/>
                <w:sz w:val="16"/>
                <w:szCs w:val="16"/>
              </w:rPr>
            </w:pPr>
          </w:p>
        </w:tc>
        <w:tc>
          <w:tcPr>
            <w:tcW w:w="220" w:type="pct"/>
            <w:shd w:val="clear" w:color="auto" w:fill="EAF1DD" w:themeFill="accent3" w:themeFillTint="33"/>
            <w:noWrap/>
            <w:hideMark/>
          </w:tcPr>
          <w:p w:rsidR="00C7201E" w:rsidRPr="00994994" w:rsidRDefault="00C7201E" w:rsidP="00AC2B77">
            <w:pPr>
              <w:spacing w:line="276" w:lineRule="auto"/>
              <w:jc w:val="center"/>
              <w:rPr>
                <w:rFonts w:cs="Arial"/>
                <w:sz w:val="16"/>
                <w:szCs w:val="16"/>
              </w:rPr>
            </w:pPr>
          </w:p>
        </w:tc>
        <w:tc>
          <w:tcPr>
            <w:tcW w:w="220" w:type="pct"/>
            <w:shd w:val="clear" w:color="auto" w:fill="EAF1DD" w:themeFill="accent3" w:themeFillTint="33"/>
            <w:noWrap/>
            <w:hideMark/>
          </w:tcPr>
          <w:p w:rsidR="00C7201E" w:rsidRPr="00994994" w:rsidRDefault="00C7201E" w:rsidP="00AC2B77">
            <w:pPr>
              <w:spacing w:line="276" w:lineRule="auto"/>
              <w:jc w:val="center"/>
              <w:rPr>
                <w:rFonts w:cs="Arial"/>
                <w:sz w:val="16"/>
                <w:szCs w:val="16"/>
              </w:rPr>
            </w:pPr>
          </w:p>
        </w:tc>
        <w:tc>
          <w:tcPr>
            <w:tcW w:w="220" w:type="pct"/>
            <w:shd w:val="clear" w:color="auto" w:fill="EAF1DD" w:themeFill="accent3" w:themeFillTint="33"/>
            <w:noWrap/>
            <w:hideMark/>
          </w:tcPr>
          <w:p w:rsidR="00C7201E" w:rsidRPr="00994994" w:rsidRDefault="00C7201E" w:rsidP="00AC2B77">
            <w:pPr>
              <w:spacing w:line="276" w:lineRule="auto"/>
              <w:jc w:val="center"/>
              <w:rPr>
                <w:rFonts w:cs="Arial"/>
                <w:sz w:val="16"/>
                <w:szCs w:val="16"/>
              </w:rPr>
            </w:pPr>
          </w:p>
        </w:tc>
        <w:tc>
          <w:tcPr>
            <w:tcW w:w="250" w:type="pct"/>
            <w:shd w:val="clear" w:color="auto" w:fill="EAF1DD" w:themeFill="accent3" w:themeFillTint="33"/>
            <w:noWrap/>
            <w:hideMark/>
          </w:tcPr>
          <w:p w:rsidR="00C7201E" w:rsidRPr="00994994" w:rsidRDefault="00C7201E" w:rsidP="00AC2B77">
            <w:pPr>
              <w:spacing w:line="276" w:lineRule="auto"/>
              <w:jc w:val="center"/>
              <w:rPr>
                <w:rFonts w:cs="Arial"/>
                <w:sz w:val="16"/>
                <w:szCs w:val="16"/>
              </w:rPr>
            </w:pPr>
          </w:p>
        </w:tc>
        <w:tc>
          <w:tcPr>
            <w:tcW w:w="220" w:type="pct"/>
            <w:shd w:val="clear" w:color="auto" w:fill="EAF1DD" w:themeFill="accent3" w:themeFillTint="33"/>
            <w:noWrap/>
            <w:hideMark/>
          </w:tcPr>
          <w:p w:rsidR="00C7201E" w:rsidRPr="00994994" w:rsidRDefault="00C7201E" w:rsidP="00AC2B77">
            <w:pPr>
              <w:spacing w:line="276" w:lineRule="auto"/>
              <w:jc w:val="center"/>
              <w:rPr>
                <w:rFonts w:cs="Arial"/>
                <w:sz w:val="16"/>
                <w:szCs w:val="16"/>
              </w:rPr>
            </w:pPr>
          </w:p>
        </w:tc>
        <w:tc>
          <w:tcPr>
            <w:tcW w:w="220" w:type="pct"/>
            <w:shd w:val="clear" w:color="auto" w:fill="EAF1DD" w:themeFill="accent3" w:themeFillTint="33"/>
            <w:noWrap/>
            <w:hideMark/>
          </w:tcPr>
          <w:p w:rsidR="00C7201E" w:rsidRPr="00994994" w:rsidRDefault="00C7201E" w:rsidP="00AC2B77">
            <w:pPr>
              <w:spacing w:line="276" w:lineRule="auto"/>
              <w:jc w:val="center"/>
              <w:rPr>
                <w:rFonts w:cs="Arial"/>
                <w:sz w:val="16"/>
                <w:szCs w:val="16"/>
              </w:rPr>
            </w:pPr>
          </w:p>
        </w:tc>
        <w:tc>
          <w:tcPr>
            <w:tcW w:w="251" w:type="pct"/>
            <w:shd w:val="clear" w:color="auto" w:fill="EAF1DD" w:themeFill="accent3" w:themeFillTint="33"/>
            <w:noWrap/>
            <w:hideMark/>
          </w:tcPr>
          <w:p w:rsidR="00C7201E" w:rsidRPr="00994994" w:rsidRDefault="00C7201E" w:rsidP="00AC2B77">
            <w:pPr>
              <w:spacing w:line="276" w:lineRule="auto"/>
              <w:jc w:val="center"/>
              <w:rPr>
                <w:rFonts w:cs="Arial"/>
                <w:sz w:val="16"/>
                <w:szCs w:val="16"/>
              </w:rPr>
            </w:pPr>
          </w:p>
        </w:tc>
        <w:tc>
          <w:tcPr>
            <w:tcW w:w="251" w:type="pct"/>
            <w:shd w:val="clear" w:color="auto" w:fill="EAF1DD" w:themeFill="accent3" w:themeFillTint="33"/>
            <w:noWrap/>
            <w:hideMark/>
          </w:tcPr>
          <w:p w:rsidR="00C7201E" w:rsidRPr="00994994" w:rsidRDefault="00C7201E" w:rsidP="00AC2B77">
            <w:pPr>
              <w:spacing w:line="276" w:lineRule="auto"/>
              <w:jc w:val="center"/>
              <w:rPr>
                <w:rFonts w:cs="Arial"/>
                <w:sz w:val="16"/>
                <w:szCs w:val="16"/>
              </w:rPr>
            </w:pPr>
          </w:p>
        </w:tc>
        <w:tc>
          <w:tcPr>
            <w:tcW w:w="257" w:type="pct"/>
            <w:shd w:val="clear" w:color="auto" w:fill="EAF1DD" w:themeFill="accent3" w:themeFillTint="33"/>
            <w:noWrap/>
            <w:hideMark/>
          </w:tcPr>
          <w:p w:rsidR="00C7201E" w:rsidRPr="00994994" w:rsidRDefault="00C7201E" w:rsidP="00AC2B77">
            <w:pPr>
              <w:spacing w:line="276" w:lineRule="auto"/>
              <w:jc w:val="center"/>
              <w:rPr>
                <w:rFonts w:cs="Arial"/>
                <w:sz w:val="16"/>
                <w:szCs w:val="16"/>
              </w:rPr>
            </w:pPr>
          </w:p>
        </w:tc>
        <w:tc>
          <w:tcPr>
            <w:tcW w:w="250" w:type="pct"/>
            <w:shd w:val="clear" w:color="auto" w:fill="EAF1DD" w:themeFill="accent3" w:themeFillTint="33"/>
            <w:noWrap/>
            <w:hideMark/>
          </w:tcPr>
          <w:p w:rsidR="00C7201E" w:rsidRPr="00994994" w:rsidRDefault="00C7201E" w:rsidP="00AC2B77">
            <w:pPr>
              <w:spacing w:line="276" w:lineRule="auto"/>
              <w:jc w:val="center"/>
              <w:rPr>
                <w:rFonts w:cs="Arial"/>
                <w:sz w:val="16"/>
                <w:szCs w:val="16"/>
              </w:rPr>
            </w:pPr>
          </w:p>
        </w:tc>
        <w:tc>
          <w:tcPr>
            <w:tcW w:w="247" w:type="pct"/>
            <w:shd w:val="clear" w:color="auto" w:fill="EAF1DD" w:themeFill="accent3" w:themeFillTint="33"/>
          </w:tcPr>
          <w:p w:rsidR="00C7201E" w:rsidRPr="00994994" w:rsidRDefault="00C7201E" w:rsidP="00AC2B77">
            <w:pPr>
              <w:spacing w:line="276" w:lineRule="auto"/>
              <w:jc w:val="center"/>
              <w:rPr>
                <w:rFonts w:cs="Arial"/>
                <w:sz w:val="16"/>
                <w:szCs w:val="16"/>
              </w:rPr>
            </w:pP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Revenues (</w:t>
            </w:r>
            <w:r>
              <w:rPr>
                <w:sz w:val="16"/>
                <w:szCs w:val="16"/>
              </w:rPr>
              <w:t xml:space="preserve"> percent</w:t>
            </w:r>
            <w:r w:rsidRPr="00994994">
              <w:rPr>
                <w:sz w:val="16"/>
                <w:szCs w:val="16"/>
              </w:rPr>
              <w:t xml:space="preserve"> of GDP)</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13.4</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11.4</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12.7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17.0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17.5</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16.7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17.1</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17.5</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16.0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16.5</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16.8</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19.3</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16.0</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18.8</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16.9</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17.2</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Expenditures (</w:t>
            </w:r>
            <w:r>
              <w:rPr>
                <w:sz w:val="16"/>
                <w:szCs w:val="16"/>
              </w:rPr>
              <w:t xml:space="preserve"> percent</w:t>
            </w:r>
            <w:r w:rsidRPr="00994994">
              <w:rPr>
                <w:sz w:val="16"/>
                <w:szCs w:val="16"/>
              </w:rPr>
              <w:t xml:space="preserve"> of GDP)</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18.8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15.3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15.9</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19.6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20.3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18.7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21.4</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22.7</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24.0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20.5</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22.7</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20.7</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20.1</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27.0</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25.6</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24.9</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 xml:space="preserve">      Current (</w:t>
            </w:r>
            <w:r>
              <w:rPr>
                <w:sz w:val="16"/>
                <w:szCs w:val="16"/>
              </w:rPr>
              <w:t xml:space="preserve"> percent</w:t>
            </w:r>
            <w:r w:rsidRPr="00994994">
              <w:rPr>
                <w:sz w:val="16"/>
                <w:szCs w:val="16"/>
              </w:rPr>
              <w:t xml:space="preserve"> of GDP)</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12.5</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10.5</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11.9</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13.5</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12.7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11.3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13.7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13.9</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14.8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13.4</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15.1</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14.5</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13.2</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20.4</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19.6</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17.5</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 xml:space="preserve">      Capital (</w:t>
            </w:r>
            <w:r>
              <w:rPr>
                <w:sz w:val="16"/>
                <w:szCs w:val="16"/>
              </w:rPr>
              <w:t xml:space="preserve"> percent</w:t>
            </w:r>
            <w:r w:rsidRPr="00994994">
              <w:rPr>
                <w:sz w:val="16"/>
                <w:szCs w:val="16"/>
              </w:rPr>
              <w:t xml:space="preserve"> of GDP)</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6.2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4.9</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6.1</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7.6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7.4</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7.7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8.7</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9.1</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7.1</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7.6</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6.2</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6.9</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6.6</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6.0</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7.4</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Overall Fiscal Balance before grants(</w:t>
            </w:r>
            <w:r>
              <w:rPr>
                <w:sz w:val="16"/>
                <w:szCs w:val="16"/>
              </w:rPr>
              <w:t xml:space="preserve"> percent</w:t>
            </w:r>
            <w:r w:rsidRPr="00994994">
              <w:rPr>
                <w:sz w:val="16"/>
                <w:szCs w:val="16"/>
              </w:rPr>
              <w:t xml:space="preserve"> of GDP) </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-6.8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-5.2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-5.7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-6.6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-6.9</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-6.1</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-8.1</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-9.3</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-11.2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-8.8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-9.6</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-6.0</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-7.5</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-13.2</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-10.6</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-12.1</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Overall Fiscal Balance  after grants(</w:t>
            </w:r>
            <w:r>
              <w:rPr>
                <w:sz w:val="16"/>
                <w:szCs w:val="16"/>
              </w:rPr>
              <w:t xml:space="preserve"> percent</w:t>
            </w:r>
            <w:r w:rsidRPr="00994994">
              <w:rPr>
                <w:sz w:val="16"/>
                <w:szCs w:val="16"/>
              </w:rPr>
              <w:t xml:space="preserve"> of GDP) </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-5.3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-4.4</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-5.6</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-8.5</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-5.8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-7.2</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-4.0</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-4.9</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-11.7</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-10.1</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-11.3</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Primary Fiscal Balance (</w:t>
            </w:r>
            <w:r>
              <w:rPr>
                <w:sz w:val="16"/>
                <w:szCs w:val="16"/>
              </w:rPr>
              <w:t xml:space="preserve"> percent</w:t>
            </w:r>
            <w:r w:rsidRPr="00994994">
              <w:rPr>
                <w:sz w:val="16"/>
                <w:szCs w:val="16"/>
              </w:rPr>
              <w:t xml:space="preserve"> of GDP)  after grants</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0.2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-0.2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0.9</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-0.4</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-0.6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-3.7</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-6.2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-4.1</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-1.4</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-1.9</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-7.5</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-5.4</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-3.5</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 xml:space="preserve">Non-oil Primary Fiscal Balance as </w:t>
            </w:r>
            <w:r>
              <w:rPr>
                <w:sz w:val="16"/>
                <w:szCs w:val="16"/>
              </w:rPr>
              <w:t xml:space="preserve"> percent</w:t>
            </w:r>
            <w:r w:rsidRPr="00994994">
              <w:rPr>
                <w:sz w:val="16"/>
                <w:szCs w:val="16"/>
              </w:rPr>
              <w:t xml:space="preserve"> of GDP</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0.2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-0.2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0.9</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-0.4</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-0.6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-3.7</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-6.2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-4.1</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-2.5</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-2.0</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-8.8</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-7.2</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-5.2</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Total Public Debt (</w:t>
            </w:r>
            <w:r>
              <w:rPr>
                <w:sz w:val="16"/>
                <w:szCs w:val="16"/>
              </w:rPr>
              <w:t xml:space="preserve"> percent</w:t>
            </w:r>
            <w:r w:rsidRPr="00994994">
              <w:rPr>
                <w:sz w:val="16"/>
                <w:szCs w:val="16"/>
              </w:rPr>
              <w:t xml:space="preserve"> of GDP)</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108.2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105.0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86.4</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85.6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60.4</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50.6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26.9</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30.5</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31.5</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36.1</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45.7</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41.1</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59.0</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51.7</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55.6</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66.9</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External Public Debt (</w:t>
            </w:r>
            <w:r>
              <w:rPr>
                <w:sz w:val="16"/>
                <w:szCs w:val="16"/>
              </w:rPr>
              <w:t xml:space="preserve"> percent</w:t>
            </w:r>
            <w:r w:rsidRPr="00994994">
              <w:rPr>
                <w:sz w:val="16"/>
                <w:szCs w:val="16"/>
              </w:rPr>
              <w:t xml:space="preserve"> of GDP)</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88.2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83.2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69.0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69.3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44.8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37.0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10.7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15.0</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16.2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19.5</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20.0</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21.0</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41.2</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22.1</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23.8</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28.9</w:t>
            </w:r>
          </w:p>
        </w:tc>
      </w:tr>
      <w:tr w:rsidR="0061119F"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hideMark/>
          </w:tcPr>
          <w:p w:rsidR="00C7201E" w:rsidRPr="00994994" w:rsidRDefault="00C7201E">
            <w:pPr>
              <w:spacing w:line="276" w:lineRule="auto"/>
              <w:jc w:val="left"/>
              <w:rPr>
                <w:rFonts w:cs="Arial"/>
                <w:b/>
                <w:bCs/>
                <w:sz w:val="16"/>
                <w:szCs w:val="16"/>
              </w:rPr>
            </w:pPr>
            <w:r w:rsidRPr="00994994">
              <w:rPr>
                <w:rFonts w:cs="Arial"/>
                <w:b/>
                <w:bCs/>
                <w:sz w:val="16"/>
                <w:szCs w:val="16"/>
              </w:rPr>
              <w:t>External Accounts</w:t>
            </w:r>
          </w:p>
        </w:tc>
        <w:tc>
          <w:tcPr>
            <w:tcW w:w="220" w:type="pct"/>
            <w:tcBorders>
              <w:left w:val="single" w:sz="4" w:space="0" w:color="auto"/>
            </w:tcBorders>
            <w:shd w:val="clear" w:color="auto" w:fill="EAF1DD" w:themeFill="accent3" w:themeFillTint="33"/>
          </w:tcPr>
          <w:p w:rsidR="00C7201E" w:rsidRPr="00994994" w:rsidRDefault="00C7201E" w:rsidP="00AC2B77">
            <w:pPr>
              <w:spacing w:line="276" w:lineRule="auto"/>
              <w:jc w:val="center"/>
              <w:rPr>
                <w:rFonts w:cs="Arial"/>
                <w:b/>
                <w:bCs/>
                <w:sz w:val="16"/>
                <w:szCs w:val="16"/>
              </w:rPr>
            </w:pPr>
          </w:p>
        </w:tc>
        <w:tc>
          <w:tcPr>
            <w:tcW w:w="220" w:type="pct"/>
            <w:shd w:val="clear" w:color="auto" w:fill="EAF1DD" w:themeFill="accent3" w:themeFillTint="33"/>
            <w:noWrap/>
          </w:tcPr>
          <w:p w:rsidR="00C7201E" w:rsidRPr="00994994" w:rsidRDefault="00C7201E" w:rsidP="00AC2B77">
            <w:pPr>
              <w:spacing w:line="276" w:lineRule="auto"/>
              <w:jc w:val="center"/>
              <w:rPr>
                <w:rFonts w:cs="Arial"/>
                <w:sz w:val="16"/>
                <w:szCs w:val="16"/>
              </w:rPr>
            </w:pPr>
          </w:p>
        </w:tc>
        <w:tc>
          <w:tcPr>
            <w:tcW w:w="220" w:type="pct"/>
            <w:shd w:val="clear" w:color="auto" w:fill="EAF1DD" w:themeFill="accent3" w:themeFillTint="33"/>
            <w:noWrap/>
          </w:tcPr>
          <w:p w:rsidR="00C7201E" w:rsidRPr="00994994" w:rsidRDefault="00C7201E" w:rsidP="00AC2B77">
            <w:pPr>
              <w:spacing w:line="276" w:lineRule="auto"/>
              <w:jc w:val="center"/>
              <w:rPr>
                <w:rFonts w:cs="Arial"/>
                <w:sz w:val="16"/>
                <w:szCs w:val="16"/>
              </w:rPr>
            </w:pPr>
          </w:p>
        </w:tc>
        <w:tc>
          <w:tcPr>
            <w:tcW w:w="220" w:type="pct"/>
            <w:shd w:val="clear" w:color="auto" w:fill="EAF1DD" w:themeFill="accent3" w:themeFillTint="33"/>
            <w:noWrap/>
          </w:tcPr>
          <w:p w:rsidR="00C7201E" w:rsidRPr="00994994" w:rsidRDefault="00C7201E" w:rsidP="00AC2B77">
            <w:pPr>
              <w:spacing w:line="276" w:lineRule="auto"/>
              <w:jc w:val="center"/>
              <w:rPr>
                <w:rFonts w:cs="Arial"/>
                <w:sz w:val="16"/>
                <w:szCs w:val="16"/>
              </w:rPr>
            </w:pPr>
          </w:p>
        </w:tc>
        <w:tc>
          <w:tcPr>
            <w:tcW w:w="220" w:type="pct"/>
            <w:shd w:val="clear" w:color="auto" w:fill="EAF1DD" w:themeFill="accent3" w:themeFillTint="33"/>
            <w:noWrap/>
          </w:tcPr>
          <w:p w:rsidR="00C7201E" w:rsidRPr="00994994" w:rsidRDefault="00C7201E" w:rsidP="00AC2B77">
            <w:pPr>
              <w:spacing w:line="276" w:lineRule="auto"/>
              <w:jc w:val="center"/>
              <w:rPr>
                <w:rFonts w:cs="Arial"/>
                <w:sz w:val="16"/>
                <w:szCs w:val="16"/>
              </w:rPr>
            </w:pPr>
          </w:p>
        </w:tc>
        <w:tc>
          <w:tcPr>
            <w:tcW w:w="220" w:type="pct"/>
            <w:shd w:val="clear" w:color="auto" w:fill="EAF1DD" w:themeFill="accent3" w:themeFillTint="33"/>
            <w:noWrap/>
          </w:tcPr>
          <w:p w:rsidR="00C7201E" w:rsidRPr="00994994" w:rsidRDefault="00C7201E" w:rsidP="00AC2B77">
            <w:pPr>
              <w:spacing w:line="276" w:lineRule="auto"/>
              <w:jc w:val="center"/>
              <w:rPr>
                <w:rFonts w:cs="Arial"/>
                <w:sz w:val="16"/>
                <w:szCs w:val="16"/>
              </w:rPr>
            </w:pPr>
          </w:p>
        </w:tc>
        <w:tc>
          <w:tcPr>
            <w:tcW w:w="220" w:type="pct"/>
            <w:shd w:val="clear" w:color="auto" w:fill="EAF1DD" w:themeFill="accent3" w:themeFillTint="33"/>
            <w:noWrap/>
          </w:tcPr>
          <w:p w:rsidR="00C7201E" w:rsidRPr="00994994" w:rsidRDefault="00C7201E" w:rsidP="00AC2B77">
            <w:pPr>
              <w:spacing w:line="276" w:lineRule="auto"/>
              <w:jc w:val="center"/>
              <w:rPr>
                <w:rFonts w:cs="Arial"/>
                <w:sz w:val="16"/>
                <w:szCs w:val="16"/>
              </w:rPr>
            </w:pPr>
          </w:p>
        </w:tc>
        <w:tc>
          <w:tcPr>
            <w:tcW w:w="220" w:type="pct"/>
            <w:shd w:val="clear" w:color="auto" w:fill="EAF1DD" w:themeFill="accent3" w:themeFillTint="33"/>
            <w:noWrap/>
          </w:tcPr>
          <w:p w:rsidR="00C7201E" w:rsidRPr="00994994" w:rsidRDefault="00C7201E" w:rsidP="00AC2B77">
            <w:pPr>
              <w:spacing w:line="276" w:lineRule="auto"/>
              <w:jc w:val="center"/>
              <w:rPr>
                <w:rFonts w:cs="Arial"/>
                <w:sz w:val="16"/>
                <w:szCs w:val="16"/>
              </w:rPr>
            </w:pPr>
          </w:p>
        </w:tc>
        <w:tc>
          <w:tcPr>
            <w:tcW w:w="250" w:type="pct"/>
            <w:shd w:val="clear" w:color="auto" w:fill="EAF1DD" w:themeFill="accent3" w:themeFillTint="33"/>
            <w:noWrap/>
          </w:tcPr>
          <w:p w:rsidR="00C7201E" w:rsidRPr="00994994" w:rsidRDefault="00C7201E" w:rsidP="00AC2B77">
            <w:pPr>
              <w:spacing w:line="276" w:lineRule="auto"/>
              <w:jc w:val="center"/>
              <w:rPr>
                <w:rFonts w:cs="Arial"/>
                <w:sz w:val="16"/>
                <w:szCs w:val="16"/>
              </w:rPr>
            </w:pPr>
          </w:p>
        </w:tc>
        <w:tc>
          <w:tcPr>
            <w:tcW w:w="220" w:type="pct"/>
            <w:shd w:val="clear" w:color="auto" w:fill="EAF1DD" w:themeFill="accent3" w:themeFillTint="33"/>
            <w:noWrap/>
          </w:tcPr>
          <w:p w:rsidR="00C7201E" w:rsidRPr="00994994" w:rsidRDefault="00C7201E" w:rsidP="00AC2B77">
            <w:pPr>
              <w:spacing w:line="276" w:lineRule="auto"/>
              <w:jc w:val="center"/>
              <w:rPr>
                <w:rFonts w:cs="Arial"/>
                <w:sz w:val="16"/>
                <w:szCs w:val="16"/>
              </w:rPr>
            </w:pPr>
          </w:p>
        </w:tc>
        <w:tc>
          <w:tcPr>
            <w:tcW w:w="220" w:type="pct"/>
            <w:shd w:val="clear" w:color="auto" w:fill="EAF1DD" w:themeFill="accent3" w:themeFillTint="33"/>
            <w:noWrap/>
          </w:tcPr>
          <w:p w:rsidR="00C7201E" w:rsidRPr="00994994" w:rsidRDefault="00C7201E" w:rsidP="00AC2B77">
            <w:pPr>
              <w:spacing w:line="276" w:lineRule="auto"/>
              <w:jc w:val="center"/>
              <w:rPr>
                <w:rFonts w:cs="Arial"/>
                <w:sz w:val="16"/>
                <w:szCs w:val="16"/>
              </w:rPr>
            </w:pPr>
          </w:p>
        </w:tc>
        <w:tc>
          <w:tcPr>
            <w:tcW w:w="251" w:type="pct"/>
            <w:shd w:val="clear" w:color="auto" w:fill="EAF1DD" w:themeFill="accent3" w:themeFillTint="33"/>
            <w:noWrap/>
          </w:tcPr>
          <w:p w:rsidR="00C7201E" w:rsidRPr="00994994" w:rsidRDefault="00C7201E" w:rsidP="00AC2B77">
            <w:pPr>
              <w:spacing w:line="276" w:lineRule="auto"/>
              <w:jc w:val="center"/>
              <w:rPr>
                <w:rFonts w:cs="Arial"/>
                <w:sz w:val="16"/>
                <w:szCs w:val="16"/>
              </w:rPr>
            </w:pPr>
          </w:p>
        </w:tc>
        <w:tc>
          <w:tcPr>
            <w:tcW w:w="251" w:type="pct"/>
            <w:shd w:val="clear" w:color="auto" w:fill="EAF1DD" w:themeFill="accent3" w:themeFillTint="33"/>
            <w:noWrap/>
          </w:tcPr>
          <w:p w:rsidR="00C7201E" w:rsidRPr="00994994" w:rsidRDefault="00C7201E" w:rsidP="00AC2B77">
            <w:pPr>
              <w:spacing w:line="276" w:lineRule="auto"/>
              <w:jc w:val="center"/>
              <w:rPr>
                <w:rFonts w:cs="Arial"/>
                <w:sz w:val="16"/>
                <w:szCs w:val="16"/>
              </w:rPr>
            </w:pPr>
          </w:p>
        </w:tc>
        <w:tc>
          <w:tcPr>
            <w:tcW w:w="257" w:type="pct"/>
            <w:shd w:val="clear" w:color="auto" w:fill="EAF1DD" w:themeFill="accent3" w:themeFillTint="33"/>
            <w:noWrap/>
          </w:tcPr>
          <w:p w:rsidR="00C7201E" w:rsidRPr="00994994" w:rsidRDefault="00C7201E" w:rsidP="00AC2B77">
            <w:pPr>
              <w:spacing w:line="276" w:lineRule="auto"/>
              <w:jc w:val="center"/>
              <w:rPr>
                <w:rFonts w:cs="Arial"/>
                <w:sz w:val="16"/>
                <w:szCs w:val="16"/>
              </w:rPr>
            </w:pPr>
          </w:p>
        </w:tc>
        <w:tc>
          <w:tcPr>
            <w:tcW w:w="250" w:type="pct"/>
            <w:shd w:val="clear" w:color="auto" w:fill="EAF1DD" w:themeFill="accent3" w:themeFillTint="33"/>
            <w:noWrap/>
          </w:tcPr>
          <w:p w:rsidR="00C7201E" w:rsidRPr="00994994" w:rsidRDefault="00C7201E" w:rsidP="00AC2B77">
            <w:pPr>
              <w:spacing w:line="276" w:lineRule="auto"/>
              <w:jc w:val="center"/>
              <w:rPr>
                <w:rFonts w:cs="Arial"/>
                <w:sz w:val="16"/>
                <w:szCs w:val="16"/>
              </w:rPr>
            </w:pPr>
          </w:p>
        </w:tc>
        <w:tc>
          <w:tcPr>
            <w:tcW w:w="247" w:type="pct"/>
            <w:shd w:val="clear" w:color="auto" w:fill="EAF1DD" w:themeFill="accent3" w:themeFillTint="33"/>
          </w:tcPr>
          <w:p w:rsidR="00C7201E" w:rsidRPr="00994994" w:rsidRDefault="00C7201E" w:rsidP="00AC2B77">
            <w:pPr>
              <w:spacing w:line="276" w:lineRule="auto"/>
              <w:jc w:val="center"/>
              <w:rPr>
                <w:rFonts w:cs="Arial"/>
                <w:sz w:val="16"/>
                <w:szCs w:val="16"/>
              </w:rPr>
            </w:pP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Export real growth (</w:t>
            </w:r>
            <w:r>
              <w:rPr>
                <w:sz w:val="16"/>
                <w:szCs w:val="16"/>
              </w:rPr>
              <w:t xml:space="preserve"> percent</w:t>
            </w:r>
            <w:r w:rsidRPr="00994994">
              <w:rPr>
                <w:sz w:val="16"/>
                <w:szCs w:val="16"/>
              </w:rPr>
              <w:t>, yoy)</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-3.5</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10.2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24.6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5.5</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27.1</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17.1</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26.3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10.8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36.3</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60.6</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17.9</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5.9</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1.5</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-0.1</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Import real growth (</w:t>
            </w:r>
            <w:r>
              <w:rPr>
                <w:sz w:val="16"/>
                <w:szCs w:val="16"/>
              </w:rPr>
              <w:t xml:space="preserve"> percent</w:t>
            </w:r>
            <w:r w:rsidRPr="00994994">
              <w:rPr>
                <w:sz w:val="16"/>
                <w:szCs w:val="16"/>
              </w:rPr>
              <w:t>, yoy)</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-0.8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20.1</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31.7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24.4</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26.3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19.4</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27.3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-21.6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35.7</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45.1</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17.2</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12.2</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-0.9</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-16.3</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 xml:space="preserve">Merchandise exports (current US$ millions)  </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1936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1867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2057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2562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2704</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2803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3563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4172</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5270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5840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7960</w:t>
            </w:r>
          </w:p>
        </w:tc>
        <w:tc>
          <w:tcPr>
            <w:tcW w:w="251" w:type="pct"/>
            <w:shd w:val="clear" w:color="auto" w:fill="EAF1DD" w:themeFill="accent3" w:themeFillTint="33"/>
            <w:noWrap/>
            <w:vAlign w:val="bottom"/>
          </w:tcPr>
          <w:p w:rsidR="001C043A" w:rsidRPr="0058600B" w:rsidRDefault="001C043A" w:rsidP="00AC2B77">
            <w:pPr>
              <w:jc w:val="center"/>
              <w:rPr>
                <w:sz w:val="16"/>
                <w:szCs w:val="16"/>
              </w:rPr>
            </w:pPr>
            <w:r w:rsidRPr="0058600B">
              <w:rPr>
                <w:sz w:val="16"/>
                <w:szCs w:val="16"/>
              </w:rPr>
              <w:t>12785</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4,460</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13543</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13752</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13735</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 xml:space="preserve">      of which: main export (i.e. oil)</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705</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618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689</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830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840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946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1277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1734</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2246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2551</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3804</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4920</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1,763</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-17763</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-17600</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-14736</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 xml:space="preserve">Merchandise imports (current US$ millions) </w:t>
            </w:r>
          </w:p>
        </w:tc>
        <w:tc>
          <w:tcPr>
            <w:tcW w:w="220" w:type="pct"/>
            <w:tcBorders>
              <w:left w:val="single" w:sz="4" w:space="0" w:color="auto"/>
            </w:tcBorders>
            <w:shd w:val="clear" w:color="auto" w:fill="EAF1DD" w:themeFill="accent3" w:themeFillTint="33"/>
            <w:vAlign w:val="bottom"/>
          </w:tcPr>
          <w:p w:rsidR="001C043A" w:rsidRPr="0058600B" w:rsidRDefault="001C043A" w:rsidP="00AC2B77">
            <w:pPr>
              <w:jc w:val="center"/>
              <w:rPr>
                <w:sz w:val="16"/>
                <w:szCs w:val="16"/>
              </w:rPr>
            </w:pPr>
            <w:r w:rsidRPr="0058600B">
              <w:rPr>
                <w:sz w:val="16"/>
                <w:szCs w:val="16"/>
              </w:rPr>
              <w:t>-2758</w:t>
            </w:r>
          </w:p>
        </w:tc>
        <w:tc>
          <w:tcPr>
            <w:tcW w:w="220" w:type="pct"/>
            <w:shd w:val="clear" w:color="auto" w:fill="EAF1DD" w:themeFill="accent3" w:themeFillTint="33"/>
            <w:noWrap/>
            <w:vAlign w:val="bottom"/>
          </w:tcPr>
          <w:p w:rsidR="001C043A" w:rsidRPr="0058600B" w:rsidRDefault="001C043A" w:rsidP="00AC2B77">
            <w:pPr>
              <w:jc w:val="center"/>
              <w:rPr>
                <w:sz w:val="16"/>
                <w:szCs w:val="16"/>
              </w:rPr>
            </w:pPr>
            <w:r w:rsidRPr="0058600B">
              <w:rPr>
                <w:sz w:val="16"/>
                <w:szCs w:val="16"/>
              </w:rPr>
              <w:t>-2831</w:t>
            </w:r>
          </w:p>
        </w:tc>
        <w:tc>
          <w:tcPr>
            <w:tcW w:w="220" w:type="pct"/>
            <w:shd w:val="clear" w:color="auto" w:fill="EAF1DD" w:themeFill="accent3" w:themeFillTint="33"/>
            <w:noWrap/>
            <w:vAlign w:val="bottom"/>
          </w:tcPr>
          <w:p w:rsidR="001C043A" w:rsidRPr="0058600B" w:rsidRDefault="001C043A" w:rsidP="00AC2B77">
            <w:pPr>
              <w:jc w:val="center"/>
              <w:rPr>
                <w:sz w:val="16"/>
                <w:szCs w:val="16"/>
              </w:rPr>
            </w:pPr>
            <w:r w:rsidRPr="0058600B">
              <w:rPr>
                <w:sz w:val="16"/>
                <w:szCs w:val="16"/>
              </w:rPr>
              <w:t>-2717</w:t>
            </w:r>
          </w:p>
        </w:tc>
        <w:tc>
          <w:tcPr>
            <w:tcW w:w="220" w:type="pct"/>
            <w:shd w:val="clear" w:color="auto" w:fill="EAF1DD" w:themeFill="accent3" w:themeFillTint="33"/>
            <w:noWrap/>
            <w:vAlign w:val="bottom"/>
          </w:tcPr>
          <w:p w:rsidR="001C043A" w:rsidRPr="0058600B" w:rsidRDefault="001C043A" w:rsidP="00AC2B77">
            <w:pPr>
              <w:jc w:val="center"/>
              <w:rPr>
                <w:sz w:val="16"/>
                <w:szCs w:val="16"/>
              </w:rPr>
            </w:pPr>
            <w:r w:rsidRPr="0058600B">
              <w:rPr>
                <w:sz w:val="16"/>
                <w:szCs w:val="16"/>
              </w:rPr>
              <w:t>-3263</w:t>
            </w:r>
          </w:p>
        </w:tc>
        <w:tc>
          <w:tcPr>
            <w:tcW w:w="220" w:type="pct"/>
            <w:shd w:val="clear" w:color="auto" w:fill="EAF1DD" w:themeFill="accent3" w:themeFillTint="33"/>
            <w:noWrap/>
            <w:vAlign w:val="bottom"/>
          </w:tcPr>
          <w:p w:rsidR="001C043A" w:rsidRPr="0058600B" w:rsidRDefault="001C043A" w:rsidP="00AC2B77">
            <w:pPr>
              <w:jc w:val="center"/>
              <w:rPr>
                <w:sz w:val="16"/>
                <w:szCs w:val="16"/>
              </w:rPr>
            </w:pPr>
            <w:r w:rsidRPr="0058600B">
              <w:rPr>
                <w:sz w:val="16"/>
                <w:szCs w:val="16"/>
              </w:rPr>
              <w:t>-4297</w:t>
            </w:r>
          </w:p>
        </w:tc>
        <w:tc>
          <w:tcPr>
            <w:tcW w:w="220" w:type="pct"/>
            <w:shd w:val="clear" w:color="auto" w:fill="EAF1DD" w:themeFill="accent3" w:themeFillTint="33"/>
            <w:noWrap/>
            <w:vAlign w:val="bottom"/>
          </w:tcPr>
          <w:p w:rsidR="001C043A" w:rsidRPr="0058600B" w:rsidRDefault="001C043A" w:rsidP="00AC2B77">
            <w:pPr>
              <w:jc w:val="center"/>
              <w:rPr>
                <w:sz w:val="16"/>
                <w:szCs w:val="16"/>
              </w:rPr>
            </w:pPr>
            <w:r w:rsidRPr="0058600B">
              <w:rPr>
                <w:sz w:val="16"/>
                <w:szCs w:val="16"/>
              </w:rPr>
              <w:t>-5347</w:t>
            </w:r>
          </w:p>
        </w:tc>
        <w:tc>
          <w:tcPr>
            <w:tcW w:w="220" w:type="pct"/>
            <w:shd w:val="clear" w:color="auto" w:fill="EAF1DD" w:themeFill="accent3" w:themeFillTint="33"/>
            <w:noWrap/>
            <w:vAlign w:val="bottom"/>
          </w:tcPr>
          <w:p w:rsidR="001C043A" w:rsidRPr="0058600B" w:rsidRDefault="001C043A" w:rsidP="00AC2B77">
            <w:pPr>
              <w:jc w:val="center"/>
              <w:rPr>
                <w:sz w:val="16"/>
                <w:szCs w:val="16"/>
              </w:rPr>
            </w:pPr>
            <w:r w:rsidRPr="0058600B">
              <w:rPr>
                <w:sz w:val="16"/>
                <w:szCs w:val="16"/>
              </w:rPr>
              <w:t>-6754</w:t>
            </w:r>
          </w:p>
        </w:tc>
        <w:tc>
          <w:tcPr>
            <w:tcW w:w="220" w:type="pct"/>
            <w:shd w:val="clear" w:color="auto" w:fill="EAF1DD" w:themeFill="accent3" w:themeFillTint="33"/>
            <w:noWrap/>
            <w:vAlign w:val="bottom"/>
          </w:tcPr>
          <w:p w:rsidR="001C043A" w:rsidRPr="0058600B" w:rsidRDefault="001C043A" w:rsidP="00AC2B77">
            <w:pPr>
              <w:jc w:val="center"/>
              <w:rPr>
                <w:sz w:val="16"/>
                <w:szCs w:val="16"/>
              </w:rPr>
            </w:pPr>
            <w:r w:rsidRPr="0058600B">
              <w:rPr>
                <w:sz w:val="16"/>
                <w:szCs w:val="16"/>
              </w:rPr>
              <w:t>-8066</w:t>
            </w:r>
          </w:p>
        </w:tc>
        <w:tc>
          <w:tcPr>
            <w:tcW w:w="250" w:type="pct"/>
            <w:shd w:val="clear" w:color="auto" w:fill="EAF1DD" w:themeFill="accent3" w:themeFillTint="33"/>
            <w:noWrap/>
            <w:vAlign w:val="bottom"/>
          </w:tcPr>
          <w:p w:rsidR="001C043A" w:rsidRPr="0058600B" w:rsidRDefault="001C043A" w:rsidP="00AC2B77">
            <w:pPr>
              <w:jc w:val="center"/>
              <w:rPr>
                <w:sz w:val="16"/>
                <w:szCs w:val="16"/>
              </w:rPr>
            </w:pPr>
            <w:r w:rsidRPr="0058600B">
              <w:rPr>
                <w:sz w:val="16"/>
                <w:szCs w:val="16"/>
              </w:rPr>
              <w:t>-10268</w:t>
            </w:r>
          </w:p>
        </w:tc>
        <w:tc>
          <w:tcPr>
            <w:tcW w:w="220" w:type="pct"/>
            <w:shd w:val="clear" w:color="auto" w:fill="EAF1DD" w:themeFill="accent3" w:themeFillTint="33"/>
            <w:noWrap/>
            <w:vAlign w:val="bottom"/>
          </w:tcPr>
          <w:p w:rsidR="001C043A" w:rsidRPr="0058600B" w:rsidRDefault="001C043A" w:rsidP="00AC2B77">
            <w:pPr>
              <w:jc w:val="center"/>
              <w:rPr>
                <w:sz w:val="16"/>
                <w:szCs w:val="16"/>
              </w:rPr>
            </w:pPr>
            <w:r w:rsidRPr="0058600B">
              <w:rPr>
                <w:sz w:val="16"/>
                <w:szCs w:val="16"/>
              </w:rPr>
              <w:t>-8046</w:t>
            </w:r>
          </w:p>
        </w:tc>
        <w:tc>
          <w:tcPr>
            <w:tcW w:w="220" w:type="pct"/>
            <w:shd w:val="clear" w:color="auto" w:fill="EAF1DD" w:themeFill="accent3" w:themeFillTint="33"/>
            <w:noWrap/>
            <w:vAlign w:val="bottom"/>
          </w:tcPr>
          <w:p w:rsidR="001C043A" w:rsidRPr="0058600B" w:rsidRDefault="001C043A" w:rsidP="00AC2B77">
            <w:pPr>
              <w:jc w:val="center"/>
              <w:rPr>
                <w:sz w:val="16"/>
                <w:szCs w:val="16"/>
              </w:rPr>
            </w:pPr>
            <w:r w:rsidRPr="0058600B">
              <w:rPr>
                <w:sz w:val="16"/>
                <w:szCs w:val="16"/>
              </w:rPr>
              <w:t>-10922</w:t>
            </w:r>
          </w:p>
        </w:tc>
        <w:tc>
          <w:tcPr>
            <w:tcW w:w="251" w:type="pct"/>
            <w:shd w:val="clear" w:color="auto" w:fill="EAF1DD" w:themeFill="accent3" w:themeFillTint="33"/>
            <w:noWrap/>
            <w:vAlign w:val="bottom"/>
          </w:tcPr>
          <w:p w:rsidR="001C043A" w:rsidRPr="0058600B" w:rsidRDefault="001C043A" w:rsidP="00AC2B77">
            <w:pPr>
              <w:jc w:val="center"/>
              <w:rPr>
                <w:sz w:val="16"/>
                <w:szCs w:val="16"/>
              </w:rPr>
            </w:pPr>
            <w:r w:rsidRPr="0058600B">
              <w:rPr>
                <w:sz w:val="16"/>
                <w:szCs w:val="16"/>
              </w:rPr>
              <w:t>-15843</w:t>
            </w:r>
          </w:p>
        </w:tc>
        <w:tc>
          <w:tcPr>
            <w:tcW w:w="251" w:type="pct"/>
            <w:shd w:val="clear" w:color="auto" w:fill="EAF1DD" w:themeFill="accent3" w:themeFillTint="33"/>
            <w:noWrap/>
            <w:vAlign w:val="bottom"/>
          </w:tcPr>
          <w:p w:rsidR="001C043A" w:rsidRPr="0058600B" w:rsidRDefault="001C043A" w:rsidP="00AC2B77">
            <w:pPr>
              <w:jc w:val="center"/>
              <w:rPr>
                <w:sz w:val="16"/>
                <w:szCs w:val="16"/>
              </w:rPr>
            </w:pPr>
            <w:r w:rsidRPr="0058600B">
              <w:rPr>
                <w:sz w:val="16"/>
                <w:szCs w:val="16"/>
              </w:rPr>
              <w:t>-6,759</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-17763</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-17600</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-14736</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Services, net (current US$ million)</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-198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-169</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-180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-451</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-554</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-354</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-277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-307</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-613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-1267</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-2060</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-3090</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-793</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-3108</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-3797</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-3102</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 xml:space="preserve">Workers' remittances, net (BoP, current US$ millions) </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496</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600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680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1009</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1278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1539</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1645</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1834</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1970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1788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2123</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2369</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1,444</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2148</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1859</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2135</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 xml:space="preserve">Current account balance before grants (BoP, current US$ millions) </w:t>
            </w:r>
          </w:p>
        </w:tc>
        <w:tc>
          <w:tcPr>
            <w:tcW w:w="220" w:type="pct"/>
            <w:tcBorders>
              <w:left w:val="single" w:sz="4" w:space="0" w:color="auto"/>
            </w:tcBorders>
            <w:shd w:val="clear" w:color="auto" w:fill="EAF1DD" w:themeFill="accent3" w:themeFillTint="33"/>
            <w:vAlign w:val="bottom"/>
          </w:tcPr>
          <w:p w:rsidR="001C043A" w:rsidRPr="00994994" w:rsidRDefault="001C043A" w:rsidP="00AC2B77">
            <w:pPr>
              <w:jc w:val="center"/>
              <w:rPr>
                <w:sz w:val="16"/>
                <w:szCs w:val="16"/>
              </w:rPr>
            </w:pPr>
            <w:r w:rsidRPr="0058600B">
              <w:rPr>
                <w:sz w:val="16"/>
                <w:szCs w:val="16"/>
              </w:rPr>
              <w:t>-525</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-532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-160</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-142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-868</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-1359</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-1823</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-2367</w:t>
            </w:r>
          </w:p>
        </w:tc>
        <w:tc>
          <w:tcPr>
            <w:tcW w:w="25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-3642</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-1685</w:t>
            </w:r>
          </w:p>
        </w:tc>
        <w:tc>
          <w:tcPr>
            <w:tcW w:w="220"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-2969</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-3770</w:t>
            </w:r>
          </w:p>
        </w:tc>
        <w:tc>
          <w:tcPr>
            <w:tcW w:w="251" w:type="pct"/>
            <w:shd w:val="clear" w:color="auto" w:fill="EAF1DD" w:themeFill="accent3" w:themeFillTint="33"/>
            <w:noWrap/>
            <w:vAlign w:val="bottom"/>
          </w:tcPr>
          <w:p w:rsidR="001C043A" w:rsidRPr="00994994" w:rsidRDefault="001C043A" w:rsidP="00AC2B77">
            <w:pPr>
              <w:jc w:val="center"/>
              <w:rPr>
                <w:sz w:val="16"/>
                <w:szCs w:val="16"/>
              </w:rPr>
            </w:pPr>
            <w:r w:rsidRPr="0058600B">
              <w:rPr>
                <w:sz w:val="16"/>
                <w:szCs w:val="16"/>
              </w:rPr>
              <w:t>-1,654</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-5,181</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-5,784</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-3,372</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 xml:space="preserve">     as </w:t>
            </w:r>
            <w:r>
              <w:rPr>
                <w:sz w:val="16"/>
                <w:szCs w:val="16"/>
              </w:rPr>
              <w:t xml:space="preserve"> percent</w:t>
            </w:r>
            <w:r w:rsidRPr="00994994">
              <w:rPr>
                <w:sz w:val="16"/>
                <w:szCs w:val="16"/>
              </w:rPr>
              <w:t xml:space="preserve"> of GDP</w:t>
            </w:r>
          </w:p>
        </w:tc>
        <w:tc>
          <w:tcPr>
            <w:tcW w:w="220" w:type="pct"/>
            <w:tcBorders>
              <w:left w:val="single" w:sz="4" w:space="0" w:color="auto"/>
            </w:tcBorders>
            <w:shd w:val="clear" w:color="auto" w:fill="EAF1DD" w:themeFill="accent3" w:themeFillTint="33"/>
            <w:vAlign w:val="bottom"/>
          </w:tcPr>
          <w:p w:rsidR="001C043A" w:rsidRPr="00994994" w:rsidRDefault="001C043A" w:rsidP="006B0D58">
            <w:pPr>
              <w:jc w:val="center"/>
              <w:rPr>
                <w:sz w:val="16"/>
                <w:szCs w:val="16"/>
              </w:rPr>
            </w:pPr>
            <w:r w:rsidRPr="0058600B">
              <w:rPr>
                <w:sz w:val="16"/>
                <w:szCs w:val="16"/>
              </w:rPr>
              <w:t>-7.1</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-7.2</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-1.7</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-1.3</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-6.0</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-7.8</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-8.9</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-9.6</w:t>
            </w:r>
          </w:p>
        </w:tc>
        <w:tc>
          <w:tcPr>
            <w:tcW w:w="25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-12.8</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-6.5</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-9.2</w:t>
            </w:r>
          </w:p>
        </w:tc>
        <w:tc>
          <w:tcPr>
            <w:tcW w:w="251"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-9.7</w:t>
            </w:r>
          </w:p>
        </w:tc>
        <w:tc>
          <w:tcPr>
            <w:tcW w:w="251"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-7.3</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-12.9</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-12.1</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-9.8</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 xml:space="preserve">Current account balance after grants (BoP, current US$ millions) </w:t>
            </w:r>
          </w:p>
        </w:tc>
        <w:tc>
          <w:tcPr>
            <w:tcW w:w="220" w:type="pct"/>
            <w:tcBorders>
              <w:left w:val="single" w:sz="4" w:space="0" w:color="auto"/>
            </w:tcBorders>
            <w:shd w:val="clear" w:color="auto" w:fill="EAF1DD" w:themeFill="accent3" w:themeFillTint="33"/>
            <w:vAlign w:val="bottom"/>
          </w:tcPr>
          <w:p w:rsidR="001C043A" w:rsidRPr="00994994" w:rsidRDefault="001C043A" w:rsidP="006B0D58">
            <w:pPr>
              <w:jc w:val="center"/>
              <w:rPr>
                <w:sz w:val="16"/>
                <w:szCs w:val="16"/>
              </w:rPr>
            </w:pPr>
            <w:r w:rsidRPr="0058600B">
              <w:rPr>
                <w:sz w:val="16"/>
                <w:szCs w:val="16"/>
              </w:rPr>
              <w:t>-371</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-270</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240</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-324</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-783</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-1452</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-2158</w:t>
            </w:r>
          </w:p>
        </w:tc>
        <w:tc>
          <w:tcPr>
            <w:tcW w:w="25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-3400</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-1395</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-2699</w:t>
            </w:r>
          </w:p>
        </w:tc>
        <w:tc>
          <w:tcPr>
            <w:tcW w:w="251"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-3549</w:t>
            </w:r>
          </w:p>
        </w:tc>
        <w:tc>
          <w:tcPr>
            <w:tcW w:w="251"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-1,347</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-4924</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-5704</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-3278</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 xml:space="preserve">     as </w:t>
            </w:r>
            <w:r>
              <w:rPr>
                <w:sz w:val="16"/>
                <w:szCs w:val="16"/>
              </w:rPr>
              <w:t xml:space="preserve"> percent</w:t>
            </w:r>
            <w:r w:rsidRPr="00994994">
              <w:rPr>
                <w:sz w:val="16"/>
                <w:szCs w:val="16"/>
              </w:rPr>
              <w:t xml:space="preserve"> of GDP</w:t>
            </w:r>
          </w:p>
        </w:tc>
        <w:tc>
          <w:tcPr>
            <w:tcW w:w="220" w:type="pct"/>
            <w:tcBorders>
              <w:left w:val="single" w:sz="4" w:space="0" w:color="auto"/>
            </w:tcBorders>
            <w:shd w:val="clear" w:color="auto" w:fill="EAF1DD" w:themeFill="accent3" w:themeFillTint="33"/>
            <w:vAlign w:val="bottom"/>
          </w:tcPr>
          <w:p w:rsidR="001C043A" w:rsidRPr="00994994" w:rsidRDefault="001C043A" w:rsidP="006B0D58">
            <w:pPr>
              <w:jc w:val="center"/>
              <w:rPr>
                <w:sz w:val="16"/>
                <w:szCs w:val="16"/>
              </w:rPr>
            </w:pPr>
            <w:r w:rsidRPr="0058600B">
              <w:rPr>
                <w:sz w:val="16"/>
                <w:szCs w:val="16"/>
              </w:rPr>
              <w:t>-5.0</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-3.6</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0.0</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2.1</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-2.2</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-4.5</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-7.1</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-8.7</w:t>
            </w:r>
          </w:p>
        </w:tc>
        <w:tc>
          <w:tcPr>
            <w:tcW w:w="25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-11.9</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-5.4</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-8.4</w:t>
            </w:r>
          </w:p>
        </w:tc>
        <w:tc>
          <w:tcPr>
            <w:tcW w:w="251"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-9.2</w:t>
            </w:r>
          </w:p>
        </w:tc>
        <w:tc>
          <w:tcPr>
            <w:tcW w:w="251"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-5.3</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-12.3</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-12.0</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-9.5</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lastRenderedPageBreak/>
              <w:t>Foreign Direct Investment (current US$ millions)</w:t>
            </w:r>
          </w:p>
        </w:tc>
        <w:tc>
          <w:tcPr>
            <w:tcW w:w="220" w:type="pct"/>
            <w:tcBorders>
              <w:left w:val="single" w:sz="4" w:space="0" w:color="auto"/>
            </w:tcBorders>
            <w:shd w:val="clear" w:color="auto" w:fill="EAF1DD" w:themeFill="accent3" w:themeFillTint="33"/>
            <w:vAlign w:val="bottom"/>
          </w:tcPr>
          <w:p w:rsidR="001C043A" w:rsidRPr="00994994" w:rsidRDefault="001C043A" w:rsidP="006B0D58">
            <w:pPr>
              <w:jc w:val="center"/>
              <w:rPr>
                <w:sz w:val="16"/>
                <w:szCs w:val="16"/>
              </w:rPr>
            </w:pPr>
            <w:r w:rsidRPr="0058600B">
              <w:rPr>
                <w:sz w:val="16"/>
                <w:szCs w:val="16"/>
              </w:rPr>
              <w:t>59</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56</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50</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50</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139</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145</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636</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855</w:t>
            </w:r>
          </w:p>
        </w:tc>
        <w:tc>
          <w:tcPr>
            <w:tcW w:w="25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1806</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2897</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2527</w:t>
            </w:r>
          </w:p>
        </w:tc>
        <w:tc>
          <w:tcPr>
            <w:tcW w:w="251"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3222</w:t>
            </w:r>
          </w:p>
        </w:tc>
        <w:tc>
          <w:tcPr>
            <w:tcW w:w="251"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1,037</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3293</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3226</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2409</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External debt outstanding, total (current US$ million)</w:t>
            </w:r>
          </w:p>
        </w:tc>
        <w:tc>
          <w:tcPr>
            <w:tcW w:w="220" w:type="pct"/>
            <w:tcBorders>
              <w:left w:val="single" w:sz="4" w:space="0" w:color="auto"/>
            </w:tcBorders>
            <w:shd w:val="clear" w:color="auto" w:fill="EAF1DD" w:themeFill="accent3" w:themeFillTint="33"/>
            <w:vAlign w:val="bottom"/>
          </w:tcPr>
          <w:p w:rsidR="001C043A" w:rsidRPr="00994994" w:rsidRDefault="001C043A" w:rsidP="006B0D58">
            <w:pPr>
              <w:jc w:val="center"/>
              <w:rPr>
                <w:sz w:val="16"/>
                <w:szCs w:val="16"/>
              </w:rPr>
            </w:pPr>
            <w:r w:rsidRPr="0058600B">
              <w:rPr>
                <w:sz w:val="16"/>
                <w:szCs w:val="16"/>
              </w:rPr>
              <w:t>6021</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6026</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6131</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7549</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6448</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6348</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2177</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3586</w:t>
            </w:r>
          </w:p>
        </w:tc>
        <w:tc>
          <w:tcPr>
            <w:tcW w:w="25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4035</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5008</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6255</w:t>
            </w:r>
          </w:p>
        </w:tc>
        <w:tc>
          <w:tcPr>
            <w:tcW w:w="251"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8135</w:t>
            </w:r>
          </w:p>
        </w:tc>
        <w:tc>
          <w:tcPr>
            <w:tcW w:w="251"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5,643</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9154</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11342</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12556</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External debt outstanding, total (</w:t>
            </w:r>
            <w:r>
              <w:rPr>
                <w:sz w:val="16"/>
                <w:szCs w:val="16"/>
              </w:rPr>
              <w:t xml:space="preserve"> percent</w:t>
            </w:r>
            <w:r w:rsidRPr="00994994">
              <w:rPr>
                <w:sz w:val="16"/>
                <w:szCs w:val="16"/>
              </w:rPr>
              <w:t xml:space="preserve"> of GDP) </w:t>
            </w:r>
          </w:p>
        </w:tc>
        <w:tc>
          <w:tcPr>
            <w:tcW w:w="220" w:type="pct"/>
            <w:tcBorders>
              <w:left w:val="single" w:sz="4" w:space="0" w:color="auto"/>
            </w:tcBorders>
            <w:shd w:val="clear" w:color="auto" w:fill="EAF1DD" w:themeFill="accent3" w:themeFillTint="33"/>
            <w:vAlign w:val="bottom"/>
          </w:tcPr>
          <w:p w:rsidR="001C043A" w:rsidRPr="00994994" w:rsidRDefault="001C043A" w:rsidP="006B0D58">
            <w:pPr>
              <w:jc w:val="center"/>
              <w:rPr>
                <w:sz w:val="16"/>
                <w:szCs w:val="16"/>
              </w:rPr>
            </w:pPr>
            <w:r w:rsidRPr="0058600B">
              <w:rPr>
                <w:sz w:val="16"/>
                <w:szCs w:val="16"/>
              </w:rPr>
              <w:t>81.8</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81.0</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64.7</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67.5</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44.3</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36.5</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10.7</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14.5</w:t>
            </w:r>
          </w:p>
        </w:tc>
        <w:tc>
          <w:tcPr>
            <w:tcW w:w="25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14.1</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19.4</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19.4</w:t>
            </w:r>
          </w:p>
        </w:tc>
        <w:tc>
          <w:tcPr>
            <w:tcW w:w="251"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21.0</w:t>
            </w:r>
          </w:p>
        </w:tc>
        <w:tc>
          <w:tcPr>
            <w:tcW w:w="251"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39.6</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22.9</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23.8</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36.3</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Multilateral debt (</w:t>
            </w:r>
            <w:r>
              <w:rPr>
                <w:sz w:val="16"/>
                <w:szCs w:val="16"/>
              </w:rPr>
              <w:t xml:space="preserve"> percent</w:t>
            </w:r>
            <w:r w:rsidRPr="00994994">
              <w:rPr>
                <w:sz w:val="16"/>
                <w:szCs w:val="16"/>
              </w:rPr>
              <w:t xml:space="preserve"> of total external debt) </w:t>
            </w:r>
          </w:p>
        </w:tc>
        <w:tc>
          <w:tcPr>
            <w:tcW w:w="220" w:type="pct"/>
            <w:tcBorders>
              <w:left w:val="single" w:sz="4" w:space="0" w:color="auto"/>
            </w:tcBorders>
            <w:shd w:val="clear" w:color="auto" w:fill="EAF1DD" w:themeFill="accent3" w:themeFillTint="33"/>
            <w:vAlign w:val="bottom"/>
          </w:tcPr>
          <w:p w:rsidR="001C043A" w:rsidRPr="00994994" w:rsidRDefault="001C043A" w:rsidP="006B0D58">
            <w:pPr>
              <w:jc w:val="center"/>
              <w:rPr>
                <w:sz w:val="16"/>
                <w:szCs w:val="16"/>
              </w:rPr>
            </w:pPr>
            <w:r w:rsidRPr="0058600B">
              <w:rPr>
                <w:sz w:val="16"/>
                <w:szCs w:val="16"/>
              </w:rPr>
              <w:t>70.5</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69.8</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71.6</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72.6</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88.9</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94.2</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68.3</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47.7</w:t>
            </w:r>
          </w:p>
        </w:tc>
        <w:tc>
          <w:tcPr>
            <w:tcW w:w="25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50.3</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49.2</w:t>
            </w:r>
          </w:p>
        </w:tc>
        <w:tc>
          <w:tcPr>
            <w:tcW w:w="220"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49.0</w:t>
            </w:r>
          </w:p>
        </w:tc>
        <w:tc>
          <w:tcPr>
            <w:tcW w:w="251"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51.4</w:t>
            </w:r>
          </w:p>
        </w:tc>
        <w:tc>
          <w:tcPr>
            <w:tcW w:w="251" w:type="pct"/>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65.3</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55.1</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39.6</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37.9</w:t>
            </w:r>
          </w:p>
        </w:tc>
      </w:tr>
      <w:tr w:rsidR="001C043A" w:rsidRPr="00535202" w:rsidTr="003F7BCB">
        <w:trPr>
          <w:cantSplit/>
          <w:trHeight w:val="135"/>
          <w:jc w:val="center"/>
        </w:trPr>
        <w:tc>
          <w:tcPr>
            <w:tcW w:w="1294" w:type="pct"/>
            <w:tcBorders>
              <w:bottom w:val="single" w:sz="4" w:space="0" w:color="365F91"/>
              <w:right w:val="single" w:sz="4" w:space="0" w:color="auto"/>
            </w:tcBorders>
            <w:shd w:val="clear" w:color="auto" w:fill="EAF1DD" w:themeFill="accent3" w:themeFillTint="33"/>
            <w:noWrap/>
            <w:vAlign w:val="bottom"/>
            <w:hideMark/>
          </w:tcPr>
          <w:p w:rsidR="001C043A" w:rsidRPr="00994994" w:rsidRDefault="001C043A">
            <w:pPr>
              <w:rPr>
                <w:sz w:val="16"/>
                <w:szCs w:val="16"/>
              </w:rPr>
            </w:pPr>
            <w:r w:rsidRPr="00994994">
              <w:rPr>
                <w:sz w:val="16"/>
                <w:szCs w:val="16"/>
              </w:rPr>
              <w:t>Debt service ratio (</w:t>
            </w:r>
            <w:r>
              <w:rPr>
                <w:sz w:val="16"/>
                <w:szCs w:val="16"/>
              </w:rPr>
              <w:t xml:space="preserve"> percent</w:t>
            </w:r>
            <w:r w:rsidRPr="00994994">
              <w:rPr>
                <w:sz w:val="16"/>
                <w:szCs w:val="16"/>
              </w:rPr>
              <w:t xml:space="preserve"> of goods and nfs) </w:t>
            </w:r>
          </w:p>
        </w:tc>
        <w:tc>
          <w:tcPr>
            <w:tcW w:w="220" w:type="pct"/>
            <w:tcBorders>
              <w:left w:val="single" w:sz="4" w:space="0" w:color="auto"/>
              <w:bottom w:val="single" w:sz="4" w:space="0" w:color="365F91"/>
            </w:tcBorders>
            <w:shd w:val="clear" w:color="auto" w:fill="EAF1DD" w:themeFill="accent3" w:themeFillTint="33"/>
            <w:vAlign w:val="bottom"/>
          </w:tcPr>
          <w:p w:rsidR="001C043A" w:rsidRPr="00994994" w:rsidRDefault="001C043A" w:rsidP="006B0D58">
            <w:pPr>
              <w:jc w:val="center"/>
              <w:rPr>
                <w:sz w:val="16"/>
                <w:szCs w:val="16"/>
              </w:rPr>
            </w:pPr>
            <w:r w:rsidRPr="0058600B">
              <w:rPr>
                <w:sz w:val="16"/>
                <w:szCs w:val="16"/>
              </w:rPr>
              <w:t>22.9</w:t>
            </w:r>
          </w:p>
        </w:tc>
        <w:tc>
          <w:tcPr>
            <w:tcW w:w="220" w:type="pct"/>
            <w:tcBorders>
              <w:bottom w:val="single" w:sz="4" w:space="0" w:color="365F91"/>
            </w:tcBorders>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19.1</w:t>
            </w:r>
          </w:p>
        </w:tc>
        <w:tc>
          <w:tcPr>
            <w:tcW w:w="220" w:type="pct"/>
            <w:tcBorders>
              <w:bottom w:val="single" w:sz="4" w:space="0" w:color="365F91"/>
            </w:tcBorders>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16.7</w:t>
            </w:r>
          </w:p>
        </w:tc>
        <w:tc>
          <w:tcPr>
            <w:tcW w:w="220" w:type="pct"/>
            <w:tcBorders>
              <w:bottom w:val="single" w:sz="4" w:space="0" w:color="365F91"/>
            </w:tcBorders>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13.1</w:t>
            </w:r>
          </w:p>
        </w:tc>
        <w:tc>
          <w:tcPr>
            <w:tcW w:w="220" w:type="pct"/>
            <w:tcBorders>
              <w:bottom w:val="single" w:sz="4" w:space="0" w:color="365F91"/>
            </w:tcBorders>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15.4</w:t>
            </w:r>
          </w:p>
        </w:tc>
        <w:tc>
          <w:tcPr>
            <w:tcW w:w="220" w:type="pct"/>
            <w:tcBorders>
              <w:bottom w:val="single" w:sz="4" w:space="0" w:color="365F91"/>
            </w:tcBorders>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11.2</w:t>
            </w:r>
          </w:p>
        </w:tc>
        <w:tc>
          <w:tcPr>
            <w:tcW w:w="220" w:type="pct"/>
            <w:tcBorders>
              <w:bottom w:val="single" w:sz="4" w:space="0" w:color="365F91"/>
            </w:tcBorders>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12.2</w:t>
            </w:r>
          </w:p>
        </w:tc>
        <w:tc>
          <w:tcPr>
            <w:tcW w:w="220" w:type="pct"/>
            <w:tcBorders>
              <w:bottom w:val="single" w:sz="4" w:space="0" w:color="365F91"/>
            </w:tcBorders>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3.3</w:t>
            </w:r>
          </w:p>
        </w:tc>
        <w:tc>
          <w:tcPr>
            <w:tcW w:w="250" w:type="pct"/>
            <w:tcBorders>
              <w:bottom w:val="single" w:sz="4" w:space="0" w:color="365F91"/>
            </w:tcBorders>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3.6</w:t>
            </w:r>
          </w:p>
        </w:tc>
        <w:tc>
          <w:tcPr>
            <w:tcW w:w="220" w:type="pct"/>
            <w:tcBorders>
              <w:bottom w:val="single" w:sz="4" w:space="0" w:color="365F91"/>
            </w:tcBorders>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3.1</w:t>
            </w:r>
          </w:p>
        </w:tc>
        <w:tc>
          <w:tcPr>
            <w:tcW w:w="220" w:type="pct"/>
            <w:tcBorders>
              <w:bottom w:val="single" w:sz="4" w:space="0" w:color="365F91"/>
            </w:tcBorders>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2.8</w:t>
            </w:r>
          </w:p>
        </w:tc>
        <w:tc>
          <w:tcPr>
            <w:tcW w:w="251" w:type="pct"/>
            <w:tcBorders>
              <w:bottom w:val="single" w:sz="4" w:space="0" w:color="365F91"/>
            </w:tcBorders>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2.4</w:t>
            </w:r>
          </w:p>
        </w:tc>
        <w:tc>
          <w:tcPr>
            <w:tcW w:w="251" w:type="pct"/>
            <w:tcBorders>
              <w:bottom w:val="single" w:sz="4" w:space="0" w:color="365F91"/>
            </w:tcBorders>
            <w:shd w:val="clear" w:color="auto" w:fill="EAF1DD" w:themeFill="accent3" w:themeFillTint="33"/>
            <w:noWrap/>
            <w:vAlign w:val="bottom"/>
          </w:tcPr>
          <w:p w:rsidR="001C043A" w:rsidRPr="00994994" w:rsidRDefault="001C043A" w:rsidP="006B0D58">
            <w:pPr>
              <w:jc w:val="center"/>
              <w:rPr>
                <w:sz w:val="16"/>
                <w:szCs w:val="16"/>
              </w:rPr>
            </w:pPr>
            <w:r w:rsidRPr="0058600B">
              <w:rPr>
                <w:sz w:val="16"/>
                <w:szCs w:val="16"/>
              </w:rPr>
              <w:t>10.5</w:t>
            </w:r>
          </w:p>
        </w:tc>
        <w:tc>
          <w:tcPr>
            <w:tcW w:w="257" w:type="pct"/>
            <w:tcBorders>
              <w:bottom w:val="single" w:sz="4" w:space="0" w:color="365F91"/>
            </w:tcBorders>
            <w:shd w:val="clear" w:color="auto" w:fill="EAF1DD" w:themeFill="accent3" w:themeFillTint="33"/>
            <w:noWrap/>
            <w:vAlign w:val="bottom"/>
          </w:tcPr>
          <w:p w:rsidR="001C043A" w:rsidRPr="001C043A" w:rsidRDefault="001C043A">
            <w:pPr>
              <w:jc w:val="center"/>
              <w:rPr>
                <w:sz w:val="16"/>
                <w:szCs w:val="16"/>
              </w:rPr>
            </w:pPr>
            <w:r w:rsidRPr="001C043A">
              <w:rPr>
                <w:sz w:val="16"/>
                <w:szCs w:val="16"/>
              </w:rPr>
              <w:t>2.4</w:t>
            </w:r>
          </w:p>
        </w:tc>
        <w:tc>
          <w:tcPr>
            <w:tcW w:w="250" w:type="pct"/>
            <w:tcBorders>
              <w:bottom w:val="single" w:sz="4" w:space="0" w:color="365F91"/>
            </w:tcBorders>
            <w:shd w:val="clear" w:color="auto" w:fill="EAF1DD" w:themeFill="accent3" w:themeFillTint="33"/>
            <w:noWrap/>
            <w:vAlign w:val="bottom"/>
          </w:tcPr>
          <w:p w:rsidR="001C043A" w:rsidRPr="001C043A" w:rsidRDefault="001C043A">
            <w:pPr>
              <w:jc w:val="center"/>
              <w:rPr>
                <w:sz w:val="16"/>
                <w:szCs w:val="16"/>
              </w:rPr>
            </w:pPr>
            <w:r w:rsidRPr="001C043A">
              <w:rPr>
                <w:sz w:val="16"/>
                <w:szCs w:val="16"/>
              </w:rPr>
              <w:t>3.4</w:t>
            </w:r>
          </w:p>
        </w:tc>
        <w:tc>
          <w:tcPr>
            <w:tcW w:w="247" w:type="pct"/>
            <w:tcBorders>
              <w:bottom w:val="single" w:sz="4" w:space="0" w:color="365F91"/>
            </w:tcBorders>
            <w:shd w:val="clear" w:color="auto" w:fill="EAF1DD" w:themeFill="accent3" w:themeFillTint="33"/>
            <w:vAlign w:val="bottom"/>
          </w:tcPr>
          <w:p w:rsidR="001C043A" w:rsidRPr="001C043A" w:rsidRDefault="001C043A">
            <w:pPr>
              <w:jc w:val="center"/>
              <w:rPr>
                <w:sz w:val="16"/>
                <w:szCs w:val="16"/>
              </w:rPr>
            </w:pPr>
            <w:r w:rsidRPr="001C043A">
              <w:rPr>
                <w:sz w:val="16"/>
                <w:szCs w:val="16"/>
              </w:rPr>
              <w:t>4.5</w:t>
            </w:r>
          </w:p>
        </w:tc>
      </w:tr>
      <w:tr w:rsidR="0061119F" w:rsidRPr="00535202" w:rsidTr="003F7BCB">
        <w:trPr>
          <w:cantSplit/>
          <w:trHeight w:val="135"/>
          <w:jc w:val="center"/>
        </w:trPr>
        <w:tc>
          <w:tcPr>
            <w:tcW w:w="1294" w:type="pct"/>
            <w:tcBorders>
              <w:right w:val="single" w:sz="4" w:space="0" w:color="auto"/>
            </w:tcBorders>
            <w:shd w:val="clear" w:color="auto" w:fill="EAF1DD" w:themeFill="accent3" w:themeFillTint="33"/>
            <w:noWrap/>
            <w:hideMark/>
          </w:tcPr>
          <w:p w:rsidR="00C7201E" w:rsidRPr="00994994" w:rsidRDefault="00C7201E">
            <w:pPr>
              <w:spacing w:line="276" w:lineRule="auto"/>
              <w:jc w:val="left"/>
              <w:rPr>
                <w:rFonts w:cs="Arial"/>
                <w:sz w:val="16"/>
                <w:szCs w:val="16"/>
              </w:rPr>
            </w:pPr>
            <w:r w:rsidRPr="00994994">
              <w:rPr>
                <w:rFonts w:cs="Arial Narrow"/>
                <w:b/>
                <w:bCs/>
                <w:color w:val="000000"/>
                <w:sz w:val="16"/>
                <w:szCs w:val="16"/>
              </w:rPr>
              <w:t>Population, Employment, and Poverty</w:t>
            </w:r>
          </w:p>
        </w:tc>
        <w:tc>
          <w:tcPr>
            <w:tcW w:w="220" w:type="pct"/>
            <w:tcBorders>
              <w:left w:val="single" w:sz="4" w:space="0" w:color="auto"/>
            </w:tcBorders>
            <w:shd w:val="clear" w:color="auto" w:fill="EAF1DD" w:themeFill="accent3" w:themeFillTint="33"/>
          </w:tcPr>
          <w:p w:rsidR="00C7201E" w:rsidRPr="00994994" w:rsidRDefault="00C7201E" w:rsidP="005E4563">
            <w:pPr>
              <w:spacing w:line="276" w:lineRule="auto"/>
              <w:jc w:val="left"/>
              <w:rPr>
                <w:rFonts w:cs="Arial"/>
                <w:sz w:val="16"/>
                <w:szCs w:val="16"/>
              </w:rPr>
            </w:pPr>
          </w:p>
        </w:tc>
        <w:tc>
          <w:tcPr>
            <w:tcW w:w="220" w:type="pct"/>
            <w:shd w:val="clear" w:color="auto" w:fill="EAF1DD" w:themeFill="accent3" w:themeFillTint="33"/>
            <w:noWrap/>
            <w:hideMark/>
          </w:tcPr>
          <w:p w:rsidR="00C7201E" w:rsidRPr="00994994" w:rsidRDefault="00C7201E">
            <w:pPr>
              <w:jc w:val="right"/>
              <w:rPr>
                <w:rFonts w:cs="Arial"/>
                <w:sz w:val="16"/>
                <w:szCs w:val="16"/>
              </w:rPr>
            </w:pPr>
          </w:p>
        </w:tc>
        <w:tc>
          <w:tcPr>
            <w:tcW w:w="220" w:type="pct"/>
            <w:shd w:val="clear" w:color="auto" w:fill="EAF1DD" w:themeFill="accent3" w:themeFillTint="33"/>
            <w:noWrap/>
            <w:hideMark/>
          </w:tcPr>
          <w:p w:rsidR="00C7201E" w:rsidRPr="00994994" w:rsidRDefault="00C7201E">
            <w:pPr>
              <w:jc w:val="right"/>
              <w:rPr>
                <w:rFonts w:cs="Arial"/>
                <w:sz w:val="16"/>
                <w:szCs w:val="16"/>
              </w:rPr>
            </w:pPr>
          </w:p>
        </w:tc>
        <w:tc>
          <w:tcPr>
            <w:tcW w:w="220" w:type="pct"/>
            <w:shd w:val="clear" w:color="auto" w:fill="EAF1DD" w:themeFill="accent3" w:themeFillTint="33"/>
            <w:noWrap/>
            <w:hideMark/>
          </w:tcPr>
          <w:p w:rsidR="00C7201E" w:rsidRPr="00994994" w:rsidRDefault="00C7201E">
            <w:pPr>
              <w:jc w:val="right"/>
              <w:rPr>
                <w:rFonts w:cs="Arial"/>
                <w:sz w:val="16"/>
                <w:szCs w:val="16"/>
              </w:rPr>
            </w:pPr>
          </w:p>
        </w:tc>
        <w:tc>
          <w:tcPr>
            <w:tcW w:w="220" w:type="pct"/>
            <w:shd w:val="clear" w:color="auto" w:fill="EAF1DD" w:themeFill="accent3" w:themeFillTint="33"/>
            <w:noWrap/>
            <w:hideMark/>
          </w:tcPr>
          <w:p w:rsidR="00C7201E" w:rsidRPr="00994994" w:rsidRDefault="00C7201E">
            <w:pPr>
              <w:jc w:val="right"/>
              <w:rPr>
                <w:rFonts w:cs="Arial"/>
                <w:sz w:val="16"/>
                <w:szCs w:val="16"/>
              </w:rPr>
            </w:pPr>
          </w:p>
        </w:tc>
        <w:tc>
          <w:tcPr>
            <w:tcW w:w="220" w:type="pct"/>
            <w:shd w:val="clear" w:color="auto" w:fill="EAF1DD" w:themeFill="accent3" w:themeFillTint="33"/>
            <w:noWrap/>
            <w:hideMark/>
          </w:tcPr>
          <w:p w:rsidR="00C7201E" w:rsidRPr="00994994" w:rsidRDefault="00C7201E">
            <w:pPr>
              <w:jc w:val="right"/>
              <w:rPr>
                <w:rFonts w:cs="Arial"/>
                <w:sz w:val="16"/>
                <w:szCs w:val="16"/>
              </w:rPr>
            </w:pPr>
          </w:p>
        </w:tc>
        <w:tc>
          <w:tcPr>
            <w:tcW w:w="220" w:type="pct"/>
            <w:shd w:val="clear" w:color="auto" w:fill="EAF1DD" w:themeFill="accent3" w:themeFillTint="33"/>
            <w:noWrap/>
            <w:hideMark/>
          </w:tcPr>
          <w:p w:rsidR="00C7201E" w:rsidRPr="00994994" w:rsidRDefault="00C7201E">
            <w:pPr>
              <w:jc w:val="right"/>
              <w:rPr>
                <w:rFonts w:cs="Arial"/>
                <w:sz w:val="16"/>
                <w:szCs w:val="16"/>
              </w:rPr>
            </w:pPr>
          </w:p>
        </w:tc>
        <w:tc>
          <w:tcPr>
            <w:tcW w:w="220" w:type="pct"/>
            <w:shd w:val="clear" w:color="auto" w:fill="EAF1DD" w:themeFill="accent3" w:themeFillTint="33"/>
            <w:noWrap/>
            <w:hideMark/>
          </w:tcPr>
          <w:p w:rsidR="00C7201E" w:rsidRPr="00994994" w:rsidRDefault="00C7201E">
            <w:pPr>
              <w:jc w:val="right"/>
              <w:rPr>
                <w:rFonts w:cs="Arial"/>
                <w:sz w:val="16"/>
                <w:szCs w:val="16"/>
              </w:rPr>
            </w:pPr>
          </w:p>
        </w:tc>
        <w:tc>
          <w:tcPr>
            <w:tcW w:w="250" w:type="pct"/>
            <w:shd w:val="clear" w:color="auto" w:fill="EAF1DD" w:themeFill="accent3" w:themeFillTint="33"/>
            <w:noWrap/>
            <w:hideMark/>
          </w:tcPr>
          <w:p w:rsidR="00C7201E" w:rsidRPr="00994994" w:rsidRDefault="00C7201E">
            <w:pPr>
              <w:jc w:val="right"/>
              <w:rPr>
                <w:rFonts w:cs="Arial"/>
                <w:sz w:val="16"/>
                <w:szCs w:val="16"/>
              </w:rPr>
            </w:pPr>
          </w:p>
        </w:tc>
        <w:tc>
          <w:tcPr>
            <w:tcW w:w="220" w:type="pct"/>
            <w:shd w:val="clear" w:color="auto" w:fill="EAF1DD" w:themeFill="accent3" w:themeFillTint="33"/>
            <w:noWrap/>
            <w:hideMark/>
          </w:tcPr>
          <w:p w:rsidR="00C7201E" w:rsidRPr="00994994" w:rsidRDefault="00C7201E">
            <w:pPr>
              <w:jc w:val="right"/>
              <w:rPr>
                <w:rFonts w:cs="Arial"/>
                <w:sz w:val="16"/>
                <w:szCs w:val="16"/>
              </w:rPr>
            </w:pPr>
          </w:p>
        </w:tc>
        <w:tc>
          <w:tcPr>
            <w:tcW w:w="220" w:type="pct"/>
            <w:shd w:val="clear" w:color="auto" w:fill="EAF1DD" w:themeFill="accent3" w:themeFillTint="33"/>
            <w:noWrap/>
            <w:hideMark/>
          </w:tcPr>
          <w:p w:rsidR="00C7201E" w:rsidRPr="00994994" w:rsidRDefault="00C7201E">
            <w:pPr>
              <w:jc w:val="right"/>
              <w:rPr>
                <w:rFonts w:cs="Arial"/>
                <w:sz w:val="16"/>
                <w:szCs w:val="16"/>
              </w:rPr>
            </w:pPr>
          </w:p>
        </w:tc>
        <w:tc>
          <w:tcPr>
            <w:tcW w:w="251" w:type="pct"/>
            <w:shd w:val="clear" w:color="auto" w:fill="EAF1DD" w:themeFill="accent3" w:themeFillTint="33"/>
            <w:noWrap/>
            <w:hideMark/>
          </w:tcPr>
          <w:p w:rsidR="00C7201E" w:rsidRPr="00994994" w:rsidRDefault="00C7201E">
            <w:pPr>
              <w:jc w:val="right"/>
              <w:rPr>
                <w:rFonts w:cs="Arial"/>
                <w:sz w:val="16"/>
                <w:szCs w:val="16"/>
              </w:rPr>
            </w:pPr>
          </w:p>
        </w:tc>
        <w:tc>
          <w:tcPr>
            <w:tcW w:w="251" w:type="pct"/>
            <w:shd w:val="clear" w:color="auto" w:fill="EAF1DD" w:themeFill="accent3" w:themeFillTint="33"/>
            <w:noWrap/>
            <w:hideMark/>
          </w:tcPr>
          <w:p w:rsidR="00C7201E" w:rsidRPr="00994994" w:rsidRDefault="00C7201E">
            <w:pPr>
              <w:jc w:val="right"/>
              <w:rPr>
                <w:rFonts w:cs="Arial"/>
                <w:sz w:val="16"/>
                <w:szCs w:val="16"/>
              </w:rPr>
            </w:pPr>
          </w:p>
        </w:tc>
        <w:tc>
          <w:tcPr>
            <w:tcW w:w="257" w:type="pct"/>
            <w:shd w:val="clear" w:color="auto" w:fill="EAF1DD" w:themeFill="accent3" w:themeFillTint="33"/>
            <w:noWrap/>
            <w:hideMark/>
          </w:tcPr>
          <w:p w:rsidR="00C7201E" w:rsidRPr="00994994" w:rsidRDefault="00C7201E">
            <w:pPr>
              <w:jc w:val="right"/>
              <w:rPr>
                <w:rFonts w:cs="Arial"/>
                <w:sz w:val="16"/>
                <w:szCs w:val="16"/>
              </w:rPr>
            </w:pPr>
          </w:p>
        </w:tc>
        <w:tc>
          <w:tcPr>
            <w:tcW w:w="250" w:type="pct"/>
            <w:shd w:val="clear" w:color="auto" w:fill="EAF1DD" w:themeFill="accent3" w:themeFillTint="33"/>
            <w:noWrap/>
            <w:hideMark/>
          </w:tcPr>
          <w:p w:rsidR="00C7201E" w:rsidRPr="00994994" w:rsidRDefault="00C7201E">
            <w:pPr>
              <w:jc w:val="right"/>
              <w:rPr>
                <w:rFonts w:cs="Arial"/>
                <w:sz w:val="16"/>
                <w:szCs w:val="16"/>
              </w:rPr>
            </w:pPr>
          </w:p>
        </w:tc>
        <w:tc>
          <w:tcPr>
            <w:tcW w:w="247" w:type="pct"/>
            <w:shd w:val="clear" w:color="auto" w:fill="EAF1DD" w:themeFill="accent3" w:themeFillTint="33"/>
          </w:tcPr>
          <w:p w:rsidR="00C7201E" w:rsidRPr="00994994" w:rsidRDefault="00C7201E">
            <w:pPr>
              <w:jc w:val="right"/>
              <w:rPr>
                <w:rFonts w:cs="Arial"/>
                <w:sz w:val="16"/>
                <w:szCs w:val="16"/>
              </w:rPr>
            </w:pPr>
          </w:p>
        </w:tc>
      </w:tr>
      <w:tr w:rsidR="0061119F"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hideMark/>
          </w:tcPr>
          <w:p w:rsidR="007F35A5" w:rsidRPr="00994994" w:rsidRDefault="007F35A5">
            <w:pPr>
              <w:rPr>
                <w:sz w:val="16"/>
                <w:szCs w:val="16"/>
              </w:rPr>
            </w:pPr>
            <w:r w:rsidRPr="00994994">
              <w:rPr>
                <w:sz w:val="16"/>
                <w:szCs w:val="16"/>
              </w:rPr>
              <w:t>Population, total (millions)</w:t>
            </w:r>
          </w:p>
        </w:tc>
        <w:tc>
          <w:tcPr>
            <w:tcW w:w="220" w:type="pct"/>
            <w:tcBorders>
              <w:left w:val="single" w:sz="4" w:space="0" w:color="auto"/>
            </w:tcBorders>
            <w:shd w:val="clear" w:color="auto" w:fill="EAF1DD" w:themeFill="accent3" w:themeFillTint="33"/>
            <w:vAlign w:val="bottom"/>
          </w:tcPr>
          <w:p w:rsidR="007F35A5" w:rsidRPr="00994994" w:rsidRDefault="007F35A5" w:rsidP="006B0D58">
            <w:pPr>
              <w:jc w:val="center"/>
              <w:rPr>
                <w:sz w:val="16"/>
                <w:szCs w:val="16"/>
              </w:rPr>
            </w:pPr>
            <w:r w:rsidRPr="0058600B">
              <w:rPr>
                <w:sz w:val="16"/>
                <w:szCs w:val="16"/>
              </w:rPr>
              <w:t>18.4</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18.9</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19.4</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19.9</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20.4</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20.9</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21.4</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22.0</w:t>
            </w:r>
          </w:p>
        </w:tc>
        <w:tc>
          <w:tcPr>
            <w:tcW w:w="25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22.5</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23.1</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23.7</w:t>
            </w:r>
          </w:p>
        </w:tc>
        <w:tc>
          <w:tcPr>
            <w:tcW w:w="251"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24.3</w:t>
            </w:r>
          </w:p>
        </w:tc>
        <w:tc>
          <w:tcPr>
            <w:tcW w:w="251"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21.2</w:t>
            </w:r>
          </w:p>
        </w:tc>
        <w:tc>
          <w:tcPr>
            <w:tcW w:w="257"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24.9</w:t>
            </w:r>
          </w:p>
        </w:tc>
        <w:tc>
          <w:tcPr>
            <w:tcW w:w="25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25.6</w:t>
            </w:r>
          </w:p>
        </w:tc>
        <w:tc>
          <w:tcPr>
            <w:tcW w:w="247" w:type="pct"/>
            <w:shd w:val="clear" w:color="auto" w:fill="EAF1DD" w:themeFill="accent3" w:themeFillTint="33"/>
            <w:vAlign w:val="bottom"/>
          </w:tcPr>
          <w:p w:rsidR="007F35A5" w:rsidRPr="00994994" w:rsidRDefault="007F35A5" w:rsidP="006B0D58">
            <w:pPr>
              <w:jc w:val="center"/>
              <w:rPr>
                <w:sz w:val="16"/>
                <w:szCs w:val="16"/>
              </w:rPr>
            </w:pPr>
            <w:r w:rsidRPr="0058600B">
              <w:rPr>
                <w:sz w:val="16"/>
                <w:szCs w:val="16"/>
              </w:rPr>
              <w:t>26.2</w:t>
            </w:r>
          </w:p>
        </w:tc>
      </w:tr>
      <w:tr w:rsidR="0061119F"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hideMark/>
          </w:tcPr>
          <w:p w:rsidR="007F35A5" w:rsidRPr="00994994" w:rsidRDefault="007F35A5">
            <w:pPr>
              <w:rPr>
                <w:sz w:val="16"/>
                <w:szCs w:val="16"/>
              </w:rPr>
            </w:pPr>
            <w:r w:rsidRPr="00994994">
              <w:rPr>
                <w:sz w:val="16"/>
                <w:szCs w:val="16"/>
              </w:rPr>
              <w:t>Unemployment Rate</w:t>
            </w:r>
          </w:p>
        </w:tc>
        <w:tc>
          <w:tcPr>
            <w:tcW w:w="220" w:type="pct"/>
            <w:tcBorders>
              <w:left w:val="single" w:sz="4" w:space="0" w:color="auto"/>
            </w:tcBorders>
            <w:shd w:val="clear" w:color="auto" w:fill="EAF1DD" w:themeFill="accent3" w:themeFillTint="33"/>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5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51"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51"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57"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5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47" w:type="pct"/>
            <w:shd w:val="clear" w:color="auto" w:fill="EAF1DD" w:themeFill="accent3" w:themeFillTint="33"/>
            <w:vAlign w:val="bottom"/>
          </w:tcPr>
          <w:p w:rsidR="007F35A5" w:rsidRPr="00994994" w:rsidRDefault="007F35A5" w:rsidP="006B0D58">
            <w:pPr>
              <w:jc w:val="center"/>
              <w:rPr>
                <w:sz w:val="16"/>
                <w:szCs w:val="16"/>
              </w:rPr>
            </w:pPr>
            <w:r w:rsidRPr="0058600B">
              <w:rPr>
                <w:sz w:val="16"/>
                <w:szCs w:val="16"/>
              </w:rPr>
              <w:t>Na</w:t>
            </w:r>
          </w:p>
        </w:tc>
      </w:tr>
      <w:tr w:rsidR="0061119F"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hideMark/>
          </w:tcPr>
          <w:p w:rsidR="007F35A5" w:rsidRPr="00994994" w:rsidRDefault="007F35A5">
            <w:pPr>
              <w:rPr>
                <w:sz w:val="16"/>
                <w:szCs w:val="16"/>
              </w:rPr>
            </w:pPr>
            <w:r w:rsidRPr="00994994">
              <w:rPr>
                <w:sz w:val="16"/>
                <w:szCs w:val="16"/>
              </w:rPr>
              <w:t>Poverty headcount ratio at national poverty line (</w:t>
            </w:r>
            <w:r w:rsidR="003B342F">
              <w:rPr>
                <w:sz w:val="16"/>
                <w:szCs w:val="16"/>
              </w:rPr>
              <w:t xml:space="preserve"> percent</w:t>
            </w:r>
            <w:r w:rsidRPr="00994994">
              <w:rPr>
                <w:sz w:val="16"/>
                <w:szCs w:val="16"/>
              </w:rPr>
              <w:t xml:space="preserve"> of population) </w:t>
            </w:r>
          </w:p>
        </w:tc>
        <w:tc>
          <w:tcPr>
            <w:tcW w:w="220" w:type="pct"/>
            <w:tcBorders>
              <w:left w:val="single" w:sz="4" w:space="0" w:color="auto"/>
            </w:tcBorders>
            <w:shd w:val="clear" w:color="auto" w:fill="EAF1DD" w:themeFill="accent3" w:themeFillTint="33"/>
            <w:vAlign w:val="bottom"/>
          </w:tcPr>
          <w:p w:rsidR="007F35A5" w:rsidRPr="00994994" w:rsidRDefault="007F35A5" w:rsidP="006B0D58">
            <w:pPr>
              <w:jc w:val="center"/>
              <w:rPr>
                <w:sz w:val="16"/>
                <w:szCs w:val="16"/>
              </w:rPr>
            </w:pPr>
            <w:r w:rsidRPr="0058600B">
              <w:rPr>
                <w:sz w:val="16"/>
                <w:szCs w:val="16"/>
              </w:rPr>
              <w:t>39.5</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p>
        </w:tc>
        <w:tc>
          <w:tcPr>
            <w:tcW w:w="220" w:type="pct"/>
            <w:shd w:val="clear" w:color="auto" w:fill="EAF1DD" w:themeFill="accent3" w:themeFillTint="33"/>
            <w:noWrap/>
            <w:vAlign w:val="bottom"/>
          </w:tcPr>
          <w:p w:rsidR="007F35A5" w:rsidRPr="00994994" w:rsidRDefault="007F35A5" w:rsidP="006B0D58">
            <w:pPr>
              <w:jc w:val="center"/>
              <w:rPr>
                <w:sz w:val="16"/>
                <w:szCs w:val="16"/>
              </w:rPr>
            </w:pPr>
          </w:p>
        </w:tc>
        <w:tc>
          <w:tcPr>
            <w:tcW w:w="220" w:type="pct"/>
            <w:shd w:val="clear" w:color="auto" w:fill="EAF1DD" w:themeFill="accent3" w:themeFillTint="33"/>
            <w:noWrap/>
            <w:vAlign w:val="bottom"/>
          </w:tcPr>
          <w:p w:rsidR="007F35A5" w:rsidRPr="00994994" w:rsidRDefault="007F35A5" w:rsidP="006B0D58">
            <w:pPr>
              <w:jc w:val="center"/>
              <w:rPr>
                <w:sz w:val="16"/>
                <w:szCs w:val="16"/>
              </w:rPr>
            </w:pPr>
          </w:p>
        </w:tc>
        <w:tc>
          <w:tcPr>
            <w:tcW w:w="220" w:type="pct"/>
            <w:shd w:val="clear" w:color="auto" w:fill="EAF1DD" w:themeFill="accent3" w:themeFillTint="33"/>
            <w:noWrap/>
            <w:vAlign w:val="bottom"/>
          </w:tcPr>
          <w:p w:rsidR="007F35A5" w:rsidRPr="00994994" w:rsidRDefault="007F35A5" w:rsidP="006B0D58">
            <w:pPr>
              <w:jc w:val="center"/>
              <w:rPr>
                <w:sz w:val="16"/>
                <w:szCs w:val="16"/>
              </w:rPr>
            </w:pPr>
          </w:p>
        </w:tc>
        <w:tc>
          <w:tcPr>
            <w:tcW w:w="220" w:type="pct"/>
            <w:shd w:val="clear" w:color="auto" w:fill="EAF1DD" w:themeFill="accent3" w:themeFillTint="33"/>
            <w:noWrap/>
            <w:vAlign w:val="bottom"/>
          </w:tcPr>
          <w:p w:rsidR="007F35A5" w:rsidRPr="00994994" w:rsidRDefault="007F35A5" w:rsidP="006B0D58">
            <w:pPr>
              <w:jc w:val="center"/>
              <w:rPr>
                <w:sz w:val="16"/>
                <w:szCs w:val="16"/>
              </w:rPr>
            </w:pP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28.5</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p>
        </w:tc>
        <w:tc>
          <w:tcPr>
            <w:tcW w:w="250" w:type="pct"/>
            <w:shd w:val="clear" w:color="auto" w:fill="EAF1DD" w:themeFill="accent3" w:themeFillTint="33"/>
            <w:noWrap/>
            <w:vAlign w:val="bottom"/>
          </w:tcPr>
          <w:p w:rsidR="007F35A5" w:rsidRPr="00994994" w:rsidRDefault="007F35A5" w:rsidP="006B0D58">
            <w:pPr>
              <w:jc w:val="center"/>
              <w:rPr>
                <w:sz w:val="16"/>
                <w:szCs w:val="16"/>
              </w:rPr>
            </w:pPr>
          </w:p>
        </w:tc>
        <w:tc>
          <w:tcPr>
            <w:tcW w:w="220" w:type="pct"/>
            <w:shd w:val="clear" w:color="auto" w:fill="EAF1DD" w:themeFill="accent3" w:themeFillTint="33"/>
            <w:noWrap/>
            <w:vAlign w:val="bottom"/>
          </w:tcPr>
          <w:p w:rsidR="007F35A5" w:rsidRPr="00994994" w:rsidRDefault="007F35A5" w:rsidP="006B0D58">
            <w:pPr>
              <w:jc w:val="center"/>
              <w:rPr>
                <w:sz w:val="16"/>
                <w:szCs w:val="16"/>
              </w:rPr>
            </w:pPr>
          </w:p>
        </w:tc>
        <w:tc>
          <w:tcPr>
            <w:tcW w:w="220" w:type="pct"/>
            <w:shd w:val="clear" w:color="auto" w:fill="EAF1DD" w:themeFill="accent3" w:themeFillTint="33"/>
            <w:noWrap/>
            <w:vAlign w:val="bottom"/>
          </w:tcPr>
          <w:p w:rsidR="007F35A5" w:rsidRPr="00994994" w:rsidRDefault="007F35A5" w:rsidP="006B0D58">
            <w:pPr>
              <w:jc w:val="center"/>
              <w:rPr>
                <w:sz w:val="16"/>
                <w:szCs w:val="16"/>
              </w:rPr>
            </w:pPr>
          </w:p>
        </w:tc>
        <w:tc>
          <w:tcPr>
            <w:tcW w:w="251" w:type="pct"/>
            <w:shd w:val="clear" w:color="auto" w:fill="EAF1DD" w:themeFill="accent3" w:themeFillTint="33"/>
            <w:noWrap/>
            <w:vAlign w:val="bottom"/>
          </w:tcPr>
          <w:p w:rsidR="007F35A5" w:rsidRPr="00994994" w:rsidRDefault="007F35A5" w:rsidP="006B0D58">
            <w:pPr>
              <w:jc w:val="center"/>
              <w:rPr>
                <w:sz w:val="16"/>
                <w:szCs w:val="16"/>
              </w:rPr>
            </w:pPr>
          </w:p>
        </w:tc>
        <w:tc>
          <w:tcPr>
            <w:tcW w:w="251"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34.0</w:t>
            </w:r>
          </w:p>
        </w:tc>
        <w:tc>
          <w:tcPr>
            <w:tcW w:w="257"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5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47" w:type="pct"/>
            <w:shd w:val="clear" w:color="auto" w:fill="EAF1DD" w:themeFill="accent3" w:themeFillTint="33"/>
            <w:vAlign w:val="bottom"/>
          </w:tcPr>
          <w:p w:rsidR="007F35A5" w:rsidRPr="00994994" w:rsidRDefault="007F35A5" w:rsidP="006B0D58">
            <w:pPr>
              <w:jc w:val="center"/>
              <w:rPr>
                <w:sz w:val="16"/>
                <w:szCs w:val="16"/>
              </w:rPr>
            </w:pPr>
            <w:r w:rsidRPr="0058600B">
              <w:rPr>
                <w:sz w:val="16"/>
                <w:szCs w:val="16"/>
              </w:rPr>
              <w:t>Na</w:t>
            </w:r>
          </w:p>
        </w:tc>
      </w:tr>
      <w:tr w:rsidR="0061119F"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hideMark/>
          </w:tcPr>
          <w:p w:rsidR="007F35A5" w:rsidRPr="00994994" w:rsidRDefault="007F35A5">
            <w:pPr>
              <w:rPr>
                <w:sz w:val="16"/>
                <w:szCs w:val="16"/>
              </w:rPr>
            </w:pPr>
            <w:r w:rsidRPr="00994994">
              <w:rPr>
                <w:sz w:val="16"/>
                <w:szCs w:val="16"/>
              </w:rPr>
              <w:t>Poverty headcount ratio at US$ 1.25 a day (PPP) (</w:t>
            </w:r>
            <w:r w:rsidR="003B342F">
              <w:rPr>
                <w:sz w:val="16"/>
                <w:szCs w:val="16"/>
              </w:rPr>
              <w:t xml:space="preserve"> percent</w:t>
            </w:r>
            <w:r w:rsidRPr="00994994">
              <w:rPr>
                <w:sz w:val="16"/>
                <w:szCs w:val="16"/>
              </w:rPr>
              <w:t xml:space="preserve"> of population) </w:t>
            </w:r>
          </w:p>
        </w:tc>
        <w:tc>
          <w:tcPr>
            <w:tcW w:w="220" w:type="pct"/>
            <w:tcBorders>
              <w:left w:val="single" w:sz="4" w:space="0" w:color="auto"/>
            </w:tcBorders>
            <w:shd w:val="clear" w:color="auto" w:fill="EAF1DD" w:themeFill="accent3" w:themeFillTint="33"/>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5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51"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51"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57"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5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47" w:type="pct"/>
            <w:shd w:val="clear" w:color="auto" w:fill="EAF1DD" w:themeFill="accent3" w:themeFillTint="33"/>
            <w:vAlign w:val="bottom"/>
          </w:tcPr>
          <w:p w:rsidR="007F35A5" w:rsidRPr="00994994" w:rsidRDefault="007F35A5" w:rsidP="006B0D58">
            <w:pPr>
              <w:jc w:val="center"/>
              <w:rPr>
                <w:sz w:val="16"/>
                <w:szCs w:val="16"/>
              </w:rPr>
            </w:pPr>
            <w:r w:rsidRPr="0058600B">
              <w:rPr>
                <w:sz w:val="16"/>
                <w:szCs w:val="16"/>
              </w:rPr>
              <w:t>Na</w:t>
            </w:r>
          </w:p>
        </w:tc>
      </w:tr>
      <w:tr w:rsidR="0061119F"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hideMark/>
          </w:tcPr>
          <w:p w:rsidR="007F35A5" w:rsidRPr="00994994" w:rsidRDefault="007F35A5">
            <w:pPr>
              <w:rPr>
                <w:sz w:val="16"/>
                <w:szCs w:val="16"/>
              </w:rPr>
            </w:pPr>
            <w:r w:rsidRPr="00994994">
              <w:rPr>
                <w:sz w:val="16"/>
                <w:szCs w:val="16"/>
              </w:rPr>
              <w:t>Poverty headcount ratio at US$ 2 a day (PPP) (</w:t>
            </w:r>
            <w:r w:rsidR="003B342F">
              <w:rPr>
                <w:sz w:val="16"/>
                <w:szCs w:val="16"/>
              </w:rPr>
              <w:t xml:space="preserve"> percent</w:t>
            </w:r>
            <w:r w:rsidRPr="00994994">
              <w:rPr>
                <w:sz w:val="16"/>
                <w:szCs w:val="16"/>
              </w:rPr>
              <w:t xml:space="preserve"> of population) </w:t>
            </w:r>
          </w:p>
        </w:tc>
        <w:tc>
          <w:tcPr>
            <w:tcW w:w="220" w:type="pct"/>
            <w:tcBorders>
              <w:left w:val="single" w:sz="4" w:space="0" w:color="auto"/>
            </w:tcBorders>
            <w:shd w:val="clear" w:color="auto" w:fill="EAF1DD" w:themeFill="accent3" w:themeFillTint="33"/>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5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51"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51"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57"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5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47" w:type="pct"/>
            <w:shd w:val="clear" w:color="auto" w:fill="EAF1DD" w:themeFill="accent3" w:themeFillTint="33"/>
            <w:vAlign w:val="bottom"/>
          </w:tcPr>
          <w:p w:rsidR="007F35A5" w:rsidRPr="00994994" w:rsidRDefault="007F35A5" w:rsidP="006B0D58">
            <w:pPr>
              <w:jc w:val="center"/>
              <w:rPr>
                <w:sz w:val="16"/>
                <w:szCs w:val="16"/>
              </w:rPr>
            </w:pPr>
            <w:r w:rsidRPr="0058600B">
              <w:rPr>
                <w:sz w:val="16"/>
                <w:szCs w:val="16"/>
              </w:rPr>
              <w:t>Na</w:t>
            </w:r>
          </w:p>
        </w:tc>
      </w:tr>
      <w:tr w:rsidR="0061119F"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hideMark/>
          </w:tcPr>
          <w:p w:rsidR="007F35A5" w:rsidRPr="00994994" w:rsidRDefault="007F35A5">
            <w:pPr>
              <w:rPr>
                <w:sz w:val="16"/>
                <w:szCs w:val="16"/>
              </w:rPr>
            </w:pPr>
            <w:r w:rsidRPr="00994994">
              <w:rPr>
                <w:sz w:val="16"/>
                <w:szCs w:val="16"/>
              </w:rPr>
              <w:t>Inequality - Income Gini</w:t>
            </w:r>
          </w:p>
        </w:tc>
        <w:tc>
          <w:tcPr>
            <w:tcW w:w="220" w:type="pct"/>
            <w:tcBorders>
              <w:left w:val="single" w:sz="4" w:space="0" w:color="auto"/>
            </w:tcBorders>
            <w:shd w:val="clear" w:color="auto" w:fill="EAF1DD" w:themeFill="accent3" w:themeFillTint="33"/>
            <w:vAlign w:val="bottom"/>
          </w:tcPr>
          <w:p w:rsidR="007F35A5" w:rsidRPr="00994994" w:rsidRDefault="007F35A5" w:rsidP="006B0D58">
            <w:pPr>
              <w:jc w:val="center"/>
              <w:rPr>
                <w:sz w:val="16"/>
                <w:szCs w:val="16"/>
              </w:rPr>
            </w:pPr>
          </w:p>
        </w:tc>
        <w:tc>
          <w:tcPr>
            <w:tcW w:w="220" w:type="pct"/>
            <w:shd w:val="clear" w:color="auto" w:fill="EAF1DD" w:themeFill="accent3" w:themeFillTint="33"/>
            <w:noWrap/>
            <w:vAlign w:val="bottom"/>
          </w:tcPr>
          <w:p w:rsidR="007F35A5" w:rsidRPr="00994994" w:rsidRDefault="007F35A5" w:rsidP="006B0D58">
            <w:pPr>
              <w:jc w:val="center"/>
              <w:rPr>
                <w:sz w:val="16"/>
                <w:szCs w:val="16"/>
              </w:rPr>
            </w:pPr>
          </w:p>
        </w:tc>
        <w:tc>
          <w:tcPr>
            <w:tcW w:w="220" w:type="pct"/>
            <w:shd w:val="clear" w:color="auto" w:fill="EAF1DD" w:themeFill="accent3" w:themeFillTint="33"/>
            <w:noWrap/>
            <w:vAlign w:val="bottom"/>
          </w:tcPr>
          <w:p w:rsidR="007F35A5" w:rsidRPr="00994994" w:rsidRDefault="007F35A5" w:rsidP="006B0D58">
            <w:pPr>
              <w:jc w:val="center"/>
              <w:rPr>
                <w:sz w:val="16"/>
                <w:szCs w:val="16"/>
              </w:rPr>
            </w:pPr>
          </w:p>
        </w:tc>
        <w:tc>
          <w:tcPr>
            <w:tcW w:w="220" w:type="pct"/>
            <w:shd w:val="clear" w:color="auto" w:fill="EAF1DD" w:themeFill="accent3" w:themeFillTint="33"/>
            <w:noWrap/>
            <w:vAlign w:val="bottom"/>
          </w:tcPr>
          <w:p w:rsidR="007F35A5" w:rsidRPr="00994994" w:rsidRDefault="007F35A5" w:rsidP="006B0D58">
            <w:pPr>
              <w:jc w:val="center"/>
              <w:rPr>
                <w:sz w:val="16"/>
                <w:szCs w:val="16"/>
              </w:rPr>
            </w:pPr>
          </w:p>
        </w:tc>
        <w:tc>
          <w:tcPr>
            <w:tcW w:w="220" w:type="pct"/>
            <w:shd w:val="clear" w:color="auto" w:fill="EAF1DD" w:themeFill="accent3" w:themeFillTint="33"/>
            <w:noWrap/>
            <w:vAlign w:val="bottom"/>
          </w:tcPr>
          <w:p w:rsidR="007F35A5" w:rsidRPr="00994994" w:rsidRDefault="007F35A5" w:rsidP="006B0D58">
            <w:pPr>
              <w:jc w:val="center"/>
              <w:rPr>
                <w:sz w:val="16"/>
                <w:szCs w:val="16"/>
              </w:rPr>
            </w:pPr>
          </w:p>
        </w:tc>
        <w:tc>
          <w:tcPr>
            <w:tcW w:w="220" w:type="pct"/>
            <w:shd w:val="clear" w:color="auto" w:fill="EAF1DD" w:themeFill="accent3" w:themeFillTint="33"/>
            <w:noWrap/>
            <w:vAlign w:val="bottom"/>
          </w:tcPr>
          <w:p w:rsidR="007F35A5" w:rsidRPr="00994994" w:rsidRDefault="007F35A5" w:rsidP="006B0D58">
            <w:pPr>
              <w:jc w:val="center"/>
              <w:rPr>
                <w:sz w:val="16"/>
                <w:szCs w:val="16"/>
              </w:rPr>
            </w:pPr>
          </w:p>
        </w:tc>
        <w:tc>
          <w:tcPr>
            <w:tcW w:w="220" w:type="pct"/>
            <w:shd w:val="clear" w:color="auto" w:fill="EAF1DD" w:themeFill="accent3" w:themeFillTint="33"/>
            <w:noWrap/>
            <w:vAlign w:val="bottom"/>
          </w:tcPr>
          <w:p w:rsidR="007F35A5" w:rsidRPr="0058600B" w:rsidRDefault="007F35A5" w:rsidP="003D30CF">
            <w:pPr>
              <w:jc w:val="left"/>
              <w:rPr>
                <w:sz w:val="16"/>
                <w:szCs w:val="16"/>
              </w:rPr>
            </w:pPr>
            <w:r w:rsidRPr="0058600B">
              <w:rPr>
                <w:sz w:val="16"/>
                <w:szCs w:val="16"/>
              </w:rPr>
              <w:t>42.8</w:t>
            </w:r>
            <w:r w:rsidR="003B342F">
              <w:rPr>
                <w:sz w:val="16"/>
                <w:szCs w:val="16"/>
              </w:rPr>
              <w:t xml:space="preserve"> percent</w:t>
            </w:r>
          </w:p>
        </w:tc>
        <w:tc>
          <w:tcPr>
            <w:tcW w:w="220" w:type="pct"/>
            <w:shd w:val="clear" w:color="auto" w:fill="EAF1DD" w:themeFill="accent3" w:themeFillTint="33"/>
            <w:noWrap/>
            <w:vAlign w:val="bottom"/>
          </w:tcPr>
          <w:p w:rsidR="007F35A5" w:rsidRPr="00994994" w:rsidRDefault="007F35A5" w:rsidP="006B0D58">
            <w:pPr>
              <w:jc w:val="center"/>
              <w:rPr>
                <w:sz w:val="16"/>
                <w:szCs w:val="16"/>
              </w:rPr>
            </w:pPr>
          </w:p>
        </w:tc>
        <w:tc>
          <w:tcPr>
            <w:tcW w:w="250" w:type="pct"/>
            <w:shd w:val="clear" w:color="auto" w:fill="EAF1DD" w:themeFill="accent3" w:themeFillTint="33"/>
            <w:noWrap/>
            <w:vAlign w:val="bottom"/>
          </w:tcPr>
          <w:p w:rsidR="007F35A5" w:rsidRPr="00994994" w:rsidRDefault="007F35A5" w:rsidP="006B0D58">
            <w:pPr>
              <w:jc w:val="center"/>
              <w:rPr>
                <w:sz w:val="16"/>
                <w:szCs w:val="16"/>
              </w:rPr>
            </w:pPr>
          </w:p>
        </w:tc>
        <w:tc>
          <w:tcPr>
            <w:tcW w:w="220" w:type="pct"/>
            <w:shd w:val="clear" w:color="auto" w:fill="EAF1DD" w:themeFill="accent3" w:themeFillTint="33"/>
            <w:noWrap/>
            <w:vAlign w:val="bottom"/>
          </w:tcPr>
          <w:p w:rsidR="007F35A5" w:rsidRPr="00994994" w:rsidRDefault="007F35A5" w:rsidP="006B0D58">
            <w:pPr>
              <w:jc w:val="center"/>
              <w:rPr>
                <w:sz w:val="16"/>
                <w:szCs w:val="16"/>
              </w:rPr>
            </w:pPr>
          </w:p>
        </w:tc>
        <w:tc>
          <w:tcPr>
            <w:tcW w:w="220" w:type="pct"/>
            <w:shd w:val="clear" w:color="auto" w:fill="EAF1DD" w:themeFill="accent3" w:themeFillTint="33"/>
            <w:noWrap/>
            <w:vAlign w:val="bottom"/>
          </w:tcPr>
          <w:p w:rsidR="007F35A5" w:rsidRPr="00994994" w:rsidRDefault="007F35A5" w:rsidP="006B0D58">
            <w:pPr>
              <w:jc w:val="center"/>
              <w:rPr>
                <w:sz w:val="16"/>
                <w:szCs w:val="16"/>
              </w:rPr>
            </w:pPr>
          </w:p>
        </w:tc>
        <w:tc>
          <w:tcPr>
            <w:tcW w:w="251"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51"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 </w:t>
            </w:r>
          </w:p>
        </w:tc>
        <w:tc>
          <w:tcPr>
            <w:tcW w:w="257"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50" w:type="pct"/>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47" w:type="pct"/>
            <w:shd w:val="clear" w:color="auto" w:fill="EAF1DD" w:themeFill="accent3" w:themeFillTint="33"/>
            <w:vAlign w:val="bottom"/>
          </w:tcPr>
          <w:p w:rsidR="007F35A5" w:rsidRPr="00994994" w:rsidRDefault="007F35A5" w:rsidP="006B0D58">
            <w:pPr>
              <w:jc w:val="center"/>
              <w:rPr>
                <w:sz w:val="16"/>
                <w:szCs w:val="16"/>
              </w:rPr>
            </w:pPr>
            <w:r w:rsidRPr="0058600B">
              <w:rPr>
                <w:sz w:val="16"/>
                <w:szCs w:val="16"/>
              </w:rPr>
              <w:t>Na</w:t>
            </w:r>
          </w:p>
        </w:tc>
      </w:tr>
      <w:tr w:rsidR="0061119F" w:rsidRPr="00535202" w:rsidTr="003F7BCB">
        <w:trPr>
          <w:cantSplit/>
          <w:trHeight w:val="135"/>
          <w:jc w:val="center"/>
        </w:trPr>
        <w:tc>
          <w:tcPr>
            <w:tcW w:w="1294" w:type="pct"/>
            <w:tcBorders>
              <w:bottom w:val="single" w:sz="4" w:space="0" w:color="365F91"/>
              <w:right w:val="single" w:sz="4" w:space="0" w:color="auto"/>
            </w:tcBorders>
            <w:shd w:val="clear" w:color="auto" w:fill="EAF1DD" w:themeFill="accent3" w:themeFillTint="33"/>
            <w:noWrap/>
          </w:tcPr>
          <w:p w:rsidR="007F35A5" w:rsidRPr="00994994" w:rsidRDefault="007F35A5" w:rsidP="00A04AE6">
            <w:pPr>
              <w:jc w:val="left"/>
              <w:rPr>
                <w:sz w:val="16"/>
                <w:szCs w:val="16"/>
              </w:rPr>
            </w:pPr>
            <w:r w:rsidRPr="00994994">
              <w:rPr>
                <w:sz w:val="16"/>
                <w:szCs w:val="16"/>
              </w:rPr>
              <w:t xml:space="preserve">Population Growth (annual </w:t>
            </w:r>
            <w:r w:rsidR="003B342F">
              <w:rPr>
                <w:sz w:val="16"/>
                <w:szCs w:val="16"/>
              </w:rPr>
              <w:t xml:space="preserve"> percent</w:t>
            </w:r>
            <w:r w:rsidRPr="00994994">
              <w:rPr>
                <w:sz w:val="16"/>
                <w:szCs w:val="16"/>
              </w:rPr>
              <w:t>)</w:t>
            </w:r>
          </w:p>
        </w:tc>
        <w:tc>
          <w:tcPr>
            <w:tcW w:w="220" w:type="pct"/>
            <w:tcBorders>
              <w:left w:val="single" w:sz="4" w:space="0" w:color="auto"/>
              <w:bottom w:val="single" w:sz="4" w:space="0" w:color="365F91"/>
            </w:tcBorders>
            <w:shd w:val="clear" w:color="auto" w:fill="EAF1DD" w:themeFill="accent3" w:themeFillTint="33"/>
            <w:vAlign w:val="bottom"/>
          </w:tcPr>
          <w:p w:rsidR="007F35A5" w:rsidRPr="00994994" w:rsidRDefault="007F35A5" w:rsidP="006B0D58">
            <w:pPr>
              <w:jc w:val="center"/>
              <w:rPr>
                <w:sz w:val="16"/>
                <w:szCs w:val="16"/>
              </w:rPr>
            </w:pPr>
            <w:r w:rsidRPr="0058600B">
              <w:rPr>
                <w:sz w:val="16"/>
                <w:szCs w:val="16"/>
              </w:rPr>
              <w:t>2.6</w:t>
            </w:r>
          </w:p>
        </w:tc>
        <w:tc>
          <w:tcPr>
            <w:tcW w:w="22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2.6</w:t>
            </w:r>
          </w:p>
        </w:tc>
        <w:tc>
          <w:tcPr>
            <w:tcW w:w="22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2.6</w:t>
            </w:r>
          </w:p>
        </w:tc>
        <w:tc>
          <w:tcPr>
            <w:tcW w:w="22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2.6</w:t>
            </w:r>
          </w:p>
        </w:tc>
        <w:tc>
          <w:tcPr>
            <w:tcW w:w="22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2.6</w:t>
            </w:r>
          </w:p>
        </w:tc>
        <w:tc>
          <w:tcPr>
            <w:tcW w:w="22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2.6</w:t>
            </w:r>
          </w:p>
        </w:tc>
        <w:tc>
          <w:tcPr>
            <w:tcW w:w="22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2.6</w:t>
            </w:r>
          </w:p>
        </w:tc>
        <w:tc>
          <w:tcPr>
            <w:tcW w:w="22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2.6</w:t>
            </w:r>
          </w:p>
        </w:tc>
        <w:tc>
          <w:tcPr>
            <w:tcW w:w="25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2.6</w:t>
            </w:r>
          </w:p>
        </w:tc>
        <w:tc>
          <w:tcPr>
            <w:tcW w:w="22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2.6</w:t>
            </w:r>
          </w:p>
        </w:tc>
        <w:tc>
          <w:tcPr>
            <w:tcW w:w="22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2.6</w:t>
            </w:r>
          </w:p>
        </w:tc>
        <w:tc>
          <w:tcPr>
            <w:tcW w:w="251"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2.6</w:t>
            </w:r>
          </w:p>
        </w:tc>
        <w:tc>
          <w:tcPr>
            <w:tcW w:w="251"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2.6</w:t>
            </w:r>
          </w:p>
        </w:tc>
        <w:tc>
          <w:tcPr>
            <w:tcW w:w="257"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2.6</w:t>
            </w:r>
          </w:p>
        </w:tc>
        <w:tc>
          <w:tcPr>
            <w:tcW w:w="25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2.6</w:t>
            </w:r>
          </w:p>
        </w:tc>
        <w:tc>
          <w:tcPr>
            <w:tcW w:w="247" w:type="pct"/>
            <w:tcBorders>
              <w:bottom w:val="single" w:sz="4" w:space="0" w:color="365F91"/>
            </w:tcBorders>
            <w:shd w:val="clear" w:color="auto" w:fill="EAF1DD" w:themeFill="accent3" w:themeFillTint="33"/>
            <w:vAlign w:val="bottom"/>
          </w:tcPr>
          <w:p w:rsidR="007F35A5" w:rsidRPr="00994994" w:rsidRDefault="007F35A5" w:rsidP="006B0D58">
            <w:pPr>
              <w:jc w:val="center"/>
              <w:rPr>
                <w:sz w:val="16"/>
                <w:szCs w:val="16"/>
              </w:rPr>
            </w:pPr>
            <w:r w:rsidRPr="0058600B">
              <w:rPr>
                <w:sz w:val="16"/>
                <w:szCs w:val="16"/>
              </w:rPr>
              <w:t>2.6</w:t>
            </w:r>
          </w:p>
        </w:tc>
      </w:tr>
      <w:tr w:rsidR="0061119F" w:rsidRPr="00535202" w:rsidTr="003F7BCB">
        <w:trPr>
          <w:cantSplit/>
          <w:trHeight w:val="135"/>
          <w:jc w:val="center"/>
        </w:trPr>
        <w:tc>
          <w:tcPr>
            <w:tcW w:w="1294" w:type="pct"/>
            <w:tcBorders>
              <w:bottom w:val="single" w:sz="4" w:space="0" w:color="365F91"/>
              <w:right w:val="single" w:sz="4" w:space="0" w:color="auto"/>
            </w:tcBorders>
            <w:shd w:val="clear" w:color="auto" w:fill="EAF1DD" w:themeFill="accent3" w:themeFillTint="33"/>
            <w:noWrap/>
            <w:hideMark/>
          </w:tcPr>
          <w:p w:rsidR="007F35A5" w:rsidRPr="00994994" w:rsidRDefault="007F35A5" w:rsidP="00A04AE6">
            <w:pPr>
              <w:jc w:val="left"/>
              <w:rPr>
                <w:sz w:val="16"/>
                <w:szCs w:val="16"/>
              </w:rPr>
            </w:pPr>
            <w:r w:rsidRPr="00994994">
              <w:rPr>
                <w:sz w:val="16"/>
                <w:szCs w:val="16"/>
              </w:rPr>
              <w:t>Life Expectancy</w:t>
            </w:r>
          </w:p>
        </w:tc>
        <w:tc>
          <w:tcPr>
            <w:tcW w:w="220" w:type="pct"/>
            <w:tcBorders>
              <w:left w:val="single" w:sz="4" w:space="0" w:color="auto"/>
              <w:bottom w:val="single" w:sz="4" w:space="0" w:color="365F91"/>
            </w:tcBorders>
            <w:shd w:val="clear" w:color="auto" w:fill="EAF1DD" w:themeFill="accent3" w:themeFillTint="33"/>
            <w:vAlign w:val="bottom"/>
          </w:tcPr>
          <w:p w:rsidR="007F35A5" w:rsidRPr="00994994" w:rsidRDefault="007F35A5" w:rsidP="006B0D58">
            <w:pPr>
              <w:jc w:val="center"/>
              <w:rPr>
                <w:sz w:val="16"/>
                <w:szCs w:val="16"/>
              </w:rPr>
            </w:pPr>
            <w:r w:rsidRPr="0058600B">
              <w:rPr>
                <w:sz w:val="16"/>
                <w:szCs w:val="16"/>
              </w:rPr>
              <w:t>57.9</w:t>
            </w:r>
          </w:p>
        </w:tc>
        <w:tc>
          <w:tcPr>
            <w:tcW w:w="22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57.6</w:t>
            </w:r>
          </w:p>
        </w:tc>
        <w:tc>
          <w:tcPr>
            <w:tcW w:w="22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57.2</w:t>
            </w:r>
          </w:p>
        </w:tc>
        <w:tc>
          <w:tcPr>
            <w:tcW w:w="22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56.9</w:t>
            </w:r>
          </w:p>
        </w:tc>
        <w:tc>
          <w:tcPr>
            <w:tcW w:w="22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56.7</w:t>
            </w:r>
          </w:p>
        </w:tc>
        <w:tc>
          <w:tcPr>
            <w:tcW w:w="22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56.5</w:t>
            </w:r>
          </w:p>
        </w:tc>
        <w:tc>
          <w:tcPr>
            <w:tcW w:w="22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56.5</w:t>
            </w:r>
          </w:p>
        </w:tc>
        <w:tc>
          <w:tcPr>
            <w:tcW w:w="22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56.5</w:t>
            </w:r>
          </w:p>
        </w:tc>
        <w:tc>
          <w:tcPr>
            <w:tcW w:w="25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56.6</w:t>
            </w:r>
          </w:p>
        </w:tc>
        <w:tc>
          <w:tcPr>
            <w:tcW w:w="22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56.8</w:t>
            </w:r>
          </w:p>
        </w:tc>
        <w:tc>
          <w:tcPr>
            <w:tcW w:w="22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60.6</w:t>
            </w:r>
          </w:p>
        </w:tc>
        <w:tc>
          <w:tcPr>
            <w:tcW w:w="251"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64.2</w:t>
            </w:r>
          </w:p>
        </w:tc>
        <w:tc>
          <w:tcPr>
            <w:tcW w:w="251"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57.8</w:t>
            </w:r>
          </w:p>
        </w:tc>
        <w:tc>
          <w:tcPr>
            <w:tcW w:w="257"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64.6</w:t>
            </w:r>
          </w:p>
        </w:tc>
        <w:tc>
          <w:tcPr>
            <w:tcW w:w="250" w:type="pct"/>
            <w:tcBorders>
              <w:bottom w:val="single" w:sz="4" w:space="0" w:color="365F91"/>
            </w:tcBorders>
            <w:shd w:val="clear" w:color="auto" w:fill="EAF1DD" w:themeFill="accent3" w:themeFillTint="33"/>
            <w:noWrap/>
            <w:vAlign w:val="bottom"/>
          </w:tcPr>
          <w:p w:rsidR="007F35A5" w:rsidRPr="00994994" w:rsidRDefault="007F35A5" w:rsidP="006B0D58">
            <w:pPr>
              <w:jc w:val="center"/>
              <w:rPr>
                <w:sz w:val="16"/>
                <w:szCs w:val="16"/>
              </w:rPr>
            </w:pPr>
            <w:r w:rsidRPr="0058600B">
              <w:rPr>
                <w:sz w:val="16"/>
                <w:szCs w:val="16"/>
              </w:rPr>
              <w:t>Na</w:t>
            </w:r>
          </w:p>
        </w:tc>
        <w:tc>
          <w:tcPr>
            <w:tcW w:w="247" w:type="pct"/>
            <w:tcBorders>
              <w:bottom w:val="single" w:sz="4" w:space="0" w:color="365F91"/>
            </w:tcBorders>
            <w:shd w:val="clear" w:color="auto" w:fill="EAF1DD" w:themeFill="accent3" w:themeFillTint="33"/>
            <w:vAlign w:val="bottom"/>
          </w:tcPr>
          <w:p w:rsidR="007F35A5" w:rsidRPr="00994994" w:rsidRDefault="007F35A5" w:rsidP="006B0D58">
            <w:pPr>
              <w:jc w:val="center"/>
              <w:rPr>
                <w:sz w:val="16"/>
                <w:szCs w:val="16"/>
              </w:rPr>
            </w:pPr>
            <w:r w:rsidRPr="0058600B">
              <w:rPr>
                <w:sz w:val="16"/>
                <w:szCs w:val="16"/>
              </w:rPr>
              <w:t>Na</w:t>
            </w:r>
          </w:p>
        </w:tc>
      </w:tr>
      <w:tr w:rsidR="0061119F" w:rsidRPr="00535202" w:rsidTr="003F7BCB">
        <w:trPr>
          <w:cantSplit/>
          <w:trHeight w:val="135"/>
          <w:jc w:val="center"/>
        </w:trPr>
        <w:tc>
          <w:tcPr>
            <w:tcW w:w="1294" w:type="pct"/>
            <w:tcBorders>
              <w:right w:val="single" w:sz="4" w:space="0" w:color="auto"/>
            </w:tcBorders>
            <w:shd w:val="clear" w:color="auto" w:fill="EAF1DD" w:themeFill="accent3" w:themeFillTint="33"/>
            <w:noWrap/>
            <w:hideMark/>
          </w:tcPr>
          <w:p w:rsidR="00C7201E" w:rsidRPr="00994994" w:rsidRDefault="00C7201E">
            <w:pPr>
              <w:spacing w:line="276" w:lineRule="auto"/>
              <w:jc w:val="left"/>
              <w:rPr>
                <w:rFonts w:cs="Arial"/>
                <w:sz w:val="16"/>
                <w:szCs w:val="16"/>
              </w:rPr>
            </w:pPr>
            <w:r w:rsidRPr="00994994">
              <w:rPr>
                <w:rFonts w:cs="Arial Narrow"/>
                <w:b/>
                <w:bCs/>
                <w:color w:val="000000"/>
                <w:sz w:val="16"/>
                <w:szCs w:val="16"/>
              </w:rPr>
              <w:t xml:space="preserve">Other Indicators </w:t>
            </w:r>
          </w:p>
        </w:tc>
        <w:tc>
          <w:tcPr>
            <w:tcW w:w="220" w:type="pct"/>
            <w:tcBorders>
              <w:left w:val="single" w:sz="4" w:space="0" w:color="auto"/>
            </w:tcBorders>
            <w:shd w:val="clear" w:color="auto" w:fill="EAF1DD" w:themeFill="accent3" w:themeFillTint="33"/>
          </w:tcPr>
          <w:p w:rsidR="00C7201E" w:rsidRPr="00994994" w:rsidRDefault="00C7201E" w:rsidP="005E4563">
            <w:pPr>
              <w:spacing w:line="276" w:lineRule="auto"/>
              <w:jc w:val="left"/>
              <w:rPr>
                <w:rFonts w:cs="Arial"/>
                <w:sz w:val="16"/>
                <w:szCs w:val="16"/>
              </w:rPr>
            </w:pPr>
          </w:p>
        </w:tc>
        <w:tc>
          <w:tcPr>
            <w:tcW w:w="220" w:type="pct"/>
            <w:shd w:val="clear" w:color="auto" w:fill="EAF1DD" w:themeFill="accent3" w:themeFillTint="33"/>
            <w:noWrap/>
          </w:tcPr>
          <w:p w:rsidR="00C7201E" w:rsidRPr="00994994" w:rsidRDefault="00C7201E">
            <w:pPr>
              <w:jc w:val="right"/>
              <w:rPr>
                <w:rFonts w:cs="Arial"/>
                <w:sz w:val="16"/>
                <w:szCs w:val="16"/>
              </w:rPr>
            </w:pPr>
          </w:p>
        </w:tc>
        <w:tc>
          <w:tcPr>
            <w:tcW w:w="220" w:type="pct"/>
            <w:shd w:val="clear" w:color="auto" w:fill="EAF1DD" w:themeFill="accent3" w:themeFillTint="33"/>
            <w:noWrap/>
          </w:tcPr>
          <w:p w:rsidR="00C7201E" w:rsidRPr="00994994" w:rsidRDefault="00C7201E">
            <w:pPr>
              <w:jc w:val="right"/>
              <w:rPr>
                <w:rFonts w:cs="Arial"/>
                <w:sz w:val="16"/>
                <w:szCs w:val="16"/>
              </w:rPr>
            </w:pPr>
          </w:p>
        </w:tc>
        <w:tc>
          <w:tcPr>
            <w:tcW w:w="220" w:type="pct"/>
            <w:shd w:val="clear" w:color="auto" w:fill="EAF1DD" w:themeFill="accent3" w:themeFillTint="33"/>
            <w:noWrap/>
          </w:tcPr>
          <w:p w:rsidR="00C7201E" w:rsidRPr="00994994" w:rsidRDefault="00C7201E">
            <w:pPr>
              <w:jc w:val="right"/>
              <w:rPr>
                <w:rFonts w:cs="Arial"/>
                <w:sz w:val="16"/>
                <w:szCs w:val="16"/>
              </w:rPr>
            </w:pPr>
          </w:p>
        </w:tc>
        <w:tc>
          <w:tcPr>
            <w:tcW w:w="220" w:type="pct"/>
            <w:shd w:val="clear" w:color="auto" w:fill="EAF1DD" w:themeFill="accent3" w:themeFillTint="33"/>
            <w:noWrap/>
          </w:tcPr>
          <w:p w:rsidR="00C7201E" w:rsidRPr="00994994" w:rsidRDefault="00C7201E">
            <w:pPr>
              <w:jc w:val="right"/>
              <w:rPr>
                <w:rFonts w:cs="Arial"/>
                <w:sz w:val="16"/>
                <w:szCs w:val="16"/>
              </w:rPr>
            </w:pPr>
          </w:p>
        </w:tc>
        <w:tc>
          <w:tcPr>
            <w:tcW w:w="220" w:type="pct"/>
            <w:shd w:val="clear" w:color="auto" w:fill="EAF1DD" w:themeFill="accent3" w:themeFillTint="33"/>
            <w:noWrap/>
          </w:tcPr>
          <w:p w:rsidR="00C7201E" w:rsidRPr="00994994" w:rsidRDefault="00C7201E">
            <w:pPr>
              <w:jc w:val="right"/>
              <w:rPr>
                <w:rFonts w:cs="Arial"/>
                <w:sz w:val="16"/>
                <w:szCs w:val="16"/>
              </w:rPr>
            </w:pPr>
          </w:p>
        </w:tc>
        <w:tc>
          <w:tcPr>
            <w:tcW w:w="220" w:type="pct"/>
            <w:shd w:val="clear" w:color="auto" w:fill="EAF1DD" w:themeFill="accent3" w:themeFillTint="33"/>
            <w:noWrap/>
          </w:tcPr>
          <w:p w:rsidR="00C7201E" w:rsidRPr="00994994" w:rsidRDefault="00C7201E">
            <w:pPr>
              <w:jc w:val="right"/>
              <w:rPr>
                <w:rFonts w:cs="Arial"/>
                <w:sz w:val="16"/>
                <w:szCs w:val="16"/>
              </w:rPr>
            </w:pPr>
          </w:p>
        </w:tc>
        <w:tc>
          <w:tcPr>
            <w:tcW w:w="220" w:type="pct"/>
            <w:shd w:val="clear" w:color="auto" w:fill="EAF1DD" w:themeFill="accent3" w:themeFillTint="33"/>
            <w:noWrap/>
          </w:tcPr>
          <w:p w:rsidR="00C7201E" w:rsidRPr="00994994" w:rsidRDefault="00C7201E">
            <w:pPr>
              <w:jc w:val="right"/>
              <w:rPr>
                <w:rFonts w:cs="Arial"/>
                <w:sz w:val="16"/>
                <w:szCs w:val="16"/>
              </w:rPr>
            </w:pPr>
          </w:p>
        </w:tc>
        <w:tc>
          <w:tcPr>
            <w:tcW w:w="250" w:type="pct"/>
            <w:shd w:val="clear" w:color="auto" w:fill="EAF1DD" w:themeFill="accent3" w:themeFillTint="33"/>
            <w:noWrap/>
          </w:tcPr>
          <w:p w:rsidR="00C7201E" w:rsidRPr="00994994" w:rsidRDefault="00C7201E">
            <w:pPr>
              <w:jc w:val="right"/>
              <w:rPr>
                <w:rFonts w:cs="Arial"/>
                <w:sz w:val="16"/>
                <w:szCs w:val="16"/>
              </w:rPr>
            </w:pPr>
          </w:p>
        </w:tc>
        <w:tc>
          <w:tcPr>
            <w:tcW w:w="220" w:type="pct"/>
            <w:shd w:val="clear" w:color="auto" w:fill="EAF1DD" w:themeFill="accent3" w:themeFillTint="33"/>
            <w:noWrap/>
          </w:tcPr>
          <w:p w:rsidR="00C7201E" w:rsidRPr="00994994" w:rsidRDefault="00C7201E">
            <w:pPr>
              <w:jc w:val="right"/>
              <w:rPr>
                <w:rFonts w:cs="Arial"/>
                <w:sz w:val="16"/>
                <w:szCs w:val="16"/>
              </w:rPr>
            </w:pPr>
          </w:p>
        </w:tc>
        <w:tc>
          <w:tcPr>
            <w:tcW w:w="220" w:type="pct"/>
            <w:shd w:val="clear" w:color="auto" w:fill="EAF1DD" w:themeFill="accent3" w:themeFillTint="33"/>
            <w:noWrap/>
          </w:tcPr>
          <w:p w:rsidR="00C7201E" w:rsidRPr="00994994" w:rsidRDefault="00C7201E">
            <w:pPr>
              <w:jc w:val="right"/>
              <w:rPr>
                <w:rFonts w:cs="Arial"/>
                <w:sz w:val="16"/>
                <w:szCs w:val="16"/>
              </w:rPr>
            </w:pPr>
          </w:p>
        </w:tc>
        <w:tc>
          <w:tcPr>
            <w:tcW w:w="251" w:type="pct"/>
            <w:shd w:val="clear" w:color="auto" w:fill="EAF1DD" w:themeFill="accent3" w:themeFillTint="33"/>
            <w:noWrap/>
          </w:tcPr>
          <w:p w:rsidR="00C7201E" w:rsidRPr="00994994" w:rsidRDefault="00C7201E">
            <w:pPr>
              <w:jc w:val="right"/>
              <w:rPr>
                <w:rFonts w:cs="Arial"/>
                <w:sz w:val="16"/>
                <w:szCs w:val="16"/>
              </w:rPr>
            </w:pPr>
          </w:p>
        </w:tc>
        <w:tc>
          <w:tcPr>
            <w:tcW w:w="251" w:type="pct"/>
            <w:shd w:val="clear" w:color="auto" w:fill="EAF1DD" w:themeFill="accent3" w:themeFillTint="33"/>
            <w:noWrap/>
          </w:tcPr>
          <w:p w:rsidR="00C7201E" w:rsidRPr="00994994" w:rsidRDefault="00C7201E">
            <w:pPr>
              <w:jc w:val="right"/>
              <w:rPr>
                <w:rFonts w:cs="Arial"/>
                <w:sz w:val="16"/>
                <w:szCs w:val="16"/>
              </w:rPr>
            </w:pPr>
          </w:p>
        </w:tc>
        <w:tc>
          <w:tcPr>
            <w:tcW w:w="257" w:type="pct"/>
            <w:shd w:val="clear" w:color="auto" w:fill="EAF1DD" w:themeFill="accent3" w:themeFillTint="33"/>
            <w:noWrap/>
          </w:tcPr>
          <w:p w:rsidR="00C7201E" w:rsidRPr="00994994" w:rsidRDefault="00C7201E">
            <w:pPr>
              <w:jc w:val="right"/>
              <w:rPr>
                <w:rFonts w:cs="Arial"/>
                <w:sz w:val="16"/>
                <w:szCs w:val="16"/>
              </w:rPr>
            </w:pPr>
          </w:p>
        </w:tc>
        <w:tc>
          <w:tcPr>
            <w:tcW w:w="250" w:type="pct"/>
            <w:shd w:val="clear" w:color="auto" w:fill="EAF1DD" w:themeFill="accent3" w:themeFillTint="33"/>
            <w:noWrap/>
          </w:tcPr>
          <w:p w:rsidR="00C7201E" w:rsidRPr="00994994" w:rsidRDefault="00C7201E">
            <w:pPr>
              <w:jc w:val="right"/>
              <w:rPr>
                <w:rFonts w:cs="Arial"/>
                <w:sz w:val="16"/>
                <w:szCs w:val="16"/>
              </w:rPr>
            </w:pPr>
          </w:p>
        </w:tc>
        <w:tc>
          <w:tcPr>
            <w:tcW w:w="247" w:type="pct"/>
            <w:shd w:val="clear" w:color="auto" w:fill="EAF1DD" w:themeFill="accent3" w:themeFillTint="33"/>
          </w:tcPr>
          <w:p w:rsidR="00C7201E" w:rsidRPr="00994994" w:rsidRDefault="00C7201E">
            <w:pPr>
              <w:jc w:val="right"/>
              <w:rPr>
                <w:rFonts w:cs="Arial"/>
                <w:sz w:val="16"/>
                <w:szCs w:val="16"/>
              </w:rPr>
            </w:pP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 xml:space="preserve">GDP (current LCU, billions) </w:t>
            </w:r>
          </w:p>
        </w:tc>
        <w:tc>
          <w:tcPr>
            <w:tcW w:w="220" w:type="pct"/>
            <w:tcBorders>
              <w:left w:val="single" w:sz="4" w:space="0" w:color="auto"/>
            </w:tcBorders>
            <w:shd w:val="clear" w:color="auto" w:fill="EAF1DD" w:themeFill="accent3" w:themeFillTint="33"/>
            <w:vAlign w:val="bottom"/>
          </w:tcPr>
          <w:p w:rsidR="001C043A" w:rsidRPr="00994994" w:rsidRDefault="001C043A" w:rsidP="00A04AE6">
            <w:pPr>
              <w:jc w:val="center"/>
              <w:rPr>
                <w:sz w:val="16"/>
                <w:szCs w:val="16"/>
              </w:rPr>
            </w:pPr>
            <w:r w:rsidRPr="0058600B">
              <w:rPr>
                <w:sz w:val="16"/>
                <w:szCs w:val="16"/>
              </w:rPr>
              <w:t>4.0</w:t>
            </w:r>
          </w:p>
        </w:tc>
        <w:tc>
          <w:tcPr>
            <w:tcW w:w="220"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5.3</w:t>
            </w:r>
          </w:p>
        </w:tc>
        <w:tc>
          <w:tcPr>
            <w:tcW w:w="220"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7.5</w:t>
            </w:r>
          </w:p>
        </w:tc>
        <w:tc>
          <w:tcPr>
            <w:tcW w:w="220"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9.7</w:t>
            </w:r>
          </w:p>
        </w:tc>
        <w:tc>
          <w:tcPr>
            <w:tcW w:w="220"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13.1</w:t>
            </w:r>
          </w:p>
        </w:tc>
        <w:tc>
          <w:tcPr>
            <w:tcW w:w="220"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15.8</w:t>
            </w:r>
          </w:p>
        </w:tc>
        <w:tc>
          <w:tcPr>
            <w:tcW w:w="220"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18.7</w:t>
            </w:r>
          </w:p>
        </w:tc>
        <w:tc>
          <w:tcPr>
            <w:tcW w:w="220"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23.2</w:t>
            </w:r>
          </w:p>
        </w:tc>
        <w:tc>
          <w:tcPr>
            <w:tcW w:w="250"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30.2</w:t>
            </w:r>
          </w:p>
        </w:tc>
        <w:tc>
          <w:tcPr>
            <w:tcW w:w="220"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36.6</w:t>
            </w:r>
          </w:p>
        </w:tc>
        <w:tc>
          <w:tcPr>
            <w:tcW w:w="220"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46.0</w:t>
            </w:r>
          </w:p>
        </w:tc>
        <w:tc>
          <w:tcPr>
            <w:tcW w:w="251"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59.8</w:t>
            </w:r>
          </w:p>
        </w:tc>
        <w:tc>
          <w:tcPr>
            <w:tcW w:w="251"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22.5</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75.0</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93.5</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114.8</w:t>
            </w:r>
          </w:p>
        </w:tc>
      </w:tr>
      <w:tr w:rsidR="001C043A"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1C043A" w:rsidRPr="00994994" w:rsidRDefault="001C043A">
            <w:pPr>
              <w:rPr>
                <w:sz w:val="16"/>
                <w:szCs w:val="16"/>
              </w:rPr>
            </w:pPr>
            <w:r w:rsidRPr="00994994">
              <w:rPr>
                <w:sz w:val="16"/>
                <w:szCs w:val="16"/>
              </w:rPr>
              <w:t xml:space="preserve">GDP (current US$, billions) </w:t>
            </w:r>
          </w:p>
        </w:tc>
        <w:tc>
          <w:tcPr>
            <w:tcW w:w="220" w:type="pct"/>
            <w:tcBorders>
              <w:left w:val="single" w:sz="4" w:space="0" w:color="auto"/>
            </w:tcBorders>
            <w:shd w:val="clear" w:color="auto" w:fill="EAF1DD" w:themeFill="accent3" w:themeFillTint="33"/>
            <w:vAlign w:val="bottom"/>
          </w:tcPr>
          <w:p w:rsidR="001C043A" w:rsidRPr="00994994" w:rsidRDefault="001C043A" w:rsidP="00A04AE6">
            <w:pPr>
              <w:jc w:val="center"/>
              <w:rPr>
                <w:sz w:val="16"/>
                <w:szCs w:val="16"/>
              </w:rPr>
            </w:pPr>
            <w:r w:rsidRPr="0058600B">
              <w:rPr>
                <w:sz w:val="16"/>
                <w:szCs w:val="16"/>
              </w:rPr>
              <w:t>7.4</w:t>
            </w:r>
          </w:p>
        </w:tc>
        <w:tc>
          <w:tcPr>
            <w:tcW w:w="220"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7.4</w:t>
            </w:r>
          </w:p>
        </w:tc>
        <w:tc>
          <w:tcPr>
            <w:tcW w:w="220"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9.5</w:t>
            </w:r>
          </w:p>
        </w:tc>
        <w:tc>
          <w:tcPr>
            <w:tcW w:w="220"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11.2</w:t>
            </w:r>
          </w:p>
        </w:tc>
        <w:tc>
          <w:tcPr>
            <w:tcW w:w="220"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14.6</w:t>
            </w:r>
          </w:p>
        </w:tc>
        <w:tc>
          <w:tcPr>
            <w:tcW w:w="220"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17.4</w:t>
            </w:r>
          </w:p>
        </w:tc>
        <w:tc>
          <w:tcPr>
            <w:tcW w:w="220"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20.4</w:t>
            </w:r>
          </w:p>
        </w:tc>
        <w:tc>
          <w:tcPr>
            <w:tcW w:w="220"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24.8</w:t>
            </w:r>
          </w:p>
        </w:tc>
        <w:tc>
          <w:tcPr>
            <w:tcW w:w="250"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28.5</w:t>
            </w:r>
          </w:p>
        </w:tc>
        <w:tc>
          <w:tcPr>
            <w:tcW w:w="220"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25.8</w:t>
            </w:r>
          </w:p>
        </w:tc>
        <w:tc>
          <w:tcPr>
            <w:tcW w:w="220"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32.2</w:t>
            </w:r>
          </w:p>
        </w:tc>
        <w:tc>
          <w:tcPr>
            <w:tcW w:w="251"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38.8</w:t>
            </w:r>
          </w:p>
        </w:tc>
        <w:tc>
          <w:tcPr>
            <w:tcW w:w="251" w:type="pct"/>
            <w:shd w:val="clear" w:color="auto" w:fill="EAF1DD" w:themeFill="accent3" w:themeFillTint="33"/>
            <w:noWrap/>
            <w:vAlign w:val="bottom"/>
          </w:tcPr>
          <w:p w:rsidR="001C043A" w:rsidRPr="00994994" w:rsidRDefault="001C043A" w:rsidP="00A04AE6">
            <w:pPr>
              <w:jc w:val="center"/>
              <w:rPr>
                <w:sz w:val="16"/>
                <w:szCs w:val="16"/>
              </w:rPr>
            </w:pPr>
            <w:r w:rsidRPr="0058600B">
              <w:rPr>
                <w:sz w:val="16"/>
                <w:szCs w:val="16"/>
              </w:rPr>
              <w:t>19.8</w:t>
            </w:r>
          </w:p>
        </w:tc>
        <w:tc>
          <w:tcPr>
            <w:tcW w:w="257"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40.0</w:t>
            </w:r>
          </w:p>
        </w:tc>
        <w:tc>
          <w:tcPr>
            <w:tcW w:w="250" w:type="pct"/>
            <w:shd w:val="clear" w:color="auto" w:fill="EAF1DD" w:themeFill="accent3" w:themeFillTint="33"/>
            <w:noWrap/>
            <w:vAlign w:val="bottom"/>
          </w:tcPr>
          <w:p w:rsidR="001C043A" w:rsidRPr="001C043A" w:rsidRDefault="001C043A">
            <w:pPr>
              <w:jc w:val="center"/>
              <w:rPr>
                <w:sz w:val="16"/>
                <w:szCs w:val="16"/>
              </w:rPr>
            </w:pPr>
            <w:r w:rsidRPr="001C043A">
              <w:rPr>
                <w:sz w:val="16"/>
                <w:szCs w:val="16"/>
              </w:rPr>
              <w:t>47.7</w:t>
            </w:r>
          </w:p>
        </w:tc>
        <w:tc>
          <w:tcPr>
            <w:tcW w:w="247" w:type="pct"/>
            <w:shd w:val="clear" w:color="auto" w:fill="EAF1DD" w:themeFill="accent3" w:themeFillTint="33"/>
            <w:vAlign w:val="bottom"/>
          </w:tcPr>
          <w:p w:rsidR="001C043A" w:rsidRPr="001C043A" w:rsidRDefault="001C043A">
            <w:pPr>
              <w:jc w:val="center"/>
              <w:rPr>
                <w:sz w:val="16"/>
                <w:szCs w:val="16"/>
              </w:rPr>
            </w:pPr>
            <w:r w:rsidRPr="001C043A">
              <w:rPr>
                <w:sz w:val="16"/>
                <w:szCs w:val="16"/>
              </w:rPr>
              <w:t>34.6</w:t>
            </w:r>
          </w:p>
        </w:tc>
      </w:tr>
      <w:tr w:rsidR="0061119F"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7F35A5" w:rsidRPr="00994994" w:rsidRDefault="007F35A5">
            <w:pPr>
              <w:rPr>
                <w:sz w:val="16"/>
                <w:szCs w:val="16"/>
              </w:rPr>
            </w:pPr>
            <w:r w:rsidRPr="00994994">
              <w:rPr>
                <w:sz w:val="16"/>
                <w:szCs w:val="16"/>
              </w:rPr>
              <w:t>Doing Business Rank 2/</w:t>
            </w:r>
          </w:p>
        </w:tc>
        <w:tc>
          <w:tcPr>
            <w:tcW w:w="220" w:type="pct"/>
            <w:tcBorders>
              <w:left w:val="single" w:sz="4" w:space="0" w:color="auto"/>
            </w:tcBorders>
            <w:shd w:val="clear" w:color="auto" w:fill="EAF1DD" w:themeFill="accent3" w:themeFillTint="33"/>
            <w:vAlign w:val="bottom"/>
          </w:tcPr>
          <w:p w:rsidR="007F35A5" w:rsidRPr="00994994" w:rsidRDefault="007F35A5"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102.0</w:t>
            </w:r>
          </w:p>
        </w:tc>
        <w:tc>
          <w:tcPr>
            <w:tcW w:w="220"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94.0</w:t>
            </w:r>
          </w:p>
        </w:tc>
        <w:tc>
          <w:tcPr>
            <w:tcW w:w="220"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82</w:t>
            </w:r>
          </w:p>
        </w:tc>
        <w:tc>
          <w:tcPr>
            <w:tcW w:w="250"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87</w:t>
            </w:r>
          </w:p>
        </w:tc>
        <w:tc>
          <w:tcPr>
            <w:tcW w:w="220"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97</w:t>
            </w:r>
          </w:p>
        </w:tc>
        <w:tc>
          <w:tcPr>
            <w:tcW w:w="220"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77</w:t>
            </w:r>
          </w:p>
        </w:tc>
        <w:tc>
          <w:tcPr>
            <w:tcW w:w="251"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67.0</w:t>
            </w:r>
          </w:p>
        </w:tc>
        <w:tc>
          <w:tcPr>
            <w:tcW w:w="251"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Na</w:t>
            </w:r>
          </w:p>
        </w:tc>
        <w:tc>
          <w:tcPr>
            <w:tcW w:w="257"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Na</w:t>
            </w:r>
          </w:p>
        </w:tc>
        <w:tc>
          <w:tcPr>
            <w:tcW w:w="250"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Na</w:t>
            </w:r>
          </w:p>
        </w:tc>
        <w:tc>
          <w:tcPr>
            <w:tcW w:w="247" w:type="pct"/>
            <w:shd w:val="clear" w:color="auto" w:fill="EAF1DD" w:themeFill="accent3" w:themeFillTint="33"/>
            <w:vAlign w:val="bottom"/>
          </w:tcPr>
          <w:p w:rsidR="007F35A5" w:rsidRPr="00994994" w:rsidRDefault="007F35A5" w:rsidP="00A04AE6">
            <w:pPr>
              <w:jc w:val="center"/>
              <w:rPr>
                <w:sz w:val="16"/>
                <w:szCs w:val="16"/>
              </w:rPr>
            </w:pPr>
            <w:r w:rsidRPr="0058600B">
              <w:rPr>
                <w:sz w:val="16"/>
                <w:szCs w:val="16"/>
              </w:rPr>
              <w:t>Na</w:t>
            </w:r>
          </w:p>
        </w:tc>
      </w:tr>
      <w:tr w:rsidR="0061119F" w:rsidRPr="00535202" w:rsidTr="003F7BCB">
        <w:trPr>
          <w:cantSplit/>
          <w:trHeight w:val="194"/>
          <w:jc w:val="center"/>
        </w:trPr>
        <w:tc>
          <w:tcPr>
            <w:tcW w:w="1294" w:type="pct"/>
            <w:tcBorders>
              <w:right w:val="single" w:sz="4" w:space="0" w:color="auto"/>
            </w:tcBorders>
            <w:shd w:val="clear" w:color="auto" w:fill="EAF1DD" w:themeFill="accent3" w:themeFillTint="33"/>
            <w:noWrap/>
            <w:vAlign w:val="bottom"/>
          </w:tcPr>
          <w:p w:rsidR="007F35A5" w:rsidRPr="00994994" w:rsidRDefault="007F35A5">
            <w:pPr>
              <w:rPr>
                <w:color w:val="000000"/>
                <w:sz w:val="16"/>
                <w:szCs w:val="16"/>
              </w:rPr>
            </w:pPr>
            <w:r w:rsidRPr="00994994">
              <w:rPr>
                <w:color w:val="000000"/>
                <w:sz w:val="16"/>
                <w:szCs w:val="16"/>
              </w:rPr>
              <w:t>HDI (Human Development Index) ranking 3/</w:t>
            </w:r>
          </w:p>
        </w:tc>
        <w:tc>
          <w:tcPr>
            <w:tcW w:w="220" w:type="pct"/>
            <w:tcBorders>
              <w:left w:val="single" w:sz="4" w:space="0" w:color="auto"/>
            </w:tcBorders>
            <w:shd w:val="clear" w:color="auto" w:fill="EAF1DD" w:themeFill="accent3" w:themeFillTint="33"/>
            <w:vAlign w:val="bottom"/>
          </w:tcPr>
          <w:p w:rsidR="007F35A5" w:rsidRPr="00994994" w:rsidRDefault="007F35A5" w:rsidP="00A04AE6">
            <w:pPr>
              <w:jc w:val="center"/>
              <w:rPr>
                <w:sz w:val="16"/>
                <w:szCs w:val="16"/>
              </w:rPr>
            </w:pPr>
            <w:r w:rsidRPr="0058600B">
              <w:rPr>
                <w:sz w:val="16"/>
                <w:szCs w:val="16"/>
              </w:rPr>
              <w:t xml:space="preserve">         0.43 </w:t>
            </w:r>
          </w:p>
        </w:tc>
        <w:tc>
          <w:tcPr>
            <w:tcW w:w="220" w:type="pct"/>
            <w:shd w:val="clear" w:color="auto" w:fill="EAF1DD" w:themeFill="accent3" w:themeFillTint="33"/>
            <w:noWrap/>
            <w:vAlign w:val="bottom"/>
          </w:tcPr>
          <w:p w:rsidR="007F35A5" w:rsidRPr="00994994" w:rsidRDefault="007F35A5" w:rsidP="00A04AE6">
            <w:pPr>
              <w:jc w:val="center"/>
              <w:rPr>
                <w:sz w:val="16"/>
                <w:szCs w:val="16"/>
              </w:rPr>
            </w:pPr>
          </w:p>
        </w:tc>
        <w:tc>
          <w:tcPr>
            <w:tcW w:w="220" w:type="pct"/>
            <w:shd w:val="clear" w:color="auto" w:fill="EAF1DD" w:themeFill="accent3" w:themeFillTint="33"/>
            <w:noWrap/>
            <w:vAlign w:val="bottom"/>
          </w:tcPr>
          <w:p w:rsidR="007F35A5" w:rsidRPr="00994994" w:rsidRDefault="007F35A5" w:rsidP="00A04AE6">
            <w:pPr>
              <w:jc w:val="center"/>
              <w:rPr>
                <w:sz w:val="16"/>
                <w:szCs w:val="16"/>
              </w:rPr>
            </w:pPr>
          </w:p>
        </w:tc>
        <w:tc>
          <w:tcPr>
            <w:tcW w:w="220" w:type="pct"/>
            <w:shd w:val="clear" w:color="auto" w:fill="EAF1DD" w:themeFill="accent3" w:themeFillTint="33"/>
            <w:noWrap/>
            <w:vAlign w:val="bottom"/>
          </w:tcPr>
          <w:p w:rsidR="007F35A5" w:rsidRPr="00994994" w:rsidRDefault="007F35A5" w:rsidP="00A04AE6">
            <w:pPr>
              <w:jc w:val="center"/>
              <w:rPr>
                <w:sz w:val="16"/>
                <w:szCs w:val="16"/>
              </w:rPr>
            </w:pPr>
          </w:p>
        </w:tc>
        <w:tc>
          <w:tcPr>
            <w:tcW w:w="220" w:type="pct"/>
            <w:shd w:val="clear" w:color="auto" w:fill="EAF1DD" w:themeFill="accent3" w:themeFillTint="33"/>
            <w:noWrap/>
            <w:vAlign w:val="bottom"/>
          </w:tcPr>
          <w:p w:rsidR="007F35A5" w:rsidRPr="00994994" w:rsidRDefault="007F35A5" w:rsidP="00A04AE6">
            <w:pPr>
              <w:jc w:val="center"/>
              <w:rPr>
                <w:sz w:val="16"/>
                <w:szCs w:val="16"/>
              </w:rPr>
            </w:pPr>
          </w:p>
        </w:tc>
        <w:tc>
          <w:tcPr>
            <w:tcW w:w="220"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0.44</w:t>
            </w:r>
          </w:p>
        </w:tc>
        <w:tc>
          <w:tcPr>
            <w:tcW w:w="220"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0.45</w:t>
            </w:r>
          </w:p>
        </w:tc>
        <w:tc>
          <w:tcPr>
            <w:tcW w:w="220"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0.46</w:t>
            </w:r>
          </w:p>
        </w:tc>
        <w:tc>
          <w:tcPr>
            <w:tcW w:w="250"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0.46</w:t>
            </w:r>
          </w:p>
        </w:tc>
        <w:tc>
          <w:tcPr>
            <w:tcW w:w="220"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0.46</w:t>
            </w:r>
          </w:p>
        </w:tc>
        <w:tc>
          <w:tcPr>
            <w:tcW w:w="220"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0.47</w:t>
            </w:r>
          </w:p>
        </w:tc>
        <w:tc>
          <w:tcPr>
            <w:tcW w:w="251"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0.54</w:t>
            </w:r>
          </w:p>
        </w:tc>
        <w:tc>
          <w:tcPr>
            <w:tcW w:w="251"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0.46</w:t>
            </w:r>
          </w:p>
        </w:tc>
        <w:tc>
          <w:tcPr>
            <w:tcW w:w="257"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0.56</w:t>
            </w:r>
          </w:p>
        </w:tc>
        <w:tc>
          <w:tcPr>
            <w:tcW w:w="250" w:type="pct"/>
            <w:shd w:val="clear" w:color="auto" w:fill="EAF1DD" w:themeFill="accent3" w:themeFillTint="33"/>
            <w:noWrap/>
            <w:vAlign w:val="bottom"/>
          </w:tcPr>
          <w:p w:rsidR="007F35A5" w:rsidRPr="00994994" w:rsidRDefault="007F35A5" w:rsidP="00A04AE6">
            <w:pPr>
              <w:jc w:val="center"/>
              <w:rPr>
                <w:sz w:val="16"/>
                <w:szCs w:val="16"/>
              </w:rPr>
            </w:pPr>
            <w:r w:rsidRPr="0058600B">
              <w:rPr>
                <w:sz w:val="16"/>
                <w:szCs w:val="16"/>
              </w:rPr>
              <w:t>0.56</w:t>
            </w:r>
          </w:p>
        </w:tc>
        <w:tc>
          <w:tcPr>
            <w:tcW w:w="247" w:type="pct"/>
            <w:shd w:val="clear" w:color="auto" w:fill="EAF1DD" w:themeFill="accent3" w:themeFillTint="33"/>
            <w:vAlign w:val="bottom"/>
          </w:tcPr>
          <w:p w:rsidR="007F35A5" w:rsidRPr="00994994" w:rsidRDefault="007F35A5" w:rsidP="00A04AE6">
            <w:pPr>
              <w:jc w:val="center"/>
              <w:rPr>
                <w:sz w:val="16"/>
                <w:szCs w:val="16"/>
              </w:rPr>
            </w:pPr>
            <w:r w:rsidRPr="0058600B">
              <w:rPr>
                <w:sz w:val="16"/>
                <w:szCs w:val="16"/>
              </w:rPr>
              <w:t>Na</w:t>
            </w:r>
          </w:p>
        </w:tc>
      </w:tr>
      <w:tr w:rsidR="009105FB"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9105FB" w:rsidRPr="00994994" w:rsidRDefault="009105FB">
            <w:pPr>
              <w:rPr>
                <w:sz w:val="16"/>
                <w:szCs w:val="16"/>
              </w:rPr>
            </w:pPr>
            <w:r w:rsidRPr="00994994">
              <w:rPr>
                <w:sz w:val="16"/>
                <w:szCs w:val="16"/>
              </w:rPr>
              <w:t>CPIA (overall rating)</w:t>
            </w:r>
          </w:p>
        </w:tc>
        <w:tc>
          <w:tcPr>
            <w:tcW w:w="220" w:type="pct"/>
            <w:tcBorders>
              <w:left w:val="single" w:sz="4" w:space="0" w:color="auto"/>
            </w:tcBorders>
            <w:shd w:val="clear" w:color="auto" w:fill="EAF1DD" w:themeFill="accent3" w:themeFillTint="33"/>
            <w:vAlign w:val="bottom"/>
          </w:tcPr>
          <w:p w:rsidR="009105FB" w:rsidRPr="00994994" w:rsidRDefault="009105FB"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3.90</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3.93</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4.00</w:t>
            </w:r>
          </w:p>
        </w:tc>
        <w:tc>
          <w:tcPr>
            <w:tcW w:w="25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3.90</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3.80</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3.90</w:t>
            </w:r>
          </w:p>
        </w:tc>
        <w:tc>
          <w:tcPr>
            <w:tcW w:w="251"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3.90</w:t>
            </w:r>
          </w:p>
        </w:tc>
        <w:tc>
          <w:tcPr>
            <w:tcW w:w="251"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3.9</w:t>
            </w:r>
          </w:p>
        </w:tc>
        <w:tc>
          <w:tcPr>
            <w:tcW w:w="257"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3.8</w:t>
            </w:r>
          </w:p>
        </w:tc>
        <w:tc>
          <w:tcPr>
            <w:tcW w:w="250" w:type="pct"/>
            <w:shd w:val="clear" w:color="auto" w:fill="EAF1DD" w:themeFill="accent3" w:themeFillTint="33"/>
            <w:noWrap/>
            <w:vAlign w:val="bottom"/>
          </w:tcPr>
          <w:p w:rsidR="009105FB" w:rsidRPr="009105FB" w:rsidRDefault="009105FB">
            <w:pPr>
              <w:jc w:val="center"/>
              <w:rPr>
                <w:sz w:val="16"/>
                <w:szCs w:val="16"/>
              </w:rPr>
            </w:pPr>
            <w:r w:rsidRPr="009105FB">
              <w:rPr>
                <w:sz w:val="16"/>
                <w:szCs w:val="16"/>
              </w:rPr>
              <w:t>3.7</w:t>
            </w:r>
          </w:p>
        </w:tc>
        <w:tc>
          <w:tcPr>
            <w:tcW w:w="247" w:type="pct"/>
            <w:shd w:val="clear" w:color="auto" w:fill="EAF1DD" w:themeFill="accent3" w:themeFillTint="33"/>
            <w:vAlign w:val="bottom"/>
          </w:tcPr>
          <w:p w:rsidR="009105FB" w:rsidRPr="00994994" w:rsidRDefault="009105FB" w:rsidP="00A04AE6">
            <w:pPr>
              <w:jc w:val="center"/>
              <w:rPr>
                <w:sz w:val="16"/>
                <w:szCs w:val="16"/>
              </w:rPr>
            </w:pPr>
            <w:r w:rsidRPr="0058600B">
              <w:rPr>
                <w:sz w:val="16"/>
                <w:szCs w:val="16"/>
              </w:rPr>
              <w:t>Na</w:t>
            </w:r>
          </w:p>
        </w:tc>
      </w:tr>
      <w:tr w:rsidR="009105FB"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9105FB" w:rsidRPr="00994994" w:rsidRDefault="009105FB">
            <w:pPr>
              <w:rPr>
                <w:sz w:val="16"/>
                <w:szCs w:val="16"/>
              </w:rPr>
            </w:pPr>
            <w:r w:rsidRPr="00994994">
              <w:rPr>
                <w:sz w:val="16"/>
                <w:szCs w:val="16"/>
              </w:rPr>
              <w:t xml:space="preserve">      Economic Management</w:t>
            </w:r>
          </w:p>
        </w:tc>
        <w:tc>
          <w:tcPr>
            <w:tcW w:w="220" w:type="pct"/>
            <w:tcBorders>
              <w:left w:val="single" w:sz="4" w:space="0" w:color="auto"/>
            </w:tcBorders>
            <w:shd w:val="clear" w:color="auto" w:fill="EAF1DD" w:themeFill="accent3" w:themeFillTint="33"/>
            <w:vAlign w:val="bottom"/>
          </w:tcPr>
          <w:p w:rsidR="009105FB" w:rsidRPr="00994994" w:rsidRDefault="009105FB"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4.2</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4.2</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4.0</w:t>
            </w:r>
          </w:p>
        </w:tc>
        <w:tc>
          <w:tcPr>
            <w:tcW w:w="25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3.7</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3.7</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3.7</w:t>
            </w:r>
          </w:p>
        </w:tc>
        <w:tc>
          <w:tcPr>
            <w:tcW w:w="251"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3.8</w:t>
            </w:r>
          </w:p>
        </w:tc>
        <w:tc>
          <w:tcPr>
            <w:tcW w:w="251"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3.9</w:t>
            </w:r>
          </w:p>
        </w:tc>
        <w:tc>
          <w:tcPr>
            <w:tcW w:w="257"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3.5</w:t>
            </w:r>
          </w:p>
        </w:tc>
        <w:tc>
          <w:tcPr>
            <w:tcW w:w="250" w:type="pct"/>
            <w:shd w:val="clear" w:color="auto" w:fill="EAF1DD" w:themeFill="accent3" w:themeFillTint="33"/>
            <w:noWrap/>
            <w:vAlign w:val="bottom"/>
          </w:tcPr>
          <w:p w:rsidR="009105FB" w:rsidRPr="009105FB" w:rsidRDefault="009105FB">
            <w:pPr>
              <w:jc w:val="center"/>
              <w:rPr>
                <w:sz w:val="16"/>
                <w:szCs w:val="16"/>
              </w:rPr>
            </w:pPr>
            <w:r w:rsidRPr="009105FB">
              <w:rPr>
                <w:sz w:val="16"/>
                <w:szCs w:val="16"/>
              </w:rPr>
              <w:t>3.0</w:t>
            </w:r>
          </w:p>
        </w:tc>
        <w:tc>
          <w:tcPr>
            <w:tcW w:w="247" w:type="pct"/>
            <w:shd w:val="clear" w:color="auto" w:fill="EAF1DD" w:themeFill="accent3" w:themeFillTint="33"/>
            <w:vAlign w:val="bottom"/>
          </w:tcPr>
          <w:p w:rsidR="009105FB" w:rsidRPr="00994994" w:rsidRDefault="009105FB" w:rsidP="00A04AE6">
            <w:pPr>
              <w:jc w:val="center"/>
              <w:rPr>
                <w:sz w:val="16"/>
                <w:szCs w:val="16"/>
              </w:rPr>
            </w:pPr>
            <w:r w:rsidRPr="0058600B">
              <w:rPr>
                <w:sz w:val="16"/>
                <w:szCs w:val="16"/>
              </w:rPr>
              <w:t>Na</w:t>
            </w:r>
          </w:p>
        </w:tc>
      </w:tr>
      <w:tr w:rsidR="009105FB" w:rsidRPr="00535202" w:rsidTr="003F7BCB">
        <w:trPr>
          <w:cantSplit/>
          <w:trHeight w:val="135"/>
          <w:jc w:val="center"/>
        </w:trPr>
        <w:tc>
          <w:tcPr>
            <w:tcW w:w="1294" w:type="pct"/>
            <w:tcBorders>
              <w:bottom w:val="single" w:sz="4" w:space="0" w:color="365F91"/>
              <w:right w:val="single" w:sz="4" w:space="0" w:color="auto"/>
            </w:tcBorders>
            <w:shd w:val="clear" w:color="auto" w:fill="EAF1DD" w:themeFill="accent3" w:themeFillTint="33"/>
            <w:noWrap/>
            <w:vAlign w:val="bottom"/>
          </w:tcPr>
          <w:p w:rsidR="009105FB" w:rsidRPr="00994994" w:rsidRDefault="009105FB">
            <w:pPr>
              <w:rPr>
                <w:sz w:val="16"/>
                <w:szCs w:val="16"/>
              </w:rPr>
            </w:pPr>
            <w:r w:rsidRPr="00994994">
              <w:rPr>
                <w:sz w:val="16"/>
                <w:szCs w:val="16"/>
              </w:rPr>
              <w:t xml:space="preserve">      Structural Policies</w:t>
            </w:r>
          </w:p>
        </w:tc>
        <w:tc>
          <w:tcPr>
            <w:tcW w:w="220" w:type="pct"/>
            <w:tcBorders>
              <w:left w:val="single" w:sz="4" w:space="0" w:color="auto"/>
              <w:bottom w:val="single" w:sz="4" w:space="0" w:color="365F91"/>
            </w:tcBorders>
            <w:shd w:val="clear" w:color="auto" w:fill="EAF1DD" w:themeFill="accent3" w:themeFillTint="33"/>
            <w:vAlign w:val="bottom"/>
          </w:tcPr>
          <w:p w:rsidR="009105FB" w:rsidRPr="00994994" w:rsidRDefault="009105FB" w:rsidP="00A04AE6">
            <w:pPr>
              <w:jc w:val="center"/>
              <w:rPr>
                <w:sz w:val="16"/>
                <w:szCs w:val="16"/>
              </w:rPr>
            </w:pPr>
            <w:r w:rsidRPr="0058600B">
              <w:rPr>
                <w:sz w:val="16"/>
                <w:szCs w:val="16"/>
              </w:rPr>
              <w:t>Na</w:t>
            </w:r>
          </w:p>
        </w:tc>
        <w:tc>
          <w:tcPr>
            <w:tcW w:w="220" w:type="pct"/>
            <w:tcBorders>
              <w:bottom w:val="single" w:sz="4" w:space="0" w:color="365F91"/>
            </w:tcBorders>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Na</w:t>
            </w:r>
          </w:p>
        </w:tc>
        <w:tc>
          <w:tcPr>
            <w:tcW w:w="220" w:type="pct"/>
            <w:tcBorders>
              <w:bottom w:val="single" w:sz="4" w:space="0" w:color="365F91"/>
            </w:tcBorders>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Na</w:t>
            </w:r>
          </w:p>
        </w:tc>
        <w:tc>
          <w:tcPr>
            <w:tcW w:w="220" w:type="pct"/>
            <w:tcBorders>
              <w:bottom w:val="single" w:sz="4" w:space="0" w:color="365F91"/>
            </w:tcBorders>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Na</w:t>
            </w:r>
          </w:p>
        </w:tc>
        <w:tc>
          <w:tcPr>
            <w:tcW w:w="220" w:type="pct"/>
            <w:tcBorders>
              <w:bottom w:val="single" w:sz="4" w:space="0" w:color="365F91"/>
            </w:tcBorders>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Na</w:t>
            </w:r>
          </w:p>
        </w:tc>
        <w:tc>
          <w:tcPr>
            <w:tcW w:w="220" w:type="pct"/>
            <w:tcBorders>
              <w:bottom w:val="single" w:sz="4" w:space="0" w:color="365F91"/>
            </w:tcBorders>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3.8</w:t>
            </w:r>
          </w:p>
        </w:tc>
        <w:tc>
          <w:tcPr>
            <w:tcW w:w="220" w:type="pct"/>
            <w:tcBorders>
              <w:bottom w:val="single" w:sz="4" w:space="0" w:color="365F91"/>
            </w:tcBorders>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3.8</w:t>
            </w:r>
          </w:p>
        </w:tc>
        <w:tc>
          <w:tcPr>
            <w:tcW w:w="220" w:type="pct"/>
            <w:tcBorders>
              <w:bottom w:val="single" w:sz="4" w:space="0" w:color="365F91"/>
            </w:tcBorders>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4.0</w:t>
            </w:r>
          </w:p>
        </w:tc>
        <w:tc>
          <w:tcPr>
            <w:tcW w:w="250" w:type="pct"/>
            <w:tcBorders>
              <w:bottom w:val="single" w:sz="4" w:space="0" w:color="365F91"/>
            </w:tcBorders>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4.0</w:t>
            </w:r>
          </w:p>
        </w:tc>
        <w:tc>
          <w:tcPr>
            <w:tcW w:w="220" w:type="pct"/>
            <w:tcBorders>
              <w:bottom w:val="single" w:sz="4" w:space="0" w:color="365F91"/>
            </w:tcBorders>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4.0</w:t>
            </w:r>
          </w:p>
        </w:tc>
        <w:tc>
          <w:tcPr>
            <w:tcW w:w="220" w:type="pct"/>
            <w:tcBorders>
              <w:bottom w:val="single" w:sz="4" w:space="0" w:color="365F91"/>
            </w:tcBorders>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4.2</w:t>
            </w:r>
          </w:p>
        </w:tc>
        <w:tc>
          <w:tcPr>
            <w:tcW w:w="251" w:type="pct"/>
            <w:tcBorders>
              <w:bottom w:val="single" w:sz="4" w:space="0" w:color="365F91"/>
            </w:tcBorders>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4.2</w:t>
            </w:r>
          </w:p>
        </w:tc>
        <w:tc>
          <w:tcPr>
            <w:tcW w:w="251" w:type="pct"/>
            <w:tcBorders>
              <w:bottom w:val="single" w:sz="4" w:space="0" w:color="365F91"/>
            </w:tcBorders>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4.0</w:t>
            </w:r>
          </w:p>
        </w:tc>
        <w:tc>
          <w:tcPr>
            <w:tcW w:w="257" w:type="pct"/>
            <w:tcBorders>
              <w:bottom w:val="single" w:sz="4" w:space="0" w:color="365F91"/>
            </w:tcBorders>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4.0</w:t>
            </w:r>
          </w:p>
        </w:tc>
        <w:tc>
          <w:tcPr>
            <w:tcW w:w="250" w:type="pct"/>
            <w:tcBorders>
              <w:bottom w:val="single" w:sz="4" w:space="0" w:color="365F91"/>
            </w:tcBorders>
            <w:shd w:val="clear" w:color="auto" w:fill="EAF1DD" w:themeFill="accent3" w:themeFillTint="33"/>
            <w:noWrap/>
            <w:vAlign w:val="bottom"/>
          </w:tcPr>
          <w:p w:rsidR="009105FB" w:rsidRPr="009105FB" w:rsidRDefault="009105FB">
            <w:pPr>
              <w:jc w:val="center"/>
              <w:rPr>
                <w:sz w:val="16"/>
                <w:szCs w:val="16"/>
              </w:rPr>
            </w:pPr>
            <w:r w:rsidRPr="009105FB">
              <w:rPr>
                <w:sz w:val="16"/>
                <w:szCs w:val="16"/>
              </w:rPr>
              <w:t>4.0</w:t>
            </w:r>
          </w:p>
        </w:tc>
        <w:tc>
          <w:tcPr>
            <w:tcW w:w="247" w:type="pct"/>
            <w:tcBorders>
              <w:bottom w:val="single" w:sz="4" w:space="0" w:color="365F91"/>
            </w:tcBorders>
            <w:shd w:val="clear" w:color="auto" w:fill="EAF1DD" w:themeFill="accent3" w:themeFillTint="33"/>
            <w:vAlign w:val="bottom"/>
          </w:tcPr>
          <w:p w:rsidR="009105FB" w:rsidRPr="00994994" w:rsidRDefault="009105FB" w:rsidP="00A04AE6">
            <w:pPr>
              <w:jc w:val="center"/>
              <w:rPr>
                <w:sz w:val="16"/>
                <w:szCs w:val="16"/>
              </w:rPr>
            </w:pPr>
            <w:r w:rsidRPr="0058600B">
              <w:rPr>
                <w:sz w:val="16"/>
                <w:szCs w:val="16"/>
              </w:rPr>
              <w:t>Na</w:t>
            </w:r>
          </w:p>
        </w:tc>
      </w:tr>
      <w:tr w:rsidR="009105FB" w:rsidRPr="00535202" w:rsidTr="003F7BCB">
        <w:trPr>
          <w:cantSplit/>
          <w:trHeight w:val="304"/>
          <w:jc w:val="center"/>
        </w:trPr>
        <w:tc>
          <w:tcPr>
            <w:tcW w:w="1294" w:type="pct"/>
            <w:tcBorders>
              <w:right w:val="single" w:sz="4" w:space="0" w:color="auto"/>
            </w:tcBorders>
            <w:shd w:val="clear" w:color="auto" w:fill="EAF1DD" w:themeFill="accent3" w:themeFillTint="33"/>
            <w:noWrap/>
            <w:vAlign w:val="bottom"/>
          </w:tcPr>
          <w:p w:rsidR="009105FB" w:rsidRPr="00994994" w:rsidRDefault="009105FB">
            <w:pPr>
              <w:rPr>
                <w:sz w:val="16"/>
                <w:szCs w:val="16"/>
              </w:rPr>
            </w:pPr>
            <w:r w:rsidRPr="00994994">
              <w:rPr>
                <w:sz w:val="16"/>
                <w:szCs w:val="16"/>
              </w:rPr>
              <w:t xml:space="preserve">      Policies for Social Inclusion and Equity</w:t>
            </w:r>
          </w:p>
        </w:tc>
        <w:tc>
          <w:tcPr>
            <w:tcW w:w="220" w:type="pct"/>
            <w:tcBorders>
              <w:left w:val="single" w:sz="4" w:space="0" w:color="auto"/>
            </w:tcBorders>
            <w:shd w:val="clear" w:color="auto" w:fill="EAF1DD" w:themeFill="accent3" w:themeFillTint="33"/>
            <w:vAlign w:val="bottom"/>
          </w:tcPr>
          <w:p w:rsidR="009105FB" w:rsidRPr="00994994" w:rsidRDefault="009105FB"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3.7</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3.8</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3.9</w:t>
            </w:r>
          </w:p>
        </w:tc>
        <w:tc>
          <w:tcPr>
            <w:tcW w:w="25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4.0</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3.9</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4.0</w:t>
            </w:r>
          </w:p>
        </w:tc>
        <w:tc>
          <w:tcPr>
            <w:tcW w:w="251"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3.9</w:t>
            </w:r>
          </w:p>
        </w:tc>
        <w:tc>
          <w:tcPr>
            <w:tcW w:w="251"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3.9</w:t>
            </w:r>
          </w:p>
        </w:tc>
        <w:tc>
          <w:tcPr>
            <w:tcW w:w="257"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4.0</w:t>
            </w:r>
          </w:p>
        </w:tc>
        <w:tc>
          <w:tcPr>
            <w:tcW w:w="250" w:type="pct"/>
            <w:shd w:val="clear" w:color="auto" w:fill="EAF1DD" w:themeFill="accent3" w:themeFillTint="33"/>
            <w:noWrap/>
            <w:vAlign w:val="bottom"/>
          </w:tcPr>
          <w:p w:rsidR="009105FB" w:rsidRPr="009105FB" w:rsidRDefault="009105FB">
            <w:pPr>
              <w:jc w:val="center"/>
              <w:rPr>
                <w:sz w:val="16"/>
                <w:szCs w:val="16"/>
              </w:rPr>
            </w:pPr>
            <w:r w:rsidRPr="009105FB">
              <w:rPr>
                <w:sz w:val="16"/>
                <w:szCs w:val="16"/>
              </w:rPr>
              <w:t>4.0</w:t>
            </w:r>
          </w:p>
        </w:tc>
        <w:tc>
          <w:tcPr>
            <w:tcW w:w="247" w:type="pct"/>
            <w:shd w:val="clear" w:color="auto" w:fill="EAF1DD" w:themeFill="accent3" w:themeFillTint="33"/>
            <w:vAlign w:val="bottom"/>
          </w:tcPr>
          <w:p w:rsidR="009105FB" w:rsidRPr="00994994" w:rsidRDefault="009105FB" w:rsidP="00A04AE6">
            <w:pPr>
              <w:jc w:val="center"/>
              <w:rPr>
                <w:sz w:val="16"/>
                <w:szCs w:val="16"/>
              </w:rPr>
            </w:pPr>
            <w:r w:rsidRPr="0058600B">
              <w:rPr>
                <w:sz w:val="16"/>
                <w:szCs w:val="16"/>
              </w:rPr>
              <w:t>Na</w:t>
            </w:r>
          </w:p>
        </w:tc>
      </w:tr>
      <w:tr w:rsidR="009105FB" w:rsidRPr="00535202" w:rsidTr="003F7BCB">
        <w:trPr>
          <w:cantSplit/>
          <w:trHeight w:val="135"/>
          <w:jc w:val="center"/>
        </w:trPr>
        <w:tc>
          <w:tcPr>
            <w:tcW w:w="1294" w:type="pct"/>
            <w:tcBorders>
              <w:right w:val="single" w:sz="4" w:space="0" w:color="auto"/>
            </w:tcBorders>
            <w:shd w:val="clear" w:color="auto" w:fill="EAF1DD" w:themeFill="accent3" w:themeFillTint="33"/>
            <w:noWrap/>
            <w:vAlign w:val="bottom"/>
          </w:tcPr>
          <w:p w:rsidR="009105FB" w:rsidRPr="00994994" w:rsidRDefault="009105FB">
            <w:pPr>
              <w:rPr>
                <w:sz w:val="16"/>
                <w:szCs w:val="16"/>
              </w:rPr>
            </w:pPr>
            <w:r w:rsidRPr="00994994">
              <w:rPr>
                <w:sz w:val="16"/>
                <w:szCs w:val="16"/>
              </w:rPr>
              <w:t xml:space="preserve">      Public Sector Management and Institutions</w:t>
            </w:r>
          </w:p>
        </w:tc>
        <w:tc>
          <w:tcPr>
            <w:tcW w:w="220" w:type="pct"/>
            <w:tcBorders>
              <w:left w:val="single" w:sz="4" w:space="0" w:color="auto"/>
            </w:tcBorders>
            <w:shd w:val="clear" w:color="auto" w:fill="EAF1DD" w:themeFill="accent3" w:themeFillTint="33"/>
            <w:vAlign w:val="bottom"/>
          </w:tcPr>
          <w:p w:rsidR="009105FB" w:rsidRPr="00994994" w:rsidRDefault="009105FB"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Na</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3.7</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3.9</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3.9</w:t>
            </w:r>
          </w:p>
        </w:tc>
        <w:tc>
          <w:tcPr>
            <w:tcW w:w="25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3.9</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3.8</w:t>
            </w:r>
          </w:p>
        </w:tc>
        <w:tc>
          <w:tcPr>
            <w:tcW w:w="220"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3.7</w:t>
            </w:r>
          </w:p>
        </w:tc>
        <w:tc>
          <w:tcPr>
            <w:tcW w:w="251"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3.7</w:t>
            </w:r>
          </w:p>
        </w:tc>
        <w:tc>
          <w:tcPr>
            <w:tcW w:w="251"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3.8</w:t>
            </w:r>
          </w:p>
        </w:tc>
        <w:tc>
          <w:tcPr>
            <w:tcW w:w="257" w:type="pct"/>
            <w:shd w:val="clear" w:color="auto" w:fill="EAF1DD" w:themeFill="accent3" w:themeFillTint="33"/>
            <w:noWrap/>
            <w:vAlign w:val="bottom"/>
          </w:tcPr>
          <w:p w:rsidR="009105FB" w:rsidRPr="00994994" w:rsidRDefault="009105FB" w:rsidP="00A04AE6">
            <w:pPr>
              <w:jc w:val="center"/>
              <w:rPr>
                <w:sz w:val="16"/>
                <w:szCs w:val="16"/>
              </w:rPr>
            </w:pPr>
            <w:r w:rsidRPr="0058600B">
              <w:rPr>
                <w:sz w:val="16"/>
                <w:szCs w:val="16"/>
              </w:rPr>
              <w:t>3.7</w:t>
            </w:r>
          </w:p>
        </w:tc>
        <w:tc>
          <w:tcPr>
            <w:tcW w:w="250" w:type="pct"/>
            <w:shd w:val="clear" w:color="auto" w:fill="EAF1DD" w:themeFill="accent3" w:themeFillTint="33"/>
            <w:noWrap/>
            <w:vAlign w:val="bottom"/>
          </w:tcPr>
          <w:p w:rsidR="009105FB" w:rsidRPr="009105FB" w:rsidRDefault="009105FB">
            <w:pPr>
              <w:jc w:val="center"/>
              <w:rPr>
                <w:sz w:val="16"/>
                <w:szCs w:val="16"/>
              </w:rPr>
            </w:pPr>
            <w:r w:rsidRPr="009105FB">
              <w:rPr>
                <w:sz w:val="16"/>
                <w:szCs w:val="16"/>
              </w:rPr>
              <w:t>3.7</w:t>
            </w:r>
          </w:p>
        </w:tc>
        <w:tc>
          <w:tcPr>
            <w:tcW w:w="247" w:type="pct"/>
            <w:shd w:val="clear" w:color="auto" w:fill="EAF1DD" w:themeFill="accent3" w:themeFillTint="33"/>
            <w:vAlign w:val="bottom"/>
          </w:tcPr>
          <w:p w:rsidR="009105FB" w:rsidRPr="00994994" w:rsidRDefault="009105FB" w:rsidP="00A04AE6">
            <w:pPr>
              <w:jc w:val="center"/>
              <w:rPr>
                <w:sz w:val="16"/>
                <w:szCs w:val="16"/>
              </w:rPr>
            </w:pPr>
            <w:r w:rsidRPr="0058600B">
              <w:rPr>
                <w:sz w:val="16"/>
                <w:szCs w:val="16"/>
              </w:rPr>
              <w:t>Na</w:t>
            </w:r>
          </w:p>
        </w:tc>
      </w:tr>
    </w:tbl>
    <w:p w:rsidR="00132321" w:rsidRPr="001F32A9" w:rsidRDefault="002445A7" w:rsidP="000139DB">
      <w:pPr>
        <w:autoSpaceDE w:val="0"/>
        <w:autoSpaceDN w:val="0"/>
        <w:adjustRightInd w:val="0"/>
        <w:spacing w:before="120" w:line="276" w:lineRule="auto"/>
        <w:ind w:left="-274"/>
        <w:jc w:val="left"/>
        <w:rPr>
          <w:rFonts w:cs="Arial Narrow"/>
          <w:bCs/>
          <w:iCs/>
          <w:color w:val="17365D"/>
          <w:sz w:val="16"/>
          <w:szCs w:val="16"/>
        </w:rPr>
      </w:pPr>
      <w:r w:rsidRPr="001F32A9">
        <w:rPr>
          <w:rFonts w:cs="Arial Narrow"/>
          <w:bCs/>
          <w:i/>
          <w:iCs/>
          <w:color w:val="17365D"/>
          <w:sz w:val="16"/>
          <w:szCs w:val="16"/>
        </w:rPr>
        <w:t>Source:</w:t>
      </w:r>
      <w:r w:rsidRPr="001F32A9">
        <w:rPr>
          <w:rFonts w:cs="Arial Narrow"/>
          <w:bCs/>
          <w:iCs/>
          <w:color w:val="17365D"/>
          <w:sz w:val="16"/>
          <w:szCs w:val="16"/>
        </w:rPr>
        <w:t xml:space="preserve"> Government authorities; IMF macroeconomic framework; World Bank World Development Indicators and staff estimates.</w:t>
      </w:r>
    </w:p>
    <w:p w:rsidR="00247719" w:rsidRPr="001F32A9" w:rsidRDefault="002445A7" w:rsidP="000139DB">
      <w:pPr>
        <w:pStyle w:val="HTMLPreformatted"/>
        <w:spacing w:line="276" w:lineRule="auto"/>
        <w:ind w:left="-270"/>
        <w:rPr>
          <w:rFonts w:ascii="Calibri" w:eastAsia="Calibri" w:hAnsi="Calibri"/>
          <w:i/>
          <w:color w:val="17365D"/>
          <w:sz w:val="16"/>
          <w:szCs w:val="16"/>
        </w:rPr>
      </w:pPr>
      <w:r w:rsidRPr="001F32A9">
        <w:rPr>
          <w:rFonts w:ascii="Calibri" w:eastAsia="Calibri" w:hAnsi="Calibri"/>
          <w:i/>
          <w:color w:val="17365D"/>
          <w:sz w:val="16"/>
          <w:szCs w:val="16"/>
        </w:rPr>
        <w:t>Note:</w:t>
      </w:r>
    </w:p>
    <w:p w:rsidR="0010710E" w:rsidRPr="001F32A9" w:rsidRDefault="002445A7" w:rsidP="000139DB">
      <w:pPr>
        <w:pStyle w:val="HTMLPreformatted"/>
        <w:spacing w:line="276" w:lineRule="auto"/>
        <w:ind w:left="-270"/>
        <w:rPr>
          <w:rFonts w:ascii="Calibri" w:eastAsia="Calibri" w:hAnsi="Calibri"/>
          <w:color w:val="17365D"/>
          <w:sz w:val="16"/>
          <w:szCs w:val="16"/>
        </w:rPr>
      </w:pPr>
      <w:r w:rsidRPr="001F32A9">
        <w:rPr>
          <w:rFonts w:ascii="Calibri" w:eastAsia="Calibri" w:hAnsi="Calibri"/>
          <w:b/>
          <w:color w:val="17365D"/>
          <w:sz w:val="16"/>
          <w:szCs w:val="16"/>
        </w:rPr>
        <w:t>Inequality - Income Gini:</w:t>
      </w:r>
      <w:r w:rsidRPr="001F32A9">
        <w:rPr>
          <w:rFonts w:ascii="Calibri" w:hAnsi="Calibri"/>
          <w:b/>
          <w:bCs/>
          <w:color w:val="17365D"/>
          <w:sz w:val="16"/>
          <w:szCs w:val="16"/>
        </w:rPr>
        <w:t xml:space="preserve"> </w:t>
      </w:r>
      <w:r w:rsidRPr="001F32A9">
        <w:rPr>
          <w:rFonts w:ascii="Calibri" w:eastAsia="Calibri" w:hAnsi="Calibri"/>
          <w:color w:val="17365D"/>
          <w:sz w:val="16"/>
          <w:szCs w:val="16"/>
        </w:rPr>
        <w:t xml:space="preserve">A summary measure of the extent to which the actual distribution of income, consumption expenditure, or a related variable differs from a hypothetical distribution in which each person receives an identical share. </w:t>
      </w:r>
      <w:r w:rsidRPr="001F32A9">
        <w:rPr>
          <w:rFonts w:ascii="Calibri" w:eastAsia="Calibri" w:hAnsi="Calibri"/>
          <w:i/>
          <w:color w:val="17365D"/>
          <w:sz w:val="16"/>
          <w:szCs w:val="16"/>
        </w:rPr>
        <w:t>The coefficient is a measure of the inequality of a distribution</w:t>
      </w:r>
      <w:r w:rsidR="00247719" w:rsidRPr="001F32A9">
        <w:rPr>
          <w:rFonts w:ascii="Calibri" w:eastAsia="Calibri" w:hAnsi="Calibri"/>
          <w:color w:val="17365D"/>
          <w:sz w:val="16"/>
          <w:szCs w:val="16"/>
        </w:rPr>
        <w:t>:</w:t>
      </w:r>
      <w:r w:rsidRPr="001F32A9">
        <w:rPr>
          <w:rFonts w:ascii="Calibri" w:eastAsia="Calibri" w:hAnsi="Calibri"/>
          <w:color w:val="17365D"/>
          <w:sz w:val="16"/>
          <w:szCs w:val="16"/>
        </w:rPr>
        <w:t xml:space="preserve"> a </w:t>
      </w:r>
      <w:r w:rsidR="003B342F">
        <w:rPr>
          <w:rFonts w:ascii="Calibri" w:eastAsia="Calibri" w:hAnsi="Calibri"/>
          <w:color w:val="17365D"/>
          <w:sz w:val="16"/>
          <w:szCs w:val="16"/>
        </w:rPr>
        <w:t xml:space="preserve"> percent</w:t>
      </w:r>
      <w:r w:rsidRPr="001F32A9">
        <w:rPr>
          <w:rFonts w:ascii="Calibri" w:eastAsia="Calibri" w:hAnsi="Calibri"/>
          <w:color w:val="17365D"/>
          <w:sz w:val="16"/>
          <w:szCs w:val="16"/>
        </w:rPr>
        <w:t>age of 0 express</w:t>
      </w:r>
      <w:r w:rsidR="00247719" w:rsidRPr="001F32A9">
        <w:rPr>
          <w:rFonts w:ascii="Calibri" w:eastAsia="Calibri" w:hAnsi="Calibri"/>
          <w:color w:val="17365D"/>
          <w:sz w:val="16"/>
          <w:szCs w:val="16"/>
        </w:rPr>
        <w:t>es</w:t>
      </w:r>
      <w:r w:rsidRPr="001F32A9">
        <w:rPr>
          <w:rFonts w:ascii="Calibri" w:eastAsia="Calibri" w:hAnsi="Calibri"/>
          <w:color w:val="17365D"/>
          <w:sz w:val="16"/>
          <w:szCs w:val="16"/>
        </w:rPr>
        <w:t xml:space="preserve"> total equality and a </w:t>
      </w:r>
      <w:r w:rsidR="003B342F">
        <w:rPr>
          <w:rFonts w:ascii="Calibri" w:eastAsia="Calibri" w:hAnsi="Calibri"/>
          <w:color w:val="17365D"/>
          <w:sz w:val="16"/>
          <w:szCs w:val="16"/>
        </w:rPr>
        <w:t xml:space="preserve"> percent</w:t>
      </w:r>
      <w:r w:rsidRPr="001F32A9">
        <w:rPr>
          <w:rFonts w:ascii="Calibri" w:eastAsia="Calibri" w:hAnsi="Calibri"/>
          <w:color w:val="17365D"/>
          <w:sz w:val="16"/>
          <w:szCs w:val="16"/>
        </w:rPr>
        <w:t xml:space="preserve">age of 100 </w:t>
      </w:r>
      <w:r w:rsidR="00247719" w:rsidRPr="001F32A9">
        <w:rPr>
          <w:rFonts w:ascii="Calibri" w:eastAsia="Calibri" w:hAnsi="Calibri"/>
          <w:color w:val="17365D"/>
          <w:sz w:val="16"/>
          <w:szCs w:val="16"/>
        </w:rPr>
        <w:t xml:space="preserve">expresses </w:t>
      </w:r>
      <w:r w:rsidRPr="001F32A9">
        <w:rPr>
          <w:rFonts w:ascii="Calibri" w:eastAsia="Calibri" w:hAnsi="Calibri"/>
          <w:color w:val="17365D"/>
          <w:sz w:val="16"/>
          <w:szCs w:val="16"/>
        </w:rPr>
        <w:t>maximal inequality.</w:t>
      </w:r>
    </w:p>
    <w:p w:rsidR="005D28D7" w:rsidRPr="001F32A9" w:rsidRDefault="002445A7" w:rsidP="000139DB">
      <w:pPr>
        <w:autoSpaceDE w:val="0"/>
        <w:autoSpaceDN w:val="0"/>
        <w:adjustRightInd w:val="0"/>
        <w:spacing w:line="276" w:lineRule="auto"/>
        <w:ind w:left="-270"/>
        <w:jc w:val="left"/>
        <w:rPr>
          <w:color w:val="17365D"/>
          <w:sz w:val="16"/>
          <w:szCs w:val="16"/>
        </w:rPr>
      </w:pPr>
      <w:r w:rsidRPr="001F32A9">
        <w:rPr>
          <w:b/>
          <w:color w:val="17365D"/>
          <w:sz w:val="16"/>
          <w:szCs w:val="16"/>
        </w:rPr>
        <w:t xml:space="preserve">Life </w:t>
      </w:r>
      <w:r w:rsidR="00247719" w:rsidRPr="001F32A9">
        <w:rPr>
          <w:b/>
          <w:color w:val="17365D"/>
          <w:sz w:val="16"/>
          <w:szCs w:val="16"/>
        </w:rPr>
        <w:t>e</w:t>
      </w:r>
      <w:r w:rsidRPr="001F32A9">
        <w:rPr>
          <w:b/>
          <w:color w:val="17365D"/>
          <w:sz w:val="16"/>
          <w:szCs w:val="16"/>
        </w:rPr>
        <w:t xml:space="preserve">xpectancy (yrs): </w:t>
      </w:r>
      <w:r w:rsidRPr="001F32A9">
        <w:rPr>
          <w:b/>
          <w:bCs/>
          <w:color w:val="17365D"/>
          <w:sz w:val="16"/>
          <w:szCs w:val="16"/>
        </w:rPr>
        <w:t xml:space="preserve">Life expectancy </w:t>
      </w:r>
      <w:r w:rsidRPr="001F32A9">
        <w:rPr>
          <w:color w:val="17365D"/>
          <w:sz w:val="16"/>
          <w:szCs w:val="16"/>
        </w:rPr>
        <w:t>at a specific age is the average number of additional years</w:t>
      </w:r>
      <w:r w:rsidR="00247719" w:rsidRPr="001F32A9">
        <w:rPr>
          <w:color w:val="17365D"/>
          <w:sz w:val="16"/>
          <w:szCs w:val="16"/>
        </w:rPr>
        <w:t xml:space="preserve"> that</w:t>
      </w:r>
      <w:r w:rsidRPr="001F32A9">
        <w:rPr>
          <w:color w:val="17365D"/>
          <w:sz w:val="16"/>
          <w:szCs w:val="16"/>
        </w:rPr>
        <w:t xml:space="preserve"> a person of that age could expect to live if current mortality levels observed for ages above that age were to continue for the rest of that person’s life. In particular, </w:t>
      </w:r>
      <w:r w:rsidRPr="001F32A9">
        <w:rPr>
          <w:bCs/>
          <w:color w:val="17365D"/>
          <w:sz w:val="16"/>
          <w:szCs w:val="16"/>
        </w:rPr>
        <w:t xml:space="preserve">life expectancy at birth </w:t>
      </w:r>
      <w:r w:rsidRPr="001F32A9">
        <w:rPr>
          <w:color w:val="17365D"/>
          <w:sz w:val="16"/>
          <w:szCs w:val="16"/>
        </w:rPr>
        <w:t xml:space="preserve">is the average number of years a newborn would live if current age-specific mortality rates were to continue. </w:t>
      </w:r>
    </w:p>
    <w:p w:rsidR="005D28D7" w:rsidRPr="001F32A9" w:rsidRDefault="002445A7" w:rsidP="000139DB">
      <w:pPr>
        <w:autoSpaceDE w:val="0"/>
        <w:autoSpaceDN w:val="0"/>
        <w:adjustRightInd w:val="0"/>
        <w:spacing w:line="276" w:lineRule="auto"/>
        <w:ind w:left="-270"/>
        <w:jc w:val="left"/>
        <w:rPr>
          <w:color w:val="17365D"/>
          <w:sz w:val="16"/>
          <w:szCs w:val="16"/>
        </w:rPr>
      </w:pPr>
      <w:r w:rsidRPr="001F32A9">
        <w:rPr>
          <w:b/>
          <w:bCs/>
          <w:color w:val="17365D"/>
          <w:sz w:val="16"/>
          <w:szCs w:val="16"/>
        </w:rPr>
        <w:t>Human Development Index (HDI)</w:t>
      </w:r>
      <w:r w:rsidR="00247719" w:rsidRPr="001F32A9">
        <w:rPr>
          <w:b/>
          <w:bCs/>
          <w:color w:val="17365D"/>
          <w:sz w:val="16"/>
          <w:szCs w:val="16"/>
        </w:rPr>
        <w:t xml:space="preserve">: </w:t>
      </w:r>
      <w:r w:rsidRPr="001F32A9">
        <w:rPr>
          <w:bCs/>
          <w:color w:val="17365D"/>
          <w:sz w:val="16"/>
          <w:szCs w:val="16"/>
        </w:rPr>
        <w:t>S</w:t>
      </w:r>
      <w:r w:rsidRPr="001F32A9">
        <w:rPr>
          <w:color w:val="17365D"/>
          <w:sz w:val="16"/>
          <w:szCs w:val="16"/>
        </w:rPr>
        <w:t>ummary measure for assessing long-term progress in basic dimensions of human development. In 2010 HDI was calculated for 169 countries.</w:t>
      </w:r>
    </w:p>
    <w:p w:rsidR="005D28D7" w:rsidRPr="001F32A9" w:rsidRDefault="002445A7" w:rsidP="000139DB">
      <w:pPr>
        <w:autoSpaceDE w:val="0"/>
        <w:autoSpaceDN w:val="0"/>
        <w:adjustRightInd w:val="0"/>
        <w:spacing w:line="276" w:lineRule="auto"/>
        <w:ind w:left="-270"/>
        <w:jc w:val="left"/>
        <w:rPr>
          <w:color w:val="17365D"/>
          <w:sz w:val="16"/>
          <w:szCs w:val="16"/>
        </w:rPr>
      </w:pPr>
      <w:r w:rsidRPr="001F32A9">
        <w:rPr>
          <w:b/>
          <w:bCs/>
          <w:color w:val="17365D"/>
          <w:sz w:val="16"/>
          <w:szCs w:val="16"/>
        </w:rPr>
        <w:t>Doing Business Indicators</w:t>
      </w:r>
      <w:r w:rsidR="00247719" w:rsidRPr="001F32A9">
        <w:rPr>
          <w:b/>
          <w:bCs/>
          <w:color w:val="17365D"/>
          <w:sz w:val="16"/>
          <w:szCs w:val="16"/>
        </w:rPr>
        <w:t xml:space="preserve">: </w:t>
      </w:r>
      <w:r w:rsidRPr="001F32A9">
        <w:rPr>
          <w:bCs/>
          <w:color w:val="17365D"/>
          <w:sz w:val="16"/>
          <w:szCs w:val="16"/>
        </w:rPr>
        <w:t>P</w:t>
      </w:r>
      <w:r w:rsidRPr="001F32A9">
        <w:rPr>
          <w:color w:val="17365D"/>
          <w:sz w:val="16"/>
          <w:szCs w:val="16"/>
        </w:rPr>
        <w:t xml:space="preserve">rovide objective measures of business regulations for local firms in 183 countries. </w:t>
      </w:r>
    </w:p>
    <w:p w:rsidR="00F17AFC" w:rsidRDefault="002445A7" w:rsidP="00CF2460">
      <w:pPr>
        <w:autoSpaceDE w:val="0"/>
        <w:autoSpaceDN w:val="0"/>
        <w:adjustRightInd w:val="0"/>
        <w:spacing w:line="276" w:lineRule="auto"/>
        <w:ind w:left="-270"/>
        <w:jc w:val="left"/>
        <w:rPr>
          <w:color w:val="17365D"/>
          <w:sz w:val="18"/>
          <w:szCs w:val="18"/>
        </w:rPr>
      </w:pPr>
      <w:r w:rsidRPr="001F32A9">
        <w:rPr>
          <w:b/>
          <w:bCs/>
          <w:color w:val="17365D"/>
          <w:sz w:val="16"/>
          <w:szCs w:val="16"/>
        </w:rPr>
        <w:t>World Bank Country Policy and Institutional Assessment (CPIA)</w:t>
      </w:r>
      <w:r w:rsidR="00247719" w:rsidRPr="001F32A9">
        <w:rPr>
          <w:b/>
          <w:bCs/>
          <w:color w:val="17365D"/>
          <w:sz w:val="16"/>
          <w:szCs w:val="16"/>
        </w:rPr>
        <w:t>: R</w:t>
      </w:r>
      <w:r w:rsidRPr="001F32A9">
        <w:rPr>
          <w:color w:val="17365D"/>
          <w:sz w:val="16"/>
          <w:szCs w:val="16"/>
        </w:rPr>
        <w:t xml:space="preserve">ates the policy and institutional performance of approximately 135 IBRD and IDA recipient countries. Ratings range from 1 (unsatisfactory for an extended period) to </w:t>
      </w:r>
      <w:r w:rsidR="00247719" w:rsidRPr="001F32A9">
        <w:rPr>
          <w:color w:val="17365D"/>
          <w:sz w:val="16"/>
          <w:szCs w:val="16"/>
        </w:rPr>
        <w:t>6</w:t>
      </w:r>
      <w:r w:rsidRPr="001F32A9">
        <w:rPr>
          <w:color w:val="17365D"/>
          <w:sz w:val="16"/>
          <w:szCs w:val="16"/>
        </w:rPr>
        <w:t xml:space="preserve"> (good for an extended period)</w:t>
      </w:r>
    </w:p>
    <w:sectPr w:rsidR="00F17AFC" w:rsidSect="002F4F47">
      <w:footerReference w:type="default" r:id="rId43"/>
      <w:footerReference w:type="first" r:id="rId44"/>
      <w:pgSz w:w="15840" w:h="12240" w:orient="landscape" w:code="1"/>
      <w:pgMar w:top="1152" w:right="864" w:bottom="1152"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AE6" w:rsidRDefault="003D1AE6" w:rsidP="00BF3C55">
      <w:r>
        <w:separator/>
      </w:r>
    </w:p>
  </w:endnote>
  <w:endnote w:type="continuationSeparator" w:id="0">
    <w:p w:rsidR="003D1AE6" w:rsidRDefault="003D1AE6" w:rsidP="00BF3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5E4" w:rsidRDefault="007275E4" w:rsidP="005E3128">
    <w:pPr>
      <w:pStyle w:val="Footer"/>
      <w:jc w:val="right"/>
    </w:pPr>
  </w:p>
  <w:p w:rsidR="007275E4" w:rsidRDefault="007275E4" w:rsidP="008A7712">
    <w:pPr>
      <w:pStyle w:val="Footer"/>
      <w:jc w:val="right"/>
    </w:pPr>
  </w:p>
  <w:p w:rsidR="007275E4" w:rsidRPr="004071A0" w:rsidRDefault="007275E4" w:rsidP="008A7712">
    <w:pPr>
      <w:pStyle w:val="Footer"/>
      <w:jc w:val="right"/>
      <w:rPr>
        <w:b/>
        <w:color w:val="1F497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5E4" w:rsidRPr="002F4F47" w:rsidRDefault="007275E4" w:rsidP="002F4F47">
    <w:pPr>
      <w:pStyle w:val="Footer"/>
      <w:pBdr>
        <w:top w:val="single" w:sz="4" w:space="1" w:color="244061"/>
      </w:pBdr>
      <w:tabs>
        <w:tab w:val="clear" w:pos="9360"/>
        <w:tab w:val="right" w:pos="9450"/>
      </w:tabs>
      <w:rPr>
        <w:color w:val="244061"/>
        <w:sz w:val="20"/>
        <w:szCs w:val="20"/>
      </w:rPr>
    </w:pPr>
    <w:r>
      <w:rPr>
        <w:color w:val="244061"/>
        <w:sz w:val="20"/>
        <w:szCs w:val="20"/>
      </w:rPr>
      <w:t xml:space="preserve">Ghana Economic Update </w:t>
    </w:r>
    <w:r w:rsidR="00870748">
      <w:rPr>
        <w:color w:val="244061"/>
        <w:sz w:val="20"/>
        <w:szCs w:val="20"/>
      </w:rPr>
      <w:t>October</w:t>
    </w:r>
    <w:r>
      <w:rPr>
        <w:color w:val="244061"/>
        <w:sz w:val="20"/>
        <w:szCs w:val="20"/>
      </w:rPr>
      <w:t xml:space="preserve"> 2014</w:t>
    </w:r>
    <w:r w:rsidRPr="00980679">
      <w:rPr>
        <w:color w:val="244061"/>
        <w:sz w:val="20"/>
        <w:szCs w:val="20"/>
      </w:rPr>
      <w:tab/>
    </w:r>
    <w:r w:rsidRPr="00980679">
      <w:rPr>
        <w:color w:val="244061"/>
        <w:sz w:val="20"/>
        <w:szCs w:val="20"/>
      </w:rPr>
      <w:tab/>
    </w:r>
    <w:r>
      <w:fldChar w:fldCharType="begin"/>
    </w:r>
    <w:r>
      <w:instrText xml:space="preserve"> PAGE   \* MERGEFORMAT </w:instrText>
    </w:r>
    <w:r>
      <w:fldChar w:fldCharType="separate"/>
    </w:r>
    <w:r w:rsidR="0070748C">
      <w:rPr>
        <w:noProof/>
      </w:rPr>
      <w:t>16</w:t>
    </w:r>
    <w:r>
      <w:rPr>
        <w:noProof/>
      </w:rPr>
      <w:fldChar w:fldCharType="end"/>
    </w:r>
  </w:p>
  <w:p w:rsidR="007275E4" w:rsidRPr="004071A0" w:rsidRDefault="007275E4" w:rsidP="008A7712">
    <w:pPr>
      <w:pStyle w:val="Footer"/>
      <w:jc w:val="right"/>
      <w:rPr>
        <w:b/>
        <w:color w:val="1F497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5E4" w:rsidRPr="002F4F47" w:rsidRDefault="007275E4" w:rsidP="002F4F47">
    <w:pPr>
      <w:pStyle w:val="Footer"/>
      <w:pBdr>
        <w:top w:val="single" w:sz="4" w:space="1" w:color="244061"/>
      </w:pBdr>
      <w:rPr>
        <w:color w:val="244061"/>
        <w:sz w:val="20"/>
        <w:szCs w:val="20"/>
      </w:rPr>
    </w:pPr>
    <w:r>
      <w:rPr>
        <w:color w:val="244061"/>
        <w:sz w:val="20"/>
        <w:szCs w:val="20"/>
      </w:rPr>
      <w:t xml:space="preserve">Ghana Economic Update </w:t>
    </w:r>
    <w:r w:rsidR="00870748">
      <w:rPr>
        <w:color w:val="244061"/>
        <w:sz w:val="20"/>
        <w:szCs w:val="20"/>
      </w:rPr>
      <w:t>October</w:t>
    </w:r>
    <w:r>
      <w:rPr>
        <w:color w:val="244061"/>
        <w:sz w:val="20"/>
        <w:szCs w:val="20"/>
      </w:rPr>
      <w:t xml:space="preserve"> 2014</w:t>
    </w:r>
    <w:r w:rsidRPr="00980679">
      <w:rPr>
        <w:color w:val="244061"/>
        <w:sz w:val="20"/>
        <w:szCs w:val="20"/>
      </w:rPr>
      <w:tab/>
    </w:r>
    <w:r w:rsidRPr="00980679">
      <w:rPr>
        <w:color w:val="244061"/>
        <w:sz w:val="20"/>
        <w:szCs w:val="20"/>
      </w:rPr>
      <w:tab/>
    </w:r>
    <w:r>
      <w:fldChar w:fldCharType="begin"/>
    </w:r>
    <w:r>
      <w:instrText xml:space="preserve"> PAGE   \* MERGEFORMAT </w:instrText>
    </w:r>
    <w:r>
      <w:fldChar w:fldCharType="separate"/>
    </w:r>
    <w:r w:rsidR="0070748C">
      <w:rPr>
        <w:noProof/>
      </w:rPr>
      <w:t>3</w:t>
    </w:r>
    <w:r>
      <w:rPr>
        <w:noProof/>
      </w:rPr>
      <w:fldChar w:fldCharType="end"/>
    </w:r>
  </w:p>
  <w:p w:rsidR="007275E4" w:rsidRDefault="007275E4" w:rsidP="006304F8">
    <w:pPr>
      <w:pStyle w:val="Footer"/>
    </w:pPr>
  </w:p>
  <w:p w:rsidR="007275E4" w:rsidRPr="006304F8" w:rsidRDefault="007275E4" w:rsidP="006304F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5E4" w:rsidRPr="002F4F47" w:rsidRDefault="007275E4" w:rsidP="002F4F47">
    <w:pPr>
      <w:pStyle w:val="Footer"/>
      <w:pBdr>
        <w:top w:val="single" w:sz="4" w:space="1" w:color="244061"/>
      </w:pBdr>
      <w:rPr>
        <w:color w:val="244061"/>
        <w:sz w:val="20"/>
        <w:szCs w:val="20"/>
      </w:rPr>
    </w:pPr>
    <w:r>
      <w:rPr>
        <w:color w:val="244061"/>
        <w:sz w:val="20"/>
        <w:szCs w:val="20"/>
      </w:rPr>
      <w:t>Ghana</w:t>
    </w:r>
    <w:r w:rsidRPr="00980679">
      <w:rPr>
        <w:color w:val="244061"/>
        <w:sz w:val="20"/>
        <w:szCs w:val="20"/>
      </w:rPr>
      <w:t xml:space="preserve"> Economic Upd</w:t>
    </w:r>
    <w:r w:rsidR="00870748">
      <w:rPr>
        <w:color w:val="244061"/>
        <w:sz w:val="20"/>
        <w:szCs w:val="20"/>
      </w:rPr>
      <w:t>ate October</w:t>
    </w:r>
    <w:r>
      <w:rPr>
        <w:color w:val="244061"/>
        <w:sz w:val="20"/>
        <w:szCs w:val="20"/>
      </w:rPr>
      <w:t xml:space="preserve"> 2014</w:t>
    </w:r>
    <w:r w:rsidRPr="00980679">
      <w:rPr>
        <w:color w:val="244061"/>
        <w:sz w:val="20"/>
        <w:szCs w:val="20"/>
      </w:rPr>
      <w:tab/>
    </w:r>
    <w:r w:rsidRPr="00980679">
      <w:rPr>
        <w:color w:val="244061"/>
        <w:sz w:val="20"/>
        <w:szCs w:val="20"/>
      </w:rPr>
      <w:tab/>
    </w:r>
    <w:r>
      <w:rPr>
        <w:color w:val="244061"/>
        <w:sz w:val="20"/>
        <w:szCs w:val="20"/>
      </w:rPr>
      <w:tab/>
    </w:r>
    <w:r>
      <w:rPr>
        <w:color w:val="244061"/>
        <w:sz w:val="20"/>
        <w:szCs w:val="20"/>
      </w:rPr>
      <w:tab/>
    </w:r>
    <w:r>
      <w:rPr>
        <w:color w:val="244061"/>
        <w:sz w:val="20"/>
        <w:szCs w:val="20"/>
      </w:rPr>
      <w:tab/>
    </w:r>
    <w:r>
      <w:rPr>
        <w:color w:val="244061"/>
        <w:sz w:val="20"/>
        <w:szCs w:val="20"/>
      </w:rPr>
      <w:tab/>
    </w:r>
    <w:r>
      <w:rPr>
        <w:color w:val="244061"/>
        <w:sz w:val="20"/>
        <w:szCs w:val="20"/>
      </w:rPr>
      <w:tab/>
    </w:r>
    <w:r>
      <w:rPr>
        <w:color w:val="244061"/>
        <w:sz w:val="20"/>
        <w:szCs w:val="20"/>
      </w:rPr>
      <w:tab/>
      <w:t xml:space="preserve">     </w:t>
    </w:r>
    <w:r>
      <w:fldChar w:fldCharType="begin"/>
    </w:r>
    <w:r>
      <w:instrText xml:space="preserve"> PAGE   \* MERGEFORMAT </w:instrText>
    </w:r>
    <w:r>
      <w:fldChar w:fldCharType="separate"/>
    </w:r>
    <w:r w:rsidR="0070748C">
      <w:rPr>
        <w:noProof/>
      </w:rPr>
      <w:t>18</w:t>
    </w:r>
    <w:r>
      <w:rPr>
        <w:noProof/>
      </w:rPr>
      <w:fldChar w:fldCharType="end"/>
    </w:r>
  </w:p>
  <w:p w:rsidR="007275E4" w:rsidRDefault="007275E4" w:rsidP="008A7712">
    <w:pPr>
      <w:pStyle w:val="Footer"/>
      <w:jc w:val="right"/>
    </w:pPr>
  </w:p>
  <w:p w:rsidR="007275E4" w:rsidRPr="004071A0" w:rsidRDefault="007275E4" w:rsidP="008A7712">
    <w:pPr>
      <w:pStyle w:val="Footer"/>
      <w:jc w:val="right"/>
      <w:rPr>
        <w:b/>
        <w:color w:val="1F497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5E4" w:rsidRPr="002F4F47" w:rsidRDefault="007275E4" w:rsidP="000139DB">
    <w:pPr>
      <w:pStyle w:val="Footer"/>
      <w:pBdr>
        <w:top w:val="single" w:sz="4" w:space="1" w:color="244061"/>
      </w:pBdr>
      <w:ind w:right="-108"/>
      <w:rPr>
        <w:color w:val="244061"/>
        <w:sz w:val="20"/>
        <w:szCs w:val="20"/>
      </w:rPr>
    </w:pPr>
    <w:r>
      <w:rPr>
        <w:color w:val="244061"/>
        <w:sz w:val="20"/>
        <w:szCs w:val="20"/>
      </w:rPr>
      <w:t>Ghana</w:t>
    </w:r>
    <w:r w:rsidRPr="00980679">
      <w:rPr>
        <w:color w:val="244061"/>
        <w:sz w:val="20"/>
        <w:szCs w:val="20"/>
      </w:rPr>
      <w:t xml:space="preserve"> Economic Update </w:t>
    </w:r>
    <w:r>
      <w:rPr>
        <w:color w:val="244061"/>
        <w:sz w:val="20"/>
        <w:szCs w:val="20"/>
      </w:rPr>
      <w:t>April 2014</w:t>
    </w:r>
    <w:r w:rsidRPr="00980679">
      <w:rPr>
        <w:color w:val="244061"/>
        <w:sz w:val="20"/>
        <w:szCs w:val="20"/>
      </w:rPr>
      <w:tab/>
    </w:r>
    <w:r w:rsidRPr="00980679">
      <w:rPr>
        <w:color w:val="244061"/>
        <w:sz w:val="20"/>
        <w:szCs w:val="20"/>
      </w:rPr>
      <w:tab/>
    </w:r>
    <w:r>
      <w:rPr>
        <w:color w:val="244061"/>
        <w:sz w:val="20"/>
        <w:szCs w:val="20"/>
      </w:rPr>
      <w:tab/>
    </w:r>
    <w:r>
      <w:rPr>
        <w:color w:val="244061"/>
        <w:sz w:val="20"/>
        <w:szCs w:val="20"/>
      </w:rPr>
      <w:tab/>
    </w:r>
    <w:r>
      <w:rPr>
        <w:color w:val="244061"/>
        <w:sz w:val="20"/>
        <w:szCs w:val="20"/>
      </w:rPr>
      <w:tab/>
    </w:r>
    <w:r>
      <w:rPr>
        <w:color w:val="244061"/>
        <w:sz w:val="20"/>
        <w:szCs w:val="20"/>
      </w:rPr>
      <w:tab/>
    </w:r>
    <w:r>
      <w:rPr>
        <w:color w:val="244061"/>
        <w:sz w:val="20"/>
        <w:szCs w:val="20"/>
      </w:rPr>
      <w:tab/>
    </w:r>
    <w:r>
      <w:rPr>
        <w:color w:val="244061"/>
        <w:sz w:val="20"/>
        <w:szCs w:val="20"/>
      </w:rPr>
      <w:tab/>
      <w:t xml:space="preserve">     </w:t>
    </w:r>
    <w:r>
      <w:fldChar w:fldCharType="begin"/>
    </w:r>
    <w:r>
      <w:instrText xml:space="preserve"> PAGE   \* MERGEFORMAT </w:instrText>
    </w:r>
    <w:r>
      <w:fldChar w:fldCharType="separate"/>
    </w:r>
    <w:r w:rsidR="0070748C">
      <w:rPr>
        <w:noProof/>
      </w:rPr>
      <w:t>17</w:t>
    </w:r>
    <w:r>
      <w:rPr>
        <w:noProof/>
      </w:rPr>
      <w:fldChar w:fldCharType="end"/>
    </w:r>
  </w:p>
  <w:p w:rsidR="007275E4" w:rsidRPr="006304F8" w:rsidRDefault="007275E4" w:rsidP="006304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AE6" w:rsidRDefault="003D1AE6" w:rsidP="00BF3C55">
      <w:r>
        <w:separator/>
      </w:r>
    </w:p>
  </w:footnote>
  <w:footnote w:type="continuationSeparator" w:id="0">
    <w:p w:rsidR="003D1AE6" w:rsidRDefault="003D1AE6" w:rsidP="00BF3C55">
      <w:r>
        <w:continuationSeparator/>
      </w:r>
    </w:p>
  </w:footnote>
  <w:footnote w:id="1">
    <w:p w:rsidR="007275E4" w:rsidRPr="00350F75" w:rsidRDefault="007275E4" w:rsidP="00406347">
      <w:pPr>
        <w:autoSpaceDE w:val="0"/>
        <w:autoSpaceDN w:val="0"/>
        <w:adjustRightInd w:val="0"/>
        <w:rPr>
          <w:rFonts w:asciiTheme="minorHAnsi" w:hAnsiTheme="minorHAnsi" w:cs="MyriadPro-Regular"/>
          <w:sz w:val="18"/>
          <w:szCs w:val="18"/>
        </w:rPr>
      </w:pPr>
      <w:r w:rsidRPr="007700B8">
        <w:rPr>
          <w:rStyle w:val="FootnoteReference"/>
          <w:rFonts w:asciiTheme="minorHAnsi" w:hAnsiTheme="minorHAnsi"/>
          <w:sz w:val="18"/>
          <w:szCs w:val="18"/>
        </w:rPr>
        <w:footnoteRef/>
      </w:r>
      <w:r w:rsidRPr="007700B8">
        <w:rPr>
          <w:rFonts w:asciiTheme="minorHAnsi" w:hAnsiTheme="minorHAnsi"/>
          <w:sz w:val="18"/>
          <w:szCs w:val="18"/>
        </w:rPr>
        <w:t xml:space="preserve"> Interestingly t</w:t>
      </w:r>
      <w:r w:rsidRPr="007700B8">
        <w:rPr>
          <w:rFonts w:asciiTheme="minorHAnsi" w:hAnsiTheme="minorHAnsi" w:cs="MyriadPro-Regular"/>
          <w:sz w:val="18"/>
          <w:szCs w:val="18"/>
        </w:rPr>
        <w:t xml:space="preserve">he term </w:t>
      </w:r>
      <w:r w:rsidRPr="007700B8">
        <w:rPr>
          <w:rFonts w:asciiTheme="minorHAnsi" w:hAnsiTheme="minorHAnsi" w:cs="MyriadPro-It"/>
          <w:iCs/>
          <w:sz w:val="18"/>
          <w:szCs w:val="18"/>
        </w:rPr>
        <w:t xml:space="preserve">informality regarding </w:t>
      </w:r>
      <w:r>
        <w:rPr>
          <w:rFonts w:asciiTheme="minorHAnsi" w:hAnsiTheme="minorHAnsi" w:cs="MyriadPro-It"/>
          <w:iCs/>
          <w:sz w:val="18"/>
          <w:szCs w:val="18"/>
        </w:rPr>
        <w:t>sector of the ec</w:t>
      </w:r>
      <w:r w:rsidRPr="007700B8">
        <w:rPr>
          <w:rFonts w:asciiTheme="minorHAnsi" w:hAnsiTheme="minorHAnsi" w:cs="MyriadPro-It"/>
          <w:iCs/>
          <w:sz w:val="18"/>
          <w:szCs w:val="18"/>
        </w:rPr>
        <w:t xml:space="preserve">onomy </w:t>
      </w:r>
      <w:r w:rsidRPr="00350F75">
        <w:rPr>
          <w:rFonts w:asciiTheme="minorHAnsi" w:hAnsiTheme="minorHAnsi" w:cs="MyriadPro-Regular"/>
          <w:sz w:val="18"/>
          <w:szCs w:val="18"/>
        </w:rPr>
        <w:t>was first coined in a paper about Ghana.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5E4" w:rsidRDefault="007275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8466EE8"/>
    <w:lvl w:ilvl="0">
      <w:start w:val="1"/>
      <w:numFmt w:val="bullet"/>
      <w:pStyle w:val="ListBullet"/>
      <w:lvlText w:val=""/>
      <w:lvlJc w:val="left"/>
      <w:pPr>
        <w:tabs>
          <w:tab w:val="num" w:pos="720"/>
        </w:tabs>
        <w:ind w:left="720" w:hanging="720"/>
      </w:pPr>
      <w:rPr>
        <w:rFonts w:ascii="Symbol" w:hAnsi="Symbol" w:hint="default"/>
      </w:rPr>
    </w:lvl>
  </w:abstractNum>
  <w:abstractNum w:abstractNumId="1">
    <w:nsid w:val="016823EE"/>
    <w:multiLevelType w:val="hybridMultilevel"/>
    <w:tmpl w:val="55FAD6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105CA9"/>
    <w:multiLevelType w:val="hybridMultilevel"/>
    <w:tmpl w:val="72106066"/>
    <w:lvl w:ilvl="0" w:tplc="C870EB30">
      <w:start w:val="1"/>
      <w:numFmt w:val="decimal"/>
      <w:pStyle w:val="ParagraphNumbering"/>
      <w:lvlText w:val="%1.     "/>
      <w:lvlJc w:val="left"/>
      <w:pPr>
        <w:tabs>
          <w:tab w:val="num" w:pos="720"/>
        </w:tabs>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D8002344">
      <w:start w:val="1"/>
      <w:numFmt w:val="bullet"/>
      <w:lvlText w:val=""/>
      <w:lvlJc w:val="left"/>
      <w:pPr>
        <w:tabs>
          <w:tab w:val="num" w:pos="360"/>
        </w:tabs>
        <w:ind w:left="360" w:hanging="360"/>
      </w:pPr>
      <w:rPr>
        <w:rFonts w:ascii="Symbol" w:hAnsi="Symbol" w:hint="default"/>
        <w:color w:val="auto"/>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220F566F"/>
    <w:multiLevelType w:val="hybridMultilevel"/>
    <w:tmpl w:val="D86E8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9439E6"/>
    <w:multiLevelType w:val="multilevel"/>
    <w:tmpl w:val="330A631A"/>
    <w:lvl w:ilvl="0">
      <w:start w:val="1"/>
      <w:numFmt w:val="none"/>
      <w:pStyle w:val="Heading1a"/>
      <w:suff w:val="nothing"/>
      <w:lvlText w:val="%1"/>
      <w:lvlJc w:val="left"/>
      <w:rPr>
        <w:rFonts w:cs="Times New Roman" w:hint="default"/>
      </w:rPr>
    </w:lvl>
    <w:lvl w:ilvl="1">
      <w:start w:val="1"/>
      <w:numFmt w:val="decimal"/>
      <w:pStyle w:val="MainParanoChapter"/>
      <w:lvlText w:val="%2."/>
      <w:lvlJc w:val="left"/>
      <w:pPr>
        <w:tabs>
          <w:tab w:val="num" w:pos="1260"/>
        </w:tabs>
        <w:ind w:left="1260" w:hanging="720"/>
      </w:pPr>
      <w:rPr>
        <w:rFonts w:cs="Times New Roman" w:hint="default"/>
        <w:b w:val="0"/>
        <w:i w:val="0"/>
      </w:rPr>
    </w:lvl>
    <w:lvl w:ilvl="2">
      <w:start w:val="1"/>
      <w:numFmt w:val="lowerLetter"/>
      <w:pStyle w:val="Sub-Para1underX"/>
      <w:lvlText w:val="(%3)"/>
      <w:lvlJc w:val="left"/>
      <w:pPr>
        <w:tabs>
          <w:tab w:val="num" w:pos="1080"/>
        </w:tabs>
        <w:ind w:left="720" w:hanging="360"/>
      </w:pPr>
      <w:rPr>
        <w:rFonts w:cs="Times New Roman" w:hint="default"/>
      </w:rPr>
    </w:lvl>
    <w:lvl w:ilvl="3">
      <w:start w:val="1"/>
      <w:numFmt w:val="lowerRoman"/>
      <w:pStyle w:val="Sub-Para2underX"/>
      <w:lvlText w:val="(%4)"/>
      <w:lvlJc w:val="left"/>
      <w:pPr>
        <w:tabs>
          <w:tab w:val="num" w:pos="1800"/>
        </w:tabs>
        <w:ind w:left="1080" w:hanging="360"/>
      </w:pPr>
      <w:rPr>
        <w:rFonts w:cs="Times New Roman" w:hint="default"/>
      </w:rPr>
    </w:lvl>
    <w:lvl w:ilvl="4">
      <w:start w:val="1"/>
      <w:numFmt w:val="lowerLetter"/>
      <w:pStyle w:val="Sub-Para3underX"/>
      <w:lvlText w:val="%5."/>
      <w:lvlJc w:val="left"/>
      <w:pPr>
        <w:tabs>
          <w:tab w:val="num" w:pos="1440"/>
        </w:tabs>
        <w:ind w:left="1440" w:hanging="360"/>
      </w:pPr>
      <w:rPr>
        <w:rFonts w:cs="Times New Roman" w:hint="default"/>
      </w:rPr>
    </w:lvl>
    <w:lvl w:ilvl="5">
      <w:start w:val="1"/>
      <w:numFmt w:val="lowerRoman"/>
      <w:pStyle w:val="Sub-Para4underX"/>
      <w:lvlText w:val="%6."/>
      <w:lvlJc w:val="left"/>
      <w:pPr>
        <w:tabs>
          <w:tab w:val="num" w:pos="2160"/>
        </w:tabs>
        <w:ind w:left="180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nsid w:val="48484289"/>
    <w:multiLevelType w:val="hybridMultilevel"/>
    <w:tmpl w:val="23C24B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D9E6B9D"/>
    <w:multiLevelType w:val="hybridMultilevel"/>
    <w:tmpl w:val="83444874"/>
    <w:lvl w:ilvl="0" w:tplc="78AE1A82">
      <w:start w:val="1"/>
      <w:numFmt w:val="bullet"/>
      <w:pStyle w:val="Style11ptJustifiedAfter6p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7F036B6"/>
    <w:multiLevelType w:val="hybridMultilevel"/>
    <w:tmpl w:val="B4FCAB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C047B54"/>
    <w:multiLevelType w:val="hybridMultilevel"/>
    <w:tmpl w:val="82A80154"/>
    <w:lvl w:ilvl="0" w:tplc="3BE63E28">
      <w:start w:val="1"/>
      <w:numFmt w:val="decimal"/>
      <w:pStyle w:val="Heading1"/>
      <w:lvlText w:val="%1."/>
      <w:lvlJc w:val="left"/>
      <w:pPr>
        <w:ind w:left="360" w:hanging="360"/>
      </w:pPr>
      <w:rPr>
        <w:rFonts w:ascii="Cambria" w:hAnsi="Cambria" w:hint="default"/>
        <w:b/>
        <w:i w:val="0"/>
        <w:caps w:val="0"/>
        <w:strike w:val="0"/>
        <w:dstrike w:val="0"/>
        <w:vanish w:val="0"/>
        <w:sz w:val="22"/>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8"/>
  </w:num>
  <w:num w:numId="3">
    <w:abstractNumId w:val="4"/>
  </w:num>
  <w:num w:numId="4">
    <w:abstractNumId w:val="2"/>
  </w:num>
  <w:num w:numId="5">
    <w:abstractNumId w:val="0"/>
  </w:num>
  <w:num w:numId="6">
    <w:abstractNumId w:val="7"/>
  </w:num>
  <w:num w:numId="7">
    <w:abstractNumId w:val="5"/>
  </w:num>
  <w:num w:numId="8">
    <w:abstractNumId w:val="8"/>
  </w:num>
  <w:num w:numId="9">
    <w:abstractNumId w:val="8"/>
  </w:num>
  <w:num w:numId="10">
    <w:abstractNumId w:val="8"/>
  </w:num>
  <w:num w:numId="11">
    <w:abstractNumId w:val="8"/>
  </w:num>
  <w:num w:numId="12">
    <w:abstractNumId w:val="8"/>
  </w:num>
  <w:num w:numId="13">
    <w:abstractNumId w:val="8"/>
  </w:num>
  <w:num w:numId="14">
    <w:abstractNumId w:val="1"/>
  </w:num>
  <w:num w:numId="15">
    <w:abstractNumId w:val="3"/>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ocumentProtection w:edit="trackedChanges" w:enforcement="0"/>
  <w:defaultTabStop w:val="720"/>
  <w:drawingGridHorizontalSpacing w:val="110"/>
  <w:displayHorizontalDrawingGridEvery w:val="2"/>
  <w:characterSpacingControl w:val="doNotCompress"/>
  <w:hdrShapeDefaults>
    <o:shapedefaults v:ext="edit" spidmax="6145" style="mso-position-horizontal-relative:margin;mso-position-vertical-relative:margin;mso-width-relative:margin;v-text-anchor:middle" o:allowincell="f" fill="f" fillcolor="black">
      <v:fill color="black" on="f"/>
      <v:stroke weight="1.5pt"/>
      <v:shadow color="#f79646" opacity=".5" offset="-15pt,0" offset2="-18pt,12pt"/>
      <v:textbox inset="21.6pt,21.6pt,21.6pt,21.6pt"/>
      <o:colormru v:ext="edit" colors="#6f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033"/>
    <w:rsid w:val="00001E27"/>
    <w:rsid w:val="00002711"/>
    <w:rsid w:val="00003240"/>
    <w:rsid w:val="00003980"/>
    <w:rsid w:val="00003ED5"/>
    <w:rsid w:val="00004314"/>
    <w:rsid w:val="00004530"/>
    <w:rsid w:val="0000498A"/>
    <w:rsid w:val="00004AF2"/>
    <w:rsid w:val="00005D43"/>
    <w:rsid w:val="000075A9"/>
    <w:rsid w:val="000075F8"/>
    <w:rsid w:val="00010075"/>
    <w:rsid w:val="00010380"/>
    <w:rsid w:val="00010ADB"/>
    <w:rsid w:val="00010CE5"/>
    <w:rsid w:val="00010DE7"/>
    <w:rsid w:val="000116E5"/>
    <w:rsid w:val="000119F5"/>
    <w:rsid w:val="00012086"/>
    <w:rsid w:val="00013352"/>
    <w:rsid w:val="000136BF"/>
    <w:rsid w:val="000139DB"/>
    <w:rsid w:val="00014A48"/>
    <w:rsid w:val="00014F6B"/>
    <w:rsid w:val="0001727F"/>
    <w:rsid w:val="000173FD"/>
    <w:rsid w:val="000203F4"/>
    <w:rsid w:val="00020AF7"/>
    <w:rsid w:val="00021558"/>
    <w:rsid w:val="00021678"/>
    <w:rsid w:val="0002287E"/>
    <w:rsid w:val="0002295B"/>
    <w:rsid w:val="00023198"/>
    <w:rsid w:val="00023B89"/>
    <w:rsid w:val="00025BC1"/>
    <w:rsid w:val="00025FB1"/>
    <w:rsid w:val="000264AE"/>
    <w:rsid w:val="0002660A"/>
    <w:rsid w:val="00026FDB"/>
    <w:rsid w:val="000271B3"/>
    <w:rsid w:val="000271DC"/>
    <w:rsid w:val="000272E9"/>
    <w:rsid w:val="00027831"/>
    <w:rsid w:val="000304F4"/>
    <w:rsid w:val="00031AA6"/>
    <w:rsid w:val="00031C9A"/>
    <w:rsid w:val="00032336"/>
    <w:rsid w:val="00034E66"/>
    <w:rsid w:val="00037517"/>
    <w:rsid w:val="0003766C"/>
    <w:rsid w:val="000377F0"/>
    <w:rsid w:val="00037971"/>
    <w:rsid w:val="00037A39"/>
    <w:rsid w:val="00037B80"/>
    <w:rsid w:val="000409BA"/>
    <w:rsid w:val="000451E1"/>
    <w:rsid w:val="00045EDE"/>
    <w:rsid w:val="00046006"/>
    <w:rsid w:val="0004670B"/>
    <w:rsid w:val="00047812"/>
    <w:rsid w:val="00047B83"/>
    <w:rsid w:val="00047C20"/>
    <w:rsid w:val="000506B6"/>
    <w:rsid w:val="000506C8"/>
    <w:rsid w:val="00050F5A"/>
    <w:rsid w:val="000518B3"/>
    <w:rsid w:val="00051BE6"/>
    <w:rsid w:val="00053ADE"/>
    <w:rsid w:val="00053BE1"/>
    <w:rsid w:val="00053D76"/>
    <w:rsid w:val="00054BD1"/>
    <w:rsid w:val="00054D5F"/>
    <w:rsid w:val="0005590E"/>
    <w:rsid w:val="000559AB"/>
    <w:rsid w:val="000559B1"/>
    <w:rsid w:val="00055D8E"/>
    <w:rsid w:val="000564CD"/>
    <w:rsid w:val="00056AA9"/>
    <w:rsid w:val="00056C79"/>
    <w:rsid w:val="000573D6"/>
    <w:rsid w:val="00057984"/>
    <w:rsid w:val="00060323"/>
    <w:rsid w:val="000603B7"/>
    <w:rsid w:val="00060453"/>
    <w:rsid w:val="0006182A"/>
    <w:rsid w:val="000619D8"/>
    <w:rsid w:val="00061CB0"/>
    <w:rsid w:val="00062070"/>
    <w:rsid w:val="0006226B"/>
    <w:rsid w:val="000622D4"/>
    <w:rsid w:val="0006285F"/>
    <w:rsid w:val="0006417F"/>
    <w:rsid w:val="0006431E"/>
    <w:rsid w:val="000647CD"/>
    <w:rsid w:val="00064B1D"/>
    <w:rsid w:val="00064CB7"/>
    <w:rsid w:val="00065252"/>
    <w:rsid w:val="00065438"/>
    <w:rsid w:val="000659D3"/>
    <w:rsid w:val="00065F42"/>
    <w:rsid w:val="000663F4"/>
    <w:rsid w:val="000702B1"/>
    <w:rsid w:val="0007034F"/>
    <w:rsid w:val="00071D7B"/>
    <w:rsid w:val="000726F3"/>
    <w:rsid w:val="00073360"/>
    <w:rsid w:val="0007376D"/>
    <w:rsid w:val="000742AB"/>
    <w:rsid w:val="00074336"/>
    <w:rsid w:val="00074B54"/>
    <w:rsid w:val="00076657"/>
    <w:rsid w:val="00076E10"/>
    <w:rsid w:val="0007710B"/>
    <w:rsid w:val="00077582"/>
    <w:rsid w:val="00077B57"/>
    <w:rsid w:val="00077FE2"/>
    <w:rsid w:val="00080A24"/>
    <w:rsid w:val="00080AB3"/>
    <w:rsid w:val="00081F25"/>
    <w:rsid w:val="00082E1A"/>
    <w:rsid w:val="00083B3D"/>
    <w:rsid w:val="00084830"/>
    <w:rsid w:val="00085A9D"/>
    <w:rsid w:val="00085DF3"/>
    <w:rsid w:val="000861A6"/>
    <w:rsid w:val="0008637F"/>
    <w:rsid w:val="0009075A"/>
    <w:rsid w:val="00091D54"/>
    <w:rsid w:val="000923AB"/>
    <w:rsid w:val="00093606"/>
    <w:rsid w:val="00095A55"/>
    <w:rsid w:val="00095FCE"/>
    <w:rsid w:val="00096202"/>
    <w:rsid w:val="0009752D"/>
    <w:rsid w:val="00097A57"/>
    <w:rsid w:val="000A0EDB"/>
    <w:rsid w:val="000A130D"/>
    <w:rsid w:val="000A17BA"/>
    <w:rsid w:val="000A1871"/>
    <w:rsid w:val="000A1958"/>
    <w:rsid w:val="000A1A68"/>
    <w:rsid w:val="000A38FE"/>
    <w:rsid w:val="000A53D1"/>
    <w:rsid w:val="000A5CA8"/>
    <w:rsid w:val="000A5D0E"/>
    <w:rsid w:val="000A7212"/>
    <w:rsid w:val="000B0D4A"/>
    <w:rsid w:val="000B10F5"/>
    <w:rsid w:val="000B190E"/>
    <w:rsid w:val="000B1C8E"/>
    <w:rsid w:val="000B2206"/>
    <w:rsid w:val="000B2AEF"/>
    <w:rsid w:val="000B2B92"/>
    <w:rsid w:val="000B2BD6"/>
    <w:rsid w:val="000B40A1"/>
    <w:rsid w:val="000B469C"/>
    <w:rsid w:val="000B55DB"/>
    <w:rsid w:val="000B635E"/>
    <w:rsid w:val="000B6901"/>
    <w:rsid w:val="000B6B3E"/>
    <w:rsid w:val="000B6F6D"/>
    <w:rsid w:val="000B7773"/>
    <w:rsid w:val="000B77BD"/>
    <w:rsid w:val="000B7AFA"/>
    <w:rsid w:val="000C03D0"/>
    <w:rsid w:val="000C0D10"/>
    <w:rsid w:val="000C0D5F"/>
    <w:rsid w:val="000C2235"/>
    <w:rsid w:val="000C2277"/>
    <w:rsid w:val="000C228C"/>
    <w:rsid w:val="000C272E"/>
    <w:rsid w:val="000C36CE"/>
    <w:rsid w:val="000C54B1"/>
    <w:rsid w:val="000C5AB7"/>
    <w:rsid w:val="000C5B8A"/>
    <w:rsid w:val="000C5DEB"/>
    <w:rsid w:val="000C6126"/>
    <w:rsid w:val="000C68B6"/>
    <w:rsid w:val="000D0109"/>
    <w:rsid w:val="000D2F15"/>
    <w:rsid w:val="000D46FE"/>
    <w:rsid w:val="000D4915"/>
    <w:rsid w:val="000D497F"/>
    <w:rsid w:val="000D4E41"/>
    <w:rsid w:val="000D4ED4"/>
    <w:rsid w:val="000D4F80"/>
    <w:rsid w:val="000D6A5D"/>
    <w:rsid w:val="000D7953"/>
    <w:rsid w:val="000E05E5"/>
    <w:rsid w:val="000E0A2B"/>
    <w:rsid w:val="000E1A4D"/>
    <w:rsid w:val="000E29CC"/>
    <w:rsid w:val="000E3AC0"/>
    <w:rsid w:val="000E4CE1"/>
    <w:rsid w:val="000E52BD"/>
    <w:rsid w:val="000E6286"/>
    <w:rsid w:val="000E6C15"/>
    <w:rsid w:val="000E77F0"/>
    <w:rsid w:val="000E7AA2"/>
    <w:rsid w:val="000F0098"/>
    <w:rsid w:val="000F0137"/>
    <w:rsid w:val="000F2EFF"/>
    <w:rsid w:val="000F46F8"/>
    <w:rsid w:val="000F4CA4"/>
    <w:rsid w:val="000F4E0F"/>
    <w:rsid w:val="000F5020"/>
    <w:rsid w:val="000F5332"/>
    <w:rsid w:val="000F7239"/>
    <w:rsid w:val="000F7A1D"/>
    <w:rsid w:val="001008DC"/>
    <w:rsid w:val="00100DA0"/>
    <w:rsid w:val="00100E34"/>
    <w:rsid w:val="001016EE"/>
    <w:rsid w:val="00102915"/>
    <w:rsid w:val="00102D82"/>
    <w:rsid w:val="00103B3D"/>
    <w:rsid w:val="00103C00"/>
    <w:rsid w:val="00103C61"/>
    <w:rsid w:val="00103E85"/>
    <w:rsid w:val="00103E9D"/>
    <w:rsid w:val="00104BE8"/>
    <w:rsid w:val="00104C9B"/>
    <w:rsid w:val="0010684A"/>
    <w:rsid w:val="0010710E"/>
    <w:rsid w:val="00107A5C"/>
    <w:rsid w:val="001105BE"/>
    <w:rsid w:val="00111162"/>
    <w:rsid w:val="00111872"/>
    <w:rsid w:val="001142AD"/>
    <w:rsid w:val="00114A62"/>
    <w:rsid w:val="00116FD0"/>
    <w:rsid w:val="00117181"/>
    <w:rsid w:val="001172FC"/>
    <w:rsid w:val="001176DE"/>
    <w:rsid w:val="001178F0"/>
    <w:rsid w:val="00120E8E"/>
    <w:rsid w:val="00120FE9"/>
    <w:rsid w:val="00121814"/>
    <w:rsid w:val="00121E84"/>
    <w:rsid w:val="001232C9"/>
    <w:rsid w:val="001257BE"/>
    <w:rsid w:val="0012694B"/>
    <w:rsid w:val="00126E4D"/>
    <w:rsid w:val="00127EAE"/>
    <w:rsid w:val="00127F58"/>
    <w:rsid w:val="001310B0"/>
    <w:rsid w:val="00131770"/>
    <w:rsid w:val="001317E2"/>
    <w:rsid w:val="00131B6D"/>
    <w:rsid w:val="00132321"/>
    <w:rsid w:val="00132C50"/>
    <w:rsid w:val="001338DF"/>
    <w:rsid w:val="0013652B"/>
    <w:rsid w:val="00136578"/>
    <w:rsid w:val="001371CF"/>
    <w:rsid w:val="00137C01"/>
    <w:rsid w:val="001407C1"/>
    <w:rsid w:val="001408AF"/>
    <w:rsid w:val="00140988"/>
    <w:rsid w:val="00141477"/>
    <w:rsid w:val="00141AC0"/>
    <w:rsid w:val="00141EE8"/>
    <w:rsid w:val="0014472C"/>
    <w:rsid w:val="00145CAC"/>
    <w:rsid w:val="001468BA"/>
    <w:rsid w:val="00146B61"/>
    <w:rsid w:val="0015036E"/>
    <w:rsid w:val="00150421"/>
    <w:rsid w:val="00150810"/>
    <w:rsid w:val="00150C3C"/>
    <w:rsid w:val="00151312"/>
    <w:rsid w:val="00151B10"/>
    <w:rsid w:val="001523C1"/>
    <w:rsid w:val="0015243D"/>
    <w:rsid w:val="00152449"/>
    <w:rsid w:val="00152679"/>
    <w:rsid w:val="00152799"/>
    <w:rsid w:val="00152FF2"/>
    <w:rsid w:val="0015316C"/>
    <w:rsid w:val="00154F5B"/>
    <w:rsid w:val="001557C6"/>
    <w:rsid w:val="00155E0E"/>
    <w:rsid w:val="001602A9"/>
    <w:rsid w:val="0016052F"/>
    <w:rsid w:val="00164B0E"/>
    <w:rsid w:val="0016507F"/>
    <w:rsid w:val="0016563A"/>
    <w:rsid w:val="001665B5"/>
    <w:rsid w:val="00166C29"/>
    <w:rsid w:val="001670F6"/>
    <w:rsid w:val="00167314"/>
    <w:rsid w:val="00167A98"/>
    <w:rsid w:val="001717CC"/>
    <w:rsid w:val="001725AD"/>
    <w:rsid w:val="00172DD0"/>
    <w:rsid w:val="00172E6D"/>
    <w:rsid w:val="00173744"/>
    <w:rsid w:val="00173E15"/>
    <w:rsid w:val="001746CD"/>
    <w:rsid w:val="00175409"/>
    <w:rsid w:val="00175EE2"/>
    <w:rsid w:val="0017648D"/>
    <w:rsid w:val="00177443"/>
    <w:rsid w:val="00180A4A"/>
    <w:rsid w:val="00181D96"/>
    <w:rsid w:val="001823FB"/>
    <w:rsid w:val="00182FAF"/>
    <w:rsid w:val="0018477F"/>
    <w:rsid w:val="00184CDB"/>
    <w:rsid w:val="00184F5E"/>
    <w:rsid w:val="001851E9"/>
    <w:rsid w:val="00185E5E"/>
    <w:rsid w:val="0018656A"/>
    <w:rsid w:val="001865D0"/>
    <w:rsid w:val="00187396"/>
    <w:rsid w:val="001875CA"/>
    <w:rsid w:val="00190116"/>
    <w:rsid w:val="00190B81"/>
    <w:rsid w:val="00190BD0"/>
    <w:rsid w:val="00191755"/>
    <w:rsid w:val="001925CA"/>
    <w:rsid w:val="0019420A"/>
    <w:rsid w:val="0019493D"/>
    <w:rsid w:val="00194D39"/>
    <w:rsid w:val="00194D47"/>
    <w:rsid w:val="00195771"/>
    <w:rsid w:val="001960E1"/>
    <w:rsid w:val="0019626C"/>
    <w:rsid w:val="00197C63"/>
    <w:rsid w:val="001A152E"/>
    <w:rsid w:val="001A19D0"/>
    <w:rsid w:val="001A2BC9"/>
    <w:rsid w:val="001A3DE1"/>
    <w:rsid w:val="001A4AF2"/>
    <w:rsid w:val="001A593D"/>
    <w:rsid w:val="001A5A10"/>
    <w:rsid w:val="001A6117"/>
    <w:rsid w:val="001A6253"/>
    <w:rsid w:val="001A7871"/>
    <w:rsid w:val="001A7DD7"/>
    <w:rsid w:val="001B009A"/>
    <w:rsid w:val="001B0161"/>
    <w:rsid w:val="001B1D15"/>
    <w:rsid w:val="001B3761"/>
    <w:rsid w:val="001B39C0"/>
    <w:rsid w:val="001B4082"/>
    <w:rsid w:val="001B43F4"/>
    <w:rsid w:val="001B671B"/>
    <w:rsid w:val="001B76DA"/>
    <w:rsid w:val="001B7736"/>
    <w:rsid w:val="001B7DF9"/>
    <w:rsid w:val="001C043A"/>
    <w:rsid w:val="001C17CA"/>
    <w:rsid w:val="001C241D"/>
    <w:rsid w:val="001C2535"/>
    <w:rsid w:val="001C2641"/>
    <w:rsid w:val="001C264B"/>
    <w:rsid w:val="001C35B0"/>
    <w:rsid w:val="001C64FE"/>
    <w:rsid w:val="001C6AD1"/>
    <w:rsid w:val="001C6ADA"/>
    <w:rsid w:val="001C6D91"/>
    <w:rsid w:val="001C7140"/>
    <w:rsid w:val="001C7A0A"/>
    <w:rsid w:val="001C7C05"/>
    <w:rsid w:val="001C7C75"/>
    <w:rsid w:val="001D2485"/>
    <w:rsid w:val="001D2DCA"/>
    <w:rsid w:val="001D3695"/>
    <w:rsid w:val="001D38E6"/>
    <w:rsid w:val="001D5679"/>
    <w:rsid w:val="001D56F5"/>
    <w:rsid w:val="001D59CC"/>
    <w:rsid w:val="001D6BE7"/>
    <w:rsid w:val="001E0B87"/>
    <w:rsid w:val="001E1720"/>
    <w:rsid w:val="001E23D9"/>
    <w:rsid w:val="001E3982"/>
    <w:rsid w:val="001E3B5F"/>
    <w:rsid w:val="001E3C0E"/>
    <w:rsid w:val="001E403D"/>
    <w:rsid w:val="001E59C4"/>
    <w:rsid w:val="001E620F"/>
    <w:rsid w:val="001E639B"/>
    <w:rsid w:val="001E6B70"/>
    <w:rsid w:val="001E6BAF"/>
    <w:rsid w:val="001E7392"/>
    <w:rsid w:val="001E798E"/>
    <w:rsid w:val="001F12B4"/>
    <w:rsid w:val="001F308F"/>
    <w:rsid w:val="001F32A9"/>
    <w:rsid w:val="001F398B"/>
    <w:rsid w:val="001F4214"/>
    <w:rsid w:val="001F4706"/>
    <w:rsid w:val="001F55CA"/>
    <w:rsid w:val="001F6099"/>
    <w:rsid w:val="001F6A68"/>
    <w:rsid w:val="001F73AD"/>
    <w:rsid w:val="001F7C71"/>
    <w:rsid w:val="0020036E"/>
    <w:rsid w:val="00201460"/>
    <w:rsid w:val="00201D47"/>
    <w:rsid w:val="002023B7"/>
    <w:rsid w:val="00203487"/>
    <w:rsid w:val="00203D83"/>
    <w:rsid w:val="00204FA5"/>
    <w:rsid w:val="00205C40"/>
    <w:rsid w:val="00207342"/>
    <w:rsid w:val="002079BA"/>
    <w:rsid w:val="00207D22"/>
    <w:rsid w:val="00207F8D"/>
    <w:rsid w:val="002106CA"/>
    <w:rsid w:val="002109A0"/>
    <w:rsid w:val="0021140B"/>
    <w:rsid w:val="00212DBB"/>
    <w:rsid w:val="002134CD"/>
    <w:rsid w:val="002151E4"/>
    <w:rsid w:val="00215469"/>
    <w:rsid w:val="002160B0"/>
    <w:rsid w:val="00216207"/>
    <w:rsid w:val="002164FF"/>
    <w:rsid w:val="002172AA"/>
    <w:rsid w:val="00217BE7"/>
    <w:rsid w:val="00217CBF"/>
    <w:rsid w:val="00222665"/>
    <w:rsid w:val="00222FF3"/>
    <w:rsid w:val="00224F8B"/>
    <w:rsid w:val="00225642"/>
    <w:rsid w:val="0022600B"/>
    <w:rsid w:val="002267B2"/>
    <w:rsid w:val="00226809"/>
    <w:rsid w:val="00227116"/>
    <w:rsid w:val="00227FF6"/>
    <w:rsid w:val="002304DD"/>
    <w:rsid w:val="00231686"/>
    <w:rsid w:val="0023198A"/>
    <w:rsid w:val="002325CA"/>
    <w:rsid w:val="00232FBF"/>
    <w:rsid w:val="0023559C"/>
    <w:rsid w:val="00235C0D"/>
    <w:rsid w:val="002363D8"/>
    <w:rsid w:val="002378AD"/>
    <w:rsid w:val="00237A06"/>
    <w:rsid w:val="00240BC0"/>
    <w:rsid w:val="00242272"/>
    <w:rsid w:val="00243D24"/>
    <w:rsid w:val="002445A7"/>
    <w:rsid w:val="0024574B"/>
    <w:rsid w:val="002462BC"/>
    <w:rsid w:val="00246B7E"/>
    <w:rsid w:val="00247719"/>
    <w:rsid w:val="0024786A"/>
    <w:rsid w:val="0024797D"/>
    <w:rsid w:val="00247A6B"/>
    <w:rsid w:val="00247BB3"/>
    <w:rsid w:val="00251B78"/>
    <w:rsid w:val="00251BA4"/>
    <w:rsid w:val="00252F67"/>
    <w:rsid w:val="002535E7"/>
    <w:rsid w:val="0025493E"/>
    <w:rsid w:val="00255F56"/>
    <w:rsid w:val="00257774"/>
    <w:rsid w:val="002601A4"/>
    <w:rsid w:val="002608B6"/>
    <w:rsid w:val="00261C67"/>
    <w:rsid w:val="00262245"/>
    <w:rsid w:val="00262CA0"/>
    <w:rsid w:val="00263359"/>
    <w:rsid w:val="002635CC"/>
    <w:rsid w:val="0026394C"/>
    <w:rsid w:val="00264593"/>
    <w:rsid w:val="0026546A"/>
    <w:rsid w:val="00265944"/>
    <w:rsid w:val="00265C03"/>
    <w:rsid w:val="00267193"/>
    <w:rsid w:val="00270D3D"/>
    <w:rsid w:val="00271FFE"/>
    <w:rsid w:val="0027217B"/>
    <w:rsid w:val="00272554"/>
    <w:rsid w:val="002736CA"/>
    <w:rsid w:val="00275834"/>
    <w:rsid w:val="00275D23"/>
    <w:rsid w:val="0027631F"/>
    <w:rsid w:val="00276C2A"/>
    <w:rsid w:val="00276FFC"/>
    <w:rsid w:val="002800A4"/>
    <w:rsid w:val="0028074A"/>
    <w:rsid w:val="00280777"/>
    <w:rsid w:val="00280D79"/>
    <w:rsid w:val="0028278B"/>
    <w:rsid w:val="0028330E"/>
    <w:rsid w:val="0028496F"/>
    <w:rsid w:val="002855BA"/>
    <w:rsid w:val="00287AA9"/>
    <w:rsid w:val="002907F8"/>
    <w:rsid w:val="00291AC5"/>
    <w:rsid w:val="00291D5E"/>
    <w:rsid w:val="002947C2"/>
    <w:rsid w:val="00295C67"/>
    <w:rsid w:val="00295E38"/>
    <w:rsid w:val="002962CC"/>
    <w:rsid w:val="00296540"/>
    <w:rsid w:val="00296F88"/>
    <w:rsid w:val="002975D9"/>
    <w:rsid w:val="00297F54"/>
    <w:rsid w:val="002A21ED"/>
    <w:rsid w:val="002A224D"/>
    <w:rsid w:val="002A2A98"/>
    <w:rsid w:val="002A31C9"/>
    <w:rsid w:val="002A343D"/>
    <w:rsid w:val="002A4626"/>
    <w:rsid w:val="002A570C"/>
    <w:rsid w:val="002A62F2"/>
    <w:rsid w:val="002A62FD"/>
    <w:rsid w:val="002A65FE"/>
    <w:rsid w:val="002B02EF"/>
    <w:rsid w:val="002B05D9"/>
    <w:rsid w:val="002B1945"/>
    <w:rsid w:val="002B1DB7"/>
    <w:rsid w:val="002B1EAA"/>
    <w:rsid w:val="002B2A47"/>
    <w:rsid w:val="002B33ED"/>
    <w:rsid w:val="002B3514"/>
    <w:rsid w:val="002B4264"/>
    <w:rsid w:val="002B4302"/>
    <w:rsid w:val="002B4D28"/>
    <w:rsid w:val="002B50AE"/>
    <w:rsid w:val="002B5EA4"/>
    <w:rsid w:val="002B7D98"/>
    <w:rsid w:val="002C0148"/>
    <w:rsid w:val="002C05F6"/>
    <w:rsid w:val="002C0651"/>
    <w:rsid w:val="002C1B03"/>
    <w:rsid w:val="002C1F06"/>
    <w:rsid w:val="002C234E"/>
    <w:rsid w:val="002C2886"/>
    <w:rsid w:val="002C36C7"/>
    <w:rsid w:val="002C370B"/>
    <w:rsid w:val="002C3AA8"/>
    <w:rsid w:val="002C3F7F"/>
    <w:rsid w:val="002C3F93"/>
    <w:rsid w:val="002C4626"/>
    <w:rsid w:val="002C500C"/>
    <w:rsid w:val="002C605B"/>
    <w:rsid w:val="002C634B"/>
    <w:rsid w:val="002C6945"/>
    <w:rsid w:val="002C6AAC"/>
    <w:rsid w:val="002C7214"/>
    <w:rsid w:val="002C7EDE"/>
    <w:rsid w:val="002D0C9A"/>
    <w:rsid w:val="002D0E29"/>
    <w:rsid w:val="002D2140"/>
    <w:rsid w:val="002D341D"/>
    <w:rsid w:val="002D36EC"/>
    <w:rsid w:val="002D41EB"/>
    <w:rsid w:val="002D4E9E"/>
    <w:rsid w:val="002D4FC6"/>
    <w:rsid w:val="002D6512"/>
    <w:rsid w:val="002E0029"/>
    <w:rsid w:val="002E1EC8"/>
    <w:rsid w:val="002E1FB7"/>
    <w:rsid w:val="002E200D"/>
    <w:rsid w:val="002E2661"/>
    <w:rsid w:val="002E2EBD"/>
    <w:rsid w:val="002E3DE9"/>
    <w:rsid w:val="002E42D6"/>
    <w:rsid w:val="002E50E7"/>
    <w:rsid w:val="002E5717"/>
    <w:rsid w:val="002E57C0"/>
    <w:rsid w:val="002E5FB6"/>
    <w:rsid w:val="002E5FBD"/>
    <w:rsid w:val="002E60FB"/>
    <w:rsid w:val="002E64E8"/>
    <w:rsid w:val="002E6626"/>
    <w:rsid w:val="002E7965"/>
    <w:rsid w:val="002F0E52"/>
    <w:rsid w:val="002F121E"/>
    <w:rsid w:val="002F2055"/>
    <w:rsid w:val="002F444C"/>
    <w:rsid w:val="002F4DB8"/>
    <w:rsid w:val="002F4F47"/>
    <w:rsid w:val="002F55C8"/>
    <w:rsid w:val="002F73D2"/>
    <w:rsid w:val="002F7B2C"/>
    <w:rsid w:val="003013AE"/>
    <w:rsid w:val="003014B2"/>
    <w:rsid w:val="00301D74"/>
    <w:rsid w:val="0030352E"/>
    <w:rsid w:val="003037E5"/>
    <w:rsid w:val="003037F9"/>
    <w:rsid w:val="00304602"/>
    <w:rsid w:val="003048BB"/>
    <w:rsid w:val="0030495F"/>
    <w:rsid w:val="00305393"/>
    <w:rsid w:val="00306E46"/>
    <w:rsid w:val="0030761F"/>
    <w:rsid w:val="00307DE8"/>
    <w:rsid w:val="00307EB2"/>
    <w:rsid w:val="0031036D"/>
    <w:rsid w:val="003105C5"/>
    <w:rsid w:val="003108D6"/>
    <w:rsid w:val="00310D43"/>
    <w:rsid w:val="00311346"/>
    <w:rsid w:val="003113D9"/>
    <w:rsid w:val="00311780"/>
    <w:rsid w:val="00311A28"/>
    <w:rsid w:val="003125BF"/>
    <w:rsid w:val="00314A10"/>
    <w:rsid w:val="0031534B"/>
    <w:rsid w:val="0031553C"/>
    <w:rsid w:val="003161F3"/>
    <w:rsid w:val="003163C8"/>
    <w:rsid w:val="00317019"/>
    <w:rsid w:val="00317265"/>
    <w:rsid w:val="003172F2"/>
    <w:rsid w:val="00317343"/>
    <w:rsid w:val="00317A4B"/>
    <w:rsid w:val="00320414"/>
    <w:rsid w:val="003204A8"/>
    <w:rsid w:val="00321929"/>
    <w:rsid w:val="0032222B"/>
    <w:rsid w:val="00323418"/>
    <w:rsid w:val="00323F69"/>
    <w:rsid w:val="0032430D"/>
    <w:rsid w:val="0032579F"/>
    <w:rsid w:val="003259D9"/>
    <w:rsid w:val="00325DBE"/>
    <w:rsid w:val="00326995"/>
    <w:rsid w:val="00326A47"/>
    <w:rsid w:val="00326BF4"/>
    <w:rsid w:val="00326F87"/>
    <w:rsid w:val="00326FD1"/>
    <w:rsid w:val="0032758A"/>
    <w:rsid w:val="00327A53"/>
    <w:rsid w:val="00332670"/>
    <w:rsid w:val="00333501"/>
    <w:rsid w:val="00334A4A"/>
    <w:rsid w:val="00337BCE"/>
    <w:rsid w:val="00337E10"/>
    <w:rsid w:val="00340590"/>
    <w:rsid w:val="00341BCE"/>
    <w:rsid w:val="00341C6E"/>
    <w:rsid w:val="003421A3"/>
    <w:rsid w:val="00342562"/>
    <w:rsid w:val="003435A7"/>
    <w:rsid w:val="003439CC"/>
    <w:rsid w:val="00343E5C"/>
    <w:rsid w:val="00343FC0"/>
    <w:rsid w:val="003444BA"/>
    <w:rsid w:val="003445C0"/>
    <w:rsid w:val="003451CC"/>
    <w:rsid w:val="00345F1E"/>
    <w:rsid w:val="00346859"/>
    <w:rsid w:val="00347E35"/>
    <w:rsid w:val="003500C9"/>
    <w:rsid w:val="00350ED2"/>
    <w:rsid w:val="0035118A"/>
    <w:rsid w:val="003516C5"/>
    <w:rsid w:val="00352386"/>
    <w:rsid w:val="00352C98"/>
    <w:rsid w:val="0035451A"/>
    <w:rsid w:val="00354E46"/>
    <w:rsid w:val="00354FEF"/>
    <w:rsid w:val="0035540D"/>
    <w:rsid w:val="00355F60"/>
    <w:rsid w:val="00356FB1"/>
    <w:rsid w:val="003573A7"/>
    <w:rsid w:val="003575E7"/>
    <w:rsid w:val="0036233D"/>
    <w:rsid w:val="00362B95"/>
    <w:rsid w:val="003630CE"/>
    <w:rsid w:val="003636BE"/>
    <w:rsid w:val="00363BF8"/>
    <w:rsid w:val="00363C32"/>
    <w:rsid w:val="0036441E"/>
    <w:rsid w:val="003649AB"/>
    <w:rsid w:val="00364DF8"/>
    <w:rsid w:val="00364E71"/>
    <w:rsid w:val="003668C1"/>
    <w:rsid w:val="00366D07"/>
    <w:rsid w:val="00367C18"/>
    <w:rsid w:val="00367CC5"/>
    <w:rsid w:val="0037072C"/>
    <w:rsid w:val="003715C9"/>
    <w:rsid w:val="0037162E"/>
    <w:rsid w:val="00372E86"/>
    <w:rsid w:val="00373EC9"/>
    <w:rsid w:val="00374541"/>
    <w:rsid w:val="003745ED"/>
    <w:rsid w:val="003752A4"/>
    <w:rsid w:val="00375D3C"/>
    <w:rsid w:val="00376BA8"/>
    <w:rsid w:val="00376C75"/>
    <w:rsid w:val="003775A2"/>
    <w:rsid w:val="0037766D"/>
    <w:rsid w:val="003809D2"/>
    <w:rsid w:val="00383131"/>
    <w:rsid w:val="0038329B"/>
    <w:rsid w:val="00384639"/>
    <w:rsid w:val="00385BDB"/>
    <w:rsid w:val="00386A06"/>
    <w:rsid w:val="003878B3"/>
    <w:rsid w:val="0039072A"/>
    <w:rsid w:val="00390844"/>
    <w:rsid w:val="00390B5B"/>
    <w:rsid w:val="003911EB"/>
    <w:rsid w:val="00391302"/>
    <w:rsid w:val="003916B8"/>
    <w:rsid w:val="00391749"/>
    <w:rsid w:val="003921F9"/>
    <w:rsid w:val="00392660"/>
    <w:rsid w:val="00393CFB"/>
    <w:rsid w:val="00394064"/>
    <w:rsid w:val="0039606E"/>
    <w:rsid w:val="003967EB"/>
    <w:rsid w:val="003A0452"/>
    <w:rsid w:val="003A0605"/>
    <w:rsid w:val="003A0C17"/>
    <w:rsid w:val="003A0C87"/>
    <w:rsid w:val="003A14BD"/>
    <w:rsid w:val="003A1502"/>
    <w:rsid w:val="003A1D9B"/>
    <w:rsid w:val="003A20A9"/>
    <w:rsid w:val="003A46C6"/>
    <w:rsid w:val="003A543C"/>
    <w:rsid w:val="003A5EC9"/>
    <w:rsid w:val="003A6B4E"/>
    <w:rsid w:val="003B0F38"/>
    <w:rsid w:val="003B19FC"/>
    <w:rsid w:val="003B1F4D"/>
    <w:rsid w:val="003B342F"/>
    <w:rsid w:val="003B3898"/>
    <w:rsid w:val="003B4581"/>
    <w:rsid w:val="003B541C"/>
    <w:rsid w:val="003B568E"/>
    <w:rsid w:val="003B6081"/>
    <w:rsid w:val="003B6798"/>
    <w:rsid w:val="003B7508"/>
    <w:rsid w:val="003C06EF"/>
    <w:rsid w:val="003C0FC0"/>
    <w:rsid w:val="003C1631"/>
    <w:rsid w:val="003C1E2B"/>
    <w:rsid w:val="003C3117"/>
    <w:rsid w:val="003C4ACF"/>
    <w:rsid w:val="003C4E02"/>
    <w:rsid w:val="003C67EB"/>
    <w:rsid w:val="003D109A"/>
    <w:rsid w:val="003D1620"/>
    <w:rsid w:val="003D1AE6"/>
    <w:rsid w:val="003D23CE"/>
    <w:rsid w:val="003D30CF"/>
    <w:rsid w:val="003D345E"/>
    <w:rsid w:val="003D41EE"/>
    <w:rsid w:val="003D43C6"/>
    <w:rsid w:val="003D551F"/>
    <w:rsid w:val="003D595E"/>
    <w:rsid w:val="003D5FB0"/>
    <w:rsid w:val="003D62AD"/>
    <w:rsid w:val="003D63B5"/>
    <w:rsid w:val="003D652A"/>
    <w:rsid w:val="003D6DFB"/>
    <w:rsid w:val="003D7659"/>
    <w:rsid w:val="003D7DC7"/>
    <w:rsid w:val="003E0BB6"/>
    <w:rsid w:val="003E0FEC"/>
    <w:rsid w:val="003E1424"/>
    <w:rsid w:val="003E1BE9"/>
    <w:rsid w:val="003E1F0D"/>
    <w:rsid w:val="003E2204"/>
    <w:rsid w:val="003E2CDA"/>
    <w:rsid w:val="003E3397"/>
    <w:rsid w:val="003E39DD"/>
    <w:rsid w:val="003E402F"/>
    <w:rsid w:val="003E5975"/>
    <w:rsid w:val="003E6769"/>
    <w:rsid w:val="003E74B6"/>
    <w:rsid w:val="003F3E0C"/>
    <w:rsid w:val="003F47A4"/>
    <w:rsid w:val="003F495A"/>
    <w:rsid w:val="003F5B17"/>
    <w:rsid w:val="003F5BA9"/>
    <w:rsid w:val="003F6CDF"/>
    <w:rsid w:val="003F7BCB"/>
    <w:rsid w:val="00400619"/>
    <w:rsid w:val="00400C1A"/>
    <w:rsid w:val="00402172"/>
    <w:rsid w:val="00402386"/>
    <w:rsid w:val="0040370E"/>
    <w:rsid w:val="00406347"/>
    <w:rsid w:val="004065E7"/>
    <w:rsid w:val="004069BB"/>
    <w:rsid w:val="00407028"/>
    <w:rsid w:val="0040725D"/>
    <w:rsid w:val="004102B7"/>
    <w:rsid w:val="00411059"/>
    <w:rsid w:val="00411322"/>
    <w:rsid w:val="004116B8"/>
    <w:rsid w:val="004132D0"/>
    <w:rsid w:val="00413CB1"/>
    <w:rsid w:val="00413F58"/>
    <w:rsid w:val="00414865"/>
    <w:rsid w:val="00416F01"/>
    <w:rsid w:val="00417458"/>
    <w:rsid w:val="00417A13"/>
    <w:rsid w:val="004202F0"/>
    <w:rsid w:val="00422136"/>
    <w:rsid w:val="00422A92"/>
    <w:rsid w:val="00423D9E"/>
    <w:rsid w:val="00424050"/>
    <w:rsid w:val="004243EB"/>
    <w:rsid w:val="00424A9E"/>
    <w:rsid w:val="00424DDF"/>
    <w:rsid w:val="0042671F"/>
    <w:rsid w:val="00427FE7"/>
    <w:rsid w:val="00430DEF"/>
    <w:rsid w:val="00430F0A"/>
    <w:rsid w:val="004314AE"/>
    <w:rsid w:val="004317F1"/>
    <w:rsid w:val="004319C4"/>
    <w:rsid w:val="004319FE"/>
    <w:rsid w:val="00432F5F"/>
    <w:rsid w:val="004331D9"/>
    <w:rsid w:val="00433665"/>
    <w:rsid w:val="00434E5A"/>
    <w:rsid w:val="00435452"/>
    <w:rsid w:val="004357E5"/>
    <w:rsid w:val="00437AA0"/>
    <w:rsid w:val="00441052"/>
    <w:rsid w:val="004412C5"/>
    <w:rsid w:val="004412D1"/>
    <w:rsid w:val="004412F9"/>
    <w:rsid w:val="004418E7"/>
    <w:rsid w:val="00443932"/>
    <w:rsid w:val="00443EB7"/>
    <w:rsid w:val="00444AAC"/>
    <w:rsid w:val="00445339"/>
    <w:rsid w:val="0044546A"/>
    <w:rsid w:val="00445644"/>
    <w:rsid w:val="004456FD"/>
    <w:rsid w:val="004460FD"/>
    <w:rsid w:val="00446158"/>
    <w:rsid w:val="00450476"/>
    <w:rsid w:val="00451035"/>
    <w:rsid w:val="004518B7"/>
    <w:rsid w:val="00455148"/>
    <w:rsid w:val="004557F4"/>
    <w:rsid w:val="004569AB"/>
    <w:rsid w:val="00457021"/>
    <w:rsid w:val="0046020F"/>
    <w:rsid w:val="00462560"/>
    <w:rsid w:val="0046289E"/>
    <w:rsid w:val="00462989"/>
    <w:rsid w:val="00462AB5"/>
    <w:rsid w:val="00463A6D"/>
    <w:rsid w:val="00465763"/>
    <w:rsid w:val="00465AFD"/>
    <w:rsid w:val="00465BB0"/>
    <w:rsid w:val="00466B78"/>
    <w:rsid w:val="00467BCD"/>
    <w:rsid w:val="00470185"/>
    <w:rsid w:val="004703A4"/>
    <w:rsid w:val="004704F7"/>
    <w:rsid w:val="00470A06"/>
    <w:rsid w:val="0047141D"/>
    <w:rsid w:val="00471DE5"/>
    <w:rsid w:val="00472010"/>
    <w:rsid w:val="0047234A"/>
    <w:rsid w:val="004725D9"/>
    <w:rsid w:val="004733E5"/>
    <w:rsid w:val="00474264"/>
    <w:rsid w:val="0047433B"/>
    <w:rsid w:val="00475E88"/>
    <w:rsid w:val="00475FD8"/>
    <w:rsid w:val="00476432"/>
    <w:rsid w:val="00476940"/>
    <w:rsid w:val="00476DD8"/>
    <w:rsid w:val="00480879"/>
    <w:rsid w:val="004809E6"/>
    <w:rsid w:val="00480AD9"/>
    <w:rsid w:val="00480F4D"/>
    <w:rsid w:val="00481D9F"/>
    <w:rsid w:val="004843B2"/>
    <w:rsid w:val="00485401"/>
    <w:rsid w:val="004863A4"/>
    <w:rsid w:val="00486861"/>
    <w:rsid w:val="00486AF6"/>
    <w:rsid w:val="0048734A"/>
    <w:rsid w:val="00487CF1"/>
    <w:rsid w:val="00487E6D"/>
    <w:rsid w:val="004902AD"/>
    <w:rsid w:val="0049133B"/>
    <w:rsid w:val="00492145"/>
    <w:rsid w:val="00492166"/>
    <w:rsid w:val="004924C5"/>
    <w:rsid w:val="0049317C"/>
    <w:rsid w:val="00493744"/>
    <w:rsid w:val="00495F59"/>
    <w:rsid w:val="004969BC"/>
    <w:rsid w:val="00497D32"/>
    <w:rsid w:val="00497D9E"/>
    <w:rsid w:val="004A0283"/>
    <w:rsid w:val="004A14DD"/>
    <w:rsid w:val="004A22B9"/>
    <w:rsid w:val="004A22FA"/>
    <w:rsid w:val="004A44C8"/>
    <w:rsid w:val="004A5146"/>
    <w:rsid w:val="004A5222"/>
    <w:rsid w:val="004A67AA"/>
    <w:rsid w:val="004A6FEC"/>
    <w:rsid w:val="004A734F"/>
    <w:rsid w:val="004A79A0"/>
    <w:rsid w:val="004B0062"/>
    <w:rsid w:val="004B06AD"/>
    <w:rsid w:val="004B07B2"/>
    <w:rsid w:val="004B0BA7"/>
    <w:rsid w:val="004B1039"/>
    <w:rsid w:val="004B1C14"/>
    <w:rsid w:val="004B2C69"/>
    <w:rsid w:val="004B3177"/>
    <w:rsid w:val="004B3F27"/>
    <w:rsid w:val="004B4DDA"/>
    <w:rsid w:val="004B714B"/>
    <w:rsid w:val="004B7404"/>
    <w:rsid w:val="004C31E3"/>
    <w:rsid w:val="004C35BD"/>
    <w:rsid w:val="004C5240"/>
    <w:rsid w:val="004C5E1F"/>
    <w:rsid w:val="004C6AB5"/>
    <w:rsid w:val="004C76A2"/>
    <w:rsid w:val="004C7B46"/>
    <w:rsid w:val="004C7EBA"/>
    <w:rsid w:val="004D0422"/>
    <w:rsid w:val="004D043D"/>
    <w:rsid w:val="004D074B"/>
    <w:rsid w:val="004D0774"/>
    <w:rsid w:val="004D1C68"/>
    <w:rsid w:val="004D3051"/>
    <w:rsid w:val="004D3367"/>
    <w:rsid w:val="004D4F6B"/>
    <w:rsid w:val="004D5407"/>
    <w:rsid w:val="004D6476"/>
    <w:rsid w:val="004D6FD5"/>
    <w:rsid w:val="004D7256"/>
    <w:rsid w:val="004D7AE4"/>
    <w:rsid w:val="004E0022"/>
    <w:rsid w:val="004E112C"/>
    <w:rsid w:val="004E1821"/>
    <w:rsid w:val="004E287B"/>
    <w:rsid w:val="004E3281"/>
    <w:rsid w:val="004E3C7B"/>
    <w:rsid w:val="004E3D67"/>
    <w:rsid w:val="004E6177"/>
    <w:rsid w:val="004E63ED"/>
    <w:rsid w:val="004E73B8"/>
    <w:rsid w:val="004E75F4"/>
    <w:rsid w:val="004E7CCF"/>
    <w:rsid w:val="004F0178"/>
    <w:rsid w:val="004F0BF9"/>
    <w:rsid w:val="004F1477"/>
    <w:rsid w:val="004F1EC8"/>
    <w:rsid w:val="004F22BC"/>
    <w:rsid w:val="004F344B"/>
    <w:rsid w:val="004F36B3"/>
    <w:rsid w:val="004F475D"/>
    <w:rsid w:val="004F486C"/>
    <w:rsid w:val="004F534A"/>
    <w:rsid w:val="004F752D"/>
    <w:rsid w:val="00500153"/>
    <w:rsid w:val="0050190B"/>
    <w:rsid w:val="005022A9"/>
    <w:rsid w:val="005036AB"/>
    <w:rsid w:val="00504197"/>
    <w:rsid w:val="00505196"/>
    <w:rsid w:val="005056C8"/>
    <w:rsid w:val="0050586C"/>
    <w:rsid w:val="00507539"/>
    <w:rsid w:val="00510D87"/>
    <w:rsid w:val="00512D95"/>
    <w:rsid w:val="00513411"/>
    <w:rsid w:val="0051354A"/>
    <w:rsid w:val="00513C18"/>
    <w:rsid w:val="0051470D"/>
    <w:rsid w:val="00514A2A"/>
    <w:rsid w:val="00514F6A"/>
    <w:rsid w:val="00515409"/>
    <w:rsid w:val="005154B3"/>
    <w:rsid w:val="00515E32"/>
    <w:rsid w:val="00516D46"/>
    <w:rsid w:val="005174D5"/>
    <w:rsid w:val="00517C58"/>
    <w:rsid w:val="00520265"/>
    <w:rsid w:val="00520CDA"/>
    <w:rsid w:val="00521532"/>
    <w:rsid w:val="005216B9"/>
    <w:rsid w:val="0052313B"/>
    <w:rsid w:val="00523727"/>
    <w:rsid w:val="00526ABA"/>
    <w:rsid w:val="00527587"/>
    <w:rsid w:val="00530B28"/>
    <w:rsid w:val="00530D3D"/>
    <w:rsid w:val="0053347F"/>
    <w:rsid w:val="005334CD"/>
    <w:rsid w:val="005336A2"/>
    <w:rsid w:val="00534217"/>
    <w:rsid w:val="00534B14"/>
    <w:rsid w:val="00535202"/>
    <w:rsid w:val="005379AD"/>
    <w:rsid w:val="00537EE4"/>
    <w:rsid w:val="005403CF"/>
    <w:rsid w:val="00540856"/>
    <w:rsid w:val="005408EF"/>
    <w:rsid w:val="005410C6"/>
    <w:rsid w:val="00541183"/>
    <w:rsid w:val="00541524"/>
    <w:rsid w:val="00541DBD"/>
    <w:rsid w:val="00542AA3"/>
    <w:rsid w:val="00544847"/>
    <w:rsid w:val="005449F0"/>
    <w:rsid w:val="00544D7B"/>
    <w:rsid w:val="0054572B"/>
    <w:rsid w:val="005470FF"/>
    <w:rsid w:val="00547C03"/>
    <w:rsid w:val="00547F50"/>
    <w:rsid w:val="005511F6"/>
    <w:rsid w:val="005517DD"/>
    <w:rsid w:val="005522F8"/>
    <w:rsid w:val="00552F92"/>
    <w:rsid w:val="005530B2"/>
    <w:rsid w:val="0055313A"/>
    <w:rsid w:val="00553B68"/>
    <w:rsid w:val="00553CDE"/>
    <w:rsid w:val="005568E1"/>
    <w:rsid w:val="00557B73"/>
    <w:rsid w:val="00560B4A"/>
    <w:rsid w:val="0056150B"/>
    <w:rsid w:val="005623D2"/>
    <w:rsid w:val="00562772"/>
    <w:rsid w:val="005631E0"/>
    <w:rsid w:val="00566CC1"/>
    <w:rsid w:val="0056753A"/>
    <w:rsid w:val="005700C9"/>
    <w:rsid w:val="0057037D"/>
    <w:rsid w:val="005711CC"/>
    <w:rsid w:val="00575613"/>
    <w:rsid w:val="00575EAF"/>
    <w:rsid w:val="00576ECD"/>
    <w:rsid w:val="005770D9"/>
    <w:rsid w:val="00577A16"/>
    <w:rsid w:val="00577A8A"/>
    <w:rsid w:val="00577B60"/>
    <w:rsid w:val="00580655"/>
    <w:rsid w:val="00580EB6"/>
    <w:rsid w:val="00581655"/>
    <w:rsid w:val="00582F72"/>
    <w:rsid w:val="00583341"/>
    <w:rsid w:val="00584DDC"/>
    <w:rsid w:val="00584FF5"/>
    <w:rsid w:val="00585568"/>
    <w:rsid w:val="00585828"/>
    <w:rsid w:val="0058600B"/>
    <w:rsid w:val="005877CF"/>
    <w:rsid w:val="00590FEF"/>
    <w:rsid w:val="00592619"/>
    <w:rsid w:val="00592E50"/>
    <w:rsid w:val="00594135"/>
    <w:rsid w:val="00595DC3"/>
    <w:rsid w:val="005969B5"/>
    <w:rsid w:val="005A0033"/>
    <w:rsid w:val="005A00A3"/>
    <w:rsid w:val="005A03C6"/>
    <w:rsid w:val="005A0CDB"/>
    <w:rsid w:val="005A11B6"/>
    <w:rsid w:val="005A241C"/>
    <w:rsid w:val="005A2F83"/>
    <w:rsid w:val="005A3F7F"/>
    <w:rsid w:val="005A3FD1"/>
    <w:rsid w:val="005A4E65"/>
    <w:rsid w:val="005A5112"/>
    <w:rsid w:val="005A6026"/>
    <w:rsid w:val="005A6786"/>
    <w:rsid w:val="005A6ABF"/>
    <w:rsid w:val="005A6CBF"/>
    <w:rsid w:val="005A6CEE"/>
    <w:rsid w:val="005A6DDC"/>
    <w:rsid w:val="005A7DB8"/>
    <w:rsid w:val="005B07EA"/>
    <w:rsid w:val="005B0DE2"/>
    <w:rsid w:val="005B0EE1"/>
    <w:rsid w:val="005B0F8F"/>
    <w:rsid w:val="005B2A2F"/>
    <w:rsid w:val="005B3652"/>
    <w:rsid w:val="005B3D09"/>
    <w:rsid w:val="005B3EC1"/>
    <w:rsid w:val="005B3F58"/>
    <w:rsid w:val="005B41BF"/>
    <w:rsid w:val="005B5380"/>
    <w:rsid w:val="005C0309"/>
    <w:rsid w:val="005C0A13"/>
    <w:rsid w:val="005C1E4A"/>
    <w:rsid w:val="005C1E95"/>
    <w:rsid w:val="005C37B6"/>
    <w:rsid w:val="005C3E1A"/>
    <w:rsid w:val="005C459D"/>
    <w:rsid w:val="005C5802"/>
    <w:rsid w:val="005C5997"/>
    <w:rsid w:val="005C6315"/>
    <w:rsid w:val="005C6A90"/>
    <w:rsid w:val="005D0EFC"/>
    <w:rsid w:val="005D1F41"/>
    <w:rsid w:val="005D223D"/>
    <w:rsid w:val="005D2288"/>
    <w:rsid w:val="005D28D7"/>
    <w:rsid w:val="005D2A88"/>
    <w:rsid w:val="005D2AEA"/>
    <w:rsid w:val="005D2C17"/>
    <w:rsid w:val="005D3CE6"/>
    <w:rsid w:val="005D44C5"/>
    <w:rsid w:val="005D45C3"/>
    <w:rsid w:val="005D4F75"/>
    <w:rsid w:val="005D5429"/>
    <w:rsid w:val="005D5DF3"/>
    <w:rsid w:val="005D6530"/>
    <w:rsid w:val="005E1123"/>
    <w:rsid w:val="005E23BC"/>
    <w:rsid w:val="005E3128"/>
    <w:rsid w:val="005E340C"/>
    <w:rsid w:val="005E3575"/>
    <w:rsid w:val="005E3812"/>
    <w:rsid w:val="005E38B4"/>
    <w:rsid w:val="005E3F30"/>
    <w:rsid w:val="005E4563"/>
    <w:rsid w:val="005E5788"/>
    <w:rsid w:val="005E5BF9"/>
    <w:rsid w:val="005E61E2"/>
    <w:rsid w:val="005E7A54"/>
    <w:rsid w:val="005F014E"/>
    <w:rsid w:val="005F0D90"/>
    <w:rsid w:val="005F1F4F"/>
    <w:rsid w:val="005F1F80"/>
    <w:rsid w:val="005F24C7"/>
    <w:rsid w:val="005F25A0"/>
    <w:rsid w:val="005F29C8"/>
    <w:rsid w:val="005F4930"/>
    <w:rsid w:val="005F4D12"/>
    <w:rsid w:val="005F5B8C"/>
    <w:rsid w:val="005F63E9"/>
    <w:rsid w:val="005F6DA6"/>
    <w:rsid w:val="005F7132"/>
    <w:rsid w:val="005F75F4"/>
    <w:rsid w:val="005F7EB7"/>
    <w:rsid w:val="0060074E"/>
    <w:rsid w:val="006015A5"/>
    <w:rsid w:val="0060209C"/>
    <w:rsid w:val="00602BB2"/>
    <w:rsid w:val="006035A1"/>
    <w:rsid w:val="00604B26"/>
    <w:rsid w:val="0061119F"/>
    <w:rsid w:val="00611A6A"/>
    <w:rsid w:val="00611CE3"/>
    <w:rsid w:val="00612BCF"/>
    <w:rsid w:val="00613049"/>
    <w:rsid w:val="00613E66"/>
    <w:rsid w:val="006142BE"/>
    <w:rsid w:val="006148DF"/>
    <w:rsid w:val="00617A83"/>
    <w:rsid w:val="00620E9A"/>
    <w:rsid w:val="00621521"/>
    <w:rsid w:val="006218CE"/>
    <w:rsid w:val="00621A98"/>
    <w:rsid w:val="006221B3"/>
    <w:rsid w:val="00622AFC"/>
    <w:rsid w:val="006241B3"/>
    <w:rsid w:val="006244A0"/>
    <w:rsid w:val="006247CF"/>
    <w:rsid w:val="00624B9F"/>
    <w:rsid w:val="00625299"/>
    <w:rsid w:val="0062564C"/>
    <w:rsid w:val="00625C2B"/>
    <w:rsid w:val="00626A96"/>
    <w:rsid w:val="00626AF8"/>
    <w:rsid w:val="00626EFB"/>
    <w:rsid w:val="0063000C"/>
    <w:rsid w:val="006304F8"/>
    <w:rsid w:val="006318D7"/>
    <w:rsid w:val="00633606"/>
    <w:rsid w:val="00635FA6"/>
    <w:rsid w:val="00636224"/>
    <w:rsid w:val="00636361"/>
    <w:rsid w:val="0064191A"/>
    <w:rsid w:val="00643110"/>
    <w:rsid w:val="0064324C"/>
    <w:rsid w:val="00643835"/>
    <w:rsid w:val="006464BC"/>
    <w:rsid w:val="00646934"/>
    <w:rsid w:val="00646BB9"/>
    <w:rsid w:val="0064771A"/>
    <w:rsid w:val="00647D0B"/>
    <w:rsid w:val="00647D61"/>
    <w:rsid w:val="00647FFB"/>
    <w:rsid w:val="006509A8"/>
    <w:rsid w:val="00652492"/>
    <w:rsid w:val="0065479B"/>
    <w:rsid w:val="00654CE1"/>
    <w:rsid w:val="006567F3"/>
    <w:rsid w:val="006578F8"/>
    <w:rsid w:val="00660384"/>
    <w:rsid w:val="00660569"/>
    <w:rsid w:val="00660FFD"/>
    <w:rsid w:val="00662270"/>
    <w:rsid w:val="0066350C"/>
    <w:rsid w:val="0066360D"/>
    <w:rsid w:val="006642A5"/>
    <w:rsid w:val="00664726"/>
    <w:rsid w:val="00664881"/>
    <w:rsid w:val="00665607"/>
    <w:rsid w:val="006657A2"/>
    <w:rsid w:val="006659AB"/>
    <w:rsid w:val="006666BC"/>
    <w:rsid w:val="006676D9"/>
    <w:rsid w:val="00667995"/>
    <w:rsid w:val="006700A5"/>
    <w:rsid w:val="00670399"/>
    <w:rsid w:val="00670E9F"/>
    <w:rsid w:val="006712E2"/>
    <w:rsid w:val="006722CD"/>
    <w:rsid w:val="00672996"/>
    <w:rsid w:val="00672D97"/>
    <w:rsid w:val="0067418E"/>
    <w:rsid w:val="00674590"/>
    <w:rsid w:val="00674C24"/>
    <w:rsid w:val="00676614"/>
    <w:rsid w:val="006777C4"/>
    <w:rsid w:val="00677CDC"/>
    <w:rsid w:val="00681159"/>
    <w:rsid w:val="0068298C"/>
    <w:rsid w:val="00682F41"/>
    <w:rsid w:val="00690CE3"/>
    <w:rsid w:val="006913A1"/>
    <w:rsid w:val="00692EC9"/>
    <w:rsid w:val="00693440"/>
    <w:rsid w:val="00693D97"/>
    <w:rsid w:val="0069434E"/>
    <w:rsid w:val="00695C73"/>
    <w:rsid w:val="00695D20"/>
    <w:rsid w:val="00696C55"/>
    <w:rsid w:val="0069703F"/>
    <w:rsid w:val="00697C8A"/>
    <w:rsid w:val="006A0635"/>
    <w:rsid w:val="006A0D1B"/>
    <w:rsid w:val="006A122D"/>
    <w:rsid w:val="006A12D0"/>
    <w:rsid w:val="006A137A"/>
    <w:rsid w:val="006A20E1"/>
    <w:rsid w:val="006A24F8"/>
    <w:rsid w:val="006A2746"/>
    <w:rsid w:val="006A2A4F"/>
    <w:rsid w:val="006A3393"/>
    <w:rsid w:val="006A379B"/>
    <w:rsid w:val="006A4469"/>
    <w:rsid w:val="006A5A68"/>
    <w:rsid w:val="006A5B1A"/>
    <w:rsid w:val="006A5C0A"/>
    <w:rsid w:val="006B0437"/>
    <w:rsid w:val="006B08D4"/>
    <w:rsid w:val="006B0D58"/>
    <w:rsid w:val="006B0F1E"/>
    <w:rsid w:val="006B111C"/>
    <w:rsid w:val="006B1FBF"/>
    <w:rsid w:val="006B29D9"/>
    <w:rsid w:val="006B3992"/>
    <w:rsid w:val="006B4737"/>
    <w:rsid w:val="006B4EF0"/>
    <w:rsid w:val="006B500E"/>
    <w:rsid w:val="006B528D"/>
    <w:rsid w:val="006B596A"/>
    <w:rsid w:val="006B622B"/>
    <w:rsid w:val="006B7A54"/>
    <w:rsid w:val="006C05C3"/>
    <w:rsid w:val="006C08F6"/>
    <w:rsid w:val="006C09EB"/>
    <w:rsid w:val="006C0F9B"/>
    <w:rsid w:val="006C1CCA"/>
    <w:rsid w:val="006C24DF"/>
    <w:rsid w:val="006C4607"/>
    <w:rsid w:val="006C5DB9"/>
    <w:rsid w:val="006D1B1F"/>
    <w:rsid w:val="006D2B7D"/>
    <w:rsid w:val="006D2CBE"/>
    <w:rsid w:val="006D315B"/>
    <w:rsid w:val="006D33A9"/>
    <w:rsid w:val="006D3A5C"/>
    <w:rsid w:val="006D3E26"/>
    <w:rsid w:val="006D479F"/>
    <w:rsid w:val="006D5895"/>
    <w:rsid w:val="006D5A5F"/>
    <w:rsid w:val="006D6475"/>
    <w:rsid w:val="006D6574"/>
    <w:rsid w:val="006D70C1"/>
    <w:rsid w:val="006D789E"/>
    <w:rsid w:val="006E0E13"/>
    <w:rsid w:val="006E1F7E"/>
    <w:rsid w:val="006E201A"/>
    <w:rsid w:val="006E220F"/>
    <w:rsid w:val="006E2336"/>
    <w:rsid w:val="006E33DA"/>
    <w:rsid w:val="006E3D6C"/>
    <w:rsid w:val="006E68F3"/>
    <w:rsid w:val="006E75FB"/>
    <w:rsid w:val="006E7A27"/>
    <w:rsid w:val="006E7A2D"/>
    <w:rsid w:val="006E7FCF"/>
    <w:rsid w:val="006F0FF7"/>
    <w:rsid w:val="006F1095"/>
    <w:rsid w:val="006F1626"/>
    <w:rsid w:val="006F21DF"/>
    <w:rsid w:val="006F2374"/>
    <w:rsid w:val="006F2D29"/>
    <w:rsid w:val="006F4E0A"/>
    <w:rsid w:val="006F5460"/>
    <w:rsid w:val="006F551B"/>
    <w:rsid w:val="006F579F"/>
    <w:rsid w:val="006F6A02"/>
    <w:rsid w:val="007011A8"/>
    <w:rsid w:val="007013C5"/>
    <w:rsid w:val="007019FD"/>
    <w:rsid w:val="007034E3"/>
    <w:rsid w:val="00703703"/>
    <w:rsid w:val="00703748"/>
    <w:rsid w:val="00704AFA"/>
    <w:rsid w:val="00705670"/>
    <w:rsid w:val="00705CF6"/>
    <w:rsid w:val="00705FC6"/>
    <w:rsid w:val="007069F0"/>
    <w:rsid w:val="00706F7E"/>
    <w:rsid w:val="0070748C"/>
    <w:rsid w:val="0070787C"/>
    <w:rsid w:val="007078B9"/>
    <w:rsid w:val="00707A42"/>
    <w:rsid w:val="00707AE2"/>
    <w:rsid w:val="00707DF9"/>
    <w:rsid w:val="00710682"/>
    <w:rsid w:val="007109D2"/>
    <w:rsid w:val="00710E01"/>
    <w:rsid w:val="00711230"/>
    <w:rsid w:val="00711963"/>
    <w:rsid w:val="0071288C"/>
    <w:rsid w:val="0071418A"/>
    <w:rsid w:val="007144B9"/>
    <w:rsid w:val="00714D20"/>
    <w:rsid w:val="007158AA"/>
    <w:rsid w:val="007161EC"/>
    <w:rsid w:val="00716D10"/>
    <w:rsid w:val="00716E67"/>
    <w:rsid w:val="00717758"/>
    <w:rsid w:val="00721E2B"/>
    <w:rsid w:val="00723F3A"/>
    <w:rsid w:val="007243D5"/>
    <w:rsid w:val="0072444F"/>
    <w:rsid w:val="007247B1"/>
    <w:rsid w:val="0072491A"/>
    <w:rsid w:val="00726E9A"/>
    <w:rsid w:val="0072744C"/>
    <w:rsid w:val="007275E4"/>
    <w:rsid w:val="00733C23"/>
    <w:rsid w:val="00733CD5"/>
    <w:rsid w:val="00736B5F"/>
    <w:rsid w:val="00736BC8"/>
    <w:rsid w:val="00740316"/>
    <w:rsid w:val="00740E27"/>
    <w:rsid w:val="00741B08"/>
    <w:rsid w:val="00741D2D"/>
    <w:rsid w:val="00742319"/>
    <w:rsid w:val="007431CB"/>
    <w:rsid w:val="00744580"/>
    <w:rsid w:val="007446B8"/>
    <w:rsid w:val="00745870"/>
    <w:rsid w:val="00745943"/>
    <w:rsid w:val="00745BC7"/>
    <w:rsid w:val="00746AB5"/>
    <w:rsid w:val="00746F66"/>
    <w:rsid w:val="00747767"/>
    <w:rsid w:val="0074794B"/>
    <w:rsid w:val="00747BFA"/>
    <w:rsid w:val="00747FB8"/>
    <w:rsid w:val="0075139E"/>
    <w:rsid w:val="007518D4"/>
    <w:rsid w:val="00751AF2"/>
    <w:rsid w:val="00752130"/>
    <w:rsid w:val="00752985"/>
    <w:rsid w:val="007537B8"/>
    <w:rsid w:val="00753A10"/>
    <w:rsid w:val="007540E9"/>
    <w:rsid w:val="007540F4"/>
    <w:rsid w:val="007555CD"/>
    <w:rsid w:val="00756511"/>
    <w:rsid w:val="00756BD7"/>
    <w:rsid w:val="00756C8E"/>
    <w:rsid w:val="00757D83"/>
    <w:rsid w:val="00757E23"/>
    <w:rsid w:val="007608B6"/>
    <w:rsid w:val="00762469"/>
    <w:rsid w:val="00763DB4"/>
    <w:rsid w:val="00764245"/>
    <w:rsid w:val="00765236"/>
    <w:rsid w:val="00765920"/>
    <w:rsid w:val="0076600D"/>
    <w:rsid w:val="0077074D"/>
    <w:rsid w:val="007708FE"/>
    <w:rsid w:val="00771154"/>
    <w:rsid w:val="00771951"/>
    <w:rsid w:val="00771DE1"/>
    <w:rsid w:val="007731BC"/>
    <w:rsid w:val="00773FD5"/>
    <w:rsid w:val="007741F2"/>
    <w:rsid w:val="00774696"/>
    <w:rsid w:val="007747C3"/>
    <w:rsid w:val="007749C3"/>
    <w:rsid w:val="007760B9"/>
    <w:rsid w:val="0077648E"/>
    <w:rsid w:val="00776958"/>
    <w:rsid w:val="007801EA"/>
    <w:rsid w:val="00781B12"/>
    <w:rsid w:val="00782447"/>
    <w:rsid w:val="00783CA8"/>
    <w:rsid w:val="00783EE7"/>
    <w:rsid w:val="007844A5"/>
    <w:rsid w:val="007863C7"/>
    <w:rsid w:val="007863EF"/>
    <w:rsid w:val="007865A4"/>
    <w:rsid w:val="007866DA"/>
    <w:rsid w:val="00786C62"/>
    <w:rsid w:val="00787E18"/>
    <w:rsid w:val="00790919"/>
    <w:rsid w:val="007913AE"/>
    <w:rsid w:val="0079329F"/>
    <w:rsid w:val="00794678"/>
    <w:rsid w:val="007952F8"/>
    <w:rsid w:val="0079657F"/>
    <w:rsid w:val="0079746A"/>
    <w:rsid w:val="00797847"/>
    <w:rsid w:val="00797D91"/>
    <w:rsid w:val="007A020D"/>
    <w:rsid w:val="007A238C"/>
    <w:rsid w:val="007A329B"/>
    <w:rsid w:val="007A419B"/>
    <w:rsid w:val="007A5905"/>
    <w:rsid w:val="007A5FBC"/>
    <w:rsid w:val="007A65CE"/>
    <w:rsid w:val="007A6AE0"/>
    <w:rsid w:val="007A6E71"/>
    <w:rsid w:val="007A6F30"/>
    <w:rsid w:val="007A7CB6"/>
    <w:rsid w:val="007A7D6F"/>
    <w:rsid w:val="007B0F93"/>
    <w:rsid w:val="007B1F5D"/>
    <w:rsid w:val="007B2C19"/>
    <w:rsid w:val="007B2C58"/>
    <w:rsid w:val="007B2E67"/>
    <w:rsid w:val="007B3432"/>
    <w:rsid w:val="007B46CE"/>
    <w:rsid w:val="007B7226"/>
    <w:rsid w:val="007B7BF1"/>
    <w:rsid w:val="007C2881"/>
    <w:rsid w:val="007C2AB5"/>
    <w:rsid w:val="007C4273"/>
    <w:rsid w:val="007C42D4"/>
    <w:rsid w:val="007C45C2"/>
    <w:rsid w:val="007C495E"/>
    <w:rsid w:val="007C4FA5"/>
    <w:rsid w:val="007C6489"/>
    <w:rsid w:val="007C6CBF"/>
    <w:rsid w:val="007C6EFC"/>
    <w:rsid w:val="007C732F"/>
    <w:rsid w:val="007D064C"/>
    <w:rsid w:val="007D091B"/>
    <w:rsid w:val="007D0F0F"/>
    <w:rsid w:val="007D17BA"/>
    <w:rsid w:val="007D1848"/>
    <w:rsid w:val="007D18DB"/>
    <w:rsid w:val="007D1912"/>
    <w:rsid w:val="007D21F5"/>
    <w:rsid w:val="007D2510"/>
    <w:rsid w:val="007D2757"/>
    <w:rsid w:val="007D4188"/>
    <w:rsid w:val="007D435F"/>
    <w:rsid w:val="007D4DDB"/>
    <w:rsid w:val="007D64C9"/>
    <w:rsid w:val="007D66FA"/>
    <w:rsid w:val="007E031A"/>
    <w:rsid w:val="007E225E"/>
    <w:rsid w:val="007E260A"/>
    <w:rsid w:val="007E2AE8"/>
    <w:rsid w:val="007E35D1"/>
    <w:rsid w:val="007E388A"/>
    <w:rsid w:val="007E3B36"/>
    <w:rsid w:val="007E3FDC"/>
    <w:rsid w:val="007E41FF"/>
    <w:rsid w:val="007E4A07"/>
    <w:rsid w:val="007E4BA6"/>
    <w:rsid w:val="007E5781"/>
    <w:rsid w:val="007E6F83"/>
    <w:rsid w:val="007F034A"/>
    <w:rsid w:val="007F0973"/>
    <w:rsid w:val="007F1152"/>
    <w:rsid w:val="007F2E4D"/>
    <w:rsid w:val="007F3421"/>
    <w:rsid w:val="007F35A5"/>
    <w:rsid w:val="007F5627"/>
    <w:rsid w:val="007F6161"/>
    <w:rsid w:val="007F733A"/>
    <w:rsid w:val="007F7652"/>
    <w:rsid w:val="00800492"/>
    <w:rsid w:val="00800616"/>
    <w:rsid w:val="00800639"/>
    <w:rsid w:val="0080147F"/>
    <w:rsid w:val="00802221"/>
    <w:rsid w:val="00802CE3"/>
    <w:rsid w:val="00803CE7"/>
    <w:rsid w:val="00804262"/>
    <w:rsid w:val="00806063"/>
    <w:rsid w:val="008060CB"/>
    <w:rsid w:val="00807A34"/>
    <w:rsid w:val="00807BE8"/>
    <w:rsid w:val="0081004F"/>
    <w:rsid w:val="0081034A"/>
    <w:rsid w:val="00810611"/>
    <w:rsid w:val="0081110D"/>
    <w:rsid w:val="008119C1"/>
    <w:rsid w:val="00811D03"/>
    <w:rsid w:val="0081265B"/>
    <w:rsid w:val="008127B5"/>
    <w:rsid w:val="0081295F"/>
    <w:rsid w:val="00812C4E"/>
    <w:rsid w:val="00812C97"/>
    <w:rsid w:val="00813051"/>
    <w:rsid w:val="008135DD"/>
    <w:rsid w:val="00816266"/>
    <w:rsid w:val="00816DFB"/>
    <w:rsid w:val="0081700E"/>
    <w:rsid w:val="008171A9"/>
    <w:rsid w:val="00817679"/>
    <w:rsid w:val="008203FB"/>
    <w:rsid w:val="00820A70"/>
    <w:rsid w:val="00821061"/>
    <w:rsid w:val="00822020"/>
    <w:rsid w:val="00822AD7"/>
    <w:rsid w:val="00822CF9"/>
    <w:rsid w:val="008250C5"/>
    <w:rsid w:val="008253C1"/>
    <w:rsid w:val="00825588"/>
    <w:rsid w:val="0082690C"/>
    <w:rsid w:val="00826ACB"/>
    <w:rsid w:val="00831979"/>
    <w:rsid w:val="00831F20"/>
    <w:rsid w:val="008324AD"/>
    <w:rsid w:val="00834364"/>
    <w:rsid w:val="008357C7"/>
    <w:rsid w:val="00835A71"/>
    <w:rsid w:val="00835E8D"/>
    <w:rsid w:val="00835E9D"/>
    <w:rsid w:val="00836ED0"/>
    <w:rsid w:val="00837211"/>
    <w:rsid w:val="008405CD"/>
    <w:rsid w:val="00841A5D"/>
    <w:rsid w:val="00841F3F"/>
    <w:rsid w:val="0084239C"/>
    <w:rsid w:val="00842BAB"/>
    <w:rsid w:val="00842CDB"/>
    <w:rsid w:val="00842ED7"/>
    <w:rsid w:val="00843278"/>
    <w:rsid w:val="00843411"/>
    <w:rsid w:val="00844115"/>
    <w:rsid w:val="00844EA6"/>
    <w:rsid w:val="0084514F"/>
    <w:rsid w:val="0084616B"/>
    <w:rsid w:val="00846370"/>
    <w:rsid w:val="00846C87"/>
    <w:rsid w:val="00846D5C"/>
    <w:rsid w:val="00846D61"/>
    <w:rsid w:val="00846FB5"/>
    <w:rsid w:val="00847234"/>
    <w:rsid w:val="00847B57"/>
    <w:rsid w:val="0085046C"/>
    <w:rsid w:val="008506FC"/>
    <w:rsid w:val="00850A65"/>
    <w:rsid w:val="008513AB"/>
    <w:rsid w:val="00851556"/>
    <w:rsid w:val="00851E69"/>
    <w:rsid w:val="0085227D"/>
    <w:rsid w:val="00852418"/>
    <w:rsid w:val="008534C4"/>
    <w:rsid w:val="0085410D"/>
    <w:rsid w:val="00854123"/>
    <w:rsid w:val="00854D0D"/>
    <w:rsid w:val="00855E88"/>
    <w:rsid w:val="00856613"/>
    <w:rsid w:val="00856707"/>
    <w:rsid w:val="00860AE4"/>
    <w:rsid w:val="00860B41"/>
    <w:rsid w:val="00861F08"/>
    <w:rsid w:val="0086314C"/>
    <w:rsid w:val="008636C0"/>
    <w:rsid w:val="008640DC"/>
    <w:rsid w:val="00864613"/>
    <w:rsid w:val="00864733"/>
    <w:rsid w:val="0086492E"/>
    <w:rsid w:val="00865360"/>
    <w:rsid w:val="0086710D"/>
    <w:rsid w:val="00867AFF"/>
    <w:rsid w:val="00867EA8"/>
    <w:rsid w:val="0087055F"/>
    <w:rsid w:val="00870748"/>
    <w:rsid w:val="008725A3"/>
    <w:rsid w:val="008733FA"/>
    <w:rsid w:val="008762EF"/>
    <w:rsid w:val="008763FF"/>
    <w:rsid w:val="00876D1B"/>
    <w:rsid w:val="00880171"/>
    <w:rsid w:val="00881581"/>
    <w:rsid w:val="00882A1B"/>
    <w:rsid w:val="00882BF2"/>
    <w:rsid w:val="00882F79"/>
    <w:rsid w:val="008834E1"/>
    <w:rsid w:val="00883823"/>
    <w:rsid w:val="00884901"/>
    <w:rsid w:val="0088511E"/>
    <w:rsid w:val="0088531B"/>
    <w:rsid w:val="00885E6C"/>
    <w:rsid w:val="00886692"/>
    <w:rsid w:val="0089087C"/>
    <w:rsid w:val="00891E28"/>
    <w:rsid w:val="008945FA"/>
    <w:rsid w:val="0089542B"/>
    <w:rsid w:val="00896943"/>
    <w:rsid w:val="00896A95"/>
    <w:rsid w:val="00897552"/>
    <w:rsid w:val="008A082E"/>
    <w:rsid w:val="008A0DCE"/>
    <w:rsid w:val="008A1397"/>
    <w:rsid w:val="008A2FAE"/>
    <w:rsid w:val="008A5206"/>
    <w:rsid w:val="008A5A19"/>
    <w:rsid w:val="008A5C96"/>
    <w:rsid w:val="008A5FED"/>
    <w:rsid w:val="008A65AC"/>
    <w:rsid w:val="008A7024"/>
    <w:rsid w:val="008A7712"/>
    <w:rsid w:val="008A78C6"/>
    <w:rsid w:val="008B0C63"/>
    <w:rsid w:val="008B1DE9"/>
    <w:rsid w:val="008B2AB7"/>
    <w:rsid w:val="008B3A41"/>
    <w:rsid w:val="008B3BB1"/>
    <w:rsid w:val="008B458D"/>
    <w:rsid w:val="008B4ED6"/>
    <w:rsid w:val="008B504A"/>
    <w:rsid w:val="008B56FB"/>
    <w:rsid w:val="008B594E"/>
    <w:rsid w:val="008B5E95"/>
    <w:rsid w:val="008B7979"/>
    <w:rsid w:val="008B7D58"/>
    <w:rsid w:val="008C07AE"/>
    <w:rsid w:val="008C131C"/>
    <w:rsid w:val="008C18AC"/>
    <w:rsid w:val="008C2821"/>
    <w:rsid w:val="008C3247"/>
    <w:rsid w:val="008C5EBD"/>
    <w:rsid w:val="008C5FE8"/>
    <w:rsid w:val="008C6D36"/>
    <w:rsid w:val="008C7FBC"/>
    <w:rsid w:val="008D051F"/>
    <w:rsid w:val="008D0A90"/>
    <w:rsid w:val="008D10E5"/>
    <w:rsid w:val="008D17A4"/>
    <w:rsid w:val="008D3E79"/>
    <w:rsid w:val="008D41F3"/>
    <w:rsid w:val="008D4700"/>
    <w:rsid w:val="008D4AD0"/>
    <w:rsid w:val="008D4F42"/>
    <w:rsid w:val="008D510E"/>
    <w:rsid w:val="008D6330"/>
    <w:rsid w:val="008D7459"/>
    <w:rsid w:val="008D7470"/>
    <w:rsid w:val="008D77F1"/>
    <w:rsid w:val="008D7D79"/>
    <w:rsid w:val="008E0727"/>
    <w:rsid w:val="008E0C91"/>
    <w:rsid w:val="008E0EBC"/>
    <w:rsid w:val="008E139D"/>
    <w:rsid w:val="008E146B"/>
    <w:rsid w:val="008E15F9"/>
    <w:rsid w:val="008E18D1"/>
    <w:rsid w:val="008E2F00"/>
    <w:rsid w:val="008E49A7"/>
    <w:rsid w:val="008E57C4"/>
    <w:rsid w:val="008E6075"/>
    <w:rsid w:val="008E7824"/>
    <w:rsid w:val="008F0460"/>
    <w:rsid w:val="008F10DC"/>
    <w:rsid w:val="008F18F5"/>
    <w:rsid w:val="008F1955"/>
    <w:rsid w:val="008F3E4D"/>
    <w:rsid w:val="008F4051"/>
    <w:rsid w:val="008F48D5"/>
    <w:rsid w:val="008F6C69"/>
    <w:rsid w:val="008F7161"/>
    <w:rsid w:val="008F7243"/>
    <w:rsid w:val="008F75A9"/>
    <w:rsid w:val="00902660"/>
    <w:rsid w:val="009027BD"/>
    <w:rsid w:val="009028CF"/>
    <w:rsid w:val="009030C4"/>
    <w:rsid w:val="00903A29"/>
    <w:rsid w:val="00904369"/>
    <w:rsid w:val="009043B7"/>
    <w:rsid w:val="0090535A"/>
    <w:rsid w:val="00905B1F"/>
    <w:rsid w:val="00905D96"/>
    <w:rsid w:val="00905ECC"/>
    <w:rsid w:val="00907063"/>
    <w:rsid w:val="00907F04"/>
    <w:rsid w:val="009105FB"/>
    <w:rsid w:val="00910834"/>
    <w:rsid w:val="009110DF"/>
    <w:rsid w:val="00912223"/>
    <w:rsid w:val="00913775"/>
    <w:rsid w:val="00913AD6"/>
    <w:rsid w:val="00913E19"/>
    <w:rsid w:val="009159CB"/>
    <w:rsid w:val="0091689D"/>
    <w:rsid w:val="00916F71"/>
    <w:rsid w:val="00917D00"/>
    <w:rsid w:val="009204A7"/>
    <w:rsid w:val="009207D4"/>
    <w:rsid w:val="00920EE5"/>
    <w:rsid w:val="00924804"/>
    <w:rsid w:val="009263D8"/>
    <w:rsid w:val="0092642A"/>
    <w:rsid w:val="00930D2A"/>
    <w:rsid w:val="00930F92"/>
    <w:rsid w:val="00931ED5"/>
    <w:rsid w:val="0093234A"/>
    <w:rsid w:val="0093286C"/>
    <w:rsid w:val="00932DE3"/>
    <w:rsid w:val="0093379E"/>
    <w:rsid w:val="00933899"/>
    <w:rsid w:val="0093430C"/>
    <w:rsid w:val="00936729"/>
    <w:rsid w:val="00937155"/>
    <w:rsid w:val="00937761"/>
    <w:rsid w:val="00937A55"/>
    <w:rsid w:val="00937E49"/>
    <w:rsid w:val="0094059D"/>
    <w:rsid w:val="009406EE"/>
    <w:rsid w:val="009416BD"/>
    <w:rsid w:val="00943031"/>
    <w:rsid w:val="009444CC"/>
    <w:rsid w:val="0094503D"/>
    <w:rsid w:val="00945409"/>
    <w:rsid w:val="00945500"/>
    <w:rsid w:val="009475A8"/>
    <w:rsid w:val="0095081D"/>
    <w:rsid w:val="009511CC"/>
    <w:rsid w:val="00952038"/>
    <w:rsid w:val="009530EC"/>
    <w:rsid w:val="00953245"/>
    <w:rsid w:val="00954136"/>
    <w:rsid w:val="009567CE"/>
    <w:rsid w:val="009572CA"/>
    <w:rsid w:val="00957940"/>
    <w:rsid w:val="00960296"/>
    <w:rsid w:val="00960A93"/>
    <w:rsid w:val="00961982"/>
    <w:rsid w:val="00961A5B"/>
    <w:rsid w:val="00962CB9"/>
    <w:rsid w:val="00962F35"/>
    <w:rsid w:val="0096335B"/>
    <w:rsid w:val="00963518"/>
    <w:rsid w:val="00963811"/>
    <w:rsid w:val="009639C7"/>
    <w:rsid w:val="00963C48"/>
    <w:rsid w:val="00964A99"/>
    <w:rsid w:val="009651F9"/>
    <w:rsid w:val="00966004"/>
    <w:rsid w:val="00966CBA"/>
    <w:rsid w:val="00967C58"/>
    <w:rsid w:val="00970077"/>
    <w:rsid w:val="00970941"/>
    <w:rsid w:val="0097161D"/>
    <w:rsid w:val="00971CAF"/>
    <w:rsid w:val="00972B8C"/>
    <w:rsid w:val="00972EED"/>
    <w:rsid w:val="00973D26"/>
    <w:rsid w:val="00974398"/>
    <w:rsid w:val="009760CC"/>
    <w:rsid w:val="0097649B"/>
    <w:rsid w:val="00976588"/>
    <w:rsid w:val="009772C7"/>
    <w:rsid w:val="00980BE3"/>
    <w:rsid w:val="009830FF"/>
    <w:rsid w:val="00983290"/>
    <w:rsid w:val="00983EE7"/>
    <w:rsid w:val="00984160"/>
    <w:rsid w:val="00984269"/>
    <w:rsid w:val="009849EF"/>
    <w:rsid w:val="00984EF0"/>
    <w:rsid w:val="009859E1"/>
    <w:rsid w:val="00985D92"/>
    <w:rsid w:val="00986198"/>
    <w:rsid w:val="00986287"/>
    <w:rsid w:val="00986B76"/>
    <w:rsid w:val="00987953"/>
    <w:rsid w:val="0099090A"/>
    <w:rsid w:val="00991395"/>
    <w:rsid w:val="00991765"/>
    <w:rsid w:val="0099206E"/>
    <w:rsid w:val="00992396"/>
    <w:rsid w:val="009933F5"/>
    <w:rsid w:val="00993D30"/>
    <w:rsid w:val="00994994"/>
    <w:rsid w:val="00995AEC"/>
    <w:rsid w:val="00997855"/>
    <w:rsid w:val="009A00A8"/>
    <w:rsid w:val="009A0A76"/>
    <w:rsid w:val="009A0E7A"/>
    <w:rsid w:val="009A2151"/>
    <w:rsid w:val="009A2A06"/>
    <w:rsid w:val="009A3D19"/>
    <w:rsid w:val="009A46E1"/>
    <w:rsid w:val="009A4D15"/>
    <w:rsid w:val="009A545B"/>
    <w:rsid w:val="009A5624"/>
    <w:rsid w:val="009A5781"/>
    <w:rsid w:val="009A69C8"/>
    <w:rsid w:val="009A6B70"/>
    <w:rsid w:val="009B11E3"/>
    <w:rsid w:val="009B1856"/>
    <w:rsid w:val="009B1C2B"/>
    <w:rsid w:val="009B2591"/>
    <w:rsid w:val="009B4925"/>
    <w:rsid w:val="009B5692"/>
    <w:rsid w:val="009B6236"/>
    <w:rsid w:val="009B7D06"/>
    <w:rsid w:val="009B7FAB"/>
    <w:rsid w:val="009C0722"/>
    <w:rsid w:val="009C092D"/>
    <w:rsid w:val="009C0F27"/>
    <w:rsid w:val="009C0FA4"/>
    <w:rsid w:val="009C1109"/>
    <w:rsid w:val="009C12FD"/>
    <w:rsid w:val="009C144C"/>
    <w:rsid w:val="009C1CBD"/>
    <w:rsid w:val="009C1E43"/>
    <w:rsid w:val="009C2B9F"/>
    <w:rsid w:val="009C2D97"/>
    <w:rsid w:val="009C2F59"/>
    <w:rsid w:val="009C4184"/>
    <w:rsid w:val="009C5A21"/>
    <w:rsid w:val="009C6B36"/>
    <w:rsid w:val="009C7025"/>
    <w:rsid w:val="009C7160"/>
    <w:rsid w:val="009C7658"/>
    <w:rsid w:val="009C79FE"/>
    <w:rsid w:val="009D0286"/>
    <w:rsid w:val="009D1BF5"/>
    <w:rsid w:val="009D27A7"/>
    <w:rsid w:val="009D32C6"/>
    <w:rsid w:val="009D4B3B"/>
    <w:rsid w:val="009D549A"/>
    <w:rsid w:val="009D5F64"/>
    <w:rsid w:val="009D6425"/>
    <w:rsid w:val="009D680C"/>
    <w:rsid w:val="009D6ED9"/>
    <w:rsid w:val="009D7191"/>
    <w:rsid w:val="009E07AD"/>
    <w:rsid w:val="009E08B0"/>
    <w:rsid w:val="009E2147"/>
    <w:rsid w:val="009E4593"/>
    <w:rsid w:val="009E50D9"/>
    <w:rsid w:val="009E5660"/>
    <w:rsid w:val="009E6983"/>
    <w:rsid w:val="009F0402"/>
    <w:rsid w:val="009F06FD"/>
    <w:rsid w:val="009F1527"/>
    <w:rsid w:val="009F1799"/>
    <w:rsid w:val="009F18E2"/>
    <w:rsid w:val="009F2448"/>
    <w:rsid w:val="009F3240"/>
    <w:rsid w:val="009F3E12"/>
    <w:rsid w:val="009F446E"/>
    <w:rsid w:val="009F4A67"/>
    <w:rsid w:val="009F6A15"/>
    <w:rsid w:val="009F6C97"/>
    <w:rsid w:val="00A004CA"/>
    <w:rsid w:val="00A00CDC"/>
    <w:rsid w:val="00A0106D"/>
    <w:rsid w:val="00A01520"/>
    <w:rsid w:val="00A03EC4"/>
    <w:rsid w:val="00A03FA2"/>
    <w:rsid w:val="00A0448D"/>
    <w:rsid w:val="00A045B7"/>
    <w:rsid w:val="00A04AE6"/>
    <w:rsid w:val="00A04E7A"/>
    <w:rsid w:val="00A05310"/>
    <w:rsid w:val="00A05DE0"/>
    <w:rsid w:val="00A06EF8"/>
    <w:rsid w:val="00A074E9"/>
    <w:rsid w:val="00A07712"/>
    <w:rsid w:val="00A101D1"/>
    <w:rsid w:val="00A1059B"/>
    <w:rsid w:val="00A10F6B"/>
    <w:rsid w:val="00A1202E"/>
    <w:rsid w:val="00A12936"/>
    <w:rsid w:val="00A12D52"/>
    <w:rsid w:val="00A14071"/>
    <w:rsid w:val="00A14239"/>
    <w:rsid w:val="00A15E48"/>
    <w:rsid w:val="00A162AC"/>
    <w:rsid w:val="00A1651A"/>
    <w:rsid w:val="00A200DB"/>
    <w:rsid w:val="00A209B4"/>
    <w:rsid w:val="00A21455"/>
    <w:rsid w:val="00A22B48"/>
    <w:rsid w:val="00A244C2"/>
    <w:rsid w:val="00A24F7A"/>
    <w:rsid w:val="00A250C3"/>
    <w:rsid w:val="00A252D4"/>
    <w:rsid w:val="00A257E7"/>
    <w:rsid w:val="00A26A16"/>
    <w:rsid w:val="00A26A49"/>
    <w:rsid w:val="00A26A91"/>
    <w:rsid w:val="00A27A18"/>
    <w:rsid w:val="00A27B5E"/>
    <w:rsid w:val="00A27CDB"/>
    <w:rsid w:val="00A30C52"/>
    <w:rsid w:val="00A3111D"/>
    <w:rsid w:val="00A3154C"/>
    <w:rsid w:val="00A315E7"/>
    <w:rsid w:val="00A31805"/>
    <w:rsid w:val="00A31867"/>
    <w:rsid w:val="00A3199E"/>
    <w:rsid w:val="00A32864"/>
    <w:rsid w:val="00A338FD"/>
    <w:rsid w:val="00A341A5"/>
    <w:rsid w:val="00A34CB4"/>
    <w:rsid w:val="00A34EA2"/>
    <w:rsid w:val="00A35AF3"/>
    <w:rsid w:val="00A36D11"/>
    <w:rsid w:val="00A36D25"/>
    <w:rsid w:val="00A36D6F"/>
    <w:rsid w:val="00A376BE"/>
    <w:rsid w:val="00A40DF5"/>
    <w:rsid w:val="00A41D6D"/>
    <w:rsid w:val="00A43B5E"/>
    <w:rsid w:val="00A45A0A"/>
    <w:rsid w:val="00A45DDA"/>
    <w:rsid w:val="00A46261"/>
    <w:rsid w:val="00A47656"/>
    <w:rsid w:val="00A47A48"/>
    <w:rsid w:val="00A47EA3"/>
    <w:rsid w:val="00A50406"/>
    <w:rsid w:val="00A5073E"/>
    <w:rsid w:val="00A51A43"/>
    <w:rsid w:val="00A51B93"/>
    <w:rsid w:val="00A5210E"/>
    <w:rsid w:val="00A52F41"/>
    <w:rsid w:val="00A53623"/>
    <w:rsid w:val="00A53A9E"/>
    <w:rsid w:val="00A54094"/>
    <w:rsid w:val="00A54512"/>
    <w:rsid w:val="00A55624"/>
    <w:rsid w:val="00A55625"/>
    <w:rsid w:val="00A564AE"/>
    <w:rsid w:val="00A56814"/>
    <w:rsid w:val="00A57105"/>
    <w:rsid w:val="00A57438"/>
    <w:rsid w:val="00A57AD0"/>
    <w:rsid w:val="00A60312"/>
    <w:rsid w:val="00A608CB"/>
    <w:rsid w:val="00A61455"/>
    <w:rsid w:val="00A6179B"/>
    <w:rsid w:val="00A61AA6"/>
    <w:rsid w:val="00A622BF"/>
    <w:rsid w:val="00A62E31"/>
    <w:rsid w:val="00A639EE"/>
    <w:rsid w:val="00A63C22"/>
    <w:rsid w:val="00A63D8B"/>
    <w:rsid w:val="00A643A5"/>
    <w:rsid w:val="00A65F1A"/>
    <w:rsid w:val="00A66DB7"/>
    <w:rsid w:val="00A67CBE"/>
    <w:rsid w:val="00A708FB"/>
    <w:rsid w:val="00A70F3A"/>
    <w:rsid w:val="00A71719"/>
    <w:rsid w:val="00A718D8"/>
    <w:rsid w:val="00A71DD0"/>
    <w:rsid w:val="00A71EBB"/>
    <w:rsid w:val="00A72CFD"/>
    <w:rsid w:val="00A731CB"/>
    <w:rsid w:val="00A735C7"/>
    <w:rsid w:val="00A737B5"/>
    <w:rsid w:val="00A74742"/>
    <w:rsid w:val="00A7496E"/>
    <w:rsid w:val="00A74AA9"/>
    <w:rsid w:val="00A74CA7"/>
    <w:rsid w:val="00A75006"/>
    <w:rsid w:val="00A75C2D"/>
    <w:rsid w:val="00A768BA"/>
    <w:rsid w:val="00A80457"/>
    <w:rsid w:val="00A80B1D"/>
    <w:rsid w:val="00A81470"/>
    <w:rsid w:val="00A81B95"/>
    <w:rsid w:val="00A85600"/>
    <w:rsid w:val="00A85F7A"/>
    <w:rsid w:val="00A86A16"/>
    <w:rsid w:val="00A8734A"/>
    <w:rsid w:val="00A904F5"/>
    <w:rsid w:val="00A9090C"/>
    <w:rsid w:val="00A90AFE"/>
    <w:rsid w:val="00A91B53"/>
    <w:rsid w:val="00A933E0"/>
    <w:rsid w:val="00A9425B"/>
    <w:rsid w:val="00A94CBF"/>
    <w:rsid w:val="00A971F5"/>
    <w:rsid w:val="00AA1487"/>
    <w:rsid w:val="00AA1768"/>
    <w:rsid w:val="00AA1EC1"/>
    <w:rsid w:val="00AA2B77"/>
    <w:rsid w:val="00AA3BBE"/>
    <w:rsid w:val="00AA4E72"/>
    <w:rsid w:val="00AA4F27"/>
    <w:rsid w:val="00AA5969"/>
    <w:rsid w:val="00AA5B91"/>
    <w:rsid w:val="00AA5E4B"/>
    <w:rsid w:val="00AA6E34"/>
    <w:rsid w:val="00AA77CF"/>
    <w:rsid w:val="00AB0376"/>
    <w:rsid w:val="00AB0529"/>
    <w:rsid w:val="00AB1877"/>
    <w:rsid w:val="00AB1963"/>
    <w:rsid w:val="00AB3E3C"/>
    <w:rsid w:val="00AB4B7F"/>
    <w:rsid w:val="00AB4D89"/>
    <w:rsid w:val="00AB648D"/>
    <w:rsid w:val="00AC1627"/>
    <w:rsid w:val="00AC16EB"/>
    <w:rsid w:val="00AC1A89"/>
    <w:rsid w:val="00AC289A"/>
    <w:rsid w:val="00AC2B77"/>
    <w:rsid w:val="00AC334B"/>
    <w:rsid w:val="00AC3BC5"/>
    <w:rsid w:val="00AC4988"/>
    <w:rsid w:val="00AC4C14"/>
    <w:rsid w:val="00AC4FD6"/>
    <w:rsid w:val="00AC6D50"/>
    <w:rsid w:val="00AC6EA0"/>
    <w:rsid w:val="00AC736F"/>
    <w:rsid w:val="00AD031A"/>
    <w:rsid w:val="00AD034F"/>
    <w:rsid w:val="00AD11EC"/>
    <w:rsid w:val="00AD1EEE"/>
    <w:rsid w:val="00AD345D"/>
    <w:rsid w:val="00AD362D"/>
    <w:rsid w:val="00AD3930"/>
    <w:rsid w:val="00AD42D7"/>
    <w:rsid w:val="00AD5838"/>
    <w:rsid w:val="00AD5EBE"/>
    <w:rsid w:val="00AD6A74"/>
    <w:rsid w:val="00AD7613"/>
    <w:rsid w:val="00AD7760"/>
    <w:rsid w:val="00AD779A"/>
    <w:rsid w:val="00AE0F3C"/>
    <w:rsid w:val="00AE1D02"/>
    <w:rsid w:val="00AE2262"/>
    <w:rsid w:val="00AE2496"/>
    <w:rsid w:val="00AE2E62"/>
    <w:rsid w:val="00AE3925"/>
    <w:rsid w:val="00AE43EE"/>
    <w:rsid w:val="00AE4658"/>
    <w:rsid w:val="00AE48CE"/>
    <w:rsid w:val="00AE4E72"/>
    <w:rsid w:val="00AE577F"/>
    <w:rsid w:val="00AE5CCC"/>
    <w:rsid w:val="00AE6419"/>
    <w:rsid w:val="00AE6FA7"/>
    <w:rsid w:val="00AF0493"/>
    <w:rsid w:val="00AF171F"/>
    <w:rsid w:val="00AF1AB2"/>
    <w:rsid w:val="00AF1F72"/>
    <w:rsid w:val="00AF350A"/>
    <w:rsid w:val="00AF3E08"/>
    <w:rsid w:val="00AF4658"/>
    <w:rsid w:val="00AF4757"/>
    <w:rsid w:val="00AF53C8"/>
    <w:rsid w:val="00AF59EE"/>
    <w:rsid w:val="00AF5E7D"/>
    <w:rsid w:val="00AF6E84"/>
    <w:rsid w:val="00B017C7"/>
    <w:rsid w:val="00B01873"/>
    <w:rsid w:val="00B022CC"/>
    <w:rsid w:val="00B025F0"/>
    <w:rsid w:val="00B02B9A"/>
    <w:rsid w:val="00B03471"/>
    <w:rsid w:val="00B039A4"/>
    <w:rsid w:val="00B04752"/>
    <w:rsid w:val="00B04A43"/>
    <w:rsid w:val="00B05271"/>
    <w:rsid w:val="00B05812"/>
    <w:rsid w:val="00B05AB9"/>
    <w:rsid w:val="00B06BF8"/>
    <w:rsid w:val="00B07604"/>
    <w:rsid w:val="00B1013B"/>
    <w:rsid w:val="00B1018E"/>
    <w:rsid w:val="00B1021E"/>
    <w:rsid w:val="00B10BCD"/>
    <w:rsid w:val="00B11485"/>
    <w:rsid w:val="00B12563"/>
    <w:rsid w:val="00B152C7"/>
    <w:rsid w:val="00B1568E"/>
    <w:rsid w:val="00B170AB"/>
    <w:rsid w:val="00B17227"/>
    <w:rsid w:val="00B2068E"/>
    <w:rsid w:val="00B20FBE"/>
    <w:rsid w:val="00B21BA5"/>
    <w:rsid w:val="00B2352F"/>
    <w:rsid w:val="00B23BCB"/>
    <w:rsid w:val="00B2435B"/>
    <w:rsid w:val="00B256EF"/>
    <w:rsid w:val="00B262DA"/>
    <w:rsid w:val="00B27759"/>
    <w:rsid w:val="00B30155"/>
    <w:rsid w:val="00B30A69"/>
    <w:rsid w:val="00B31453"/>
    <w:rsid w:val="00B31739"/>
    <w:rsid w:val="00B31C9E"/>
    <w:rsid w:val="00B32072"/>
    <w:rsid w:val="00B3218B"/>
    <w:rsid w:val="00B32A15"/>
    <w:rsid w:val="00B33640"/>
    <w:rsid w:val="00B3518F"/>
    <w:rsid w:val="00B35BAA"/>
    <w:rsid w:val="00B37CA6"/>
    <w:rsid w:val="00B41D6C"/>
    <w:rsid w:val="00B42B8F"/>
    <w:rsid w:val="00B43061"/>
    <w:rsid w:val="00B44388"/>
    <w:rsid w:val="00B443F0"/>
    <w:rsid w:val="00B461BD"/>
    <w:rsid w:val="00B4699A"/>
    <w:rsid w:val="00B46AE3"/>
    <w:rsid w:val="00B478BF"/>
    <w:rsid w:val="00B512CF"/>
    <w:rsid w:val="00B52218"/>
    <w:rsid w:val="00B52E56"/>
    <w:rsid w:val="00B52F83"/>
    <w:rsid w:val="00B534F2"/>
    <w:rsid w:val="00B53BCF"/>
    <w:rsid w:val="00B53D4B"/>
    <w:rsid w:val="00B5425A"/>
    <w:rsid w:val="00B5621A"/>
    <w:rsid w:val="00B5699E"/>
    <w:rsid w:val="00B57C33"/>
    <w:rsid w:val="00B60E95"/>
    <w:rsid w:val="00B60F79"/>
    <w:rsid w:val="00B612A0"/>
    <w:rsid w:val="00B61C4D"/>
    <w:rsid w:val="00B629E4"/>
    <w:rsid w:val="00B629F0"/>
    <w:rsid w:val="00B62A47"/>
    <w:rsid w:val="00B62D95"/>
    <w:rsid w:val="00B6336A"/>
    <w:rsid w:val="00B63CC3"/>
    <w:rsid w:val="00B64D05"/>
    <w:rsid w:val="00B65019"/>
    <w:rsid w:val="00B653C0"/>
    <w:rsid w:val="00B666D4"/>
    <w:rsid w:val="00B667DE"/>
    <w:rsid w:val="00B70D80"/>
    <w:rsid w:val="00B711DF"/>
    <w:rsid w:val="00B7140E"/>
    <w:rsid w:val="00B71650"/>
    <w:rsid w:val="00B7175E"/>
    <w:rsid w:val="00B7333A"/>
    <w:rsid w:val="00B73F1D"/>
    <w:rsid w:val="00B746D9"/>
    <w:rsid w:val="00B74D90"/>
    <w:rsid w:val="00B757F3"/>
    <w:rsid w:val="00B764A4"/>
    <w:rsid w:val="00B768DF"/>
    <w:rsid w:val="00B77689"/>
    <w:rsid w:val="00B80A1F"/>
    <w:rsid w:val="00B80ED2"/>
    <w:rsid w:val="00B810F0"/>
    <w:rsid w:val="00B82B02"/>
    <w:rsid w:val="00B83747"/>
    <w:rsid w:val="00B8395E"/>
    <w:rsid w:val="00B83ECC"/>
    <w:rsid w:val="00B879C3"/>
    <w:rsid w:val="00B90D17"/>
    <w:rsid w:val="00B91072"/>
    <w:rsid w:val="00B914D5"/>
    <w:rsid w:val="00B9275C"/>
    <w:rsid w:val="00B92F9D"/>
    <w:rsid w:val="00B9326F"/>
    <w:rsid w:val="00B93468"/>
    <w:rsid w:val="00B94D8A"/>
    <w:rsid w:val="00B959E3"/>
    <w:rsid w:val="00B963E7"/>
    <w:rsid w:val="00B9677B"/>
    <w:rsid w:val="00B97CD5"/>
    <w:rsid w:val="00BA0B95"/>
    <w:rsid w:val="00BA0CD5"/>
    <w:rsid w:val="00BA2418"/>
    <w:rsid w:val="00BA2E69"/>
    <w:rsid w:val="00BA368E"/>
    <w:rsid w:val="00BA453D"/>
    <w:rsid w:val="00BA4C80"/>
    <w:rsid w:val="00BA4FEC"/>
    <w:rsid w:val="00BA5122"/>
    <w:rsid w:val="00BA586E"/>
    <w:rsid w:val="00BA5AD4"/>
    <w:rsid w:val="00BA6BE8"/>
    <w:rsid w:val="00BA6EC1"/>
    <w:rsid w:val="00BA79EC"/>
    <w:rsid w:val="00BA7C6D"/>
    <w:rsid w:val="00BB03B8"/>
    <w:rsid w:val="00BB07B0"/>
    <w:rsid w:val="00BB118E"/>
    <w:rsid w:val="00BB29A7"/>
    <w:rsid w:val="00BB2AD6"/>
    <w:rsid w:val="00BB2B7B"/>
    <w:rsid w:val="00BB2C38"/>
    <w:rsid w:val="00BB35E1"/>
    <w:rsid w:val="00BB3F67"/>
    <w:rsid w:val="00BB4D09"/>
    <w:rsid w:val="00BB54B6"/>
    <w:rsid w:val="00BB55A2"/>
    <w:rsid w:val="00BB77E7"/>
    <w:rsid w:val="00BC005F"/>
    <w:rsid w:val="00BC03FF"/>
    <w:rsid w:val="00BC168E"/>
    <w:rsid w:val="00BC226C"/>
    <w:rsid w:val="00BC3F5F"/>
    <w:rsid w:val="00BC4075"/>
    <w:rsid w:val="00BC4359"/>
    <w:rsid w:val="00BC487C"/>
    <w:rsid w:val="00BC67A4"/>
    <w:rsid w:val="00BC73F0"/>
    <w:rsid w:val="00BC7587"/>
    <w:rsid w:val="00BC7AB1"/>
    <w:rsid w:val="00BD085F"/>
    <w:rsid w:val="00BD09DB"/>
    <w:rsid w:val="00BD0B8C"/>
    <w:rsid w:val="00BD11EB"/>
    <w:rsid w:val="00BD1D71"/>
    <w:rsid w:val="00BD2433"/>
    <w:rsid w:val="00BD270D"/>
    <w:rsid w:val="00BD41DB"/>
    <w:rsid w:val="00BD4395"/>
    <w:rsid w:val="00BD6CA8"/>
    <w:rsid w:val="00BD6CB5"/>
    <w:rsid w:val="00BD7668"/>
    <w:rsid w:val="00BD7D85"/>
    <w:rsid w:val="00BE043A"/>
    <w:rsid w:val="00BE0BA0"/>
    <w:rsid w:val="00BE1A2D"/>
    <w:rsid w:val="00BE1DF3"/>
    <w:rsid w:val="00BE2048"/>
    <w:rsid w:val="00BE3339"/>
    <w:rsid w:val="00BE4614"/>
    <w:rsid w:val="00BE4CA4"/>
    <w:rsid w:val="00BE5AE9"/>
    <w:rsid w:val="00BE63D3"/>
    <w:rsid w:val="00BE6438"/>
    <w:rsid w:val="00BE79C2"/>
    <w:rsid w:val="00BF004A"/>
    <w:rsid w:val="00BF006E"/>
    <w:rsid w:val="00BF3348"/>
    <w:rsid w:val="00BF364B"/>
    <w:rsid w:val="00BF3998"/>
    <w:rsid w:val="00BF3C55"/>
    <w:rsid w:val="00BF423C"/>
    <w:rsid w:val="00BF4331"/>
    <w:rsid w:val="00BF5046"/>
    <w:rsid w:val="00BF5049"/>
    <w:rsid w:val="00BF68EC"/>
    <w:rsid w:val="00BF7335"/>
    <w:rsid w:val="00BF7548"/>
    <w:rsid w:val="00BF7983"/>
    <w:rsid w:val="00BF7BCE"/>
    <w:rsid w:val="00BF7C80"/>
    <w:rsid w:val="00C0065E"/>
    <w:rsid w:val="00C01E90"/>
    <w:rsid w:val="00C027BB"/>
    <w:rsid w:val="00C02814"/>
    <w:rsid w:val="00C04F21"/>
    <w:rsid w:val="00C052C2"/>
    <w:rsid w:val="00C05598"/>
    <w:rsid w:val="00C055C7"/>
    <w:rsid w:val="00C06222"/>
    <w:rsid w:val="00C06D00"/>
    <w:rsid w:val="00C06FC7"/>
    <w:rsid w:val="00C06FE3"/>
    <w:rsid w:val="00C07A07"/>
    <w:rsid w:val="00C105F1"/>
    <w:rsid w:val="00C1081C"/>
    <w:rsid w:val="00C10C15"/>
    <w:rsid w:val="00C11AA0"/>
    <w:rsid w:val="00C12489"/>
    <w:rsid w:val="00C162AF"/>
    <w:rsid w:val="00C16522"/>
    <w:rsid w:val="00C1706D"/>
    <w:rsid w:val="00C17271"/>
    <w:rsid w:val="00C22063"/>
    <w:rsid w:val="00C22342"/>
    <w:rsid w:val="00C223AA"/>
    <w:rsid w:val="00C2244B"/>
    <w:rsid w:val="00C22A25"/>
    <w:rsid w:val="00C233BD"/>
    <w:rsid w:val="00C23D67"/>
    <w:rsid w:val="00C23D76"/>
    <w:rsid w:val="00C24718"/>
    <w:rsid w:val="00C26A2D"/>
    <w:rsid w:val="00C26AAB"/>
    <w:rsid w:val="00C27BD7"/>
    <w:rsid w:val="00C30112"/>
    <w:rsid w:val="00C30BCA"/>
    <w:rsid w:val="00C3198C"/>
    <w:rsid w:val="00C32C41"/>
    <w:rsid w:val="00C32DD9"/>
    <w:rsid w:val="00C352D4"/>
    <w:rsid w:val="00C35EC7"/>
    <w:rsid w:val="00C362A6"/>
    <w:rsid w:val="00C37A16"/>
    <w:rsid w:val="00C40167"/>
    <w:rsid w:val="00C4177A"/>
    <w:rsid w:val="00C42583"/>
    <w:rsid w:val="00C429DD"/>
    <w:rsid w:val="00C42FFC"/>
    <w:rsid w:val="00C43128"/>
    <w:rsid w:val="00C43572"/>
    <w:rsid w:val="00C43D9D"/>
    <w:rsid w:val="00C451E6"/>
    <w:rsid w:val="00C45897"/>
    <w:rsid w:val="00C4636F"/>
    <w:rsid w:val="00C46551"/>
    <w:rsid w:val="00C46F35"/>
    <w:rsid w:val="00C46FD4"/>
    <w:rsid w:val="00C502FE"/>
    <w:rsid w:val="00C509F6"/>
    <w:rsid w:val="00C5159B"/>
    <w:rsid w:val="00C521C3"/>
    <w:rsid w:val="00C52272"/>
    <w:rsid w:val="00C52626"/>
    <w:rsid w:val="00C5274A"/>
    <w:rsid w:val="00C529DF"/>
    <w:rsid w:val="00C52E4F"/>
    <w:rsid w:val="00C532A3"/>
    <w:rsid w:val="00C537F3"/>
    <w:rsid w:val="00C53A7A"/>
    <w:rsid w:val="00C53ED3"/>
    <w:rsid w:val="00C549E9"/>
    <w:rsid w:val="00C55431"/>
    <w:rsid w:val="00C55A07"/>
    <w:rsid w:val="00C55D25"/>
    <w:rsid w:val="00C563AC"/>
    <w:rsid w:val="00C563E1"/>
    <w:rsid w:val="00C56880"/>
    <w:rsid w:val="00C573DD"/>
    <w:rsid w:val="00C57617"/>
    <w:rsid w:val="00C5778D"/>
    <w:rsid w:val="00C57A0C"/>
    <w:rsid w:val="00C57BA2"/>
    <w:rsid w:val="00C60273"/>
    <w:rsid w:val="00C60294"/>
    <w:rsid w:val="00C62B4B"/>
    <w:rsid w:val="00C63619"/>
    <w:rsid w:val="00C64287"/>
    <w:rsid w:val="00C64556"/>
    <w:rsid w:val="00C64C3D"/>
    <w:rsid w:val="00C65120"/>
    <w:rsid w:val="00C6606A"/>
    <w:rsid w:val="00C66B45"/>
    <w:rsid w:val="00C66E54"/>
    <w:rsid w:val="00C67255"/>
    <w:rsid w:val="00C70996"/>
    <w:rsid w:val="00C71201"/>
    <w:rsid w:val="00C7201E"/>
    <w:rsid w:val="00C72597"/>
    <w:rsid w:val="00C7305F"/>
    <w:rsid w:val="00C73305"/>
    <w:rsid w:val="00C74CB2"/>
    <w:rsid w:val="00C74D6B"/>
    <w:rsid w:val="00C74E72"/>
    <w:rsid w:val="00C75547"/>
    <w:rsid w:val="00C75B53"/>
    <w:rsid w:val="00C76F62"/>
    <w:rsid w:val="00C76FB5"/>
    <w:rsid w:val="00C77FF3"/>
    <w:rsid w:val="00C8025B"/>
    <w:rsid w:val="00C80396"/>
    <w:rsid w:val="00C80F4E"/>
    <w:rsid w:val="00C81791"/>
    <w:rsid w:val="00C837AC"/>
    <w:rsid w:val="00C83D03"/>
    <w:rsid w:val="00C84594"/>
    <w:rsid w:val="00C846E6"/>
    <w:rsid w:val="00C84AD1"/>
    <w:rsid w:val="00C864CE"/>
    <w:rsid w:val="00C86A5A"/>
    <w:rsid w:val="00C8760C"/>
    <w:rsid w:val="00C87B0D"/>
    <w:rsid w:val="00C92D51"/>
    <w:rsid w:val="00C9339D"/>
    <w:rsid w:val="00C93886"/>
    <w:rsid w:val="00C941A0"/>
    <w:rsid w:val="00C94B95"/>
    <w:rsid w:val="00C95B26"/>
    <w:rsid w:val="00C9675D"/>
    <w:rsid w:val="00CA130A"/>
    <w:rsid w:val="00CA2963"/>
    <w:rsid w:val="00CA2B89"/>
    <w:rsid w:val="00CA2C69"/>
    <w:rsid w:val="00CA349D"/>
    <w:rsid w:val="00CA41E3"/>
    <w:rsid w:val="00CA4700"/>
    <w:rsid w:val="00CB00DA"/>
    <w:rsid w:val="00CB0164"/>
    <w:rsid w:val="00CB049E"/>
    <w:rsid w:val="00CB14CC"/>
    <w:rsid w:val="00CB15BC"/>
    <w:rsid w:val="00CB1E35"/>
    <w:rsid w:val="00CB243E"/>
    <w:rsid w:val="00CB31C0"/>
    <w:rsid w:val="00CB3215"/>
    <w:rsid w:val="00CB5189"/>
    <w:rsid w:val="00CB57A5"/>
    <w:rsid w:val="00CB5BFD"/>
    <w:rsid w:val="00CB5E17"/>
    <w:rsid w:val="00CB61D8"/>
    <w:rsid w:val="00CB64AB"/>
    <w:rsid w:val="00CB64EB"/>
    <w:rsid w:val="00CC18B3"/>
    <w:rsid w:val="00CC223F"/>
    <w:rsid w:val="00CC234F"/>
    <w:rsid w:val="00CC523D"/>
    <w:rsid w:val="00CC5E20"/>
    <w:rsid w:val="00CC74E2"/>
    <w:rsid w:val="00CD0695"/>
    <w:rsid w:val="00CD15DE"/>
    <w:rsid w:val="00CD377D"/>
    <w:rsid w:val="00CD549D"/>
    <w:rsid w:val="00CD5763"/>
    <w:rsid w:val="00CD5BA9"/>
    <w:rsid w:val="00CD6890"/>
    <w:rsid w:val="00CD6DD6"/>
    <w:rsid w:val="00CD7759"/>
    <w:rsid w:val="00CD78A6"/>
    <w:rsid w:val="00CD7F42"/>
    <w:rsid w:val="00CE04CA"/>
    <w:rsid w:val="00CE09F7"/>
    <w:rsid w:val="00CE0BE4"/>
    <w:rsid w:val="00CE21C3"/>
    <w:rsid w:val="00CE2825"/>
    <w:rsid w:val="00CE3DC9"/>
    <w:rsid w:val="00CE4EF2"/>
    <w:rsid w:val="00CE629F"/>
    <w:rsid w:val="00CE7741"/>
    <w:rsid w:val="00CF08E9"/>
    <w:rsid w:val="00CF13EC"/>
    <w:rsid w:val="00CF2460"/>
    <w:rsid w:val="00CF3108"/>
    <w:rsid w:val="00CF4270"/>
    <w:rsid w:val="00CF5087"/>
    <w:rsid w:val="00CF6361"/>
    <w:rsid w:val="00CF6726"/>
    <w:rsid w:val="00CF6B0E"/>
    <w:rsid w:val="00CF7741"/>
    <w:rsid w:val="00D005A1"/>
    <w:rsid w:val="00D00FEC"/>
    <w:rsid w:val="00D01C56"/>
    <w:rsid w:val="00D01DC8"/>
    <w:rsid w:val="00D020DE"/>
    <w:rsid w:val="00D03C46"/>
    <w:rsid w:val="00D03ECF"/>
    <w:rsid w:val="00D04039"/>
    <w:rsid w:val="00D04177"/>
    <w:rsid w:val="00D05DC6"/>
    <w:rsid w:val="00D06766"/>
    <w:rsid w:val="00D069BD"/>
    <w:rsid w:val="00D074C2"/>
    <w:rsid w:val="00D07F3B"/>
    <w:rsid w:val="00D101D5"/>
    <w:rsid w:val="00D1088B"/>
    <w:rsid w:val="00D12875"/>
    <w:rsid w:val="00D12F62"/>
    <w:rsid w:val="00D14C6B"/>
    <w:rsid w:val="00D15653"/>
    <w:rsid w:val="00D15E61"/>
    <w:rsid w:val="00D169E8"/>
    <w:rsid w:val="00D172E6"/>
    <w:rsid w:val="00D17A7F"/>
    <w:rsid w:val="00D17D0F"/>
    <w:rsid w:val="00D17F1D"/>
    <w:rsid w:val="00D17F84"/>
    <w:rsid w:val="00D209D9"/>
    <w:rsid w:val="00D2211A"/>
    <w:rsid w:val="00D22357"/>
    <w:rsid w:val="00D232F9"/>
    <w:rsid w:val="00D2468A"/>
    <w:rsid w:val="00D2493B"/>
    <w:rsid w:val="00D25079"/>
    <w:rsid w:val="00D25963"/>
    <w:rsid w:val="00D26FAF"/>
    <w:rsid w:val="00D2734D"/>
    <w:rsid w:val="00D27415"/>
    <w:rsid w:val="00D27E40"/>
    <w:rsid w:val="00D3001E"/>
    <w:rsid w:val="00D309B9"/>
    <w:rsid w:val="00D30E73"/>
    <w:rsid w:val="00D33ECE"/>
    <w:rsid w:val="00D40DD7"/>
    <w:rsid w:val="00D41131"/>
    <w:rsid w:val="00D42A35"/>
    <w:rsid w:val="00D43C55"/>
    <w:rsid w:val="00D463C0"/>
    <w:rsid w:val="00D46490"/>
    <w:rsid w:val="00D46E26"/>
    <w:rsid w:val="00D476C5"/>
    <w:rsid w:val="00D51377"/>
    <w:rsid w:val="00D51946"/>
    <w:rsid w:val="00D52D4E"/>
    <w:rsid w:val="00D5735D"/>
    <w:rsid w:val="00D576D2"/>
    <w:rsid w:val="00D578D7"/>
    <w:rsid w:val="00D57F7F"/>
    <w:rsid w:val="00D6004C"/>
    <w:rsid w:val="00D6044D"/>
    <w:rsid w:val="00D6128C"/>
    <w:rsid w:val="00D62970"/>
    <w:rsid w:val="00D62F52"/>
    <w:rsid w:val="00D63244"/>
    <w:rsid w:val="00D63DEE"/>
    <w:rsid w:val="00D6528E"/>
    <w:rsid w:val="00D65647"/>
    <w:rsid w:val="00D65E09"/>
    <w:rsid w:val="00D66AF8"/>
    <w:rsid w:val="00D66B63"/>
    <w:rsid w:val="00D679C9"/>
    <w:rsid w:val="00D7099D"/>
    <w:rsid w:val="00D709F1"/>
    <w:rsid w:val="00D72A57"/>
    <w:rsid w:val="00D73A19"/>
    <w:rsid w:val="00D73F63"/>
    <w:rsid w:val="00D75721"/>
    <w:rsid w:val="00D75DBD"/>
    <w:rsid w:val="00D766AE"/>
    <w:rsid w:val="00D7671B"/>
    <w:rsid w:val="00D76F82"/>
    <w:rsid w:val="00D779C8"/>
    <w:rsid w:val="00D77B9A"/>
    <w:rsid w:val="00D77FAC"/>
    <w:rsid w:val="00D80A82"/>
    <w:rsid w:val="00D80F23"/>
    <w:rsid w:val="00D8164D"/>
    <w:rsid w:val="00D81DD7"/>
    <w:rsid w:val="00D8318C"/>
    <w:rsid w:val="00D836F1"/>
    <w:rsid w:val="00D84610"/>
    <w:rsid w:val="00D86134"/>
    <w:rsid w:val="00D866FB"/>
    <w:rsid w:val="00D86CB5"/>
    <w:rsid w:val="00D870C1"/>
    <w:rsid w:val="00D87F5A"/>
    <w:rsid w:val="00D901F1"/>
    <w:rsid w:val="00D906B7"/>
    <w:rsid w:val="00D907F3"/>
    <w:rsid w:val="00D907FF"/>
    <w:rsid w:val="00D90EDC"/>
    <w:rsid w:val="00D91E2A"/>
    <w:rsid w:val="00D92E2F"/>
    <w:rsid w:val="00D93F72"/>
    <w:rsid w:val="00D94307"/>
    <w:rsid w:val="00D95D64"/>
    <w:rsid w:val="00D96BEE"/>
    <w:rsid w:val="00D9762B"/>
    <w:rsid w:val="00D97B01"/>
    <w:rsid w:val="00DA1A34"/>
    <w:rsid w:val="00DA329A"/>
    <w:rsid w:val="00DA43E0"/>
    <w:rsid w:val="00DA4BF0"/>
    <w:rsid w:val="00DA60D1"/>
    <w:rsid w:val="00DA6317"/>
    <w:rsid w:val="00DA6779"/>
    <w:rsid w:val="00DA7324"/>
    <w:rsid w:val="00DB005D"/>
    <w:rsid w:val="00DB2D83"/>
    <w:rsid w:val="00DB49ED"/>
    <w:rsid w:val="00DB5A69"/>
    <w:rsid w:val="00DB5D32"/>
    <w:rsid w:val="00DC0B9F"/>
    <w:rsid w:val="00DC21F6"/>
    <w:rsid w:val="00DC2C09"/>
    <w:rsid w:val="00DC3582"/>
    <w:rsid w:val="00DC35AD"/>
    <w:rsid w:val="00DC3F73"/>
    <w:rsid w:val="00DC4D9E"/>
    <w:rsid w:val="00DC5914"/>
    <w:rsid w:val="00DD0B63"/>
    <w:rsid w:val="00DD1869"/>
    <w:rsid w:val="00DD1E39"/>
    <w:rsid w:val="00DD20EB"/>
    <w:rsid w:val="00DD22C0"/>
    <w:rsid w:val="00DD29F5"/>
    <w:rsid w:val="00DD2D2C"/>
    <w:rsid w:val="00DD44FA"/>
    <w:rsid w:val="00DD57BC"/>
    <w:rsid w:val="00DD57EB"/>
    <w:rsid w:val="00DD59E1"/>
    <w:rsid w:val="00DD6D5B"/>
    <w:rsid w:val="00DE03AA"/>
    <w:rsid w:val="00DE1DE7"/>
    <w:rsid w:val="00DE319E"/>
    <w:rsid w:val="00DE35F4"/>
    <w:rsid w:val="00DE4545"/>
    <w:rsid w:val="00DE4DD4"/>
    <w:rsid w:val="00DE52E9"/>
    <w:rsid w:val="00DE5360"/>
    <w:rsid w:val="00DE5BDA"/>
    <w:rsid w:val="00DE5D6E"/>
    <w:rsid w:val="00DE6EB7"/>
    <w:rsid w:val="00DE7C34"/>
    <w:rsid w:val="00DF0024"/>
    <w:rsid w:val="00DF016A"/>
    <w:rsid w:val="00DF07DC"/>
    <w:rsid w:val="00DF0F86"/>
    <w:rsid w:val="00DF605A"/>
    <w:rsid w:val="00DF73CA"/>
    <w:rsid w:val="00DF76C2"/>
    <w:rsid w:val="00DF7DAB"/>
    <w:rsid w:val="00DF7ED2"/>
    <w:rsid w:val="00E00AEF"/>
    <w:rsid w:val="00E01218"/>
    <w:rsid w:val="00E01480"/>
    <w:rsid w:val="00E01C22"/>
    <w:rsid w:val="00E03DFE"/>
    <w:rsid w:val="00E03E9B"/>
    <w:rsid w:val="00E04CE5"/>
    <w:rsid w:val="00E04DAF"/>
    <w:rsid w:val="00E04ED3"/>
    <w:rsid w:val="00E0682F"/>
    <w:rsid w:val="00E0717D"/>
    <w:rsid w:val="00E07F62"/>
    <w:rsid w:val="00E10947"/>
    <w:rsid w:val="00E1166E"/>
    <w:rsid w:val="00E1191D"/>
    <w:rsid w:val="00E12F8C"/>
    <w:rsid w:val="00E142D6"/>
    <w:rsid w:val="00E178E5"/>
    <w:rsid w:val="00E17AE2"/>
    <w:rsid w:val="00E17D65"/>
    <w:rsid w:val="00E201FC"/>
    <w:rsid w:val="00E21E46"/>
    <w:rsid w:val="00E21F52"/>
    <w:rsid w:val="00E23165"/>
    <w:rsid w:val="00E24EA5"/>
    <w:rsid w:val="00E26EC1"/>
    <w:rsid w:val="00E32BB8"/>
    <w:rsid w:val="00E33BAF"/>
    <w:rsid w:val="00E3438E"/>
    <w:rsid w:val="00E350C5"/>
    <w:rsid w:val="00E35C5F"/>
    <w:rsid w:val="00E36B48"/>
    <w:rsid w:val="00E3711C"/>
    <w:rsid w:val="00E40D85"/>
    <w:rsid w:val="00E4235D"/>
    <w:rsid w:val="00E42A8F"/>
    <w:rsid w:val="00E42B92"/>
    <w:rsid w:val="00E4312B"/>
    <w:rsid w:val="00E4379D"/>
    <w:rsid w:val="00E44A4A"/>
    <w:rsid w:val="00E44FB4"/>
    <w:rsid w:val="00E45075"/>
    <w:rsid w:val="00E47EFD"/>
    <w:rsid w:val="00E502DE"/>
    <w:rsid w:val="00E5172B"/>
    <w:rsid w:val="00E52881"/>
    <w:rsid w:val="00E52E3F"/>
    <w:rsid w:val="00E5307F"/>
    <w:rsid w:val="00E53AFE"/>
    <w:rsid w:val="00E541DA"/>
    <w:rsid w:val="00E56AFF"/>
    <w:rsid w:val="00E57CC6"/>
    <w:rsid w:val="00E6060B"/>
    <w:rsid w:val="00E61680"/>
    <w:rsid w:val="00E6224D"/>
    <w:rsid w:val="00E635B7"/>
    <w:rsid w:val="00E63DE8"/>
    <w:rsid w:val="00E64906"/>
    <w:rsid w:val="00E6591F"/>
    <w:rsid w:val="00E65BEB"/>
    <w:rsid w:val="00E6728B"/>
    <w:rsid w:val="00E67BE4"/>
    <w:rsid w:val="00E67F25"/>
    <w:rsid w:val="00E7000D"/>
    <w:rsid w:val="00E7031F"/>
    <w:rsid w:val="00E7061B"/>
    <w:rsid w:val="00E72016"/>
    <w:rsid w:val="00E7229D"/>
    <w:rsid w:val="00E7254B"/>
    <w:rsid w:val="00E73422"/>
    <w:rsid w:val="00E73574"/>
    <w:rsid w:val="00E75488"/>
    <w:rsid w:val="00E75AD3"/>
    <w:rsid w:val="00E75C7F"/>
    <w:rsid w:val="00E75F5F"/>
    <w:rsid w:val="00E7631A"/>
    <w:rsid w:val="00E771CF"/>
    <w:rsid w:val="00E779FB"/>
    <w:rsid w:val="00E8015D"/>
    <w:rsid w:val="00E8055D"/>
    <w:rsid w:val="00E8148D"/>
    <w:rsid w:val="00E81BEC"/>
    <w:rsid w:val="00E81F38"/>
    <w:rsid w:val="00E823FB"/>
    <w:rsid w:val="00E840A2"/>
    <w:rsid w:val="00E84A4B"/>
    <w:rsid w:val="00E84DA1"/>
    <w:rsid w:val="00E8629D"/>
    <w:rsid w:val="00E87835"/>
    <w:rsid w:val="00E907D1"/>
    <w:rsid w:val="00E9137D"/>
    <w:rsid w:val="00E918C6"/>
    <w:rsid w:val="00E918E4"/>
    <w:rsid w:val="00E91B71"/>
    <w:rsid w:val="00E91E46"/>
    <w:rsid w:val="00E9361C"/>
    <w:rsid w:val="00E9514B"/>
    <w:rsid w:val="00E95D57"/>
    <w:rsid w:val="00E9636E"/>
    <w:rsid w:val="00E9759A"/>
    <w:rsid w:val="00E976D7"/>
    <w:rsid w:val="00E97A07"/>
    <w:rsid w:val="00EA208B"/>
    <w:rsid w:val="00EA21CC"/>
    <w:rsid w:val="00EA6234"/>
    <w:rsid w:val="00EA632C"/>
    <w:rsid w:val="00EB08FD"/>
    <w:rsid w:val="00EB2F39"/>
    <w:rsid w:val="00EB35A8"/>
    <w:rsid w:val="00EB3F51"/>
    <w:rsid w:val="00EB4870"/>
    <w:rsid w:val="00EB50F6"/>
    <w:rsid w:val="00EB597A"/>
    <w:rsid w:val="00EB5E11"/>
    <w:rsid w:val="00EB6660"/>
    <w:rsid w:val="00EB6D38"/>
    <w:rsid w:val="00EB6EB6"/>
    <w:rsid w:val="00EB730B"/>
    <w:rsid w:val="00EB750E"/>
    <w:rsid w:val="00EB755C"/>
    <w:rsid w:val="00EC1DC7"/>
    <w:rsid w:val="00EC2364"/>
    <w:rsid w:val="00EC2E04"/>
    <w:rsid w:val="00EC2F20"/>
    <w:rsid w:val="00EC2FEC"/>
    <w:rsid w:val="00EC32EC"/>
    <w:rsid w:val="00EC3602"/>
    <w:rsid w:val="00EC3902"/>
    <w:rsid w:val="00EC4A3E"/>
    <w:rsid w:val="00EC4EDE"/>
    <w:rsid w:val="00EC5E13"/>
    <w:rsid w:val="00ED03F1"/>
    <w:rsid w:val="00ED1036"/>
    <w:rsid w:val="00ED1670"/>
    <w:rsid w:val="00ED18D1"/>
    <w:rsid w:val="00ED1A87"/>
    <w:rsid w:val="00ED44A3"/>
    <w:rsid w:val="00ED5193"/>
    <w:rsid w:val="00ED56F2"/>
    <w:rsid w:val="00ED7004"/>
    <w:rsid w:val="00ED7691"/>
    <w:rsid w:val="00EE02ED"/>
    <w:rsid w:val="00EE03A4"/>
    <w:rsid w:val="00EE1070"/>
    <w:rsid w:val="00EE1443"/>
    <w:rsid w:val="00EE200A"/>
    <w:rsid w:val="00EE20CC"/>
    <w:rsid w:val="00EE2A6E"/>
    <w:rsid w:val="00EE3F06"/>
    <w:rsid w:val="00EE4BD7"/>
    <w:rsid w:val="00EE5BD3"/>
    <w:rsid w:val="00EE70E5"/>
    <w:rsid w:val="00EE7166"/>
    <w:rsid w:val="00EE7258"/>
    <w:rsid w:val="00EE729B"/>
    <w:rsid w:val="00EF038B"/>
    <w:rsid w:val="00EF0B23"/>
    <w:rsid w:val="00EF0CE0"/>
    <w:rsid w:val="00EF0FFB"/>
    <w:rsid w:val="00EF129E"/>
    <w:rsid w:val="00EF2A01"/>
    <w:rsid w:val="00EF2B49"/>
    <w:rsid w:val="00EF38AA"/>
    <w:rsid w:val="00EF4EB1"/>
    <w:rsid w:val="00EF5B38"/>
    <w:rsid w:val="00EF772D"/>
    <w:rsid w:val="00F00FAF"/>
    <w:rsid w:val="00F013A0"/>
    <w:rsid w:val="00F018AA"/>
    <w:rsid w:val="00F027CC"/>
    <w:rsid w:val="00F02A62"/>
    <w:rsid w:val="00F030BA"/>
    <w:rsid w:val="00F03CAA"/>
    <w:rsid w:val="00F049AA"/>
    <w:rsid w:val="00F04A2A"/>
    <w:rsid w:val="00F052A8"/>
    <w:rsid w:val="00F05437"/>
    <w:rsid w:val="00F054DE"/>
    <w:rsid w:val="00F05D55"/>
    <w:rsid w:val="00F06CB3"/>
    <w:rsid w:val="00F07B93"/>
    <w:rsid w:val="00F10428"/>
    <w:rsid w:val="00F10A0B"/>
    <w:rsid w:val="00F11B55"/>
    <w:rsid w:val="00F125FC"/>
    <w:rsid w:val="00F141A7"/>
    <w:rsid w:val="00F1449A"/>
    <w:rsid w:val="00F14CFA"/>
    <w:rsid w:val="00F151D8"/>
    <w:rsid w:val="00F15624"/>
    <w:rsid w:val="00F159D4"/>
    <w:rsid w:val="00F15D94"/>
    <w:rsid w:val="00F16246"/>
    <w:rsid w:val="00F1633C"/>
    <w:rsid w:val="00F1709B"/>
    <w:rsid w:val="00F17AFC"/>
    <w:rsid w:val="00F17C44"/>
    <w:rsid w:val="00F20070"/>
    <w:rsid w:val="00F202F0"/>
    <w:rsid w:val="00F2071F"/>
    <w:rsid w:val="00F20FFB"/>
    <w:rsid w:val="00F222FE"/>
    <w:rsid w:val="00F23E96"/>
    <w:rsid w:val="00F2461E"/>
    <w:rsid w:val="00F24879"/>
    <w:rsid w:val="00F25188"/>
    <w:rsid w:val="00F2534C"/>
    <w:rsid w:val="00F26359"/>
    <w:rsid w:val="00F26387"/>
    <w:rsid w:val="00F264E7"/>
    <w:rsid w:val="00F268F2"/>
    <w:rsid w:val="00F276F6"/>
    <w:rsid w:val="00F27D6C"/>
    <w:rsid w:val="00F303C1"/>
    <w:rsid w:val="00F3264D"/>
    <w:rsid w:val="00F32937"/>
    <w:rsid w:val="00F32FB3"/>
    <w:rsid w:val="00F3420D"/>
    <w:rsid w:val="00F34A4D"/>
    <w:rsid w:val="00F34C8B"/>
    <w:rsid w:val="00F34ECA"/>
    <w:rsid w:val="00F35B5B"/>
    <w:rsid w:val="00F35CA2"/>
    <w:rsid w:val="00F35D05"/>
    <w:rsid w:val="00F363C6"/>
    <w:rsid w:val="00F363EC"/>
    <w:rsid w:val="00F3663C"/>
    <w:rsid w:val="00F371C2"/>
    <w:rsid w:val="00F379B9"/>
    <w:rsid w:val="00F45214"/>
    <w:rsid w:val="00F45419"/>
    <w:rsid w:val="00F4639E"/>
    <w:rsid w:val="00F46837"/>
    <w:rsid w:val="00F47E8F"/>
    <w:rsid w:val="00F504A0"/>
    <w:rsid w:val="00F50A19"/>
    <w:rsid w:val="00F51A57"/>
    <w:rsid w:val="00F51CE6"/>
    <w:rsid w:val="00F537F1"/>
    <w:rsid w:val="00F55D83"/>
    <w:rsid w:val="00F563CA"/>
    <w:rsid w:val="00F5666E"/>
    <w:rsid w:val="00F566FC"/>
    <w:rsid w:val="00F568C2"/>
    <w:rsid w:val="00F56A73"/>
    <w:rsid w:val="00F60F28"/>
    <w:rsid w:val="00F61254"/>
    <w:rsid w:val="00F617A8"/>
    <w:rsid w:val="00F6380C"/>
    <w:rsid w:val="00F63CBE"/>
    <w:rsid w:val="00F63D46"/>
    <w:rsid w:val="00F64AE0"/>
    <w:rsid w:val="00F655F8"/>
    <w:rsid w:val="00F65DE6"/>
    <w:rsid w:val="00F65EE2"/>
    <w:rsid w:val="00F666CA"/>
    <w:rsid w:val="00F66778"/>
    <w:rsid w:val="00F66AA8"/>
    <w:rsid w:val="00F67A6E"/>
    <w:rsid w:val="00F67D22"/>
    <w:rsid w:val="00F701BF"/>
    <w:rsid w:val="00F7027C"/>
    <w:rsid w:val="00F7277D"/>
    <w:rsid w:val="00F72E2A"/>
    <w:rsid w:val="00F72EED"/>
    <w:rsid w:val="00F731B0"/>
    <w:rsid w:val="00F7484C"/>
    <w:rsid w:val="00F76E3A"/>
    <w:rsid w:val="00F7710F"/>
    <w:rsid w:val="00F777B5"/>
    <w:rsid w:val="00F806B0"/>
    <w:rsid w:val="00F81904"/>
    <w:rsid w:val="00F82255"/>
    <w:rsid w:val="00F828B3"/>
    <w:rsid w:val="00F82F65"/>
    <w:rsid w:val="00F8359D"/>
    <w:rsid w:val="00F843A8"/>
    <w:rsid w:val="00F85906"/>
    <w:rsid w:val="00F86C6A"/>
    <w:rsid w:val="00F90A4E"/>
    <w:rsid w:val="00F90FEC"/>
    <w:rsid w:val="00F917E6"/>
    <w:rsid w:val="00F91902"/>
    <w:rsid w:val="00F91B5E"/>
    <w:rsid w:val="00F91D7B"/>
    <w:rsid w:val="00F923AA"/>
    <w:rsid w:val="00F926CA"/>
    <w:rsid w:val="00F928E7"/>
    <w:rsid w:val="00F92D62"/>
    <w:rsid w:val="00F93E29"/>
    <w:rsid w:val="00F94237"/>
    <w:rsid w:val="00F94480"/>
    <w:rsid w:val="00F95042"/>
    <w:rsid w:val="00F95D60"/>
    <w:rsid w:val="00F96D86"/>
    <w:rsid w:val="00F96DE9"/>
    <w:rsid w:val="00F97E3C"/>
    <w:rsid w:val="00FA02A8"/>
    <w:rsid w:val="00FA035B"/>
    <w:rsid w:val="00FA26E9"/>
    <w:rsid w:val="00FA4593"/>
    <w:rsid w:val="00FA4E0A"/>
    <w:rsid w:val="00FA5B20"/>
    <w:rsid w:val="00FA6911"/>
    <w:rsid w:val="00FA7942"/>
    <w:rsid w:val="00FB023F"/>
    <w:rsid w:val="00FB066E"/>
    <w:rsid w:val="00FB06C2"/>
    <w:rsid w:val="00FB40A6"/>
    <w:rsid w:val="00FB430F"/>
    <w:rsid w:val="00FB66CA"/>
    <w:rsid w:val="00FB6B68"/>
    <w:rsid w:val="00FB6D94"/>
    <w:rsid w:val="00FB6E0B"/>
    <w:rsid w:val="00FB7B51"/>
    <w:rsid w:val="00FB7FBE"/>
    <w:rsid w:val="00FC0A99"/>
    <w:rsid w:val="00FC0B15"/>
    <w:rsid w:val="00FC1208"/>
    <w:rsid w:val="00FC2A72"/>
    <w:rsid w:val="00FC2DA0"/>
    <w:rsid w:val="00FC3824"/>
    <w:rsid w:val="00FC38E3"/>
    <w:rsid w:val="00FC4319"/>
    <w:rsid w:val="00FC480E"/>
    <w:rsid w:val="00FC582B"/>
    <w:rsid w:val="00FC672B"/>
    <w:rsid w:val="00FC686A"/>
    <w:rsid w:val="00FC75C6"/>
    <w:rsid w:val="00FC7AB6"/>
    <w:rsid w:val="00FD00AA"/>
    <w:rsid w:val="00FD0B3E"/>
    <w:rsid w:val="00FD1781"/>
    <w:rsid w:val="00FD1F30"/>
    <w:rsid w:val="00FD1F84"/>
    <w:rsid w:val="00FD2EA6"/>
    <w:rsid w:val="00FD49BB"/>
    <w:rsid w:val="00FD5F9A"/>
    <w:rsid w:val="00FD6188"/>
    <w:rsid w:val="00FD7A56"/>
    <w:rsid w:val="00FE133E"/>
    <w:rsid w:val="00FE1F1A"/>
    <w:rsid w:val="00FE218A"/>
    <w:rsid w:val="00FE2436"/>
    <w:rsid w:val="00FE3AF8"/>
    <w:rsid w:val="00FE411C"/>
    <w:rsid w:val="00FE46B5"/>
    <w:rsid w:val="00FE4B77"/>
    <w:rsid w:val="00FE5357"/>
    <w:rsid w:val="00FE591C"/>
    <w:rsid w:val="00FE6494"/>
    <w:rsid w:val="00FE6D4A"/>
    <w:rsid w:val="00FE70C5"/>
    <w:rsid w:val="00FE745A"/>
    <w:rsid w:val="00FE7B84"/>
    <w:rsid w:val="00FF05C3"/>
    <w:rsid w:val="00FF1FB7"/>
    <w:rsid w:val="00FF208D"/>
    <w:rsid w:val="00FF2842"/>
    <w:rsid w:val="00FF2932"/>
    <w:rsid w:val="00FF2C99"/>
    <w:rsid w:val="00FF3BC2"/>
    <w:rsid w:val="00FF3DD9"/>
    <w:rsid w:val="00FF4334"/>
    <w:rsid w:val="00FF4C43"/>
    <w:rsid w:val="00FF5AA1"/>
    <w:rsid w:val="00FF5C13"/>
    <w:rsid w:val="00FF7292"/>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style="mso-position-horizontal-relative:margin;mso-position-vertical-relative:margin;mso-width-relative:margin;v-text-anchor:middle" o:allowincell="f" fill="f" fillcolor="black">
      <v:fill color="black" on="f"/>
      <v:stroke weight="1.5pt"/>
      <v:shadow color="#f79646" opacity=".5" offset="-15pt,0" offset2="-18pt,12pt"/>
      <v:textbox inset="21.6pt,21.6pt,21.6pt,21.6pt"/>
      <o:colormru v:ext="edit" colors="#6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2"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591"/>
    <w:pPr>
      <w:jc w:val="both"/>
    </w:pPr>
    <w:rPr>
      <w:sz w:val="22"/>
      <w:szCs w:val="24"/>
    </w:rPr>
  </w:style>
  <w:style w:type="paragraph" w:styleId="Heading1">
    <w:name w:val="heading 1"/>
    <w:basedOn w:val="Normal"/>
    <w:next w:val="Normal"/>
    <w:link w:val="Heading1Char"/>
    <w:uiPriority w:val="9"/>
    <w:qFormat/>
    <w:rsid w:val="009F3240"/>
    <w:pPr>
      <w:keepNext/>
      <w:keepLines/>
      <w:numPr>
        <w:numId w:val="2"/>
      </w:numPr>
      <w:spacing w:before="240" w:after="240"/>
      <w:outlineLvl w:val="0"/>
    </w:pPr>
    <w:rPr>
      <w:rFonts w:eastAsia="Times New Roman"/>
      <w:b/>
      <w:bCs/>
      <w:color w:val="4F6228"/>
      <w:sz w:val="24"/>
      <w:szCs w:val="28"/>
      <w:lang w:val="x-none" w:eastAsia="x-none"/>
    </w:rPr>
  </w:style>
  <w:style w:type="paragraph" w:styleId="Heading2">
    <w:name w:val="heading 2"/>
    <w:basedOn w:val="Normal"/>
    <w:next w:val="Normal"/>
    <w:link w:val="Heading2Char"/>
    <w:uiPriority w:val="9"/>
    <w:unhideWhenUsed/>
    <w:qFormat/>
    <w:rsid w:val="008A7712"/>
    <w:pPr>
      <w:keepNext/>
      <w:keepLines/>
      <w:spacing w:before="240" w:after="240"/>
      <w:ind w:left="432"/>
      <w:outlineLvl w:val="1"/>
    </w:pPr>
    <w:rPr>
      <w:rFonts w:eastAsia="Times New Roman"/>
      <w:b/>
      <w:bCs/>
      <w:sz w:val="24"/>
      <w:szCs w:val="26"/>
      <w:lang w:val="x-none" w:eastAsia="x-none"/>
    </w:rPr>
  </w:style>
  <w:style w:type="paragraph" w:styleId="Heading3">
    <w:name w:val="heading 3"/>
    <w:basedOn w:val="Normal"/>
    <w:next w:val="Normal"/>
    <w:link w:val="Heading3Char"/>
    <w:uiPriority w:val="9"/>
    <w:semiHidden/>
    <w:unhideWhenUsed/>
    <w:qFormat/>
    <w:rsid w:val="008A7712"/>
    <w:pPr>
      <w:keepNext/>
      <w:keepLines/>
      <w:spacing w:before="200"/>
      <w:outlineLvl w:val="2"/>
    </w:pPr>
    <w:rPr>
      <w:rFonts w:ascii="Cambria" w:eastAsia="Times New Roman" w:hAnsi="Cambria"/>
      <w:b/>
      <w:bCs/>
      <w:color w:val="4F81BD"/>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F3240"/>
    <w:rPr>
      <w:rFonts w:eastAsia="Times New Roman"/>
      <w:b/>
      <w:bCs/>
      <w:color w:val="4F6228"/>
      <w:sz w:val="24"/>
      <w:szCs w:val="28"/>
      <w:lang w:val="x-none" w:eastAsia="x-none"/>
    </w:rPr>
  </w:style>
  <w:style w:type="character" w:customStyle="1" w:styleId="Heading2Char">
    <w:name w:val="Heading 2 Char"/>
    <w:link w:val="Heading2"/>
    <w:uiPriority w:val="9"/>
    <w:rsid w:val="008A7712"/>
    <w:rPr>
      <w:rFonts w:eastAsia="Times New Roman" w:cs="Times New Roman"/>
      <w:b/>
      <w:bCs/>
      <w:sz w:val="24"/>
      <w:szCs w:val="26"/>
    </w:rPr>
  </w:style>
  <w:style w:type="character" w:customStyle="1" w:styleId="Heading3Char">
    <w:name w:val="Heading 3 Char"/>
    <w:link w:val="Heading3"/>
    <w:uiPriority w:val="9"/>
    <w:semiHidden/>
    <w:rsid w:val="008A7712"/>
    <w:rPr>
      <w:rFonts w:ascii="Cambria" w:eastAsia="Times New Roman" w:hAnsi="Cambria" w:cs="Times New Roman"/>
      <w:b/>
      <w:bCs/>
      <w:color w:val="4F81BD"/>
      <w:szCs w:val="24"/>
    </w:rPr>
  </w:style>
  <w:style w:type="paragraph" w:styleId="NoSpacing">
    <w:name w:val="No Spacing"/>
    <w:link w:val="NoSpacingChar"/>
    <w:uiPriority w:val="1"/>
    <w:qFormat/>
    <w:rsid w:val="005A0033"/>
    <w:rPr>
      <w:rFonts w:eastAsia="Times New Roman"/>
      <w:sz w:val="22"/>
      <w:szCs w:val="22"/>
    </w:rPr>
  </w:style>
  <w:style w:type="character" w:customStyle="1" w:styleId="NoSpacingChar">
    <w:name w:val="No Spacing Char"/>
    <w:link w:val="NoSpacing"/>
    <w:uiPriority w:val="1"/>
    <w:rsid w:val="005A0033"/>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5A0033"/>
    <w:rPr>
      <w:rFonts w:ascii="Tahoma" w:hAnsi="Tahoma"/>
      <w:sz w:val="16"/>
      <w:szCs w:val="16"/>
      <w:lang w:val="x-none" w:eastAsia="x-none"/>
    </w:rPr>
  </w:style>
  <w:style w:type="character" w:customStyle="1" w:styleId="BalloonTextChar">
    <w:name w:val="Balloon Text Char"/>
    <w:link w:val="BalloonText"/>
    <w:uiPriority w:val="99"/>
    <w:semiHidden/>
    <w:rsid w:val="005A0033"/>
    <w:rPr>
      <w:rFonts w:ascii="Tahoma" w:hAnsi="Tahoma" w:cs="Tahoma"/>
      <w:sz w:val="16"/>
      <w:szCs w:val="16"/>
    </w:rPr>
  </w:style>
  <w:style w:type="paragraph" w:styleId="Header">
    <w:name w:val="header"/>
    <w:basedOn w:val="Normal"/>
    <w:link w:val="HeaderChar"/>
    <w:uiPriority w:val="99"/>
    <w:unhideWhenUsed/>
    <w:rsid w:val="00BF3C55"/>
    <w:pPr>
      <w:tabs>
        <w:tab w:val="center" w:pos="4680"/>
        <w:tab w:val="right" w:pos="9360"/>
      </w:tabs>
    </w:pPr>
  </w:style>
  <w:style w:type="character" w:customStyle="1" w:styleId="HeaderChar">
    <w:name w:val="Header Char"/>
    <w:basedOn w:val="DefaultParagraphFont"/>
    <w:link w:val="Header"/>
    <w:uiPriority w:val="99"/>
    <w:rsid w:val="00BF3C55"/>
  </w:style>
  <w:style w:type="paragraph" w:styleId="Footer">
    <w:name w:val="footer"/>
    <w:basedOn w:val="Normal"/>
    <w:link w:val="FooterChar"/>
    <w:uiPriority w:val="99"/>
    <w:unhideWhenUsed/>
    <w:rsid w:val="00BF3C55"/>
    <w:pPr>
      <w:tabs>
        <w:tab w:val="center" w:pos="4680"/>
        <w:tab w:val="right" w:pos="9360"/>
      </w:tabs>
    </w:pPr>
  </w:style>
  <w:style w:type="character" w:customStyle="1" w:styleId="FooterChar">
    <w:name w:val="Footer Char"/>
    <w:basedOn w:val="DefaultParagraphFont"/>
    <w:link w:val="Footer"/>
    <w:uiPriority w:val="99"/>
    <w:rsid w:val="00BF3C55"/>
  </w:style>
  <w:style w:type="paragraph" w:styleId="ListParagraph">
    <w:name w:val="List Paragraph"/>
    <w:basedOn w:val="Normal"/>
    <w:uiPriority w:val="34"/>
    <w:qFormat/>
    <w:rsid w:val="00BF3C55"/>
    <w:pPr>
      <w:ind w:left="720"/>
      <w:contextualSpacing/>
    </w:pPr>
    <w:rPr>
      <w:rFonts w:ascii="Times New Roman" w:hAnsi="Times New Roman"/>
      <w:sz w:val="24"/>
    </w:rPr>
  </w:style>
  <w:style w:type="character" w:styleId="CommentReference">
    <w:name w:val="annotation reference"/>
    <w:uiPriority w:val="99"/>
    <w:semiHidden/>
    <w:unhideWhenUsed/>
    <w:rsid w:val="00BF3C55"/>
    <w:rPr>
      <w:sz w:val="16"/>
      <w:szCs w:val="16"/>
    </w:rPr>
  </w:style>
  <w:style w:type="paragraph" w:styleId="CommentText">
    <w:name w:val="annotation text"/>
    <w:basedOn w:val="Normal"/>
    <w:link w:val="CommentTextChar"/>
    <w:uiPriority w:val="99"/>
    <w:semiHidden/>
    <w:unhideWhenUsed/>
    <w:rsid w:val="00BF3C55"/>
    <w:rPr>
      <w:sz w:val="20"/>
      <w:szCs w:val="20"/>
      <w:lang w:val="fr-FR" w:eastAsia="x-none"/>
    </w:rPr>
  </w:style>
  <w:style w:type="character" w:customStyle="1" w:styleId="CommentTextChar">
    <w:name w:val="Comment Text Char"/>
    <w:link w:val="CommentText"/>
    <w:uiPriority w:val="99"/>
    <w:semiHidden/>
    <w:rsid w:val="00BF3C55"/>
    <w:rPr>
      <w:rFonts w:ascii="Calibri" w:eastAsia="Calibri" w:hAnsi="Calibri" w:cs="Times New Roman"/>
      <w:sz w:val="20"/>
      <w:szCs w:val="20"/>
      <w:lang w:val="fr-FR"/>
    </w:rPr>
  </w:style>
  <w:style w:type="paragraph" w:customStyle="1" w:styleId="DB0ACCEC1AB64382860E628D30FF91C4">
    <w:name w:val="DB0ACCEC1AB64382860E628D30FF91C4"/>
    <w:rsid w:val="0009075A"/>
    <w:pPr>
      <w:spacing w:after="200" w:line="276" w:lineRule="auto"/>
    </w:pPr>
    <w:rPr>
      <w:rFonts w:eastAsia="Times New Roman"/>
      <w:sz w:val="22"/>
      <w:szCs w:val="22"/>
    </w:rPr>
  </w:style>
  <w:style w:type="character" w:styleId="Hyperlink">
    <w:name w:val="Hyperlink"/>
    <w:uiPriority w:val="99"/>
    <w:rsid w:val="008A7712"/>
    <w:rPr>
      <w:color w:val="0000FF"/>
      <w:u w:val="single"/>
    </w:rPr>
  </w:style>
  <w:style w:type="paragraph" w:styleId="TOC2">
    <w:name w:val="toc 2"/>
    <w:basedOn w:val="Normal"/>
    <w:next w:val="Normal"/>
    <w:autoRedefine/>
    <w:uiPriority w:val="39"/>
    <w:rsid w:val="008A7712"/>
    <w:pPr>
      <w:ind w:left="240"/>
    </w:pPr>
    <w:rPr>
      <w:rFonts w:eastAsia="Times New Roman"/>
    </w:rPr>
  </w:style>
  <w:style w:type="paragraph" w:styleId="TOC1">
    <w:name w:val="toc 1"/>
    <w:basedOn w:val="Normal"/>
    <w:next w:val="Normal"/>
    <w:uiPriority w:val="39"/>
    <w:rsid w:val="007A238C"/>
    <w:pPr>
      <w:spacing w:after="120"/>
    </w:pPr>
    <w:rPr>
      <w:rFonts w:eastAsia="Times New Roman"/>
      <w:color w:val="244061"/>
    </w:rPr>
  </w:style>
  <w:style w:type="paragraph" w:customStyle="1" w:styleId="Style11ptJustifiedAfter6pt">
    <w:name w:val="Style 11 pt Justified After:  6 pt"/>
    <w:basedOn w:val="Normal"/>
    <w:rsid w:val="008A7712"/>
    <w:pPr>
      <w:numPr>
        <w:numId w:val="1"/>
      </w:numPr>
    </w:pPr>
    <w:rPr>
      <w:rFonts w:eastAsia="Times New Roman"/>
    </w:rPr>
  </w:style>
  <w:style w:type="character" w:customStyle="1" w:styleId="StyleBlack">
    <w:name w:val="Style Black"/>
    <w:rsid w:val="008A7712"/>
    <w:rPr>
      <w:rFonts w:ascii="Arial" w:hAnsi="Arial"/>
      <w:color w:val="000000"/>
      <w:sz w:val="22"/>
    </w:rPr>
  </w:style>
  <w:style w:type="paragraph" w:customStyle="1" w:styleId="StyleStyleJustifiedBefore5ptAfter5ptArial10pt">
    <w:name w:val="Style Style Justified Before:  5 pt After:  5 pt + Arial 10 pt"/>
    <w:basedOn w:val="Normal"/>
    <w:link w:val="StyleStyleJustifiedBefore5ptAfter5ptArial10ptChar"/>
    <w:rsid w:val="008A7712"/>
    <w:pPr>
      <w:spacing w:after="240"/>
    </w:pPr>
    <w:rPr>
      <w:rFonts w:ascii="Arial" w:eastAsia="Times New Roman" w:hAnsi="Arial"/>
      <w:sz w:val="20"/>
      <w:szCs w:val="20"/>
      <w:lang w:val="x-none" w:eastAsia="x-none"/>
    </w:rPr>
  </w:style>
  <w:style w:type="character" w:customStyle="1" w:styleId="StyleStyleJustifiedBefore5ptAfter5ptArial10ptChar">
    <w:name w:val="Style Style Justified Before:  5 pt After:  5 pt + Arial 10 pt Char"/>
    <w:link w:val="StyleStyleJustifiedBefore5ptAfter5ptArial10pt"/>
    <w:rsid w:val="008A7712"/>
    <w:rPr>
      <w:rFonts w:ascii="Arial" w:eastAsia="Times New Roman" w:hAnsi="Arial" w:cs="Times New Roman"/>
      <w:sz w:val="20"/>
      <w:szCs w:val="20"/>
    </w:rPr>
  </w:style>
  <w:style w:type="paragraph" w:styleId="Title">
    <w:name w:val="Title"/>
    <w:basedOn w:val="Normal"/>
    <w:next w:val="Normal"/>
    <w:link w:val="TitleChar"/>
    <w:qFormat/>
    <w:rsid w:val="002F4F47"/>
    <w:pPr>
      <w:spacing w:before="120" w:after="120"/>
      <w:ind w:left="1008"/>
      <w:jc w:val="center"/>
      <w:outlineLvl w:val="0"/>
    </w:pPr>
    <w:rPr>
      <w:rFonts w:ascii="Cambria" w:eastAsia="Times New Roman" w:hAnsi="Cambria"/>
      <w:b/>
      <w:bCs/>
      <w:caps/>
      <w:color w:val="FFFFFF"/>
      <w:kern w:val="28"/>
      <w:sz w:val="40"/>
      <w:szCs w:val="32"/>
      <w:lang w:val="x-none" w:eastAsia="x-none"/>
    </w:rPr>
  </w:style>
  <w:style w:type="character" w:customStyle="1" w:styleId="TitleChar">
    <w:name w:val="Title Char"/>
    <w:link w:val="Title"/>
    <w:rsid w:val="002F4F47"/>
    <w:rPr>
      <w:rFonts w:ascii="Cambria" w:eastAsia="Times New Roman" w:hAnsi="Cambria"/>
      <w:b/>
      <w:bCs/>
      <w:caps/>
      <w:color w:val="FFFFFF"/>
      <w:kern w:val="28"/>
      <w:sz w:val="40"/>
      <w:szCs w:val="32"/>
    </w:rPr>
  </w:style>
  <w:style w:type="character" w:customStyle="1" w:styleId="StyleCalibri">
    <w:name w:val="Style Calibri"/>
    <w:rsid w:val="008A7712"/>
    <w:rPr>
      <w:rFonts w:ascii="Calibri" w:hAnsi="Calibri"/>
      <w:sz w:val="22"/>
    </w:rPr>
  </w:style>
  <w:style w:type="table" w:styleId="TableGrid">
    <w:name w:val="Table Grid"/>
    <w:basedOn w:val="TableNormal"/>
    <w:uiPriority w:val="59"/>
    <w:rsid w:val="008A7712"/>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unhideWhenUsed/>
    <w:qFormat/>
    <w:rsid w:val="009F3240"/>
    <w:pPr>
      <w:spacing w:after="60"/>
      <w:jc w:val="center"/>
    </w:pPr>
    <w:rPr>
      <w:b/>
      <w:bCs/>
      <w:color w:val="943634"/>
      <w:sz w:val="20"/>
      <w:szCs w:val="18"/>
    </w:rPr>
  </w:style>
  <w:style w:type="paragraph" w:styleId="TableofFigures">
    <w:name w:val="table of figures"/>
    <w:basedOn w:val="Normal"/>
    <w:next w:val="Normal"/>
    <w:uiPriority w:val="99"/>
    <w:unhideWhenUsed/>
    <w:rsid w:val="008A7712"/>
    <w:rPr>
      <w:color w:val="244061"/>
    </w:rPr>
  </w:style>
  <w:style w:type="table" w:styleId="MediumShading1-Accent3">
    <w:name w:val="Medium Shading 1 Accent 3"/>
    <w:basedOn w:val="TableNormal"/>
    <w:uiPriority w:val="63"/>
    <w:rsid w:val="00E5172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MainParanoChapter">
    <w:name w:val="Main Para no Chapter #"/>
    <w:basedOn w:val="Normal"/>
    <w:link w:val="MainParanoChapterChar"/>
    <w:rsid w:val="00902660"/>
    <w:pPr>
      <w:numPr>
        <w:ilvl w:val="1"/>
        <w:numId w:val="3"/>
      </w:numPr>
      <w:spacing w:before="240" w:after="240"/>
      <w:outlineLvl w:val="1"/>
    </w:pPr>
    <w:rPr>
      <w:rFonts w:ascii="Times New Roman" w:eastAsia="Times New Roman" w:hAnsi="Times New Roman"/>
      <w:sz w:val="24"/>
      <w:lang w:val="x-none" w:eastAsia="x-none"/>
    </w:rPr>
  </w:style>
  <w:style w:type="character" w:customStyle="1" w:styleId="MainParanoChapterChar">
    <w:name w:val="Main Para no Chapter # Char"/>
    <w:link w:val="MainParanoChapter"/>
    <w:locked/>
    <w:rsid w:val="00902660"/>
    <w:rPr>
      <w:rFonts w:ascii="Times New Roman" w:eastAsia="Times New Roman" w:hAnsi="Times New Roman"/>
      <w:sz w:val="24"/>
      <w:szCs w:val="24"/>
      <w:lang w:val="x-none" w:eastAsia="x-none"/>
    </w:rPr>
  </w:style>
  <w:style w:type="paragraph" w:customStyle="1" w:styleId="Heading1a">
    <w:name w:val="Heading 1a"/>
    <w:basedOn w:val="Normal"/>
    <w:next w:val="Normal"/>
    <w:rsid w:val="00902660"/>
    <w:pPr>
      <w:keepNext/>
      <w:keepLines/>
      <w:numPr>
        <w:numId w:val="3"/>
      </w:numPr>
      <w:spacing w:before="1440" w:after="240"/>
      <w:jc w:val="center"/>
      <w:outlineLvl w:val="0"/>
    </w:pPr>
    <w:rPr>
      <w:rFonts w:ascii="Times New Roman" w:eastAsia="Times New Roman" w:hAnsi="Times New Roman"/>
      <w:b/>
      <w:caps/>
      <w:sz w:val="32"/>
    </w:rPr>
  </w:style>
  <w:style w:type="paragraph" w:customStyle="1" w:styleId="Sub-Para1underX">
    <w:name w:val="Sub-Para 1 under X."/>
    <w:basedOn w:val="Normal"/>
    <w:rsid w:val="00902660"/>
    <w:pPr>
      <w:numPr>
        <w:ilvl w:val="2"/>
        <w:numId w:val="3"/>
      </w:numPr>
      <w:spacing w:after="240"/>
      <w:jc w:val="center"/>
      <w:outlineLvl w:val="2"/>
    </w:pPr>
    <w:rPr>
      <w:rFonts w:ascii="Times New Roman" w:eastAsia="Times New Roman" w:hAnsi="Times New Roman"/>
      <w:sz w:val="24"/>
    </w:rPr>
  </w:style>
  <w:style w:type="paragraph" w:customStyle="1" w:styleId="Sub-Para2underX">
    <w:name w:val="Sub-Para 2 under X."/>
    <w:basedOn w:val="Normal"/>
    <w:rsid w:val="00902660"/>
    <w:pPr>
      <w:numPr>
        <w:ilvl w:val="3"/>
        <w:numId w:val="3"/>
      </w:numPr>
      <w:spacing w:after="240"/>
      <w:jc w:val="center"/>
      <w:outlineLvl w:val="3"/>
    </w:pPr>
    <w:rPr>
      <w:rFonts w:ascii="Times New Roman" w:eastAsia="Times New Roman" w:hAnsi="Times New Roman"/>
      <w:sz w:val="24"/>
    </w:rPr>
  </w:style>
  <w:style w:type="paragraph" w:customStyle="1" w:styleId="Sub-Para3underX">
    <w:name w:val="Sub-Para 3 under X."/>
    <w:basedOn w:val="Normal"/>
    <w:rsid w:val="00902660"/>
    <w:pPr>
      <w:numPr>
        <w:ilvl w:val="4"/>
        <w:numId w:val="3"/>
      </w:numPr>
      <w:spacing w:after="240"/>
      <w:jc w:val="center"/>
      <w:outlineLvl w:val="4"/>
    </w:pPr>
    <w:rPr>
      <w:rFonts w:ascii="Times New Roman" w:eastAsia="Times New Roman" w:hAnsi="Times New Roman"/>
      <w:sz w:val="24"/>
    </w:rPr>
  </w:style>
  <w:style w:type="paragraph" w:customStyle="1" w:styleId="Sub-Para4underX">
    <w:name w:val="Sub-Para 4 under X."/>
    <w:basedOn w:val="Normal"/>
    <w:rsid w:val="00902660"/>
    <w:pPr>
      <w:numPr>
        <w:ilvl w:val="5"/>
        <w:numId w:val="3"/>
      </w:numPr>
      <w:spacing w:after="240"/>
      <w:jc w:val="center"/>
      <w:outlineLvl w:val="5"/>
    </w:pPr>
    <w:rPr>
      <w:rFonts w:ascii="Times New Roman" w:eastAsia="Times New Roman" w:hAnsi="Times New Roman"/>
      <w:sz w:val="24"/>
    </w:rPr>
  </w:style>
  <w:style w:type="character" w:styleId="FootnoteReference">
    <w:name w:val="footnote reference"/>
    <w:aliases w:val="ftref,BVI fnr,Ref,de nota al pie,16 Point,Superscript 6 Point,fr,Used by Word for Help footnote symbols, BVI fnr"/>
    <w:uiPriority w:val="99"/>
    <w:rsid w:val="00F66AA8"/>
    <w:rPr>
      <w:rFonts w:cs="Times New Roman"/>
      <w:vertAlign w:val="superscript"/>
    </w:rPr>
  </w:style>
  <w:style w:type="paragraph" w:customStyle="1" w:styleId="ParagraphNumbering">
    <w:name w:val="Paragraph Numbering"/>
    <w:basedOn w:val="Normal"/>
    <w:link w:val="ParagraphNumberingCharChar"/>
    <w:uiPriority w:val="1"/>
    <w:qFormat/>
    <w:rsid w:val="00A53623"/>
    <w:pPr>
      <w:numPr>
        <w:numId w:val="4"/>
      </w:numPr>
      <w:spacing w:after="240" w:line="264" w:lineRule="auto"/>
      <w:jc w:val="left"/>
    </w:pPr>
    <w:rPr>
      <w:rFonts w:ascii="Times New Roman" w:eastAsia="Times New Roman" w:hAnsi="Times New Roman"/>
      <w:sz w:val="24"/>
      <w:lang w:val="x-none" w:eastAsia="x-none"/>
    </w:rPr>
  </w:style>
  <w:style w:type="paragraph" w:customStyle="1" w:styleId="ListParagraph-New">
    <w:name w:val="List Paragraph - New"/>
    <w:basedOn w:val="ParagraphNumbering"/>
    <w:rsid w:val="00A53623"/>
    <w:pPr>
      <w:spacing w:line="240" w:lineRule="auto"/>
      <w:jc w:val="both"/>
    </w:pPr>
    <w:rPr>
      <w:bCs/>
    </w:rPr>
  </w:style>
  <w:style w:type="paragraph" w:styleId="TOCHeading">
    <w:name w:val="TOC Heading"/>
    <w:basedOn w:val="Heading1"/>
    <w:next w:val="Normal"/>
    <w:uiPriority w:val="39"/>
    <w:unhideWhenUsed/>
    <w:qFormat/>
    <w:rsid w:val="005C1E4A"/>
    <w:pPr>
      <w:numPr>
        <w:numId w:val="0"/>
      </w:numPr>
      <w:spacing w:before="480" w:after="0" w:line="276" w:lineRule="auto"/>
      <w:jc w:val="left"/>
      <w:outlineLvl w:val="9"/>
    </w:pPr>
    <w:rPr>
      <w:color w:val="365F91"/>
      <w:sz w:val="28"/>
    </w:rPr>
  </w:style>
  <w:style w:type="character" w:styleId="Strong">
    <w:name w:val="Strong"/>
    <w:uiPriority w:val="22"/>
    <w:qFormat/>
    <w:rsid w:val="00A608CB"/>
    <w:rPr>
      <w:b/>
      <w:bCs/>
    </w:rPr>
  </w:style>
  <w:style w:type="paragraph" w:customStyle="1" w:styleId="Default">
    <w:name w:val="Default"/>
    <w:rsid w:val="00E33BAF"/>
    <w:pPr>
      <w:autoSpaceDE w:val="0"/>
      <w:autoSpaceDN w:val="0"/>
      <w:adjustRightInd w:val="0"/>
    </w:pPr>
    <w:rPr>
      <w:rFonts w:ascii="Times New Roman" w:hAnsi="Times New Roman"/>
      <w:color w:val="000000"/>
      <w:sz w:val="24"/>
      <w:szCs w:val="24"/>
    </w:rPr>
  </w:style>
  <w:style w:type="paragraph" w:styleId="HTMLPreformatted">
    <w:name w:val="HTML Preformatted"/>
    <w:basedOn w:val="Normal"/>
    <w:link w:val="HTMLPreformattedChar"/>
    <w:uiPriority w:val="99"/>
    <w:unhideWhenUsed/>
    <w:rsid w:val="001071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olor w:val="000000"/>
      <w:sz w:val="20"/>
      <w:szCs w:val="20"/>
      <w:lang w:val="x-none" w:eastAsia="x-none"/>
    </w:rPr>
  </w:style>
  <w:style w:type="character" w:customStyle="1" w:styleId="HTMLPreformattedChar">
    <w:name w:val="HTML Preformatted Char"/>
    <w:link w:val="HTMLPreformatted"/>
    <w:uiPriority w:val="99"/>
    <w:rsid w:val="0010710E"/>
    <w:rPr>
      <w:rFonts w:ascii="Courier New" w:eastAsia="Times New Roman" w:hAnsi="Courier New" w:cs="Courier New"/>
      <w:color w:val="000000"/>
    </w:rPr>
  </w:style>
  <w:style w:type="paragraph" w:styleId="Revision">
    <w:name w:val="Revision"/>
    <w:hidden/>
    <w:uiPriority w:val="99"/>
    <w:semiHidden/>
    <w:rsid w:val="005D28D7"/>
    <w:rPr>
      <w:sz w:val="22"/>
      <w:szCs w:val="24"/>
    </w:rPr>
  </w:style>
  <w:style w:type="paragraph" w:styleId="CommentSubject">
    <w:name w:val="annotation subject"/>
    <w:basedOn w:val="CommentText"/>
    <w:next w:val="CommentText"/>
    <w:link w:val="CommentSubjectChar"/>
    <w:uiPriority w:val="99"/>
    <w:semiHidden/>
    <w:unhideWhenUsed/>
    <w:rsid w:val="004C5E1F"/>
    <w:rPr>
      <w:b/>
      <w:bCs/>
    </w:rPr>
  </w:style>
  <w:style w:type="character" w:customStyle="1" w:styleId="CommentSubjectChar">
    <w:name w:val="Comment Subject Char"/>
    <w:link w:val="CommentSubject"/>
    <w:uiPriority w:val="99"/>
    <w:semiHidden/>
    <w:rsid w:val="004C5E1F"/>
    <w:rPr>
      <w:rFonts w:ascii="Calibri" w:eastAsia="Calibri" w:hAnsi="Calibri" w:cs="Times New Roman"/>
      <w:b/>
      <w:bCs/>
      <w:sz w:val="20"/>
      <w:szCs w:val="20"/>
      <w:lang w:val="fr-FR"/>
    </w:rPr>
  </w:style>
  <w:style w:type="paragraph" w:styleId="ListBullet">
    <w:name w:val="List Bullet"/>
    <w:basedOn w:val="Normal"/>
    <w:uiPriority w:val="2"/>
    <w:qFormat/>
    <w:rsid w:val="006D6574"/>
    <w:pPr>
      <w:numPr>
        <w:numId w:val="5"/>
      </w:numPr>
      <w:spacing w:after="240" w:line="264" w:lineRule="auto"/>
      <w:jc w:val="left"/>
    </w:pPr>
    <w:rPr>
      <w:rFonts w:ascii="Times New Roman" w:hAnsi="Times New Roman"/>
      <w:sz w:val="24"/>
    </w:rPr>
  </w:style>
  <w:style w:type="character" w:customStyle="1" w:styleId="ParagraphNumberingCharChar">
    <w:name w:val="Paragraph Numbering Char Char"/>
    <w:link w:val="ParagraphNumbering"/>
    <w:uiPriority w:val="1"/>
    <w:rsid w:val="006D6574"/>
    <w:rPr>
      <w:rFonts w:ascii="Times New Roman" w:eastAsia="Times New Roman" w:hAnsi="Times New Roman"/>
      <w:sz w:val="24"/>
      <w:szCs w:val="24"/>
      <w:lang w:val="x-none" w:eastAsia="x-none"/>
    </w:rPr>
  </w:style>
  <w:style w:type="character" w:customStyle="1" w:styleId="texto11">
    <w:name w:val="texto11"/>
    <w:rsid w:val="00A51A43"/>
    <w:rPr>
      <w:rFonts w:ascii="Arial" w:hAnsi="Arial" w:cs="Arial" w:hint="default"/>
      <w:b w:val="0"/>
      <w:bCs w:val="0"/>
      <w:i w:val="0"/>
      <w:iCs w:val="0"/>
      <w:caps w:val="0"/>
      <w:color w:val="000000"/>
      <w:sz w:val="13"/>
      <w:szCs w:val="13"/>
    </w:rPr>
  </w:style>
  <w:style w:type="table" w:styleId="LightShading-Accent5">
    <w:name w:val="Light Shading Accent 5"/>
    <w:basedOn w:val="TableNormal"/>
    <w:uiPriority w:val="60"/>
    <w:rsid w:val="002F55C8"/>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4">
    <w:name w:val="Light Shading Accent 4"/>
    <w:basedOn w:val="TableNormal"/>
    <w:uiPriority w:val="60"/>
    <w:rsid w:val="00740E27"/>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
    <w:name w:val="Light Shading - Accent 11"/>
    <w:basedOn w:val="TableNormal"/>
    <w:uiPriority w:val="60"/>
    <w:rsid w:val="00740E2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uiPriority w:val="60"/>
    <w:rsid w:val="000A17B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dnoteText">
    <w:name w:val="endnote text"/>
    <w:basedOn w:val="Normal"/>
    <w:link w:val="EndnoteTextChar"/>
    <w:uiPriority w:val="99"/>
    <w:semiHidden/>
    <w:unhideWhenUsed/>
    <w:rsid w:val="00D01C56"/>
    <w:rPr>
      <w:sz w:val="20"/>
      <w:szCs w:val="20"/>
    </w:rPr>
  </w:style>
  <w:style w:type="character" w:customStyle="1" w:styleId="EndnoteTextChar">
    <w:name w:val="Endnote Text Char"/>
    <w:basedOn w:val="DefaultParagraphFont"/>
    <w:link w:val="EndnoteText"/>
    <w:uiPriority w:val="99"/>
    <w:semiHidden/>
    <w:rsid w:val="00D01C56"/>
  </w:style>
  <w:style w:type="character" w:styleId="EndnoteReference">
    <w:name w:val="endnote reference"/>
    <w:uiPriority w:val="99"/>
    <w:semiHidden/>
    <w:unhideWhenUsed/>
    <w:rsid w:val="00D01C56"/>
    <w:rPr>
      <w:vertAlign w:val="superscript"/>
    </w:rPr>
  </w:style>
  <w:style w:type="paragraph" w:styleId="FootnoteText">
    <w:name w:val="footnote text"/>
    <w:basedOn w:val="Normal"/>
    <w:link w:val="FootnoteTextChar"/>
    <w:uiPriority w:val="99"/>
    <w:unhideWhenUsed/>
    <w:rsid w:val="003E2CDA"/>
    <w:pPr>
      <w:jc w:val="left"/>
    </w:pPr>
    <w:rPr>
      <w:sz w:val="20"/>
      <w:szCs w:val="20"/>
    </w:rPr>
  </w:style>
  <w:style w:type="character" w:customStyle="1" w:styleId="FootnoteTextChar">
    <w:name w:val="Footnote Text Char"/>
    <w:basedOn w:val="DefaultParagraphFont"/>
    <w:link w:val="FootnoteText"/>
    <w:uiPriority w:val="99"/>
    <w:rsid w:val="003E2CDA"/>
  </w:style>
  <w:style w:type="table" w:customStyle="1" w:styleId="TableGrid1">
    <w:name w:val="Table Grid1"/>
    <w:basedOn w:val="TableNormal"/>
    <w:next w:val="TableGrid"/>
    <w:uiPriority w:val="59"/>
    <w:rsid w:val="00FA459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629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2"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591"/>
    <w:pPr>
      <w:jc w:val="both"/>
    </w:pPr>
    <w:rPr>
      <w:sz w:val="22"/>
      <w:szCs w:val="24"/>
    </w:rPr>
  </w:style>
  <w:style w:type="paragraph" w:styleId="Heading1">
    <w:name w:val="heading 1"/>
    <w:basedOn w:val="Normal"/>
    <w:next w:val="Normal"/>
    <w:link w:val="Heading1Char"/>
    <w:uiPriority w:val="9"/>
    <w:qFormat/>
    <w:rsid w:val="009F3240"/>
    <w:pPr>
      <w:keepNext/>
      <w:keepLines/>
      <w:numPr>
        <w:numId w:val="2"/>
      </w:numPr>
      <w:spacing w:before="240" w:after="240"/>
      <w:outlineLvl w:val="0"/>
    </w:pPr>
    <w:rPr>
      <w:rFonts w:eastAsia="Times New Roman"/>
      <w:b/>
      <w:bCs/>
      <w:color w:val="4F6228"/>
      <w:sz w:val="24"/>
      <w:szCs w:val="28"/>
      <w:lang w:val="x-none" w:eastAsia="x-none"/>
    </w:rPr>
  </w:style>
  <w:style w:type="paragraph" w:styleId="Heading2">
    <w:name w:val="heading 2"/>
    <w:basedOn w:val="Normal"/>
    <w:next w:val="Normal"/>
    <w:link w:val="Heading2Char"/>
    <w:uiPriority w:val="9"/>
    <w:unhideWhenUsed/>
    <w:qFormat/>
    <w:rsid w:val="008A7712"/>
    <w:pPr>
      <w:keepNext/>
      <w:keepLines/>
      <w:spacing w:before="240" w:after="240"/>
      <w:ind w:left="432"/>
      <w:outlineLvl w:val="1"/>
    </w:pPr>
    <w:rPr>
      <w:rFonts w:eastAsia="Times New Roman"/>
      <w:b/>
      <w:bCs/>
      <w:sz w:val="24"/>
      <w:szCs w:val="26"/>
      <w:lang w:val="x-none" w:eastAsia="x-none"/>
    </w:rPr>
  </w:style>
  <w:style w:type="paragraph" w:styleId="Heading3">
    <w:name w:val="heading 3"/>
    <w:basedOn w:val="Normal"/>
    <w:next w:val="Normal"/>
    <w:link w:val="Heading3Char"/>
    <w:uiPriority w:val="9"/>
    <w:semiHidden/>
    <w:unhideWhenUsed/>
    <w:qFormat/>
    <w:rsid w:val="008A7712"/>
    <w:pPr>
      <w:keepNext/>
      <w:keepLines/>
      <w:spacing w:before="200"/>
      <w:outlineLvl w:val="2"/>
    </w:pPr>
    <w:rPr>
      <w:rFonts w:ascii="Cambria" w:eastAsia="Times New Roman" w:hAnsi="Cambria"/>
      <w:b/>
      <w:bCs/>
      <w:color w:val="4F81BD"/>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F3240"/>
    <w:rPr>
      <w:rFonts w:eastAsia="Times New Roman"/>
      <w:b/>
      <w:bCs/>
      <w:color w:val="4F6228"/>
      <w:sz w:val="24"/>
      <w:szCs w:val="28"/>
      <w:lang w:val="x-none" w:eastAsia="x-none"/>
    </w:rPr>
  </w:style>
  <w:style w:type="character" w:customStyle="1" w:styleId="Heading2Char">
    <w:name w:val="Heading 2 Char"/>
    <w:link w:val="Heading2"/>
    <w:uiPriority w:val="9"/>
    <w:rsid w:val="008A7712"/>
    <w:rPr>
      <w:rFonts w:eastAsia="Times New Roman" w:cs="Times New Roman"/>
      <w:b/>
      <w:bCs/>
      <w:sz w:val="24"/>
      <w:szCs w:val="26"/>
    </w:rPr>
  </w:style>
  <w:style w:type="character" w:customStyle="1" w:styleId="Heading3Char">
    <w:name w:val="Heading 3 Char"/>
    <w:link w:val="Heading3"/>
    <w:uiPriority w:val="9"/>
    <w:semiHidden/>
    <w:rsid w:val="008A7712"/>
    <w:rPr>
      <w:rFonts w:ascii="Cambria" w:eastAsia="Times New Roman" w:hAnsi="Cambria" w:cs="Times New Roman"/>
      <w:b/>
      <w:bCs/>
      <w:color w:val="4F81BD"/>
      <w:szCs w:val="24"/>
    </w:rPr>
  </w:style>
  <w:style w:type="paragraph" w:styleId="NoSpacing">
    <w:name w:val="No Spacing"/>
    <w:link w:val="NoSpacingChar"/>
    <w:uiPriority w:val="1"/>
    <w:qFormat/>
    <w:rsid w:val="005A0033"/>
    <w:rPr>
      <w:rFonts w:eastAsia="Times New Roman"/>
      <w:sz w:val="22"/>
      <w:szCs w:val="22"/>
    </w:rPr>
  </w:style>
  <w:style w:type="character" w:customStyle="1" w:styleId="NoSpacingChar">
    <w:name w:val="No Spacing Char"/>
    <w:link w:val="NoSpacing"/>
    <w:uiPriority w:val="1"/>
    <w:rsid w:val="005A0033"/>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5A0033"/>
    <w:rPr>
      <w:rFonts w:ascii="Tahoma" w:hAnsi="Tahoma"/>
      <w:sz w:val="16"/>
      <w:szCs w:val="16"/>
      <w:lang w:val="x-none" w:eastAsia="x-none"/>
    </w:rPr>
  </w:style>
  <w:style w:type="character" w:customStyle="1" w:styleId="BalloonTextChar">
    <w:name w:val="Balloon Text Char"/>
    <w:link w:val="BalloonText"/>
    <w:uiPriority w:val="99"/>
    <w:semiHidden/>
    <w:rsid w:val="005A0033"/>
    <w:rPr>
      <w:rFonts w:ascii="Tahoma" w:hAnsi="Tahoma" w:cs="Tahoma"/>
      <w:sz w:val="16"/>
      <w:szCs w:val="16"/>
    </w:rPr>
  </w:style>
  <w:style w:type="paragraph" w:styleId="Header">
    <w:name w:val="header"/>
    <w:basedOn w:val="Normal"/>
    <w:link w:val="HeaderChar"/>
    <w:uiPriority w:val="99"/>
    <w:unhideWhenUsed/>
    <w:rsid w:val="00BF3C55"/>
    <w:pPr>
      <w:tabs>
        <w:tab w:val="center" w:pos="4680"/>
        <w:tab w:val="right" w:pos="9360"/>
      </w:tabs>
    </w:pPr>
  </w:style>
  <w:style w:type="character" w:customStyle="1" w:styleId="HeaderChar">
    <w:name w:val="Header Char"/>
    <w:basedOn w:val="DefaultParagraphFont"/>
    <w:link w:val="Header"/>
    <w:uiPriority w:val="99"/>
    <w:rsid w:val="00BF3C55"/>
  </w:style>
  <w:style w:type="paragraph" w:styleId="Footer">
    <w:name w:val="footer"/>
    <w:basedOn w:val="Normal"/>
    <w:link w:val="FooterChar"/>
    <w:uiPriority w:val="99"/>
    <w:unhideWhenUsed/>
    <w:rsid w:val="00BF3C55"/>
    <w:pPr>
      <w:tabs>
        <w:tab w:val="center" w:pos="4680"/>
        <w:tab w:val="right" w:pos="9360"/>
      </w:tabs>
    </w:pPr>
  </w:style>
  <w:style w:type="character" w:customStyle="1" w:styleId="FooterChar">
    <w:name w:val="Footer Char"/>
    <w:basedOn w:val="DefaultParagraphFont"/>
    <w:link w:val="Footer"/>
    <w:uiPriority w:val="99"/>
    <w:rsid w:val="00BF3C55"/>
  </w:style>
  <w:style w:type="paragraph" w:styleId="ListParagraph">
    <w:name w:val="List Paragraph"/>
    <w:basedOn w:val="Normal"/>
    <w:uiPriority w:val="34"/>
    <w:qFormat/>
    <w:rsid w:val="00BF3C55"/>
    <w:pPr>
      <w:ind w:left="720"/>
      <w:contextualSpacing/>
    </w:pPr>
    <w:rPr>
      <w:rFonts w:ascii="Times New Roman" w:hAnsi="Times New Roman"/>
      <w:sz w:val="24"/>
    </w:rPr>
  </w:style>
  <w:style w:type="character" w:styleId="CommentReference">
    <w:name w:val="annotation reference"/>
    <w:uiPriority w:val="99"/>
    <w:semiHidden/>
    <w:unhideWhenUsed/>
    <w:rsid w:val="00BF3C55"/>
    <w:rPr>
      <w:sz w:val="16"/>
      <w:szCs w:val="16"/>
    </w:rPr>
  </w:style>
  <w:style w:type="paragraph" w:styleId="CommentText">
    <w:name w:val="annotation text"/>
    <w:basedOn w:val="Normal"/>
    <w:link w:val="CommentTextChar"/>
    <w:uiPriority w:val="99"/>
    <w:semiHidden/>
    <w:unhideWhenUsed/>
    <w:rsid w:val="00BF3C55"/>
    <w:rPr>
      <w:sz w:val="20"/>
      <w:szCs w:val="20"/>
      <w:lang w:val="fr-FR" w:eastAsia="x-none"/>
    </w:rPr>
  </w:style>
  <w:style w:type="character" w:customStyle="1" w:styleId="CommentTextChar">
    <w:name w:val="Comment Text Char"/>
    <w:link w:val="CommentText"/>
    <w:uiPriority w:val="99"/>
    <w:semiHidden/>
    <w:rsid w:val="00BF3C55"/>
    <w:rPr>
      <w:rFonts w:ascii="Calibri" w:eastAsia="Calibri" w:hAnsi="Calibri" w:cs="Times New Roman"/>
      <w:sz w:val="20"/>
      <w:szCs w:val="20"/>
      <w:lang w:val="fr-FR"/>
    </w:rPr>
  </w:style>
  <w:style w:type="paragraph" w:customStyle="1" w:styleId="DB0ACCEC1AB64382860E628D30FF91C4">
    <w:name w:val="DB0ACCEC1AB64382860E628D30FF91C4"/>
    <w:rsid w:val="0009075A"/>
    <w:pPr>
      <w:spacing w:after="200" w:line="276" w:lineRule="auto"/>
    </w:pPr>
    <w:rPr>
      <w:rFonts w:eastAsia="Times New Roman"/>
      <w:sz w:val="22"/>
      <w:szCs w:val="22"/>
    </w:rPr>
  </w:style>
  <w:style w:type="character" w:styleId="Hyperlink">
    <w:name w:val="Hyperlink"/>
    <w:uiPriority w:val="99"/>
    <w:rsid w:val="008A7712"/>
    <w:rPr>
      <w:color w:val="0000FF"/>
      <w:u w:val="single"/>
    </w:rPr>
  </w:style>
  <w:style w:type="paragraph" w:styleId="TOC2">
    <w:name w:val="toc 2"/>
    <w:basedOn w:val="Normal"/>
    <w:next w:val="Normal"/>
    <w:autoRedefine/>
    <w:uiPriority w:val="39"/>
    <w:rsid w:val="008A7712"/>
    <w:pPr>
      <w:ind w:left="240"/>
    </w:pPr>
    <w:rPr>
      <w:rFonts w:eastAsia="Times New Roman"/>
    </w:rPr>
  </w:style>
  <w:style w:type="paragraph" w:styleId="TOC1">
    <w:name w:val="toc 1"/>
    <w:basedOn w:val="Normal"/>
    <w:next w:val="Normal"/>
    <w:uiPriority w:val="39"/>
    <w:rsid w:val="007A238C"/>
    <w:pPr>
      <w:spacing w:after="120"/>
    </w:pPr>
    <w:rPr>
      <w:rFonts w:eastAsia="Times New Roman"/>
      <w:color w:val="244061"/>
    </w:rPr>
  </w:style>
  <w:style w:type="paragraph" w:customStyle="1" w:styleId="Style11ptJustifiedAfter6pt">
    <w:name w:val="Style 11 pt Justified After:  6 pt"/>
    <w:basedOn w:val="Normal"/>
    <w:rsid w:val="008A7712"/>
    <w:pPr>
      <w:numPr>
        <w:numId w:val="1"/>
      </w:numPr>
    </w:pPr>
    <w:rPr>
      <w:rFonts w:eastAsia="Times New Roman"/>
    </w:rPr>
  </w:style>
  <w:style w:type="character" w:customStyle="1" w:styleId="StyleBlack">
    <w:name w:val="Style Black"/>
    <w:rsid w:val="008A7712"/>
    <w:rPr>
      <w:rFonts w:ascii="Arial" w:hAnsi="Arial"/>
      <w:color w:val="000000"/>
      <w:sz w:val="22"/>
    </w:rPr>
  </w:style>
  <w:style w:type="paragraph" w:customStyle="1" w:styleId="StyleStyleJustifiedBefore5ptAfter5ptArial10pt">
    <w:name w:val="Style Style Justified Before:  5 pt After:  5 pt + Arial 10 pt"/>
    <w:basedOn w:val="Normal"/>
    <w:link w:val="StyleStyleJustifiedBefore5ptAfter5ptArial10ptChar"/>
    <w:rsid w:val="008A7712"/>
    <w:pPr>
      <w:spacing w:after="240"/>
    </w:pPr>
    <w:rPr>
      <w:rFonts w:ascii="Arial" w:eastAsia="Times New Roman" w:hAnsi="Arial"/>
      <w:sz w:val="20"/>
      <w:szCs w:val="20"/>
      <w:lang w:val="x-none" w:eastAsia="x-none"/>
    </w:rPr>
  </w:style>
  <w:style w:type="character" w:customStyle="1" w:styleId="StyleStyleJustifiedBefore5ptAfter5ptArial10ptChar">
    <w:name w:val="Style Style Justified Before:  5 pt After:  5 pt + Arial 10 pt Char"/>
    <w:link w:val="StyleStyleJustifiedBefore5ptAfter5ptArial10pt"/>
    <w:rsid w:val="008A7712"/>
    <w:rPr>
      <w:rFonts w:ascii="Arial" w:eastAsia="Times New Roman" w:hAnsi="Arial" w:cs="Times New Roman"/>
      <w:sz w:val="20"/>
      <w:szCs w:val="20"/>
    </w:rPr>
  </w:style>
  <w:style w:type="paragraph" w:styleId="Title">
    <w:name w:val="Title"/>
    <w:basedOn w:val="Normal"/>
    <w:next w:val="Normal"/>
    <w:link w:val="TitleChar"/>
    <w:qFormat/>
    <w:rsid w:val="002F4F47"/>
    <w:pPr>
      <w:spacing w:before="120" w:after="120"/>
      <w:ind w:left="1008"/>
      <w:jc w:val="center"/>
      <w:outlineLvl w:val="0"/>
    </w:pPr>
    <w:rPr>
      <w:rFonts w:ascii="Cambria" w:eastAsia="Times New Roman" w:hAnsi="Cambria"/>
      <w:b/>
      <w:bCs/>
      <w:caps/>
      <w:color w:val="FFFFFF"/>
      <w:kern w:val="28"/>
      <w:sz w:val="40"/>
      <w:szCs w:val="32"/>
      <w:lang w:val="x-none" w:eastAsia="x-none"/>
    </w:rPr>
  </w:style>
  <w:style w:type="character" w:customStyle="1" w:styleId="TitleChar">
    <w:name w:val="Title Char"/>
    <w:link w:val="Title"/>
    <w:rsid w:val="002F4F47"/>
    <w:rPr>
      <w:rFonts w:ascii="Cambria" w:eastAsia="Times New Roman" w:hAnsi="Cambria"/>
      <w:b/>
      <w:bCs/>
      <w:caps/>
      <w:color w:val="FFFFFF"/>
      <w:kern w:val="28"/>
      <w:sz w:val="40"/>
      <w:szCs w:val="32"/>
    </w:rPr>
  </w:style>
  <w:style w:type="character" w:customStyle="1" w:styleId="StyleCalibri">
    <w:name w:val="Style Calibri"/>
    <w:rsid w:val="008A7712"/>
    <w:rPr>
      <w:rFonts w:ascii="Calibri" w:hAnsi="Calibri"/>
      <w:sz w:val="22"/>
    </w:rPr>
  </w:style>
  <w:style w:type="table" w:styleId="TableGrid">
    <w:name w:val="Table Grid"/>
    <w:basedOn w:val="TableNormal"/>
    <w:uiPriority w:val="59"/>
    <w:rsid w:val="008A7712"/>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unhideWhenUsed/>
    <w:qFormat/>
    <w:rsid w:val="009F3240"/>
    <w:pPr>
      <w:spacing w:after="60"/>
      <w:jc w:val="center"/>
    </w:pPr>
    <w:rPr>
      <w:b/>
      <w:bCs/>
      <w:color w:val="943634"/>
      <w:sz w:val="20"/>
      <w:szCs w:val="18"/>
    </w:rPr>
  </w:style>
  <w:style w:type="paragraph" w:styleId="TableofFigures">
    <w:name w:val="table of figures"/>
    <w:basedOn w:val="Normal"/>
    <w:next w:val="Normal"/>
    <w:uiPriority w:val="99"/>
    <w:unhideWhenUsed/>
    <w:rsid w:val="008A7712"/>
    <w:rPr>
      <w:color w:val="244061"/>
    </w:rPr>
  </w:style>
  <w:style w:type="table" w:styleId="MediumShading1-Accent3">
    <w:name w:val="Medium Shading 1 Accent 3"/>
    <w:basedOn w:val="TableNormal"/>
    <w:uiPriority w:val="63"/>
    <w:rsid w:val="00E5172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MainParanoChapter">
    <w:name w:val="Main Para no Chapter #"/>
    <w:basedOn w:val="Normal"/>
    <w:link w:val="MainParanoChapterChar"/>
    <w:rsid w:val="00902660"/>
    <w:pPr>
      <w:numPr>
        <w:ilvl w:val="1"/>
        <w:numId w:val="3"/>
      </w:numPr>
      <w:spacing w:before="240" w:after="240"/>
      <w:outlineLvl w:val="1"/>
    </w:pPr>
    <w:rPr>
      <w:rFonts w:ascii="Times New Roman" w:eastAsia="Times New Roman" w:hAnsi="Times New Roman"/>
      <w:sz w:val="24"/>
      <w:lang w:val="x-none" w:eastAsia="x-none"/>
    </w:rPr>
  </w:style>
  <w:style w:type="character" w:customStyle="1" w:styleId="MainParanoChapterChar">
    <w:name w:val="Main Para no Chapter # Char"/>
    <w:link w:val="MainParanoChapter"/>
    <w:locked/>
    <w:rsid w:val="00902660"/>
    <w:rPr>
      <w:rFonts w:ascii="Times New Roman" w:eastAsia="Times New Roman" w:hAnsi="Times New Roman"/>
      <w:sz w:val="24"/>
      <w:szCs w:val="24"/>
      <w:lang w:val="x-none" w:eastAsia="x-none"/>
    </w:rPr>
  </w:style>
  <w:style w:type="paragraph" w:customStyle="1" w:styleId="Heading1a">
    <w:name w:val="Heading 1a"/>
    <w:basedOn w:val="Normal"/>
    <w:next w:val="Normal"/>
    <w:rsid w:val="00902660"/>
    <w:pPr>
      <w:keepNext/>
      <w:keepLines/>
      <w:numPr>
        <w:numId w:val="3"/>
      </w:numPr>
      <w:spacing w:before="1440" w:after="240"/>
      <w:jc w:val="center"/>
      <w:outlineLvl w:val="0"/>
    </w:pPr>
    <w:rPr>
      <w:rFonts w:ascii="Times New Roman" w:eastAsia="Times New Roman" w:hAnsi="Times New Roman"/>
      <w:b/>
      <w:caps/>
      <w:sz w:val="32"/>
    </w:rPr>
  </w:style>
  <w:style w:type="paragraph" w:customStyle="1" w:styleId="Sub-Para1underX">
    <w:name w:val="Sub-Para 1 under X."/>
    <w:basedOn w:val="Normal"/>
    <w:rsid w:val="00902660"/>
    <w:pPr>
      <w:numPr>
        <w:ilvl w:val="2"/>
        <w:numId w:val="3"/>
      </w:numPr>
      <w:spacing w:after="240"/>
      <w:jc w:val="center"/>
      <w:outlineLvl w:val="2"/>
    </w:pPr>
    <w:rPr>
      <w:rFonts w:ascii="Times New Roman" w:eastAsia="Times New Roman" w:hAnsi="Times New Roman"/>
      <w:sz w:val="24"/>
    </w:rPr>
  </w:style>
  <w:style w:type="paragraph" w:customStyle="1" w:styleId="Sub-Para2underX">
    <w:name w:val="Sub-Para 2 under X."/>
    <w:basedOn w:val="Normal"/>
    <w:rsid w:val="00902660"/>
    <w:pPr>
      <w:numPr>
        <w:ilvl w:val="3"/>
        <w:numId w:val="3"/>
      </w:numPr>
      <w:spacing w:after="240"/>
      <w:jc w:val="center"/>
      <w:outlineLvl w:val="3"/>
    </w:pPr>
    <w:rPr>
      <w:rFonts w:ascii="Times New Roman" w:eastAsia="Times New Roman" w:hAnsi="Times New Roman"/>
      <w:sz w:val="24"/>
    </w:rPr>
  </w:style>
  <w:style w:type="paragraph" w:customStyle="1" w:styleId="Sub-Para3underX">
    <w:name w:val="Sub-Para 3 under X."/>
    <w:basedOn w:val="Normal"/>
    <w:rsid w:val="00902660"/>
    <w:pPr>
      <w:numPr>
        <w:ilvl w:val="4"/>
        <w:numId w:val="3"/>
      </w:numPr>
      <w:spacing w:after="240"/>
      <w:jc w:val="center"/>
      <w:outlineLvl w:val="4"/>
    </w:pPr>
    <w:rPr>
      <w:rFonts w:ascii="Times New Roman" w:eastAsia="Times New Roman" w:hAnsi="Times New Roman"/>
      <w:sz w:val="24"/>
    </w:rPr>
  </w:style>
  <w:style w:type="paragraph" w:customStyle="1" w:styleId="Sub-Para4underX">
    <w:name w:val="Sub-Para 4 under X."/>
    <w:basedOn w:val="Normal"/>
    <w:rsid w:val="00902660"/>
    <w:pPr>
      <w:numPr>
        <w:ilvl w:val="5"/>
        <w:numId w:val="3"/>
      </w:numPr>
      <w:spacing w:after="240"/>
      <w:jc w:val="center"/>
      <w:outlineLvl w:val="5"/>
    </w:pPr>
    <w:rPr>
      <w:rFonts w:ascii="Times New Roman" w:eastAsia="Times New Roman" w:hAnsi="Times New Roman"/>
      <w:sz w:val="24"/>
    </w:rPr>
  </w:style>
  <w:style w:type="character" w:styleId="FootnoteReference">
    <w:name w:val="footnote reference"/>
    <w:aliases w:val="ftref,BVI fnr,Ref,de nota al pie,16 Point,Superscript 6 Point,fr,Used by Word for Help footnote symbols, BVI fnr"/>
    <w:uiPriority w:val="99"/>
    <w:rsid w:val="00F66AA8"/>
    <w:rPr>
      <w:rFonts w:cs="Times New Roman"/>
      <w:vertAlign w:val="superscript"/>
    </w:rPr>
  </w:style>
  <w:style w:type="paragraph" w:customStyle="1" w:styleId="ParagraphNumbering">
    <w:name w:val="Paragraph Numbering"/>
    <w:basedOn w:val="Normal"/>
    <w:link w:val="ParagraphNumberingCharChar"/>
    <w:uiPriority w:val="1"/>
    <w:qFormat/>
    <w:rsid w:val="00A53623"/>
    <w:pPr>
      <w:numPr>
        <w:numId w:val="4"/>
      </w:numPr>
      <w:spacing w:after="240" w:line="264" w:lineRule="auto"/>
      <w:jc w:val="left"/>
    </w:pPr>
    <w:rPr>
      <w:rFonts w:ascii="Times New Roman" w:eastAsia="Times New Roman" w:hAnsi="Times New Roman"/>
      <w:sz w:val="24"/>
      <w:lang w:val="x-none" w:eastAsia="x-none"/>
    </w:rPr>
  </w:style>
  <w:style w:type="paragraph" w:customStyle="1" w:styleId="ListParagraph-New">
    <w:name w:val="List Paragraph - New"/>
    <w:basedOn w:val="ParagraphNumbering"/>
    <w:rsid w:val="00A53623"/>
    <w:pPr>
      <w:spacing w:line="240" w:lineRule="auto"/>
      <w:jc w:val="both"/>
    </w:pPr>
    <w:rPr>
      <w:bCs/>
    </w:rPr>
  </w:style>
  <w:style w:type="paragraph" w:styleId="TOCHeading">
    <w:name w:val="TOC Heading"/>
    <w:basedOn w:val="Heading1"/>
    <w:next w:val="Normal"/>
    <w:uiPriority w:val="39"/>
    <w:unhideWhenUsed/>
    <w:qFormat/>
    <w:rsid w:val="005C1E4A"/>
    <w:pPr>
      <w:numPr>
        <w:numId w:val="0"/>
      </w:numPr>
      <w:spacing w:before="480" w:after="0" w:line="276" w:lineRule="auto"/>
      <w:jc w:val="left"/>
      <w:outlineLvl w:val="9"/>
    </w:pPr>
    <w:rPr>
      <w:color w:val="365F91"/>
      <w:sz w:val="28"/>
    </w:rPr>
  </w:style>
  <w:style w:type="character" w:styleId="Strong">
    <w:name w:val="Strong"/>
    <w:uiPriority w:val="22"/>
    <w:qFormat/>
    <w:rsid w:val="00A608CB"/>
    <w:rPr>
      <w:b/>
      <w:bCs/>
    </w:rPr>
  </w:style>
  <w:style w:type="paragraph" w:customStyle="1" w:styleId="Default">
    <w:name w:val="Default"/>
    <w:rsid w:val="00E33BAF"/>
    <w:pPr>
      <w:autoSpaceDE w:val="0"/>
      <w:autoSpaceDN w:val="0"/>
      <w:adjustRightInd w:val="0"/>
    </w:pPr>
    <w:rPr>
      <w:rFonts w:ascii="Times New Roman" w:hAnsi="Times New Roman"/>
      <w:color w:val="000000"/>
      <w:sz w:val="24"/>
      <w:szCs w:val="24"/>
    </w:rPr>
  </w:style>
  <w:style w:type="paragraph" w:styleId="HTMLPreformatted">
    <w:name w:val="HTML Preformatted"/>
    <w:basedOn w:val="Normal"/>
    <w:link w:val="HTMLPreformattedChar"/>
    <w:uiPriority w:val="99"/>
    <w:unhideWhenUsed/>
    <w:rsid w:val="001071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olor w:val="000000"/>
      <w:sz w:val="20"/>
      <w:szCs w:val="20"/>
      <w:lang w:val="x-none" w:eastAsia="x-none"/>
    </w:rPr>
  </w:style>
  <w:style w:type="character" w:customStyle="1" w:styleId="HTMLPreformattedChar">
    <w:name w:val="HTML Preformatted Char"/>
    <w:link w:val="HTMLPreformatted"/>
    <w:uiPriority w:val="99"/>
    <w:rsid w:val="0010710E"/>
    <w:rPr>
      <w:rFonts w:ascii="Courier New" w:eastAsia="Times New Roman" w:hAnsi="Courier New" w:cs="Courier New"/>
      <w:color w:val="000000"/>
    </w:rPr>
  </w:style>
  <w:style w:type="paragraph" w:styleId="Revision">
    <w:name w:val="Revision"/>
    <w:hidden/>
    <w:uiPriority w:val="99"/>
    <w:semiHidden/>
    <w:rsid w:val="005D28D7"/>
    <w:rPr>
      <w:sz w:val="22"/>
      <w:szCs w:val="24"/>
    </w:rPr>
  </w:style>
  <w:style w:type="paragraph" w:styleId="CommentSubject">
    <w:name w:val="annotation subject"/>
    <w:basedOn w:val="CommentText"/>
    <w:next w:val="CommentText"/>
    <w:link w:val="CommentSubjectChar"/>
    <w:uiPriority w:val="99"/>
    <w:semiHidden/>
    <w:unhideWhenUsed/>
    <w:rsid w:val="004C5E1F"/>
    <w:rPr>
      <w:b/>
      <w:bCs/>
    </w:rPr>
  </w:style>
  <w:style w:type="character" w:customStyle="1" w:styleId="CommentSubjectChar">
    <w:name w:val="Comment Subject Char"/>
    <w:link w:val="CommentSubject"/>
    <w:uiPriority w:val="99"/>
    <w:semiHidden/>
    <w:rsid w:val="004C5E1F"/>
    <w:rPr>
      <w:rFonts w:ascii="Calibri" w:eastAsia="Calibri" w:hAnsi="Calibri" w:cs="Times New Roman"/>
      <w:b/>
      <w:bCs/>
      <w:sz w:val="20"/>
      <w:szCs w:val="20"/>
      <w:lang w:val="fr-FR"/>
    </w:rPr>
  </w:style>
  <w:style w:type="paragraph" w:styleId="ListBullet">
    <w:name w:val="List Bullet"/>
    <w:basedOn w:val="Normal"/>
    <w:uiPriority w:val="2"/>
    <w:qFormat/>
    <w:rsid w:val="006D6574"/>
    <w:pPr>
      <w:numPr>
        <w:numId w:val="5"/>
      </w:numPr>
      <w:spacing w:after="240" w:line="264" w:lineRule="auto"/>
      <w:jc w:val="left"/>
    </w:pPr>
    <w:rPr>
      <w:rFonts w:ascii="Times New Roman" w:hAnsi="Times New Roman"/>
      <w:sz w:val="24"/>
    </w:rPr>
  </w:style>
  <w:style w:type="character" w:customStyle="1" w:styleId="ParagraphNumberingCharChar">
    <w:name w:val="Paragraph Numbering Char Char"/>
    <w:link w:val="ParagraphNumbering"/>
    <w:uiPriority w:val="1"/>
    <w:rsid w:val="006D6574"/>
    <w:rPr>
      <w:rFonts w:ascii="Times New Roman" w:eastAsia="Times New Roman" w:hAnsi="Times New Roman"/>
      <w:sz w:val="24"/>
      <w:szCs w:val="24"/>
      <w:lang w:val="x-none" w:eastAsia="x-none"/>
    </w:rPr>
  </w:style>
  <w:style w:type="character" w:customStyle="1" w:styleId="texto11">
    <w:name w:val="texto11"/>
    <w:rsid w:val="00A51A43"/>
    <w:rPr>
      <w:rFonts w:ascii="Arial" w:hAnsi="Arial" w:cs="Arial" w:hint="default"/>
      <w:b w:val="0"/>
      <w:bCs w:val="0"/>
      <w:i w:val="0"/>
      <w:iCs w:val="0"/>
      <w:caps w:val="0"/>
      <w:color w:val="000000"/>
      <w:sz w:val="13"/>
      <w:szCs w:val="13"/>
    </w:rPr>
  </w:style>
  <w:style w:type="table" w:styleId="LightShading-Accent5">
    <w:name w:val="Light Shading Accent 5"/>
    <w:basedOn w:val="TableNormal"/>
    <w:uiPriority w:val="60"/>
    <w:rsid w:val="002F55C8"/>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4">
    <w:name w:val="Light Shading Accent 4"/>
    <w:basedOn w:val="TableNormal"/>
    <w:uiPriority w:val="60"/>
    <w:rsid w:val="00740E27"/>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
    <w:name w:val="Light Shading - Accent 11"/>
    <w:basedOn w:val="TableNormal"/>
    <w:uiPriority w:val="60"/>
    <w:rsid w:val="00740E2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uiPriority w:val="60"/>
    <w:rsid w:val="000A17B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dnoteText">
    <w:name w:val="endnote text"/>
    <w:basedOn w:val="Normal"/>
    <w:link w:val="EndnoteTextChar"/>
    <w:uiPriority w:val="99"/>
    <w:semiHidden/>
    <w:unhideWhenUsed/>
    <w:rsid w:val="00D01C56"/>
    <w:rPr>
      <w:sz w:val="20"/>
      <w:szCs w:val="20"/>
    </w:rPr>
  </w:style>
  <w:style w:type="character" w:customStyle="1" w:styleId="EndnoteTextChar">
    <w:name w:val="Endnote Text Char"/>
    <w:basedOn w:val="DefaultParagraphFont"/>
    <w:link w:val="EndnoteText"/>
    <w:uiPriority w:val="99"/>
    <w:semiHidden/>
    <w:rsid w:val="00D01C56"/>
  </w:style>
  <w:style w:type="character" w:styleId="EndnoteReference">
    <w:name w:val="endnote reference"/>
    <w:uiPriority w:val="99"/>
    <w:semiHidden/>
    <w:unhideWhenUsed/>
    <w:rsid w:val="00D01C56"/>
    <w:rPr>
      <w:vertAlign w:val="superscript"/>
    </w:rPr>
  </w:style>
  <w:style w:type="paragraph" w:styleId="FootnoteText">
    <w:name w:val="footnote text"/>
    <w:basedOn w:val="Normal"/>
    <w:link w:val="FootnoteTextChar"/>
    <w:uiPriority w:val="99"/>
    <w:unhideWhenUsed/>
    <w:rsid w:val="003E2CDA"/>
    <w:pPr>
      <w:jc w:val="left"/>
    </w:pPr>
    <w:rPr>
      <w:sz w:val="20"/>
      <w:szCs w:val="20"/>
    </w:rPr>
  </w:style>
  <w:style w:type="character" w:customStyle="1" w:styleId="FootnoteTextChar">
    <w:name w:val="Footnote Text Char"/>
    <w:basedOn w:val="DefaultParagraphFont"/>
    <w:link w:val="FootnoteText"/>
    <w:uiPriority w:val="99"/>
    <w:rsid w:val="003E2CDA"/>
  </w:style>
  <w:style w:type="table" w:customStyle="1" w:styleId="TableGrid1">
    <w:name w:val="Table Grid1"/>
    <w:basedOn w:val="TableNormal"/>
    <w:next w:val="TableGrid"/>
    <w:uiPriority w:val="59"/>
    <w:rsid w:val="00FA459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629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45953">
      <w:bodyDiv w:val="1"/>
      <w:marLeft w:val="0"/>
      <w:marRight w:val="0"/>
      <w:marTop w:val="0"/>
      <w:marBottom w:val="0"/>
      <w:divBdr>
        <w:top w:val="none" w:sz="0" w:space="0" w:color="auto"/>
        <w:left w:val="none" w:sz="0" w:space="0" w:color="auto"/>
        <w:bottom w:val="none" w:sz="0" w:space="0" w:color="auto"/>
        <w:right w:val="none" w:sz="0" w:space="0" w:color="auto"/>
      </w:divBdr>
    </w:div>
    <w:div w:id="137844930">
      <w:bodyDiv w:val="1"/>
      <w:marLeft w:val="0"/>
      <w:marRight w:val="0"/>
      <w:marTop w:val="0"/>
      <w:marBottom w:val="0"/>
      <w:divBdr>
        <w:top w:val="none" w:sz="0" w:space="0" w:color="auto"/>
        <w:left w:val="none" w:sz="0" w:space="0" w:color="auto"/>
        <w:bottom w:val="none" w:sz="0" w:space="0" w:color="auto"/>
        <w:right w:val="none" w:sz="0" w:space="0" w:color="auto"/>
      </w:divBdr>
    </w:div>
    <w:div w:id="170687993">
      <w:bodyDiv w:val="1"/>
      <w:marLeft w:val="0"/>
      <w:marRight w:val="0"/>
      <w:marTop w:val="0"/>
      <w:marBottom w:val="0"/>
      <w:divBdr>
        <w:top w:val="none" w:sz="0" w:space="0" w:color="auto"/>
        <w:left w:val="none" w:sz="0" w:space="0" w:color="auto"/>
        <w:bottom w:val="none" w:sz="0" w:space="0" w:color="auto"/>
        <w:right w:val="none" w:sz="0" w:space="0" w:color="auto"/>
      </w:divBdr>
    </w:div>
    <w:div w:id="207034576">
      <w:bodyDiv w:val="1"/>
      <w:marLeft w:val="0"/>
      <w:marRight w:val="0"/>
      <w:marTop w:val="0"/>
      <w:marBottom w:val="0"/>
      <w:divBdr>
        <w:top w:val="none" w:sz="0" w:space="0" w:color="auto"/>
        <w:left w:val="none" w:sz="0" w:space="0" w:color="auto"/>
        <w:bottom w:val="none" w:sz="0" w:space="0" w:color="auto"/>
        <w:right w:val="none" w:sz="0" w:space="0" w:color="auto"/>
      </w:divBdr>
    </w:div>
    <w:div w:id="218329165">
      <w:bodyDiv w:val="1"/>
      <w:marLeft w:val="0"/>
      <w:marRight w:val="0"/>
      <w:marTop w:val="0"/>
      <w:marBottom w:val="0"/>
      <w:divBdr>
        <w:top w:val="none" w:sz="0" w:space="0" w:color="auto"/>
        <w:left w:val="none" w:sz="0" w:space="0" w:color="auto"/>
        <w:bottom w:val="none" w:sz="0" w:space="0" w:color="auto"/>
        <w:right w:val="none" w:sz="0" w:space="0" w:color="auto"/>
      </w:divBdr>
    </w:div>
    <w:div w:id="586311651">
      <w:bodyDiv w:val="1"/>
      <w:marLeft w:val="0"/>
      <w:marRight w:val="0"/>
      <w:marTop w:val="0"/>
      <w:marBottom w:val="0"/>
      <w:divBdr>
        <w:top w:val="none" w:sz="0" w:space="0" w:color="auto"/>
        <w:left w:val="none" w:sz="0" w:space="0" w:color="auto"/>
        <w:bottom w:val="none" w:sz="0" w:space="0" w:color="auto"/>
        <w:right w:val="none" w:sz="0" w:space="0" w:color="auto"/>
      </w:divBdr>
    </w:div>
    <w:div w:id="608202985">
      <w:bodyDiv w:val="1"/>
      <w:marLeft w:val="0"/>
      <w:marRight w:val="0"/>
      <w:marTop w:val="0"/>
      <w:marBottom w:val="0"/>
      <w:divBdr>
        <w:top w:val="none" w:sz="0" w:space="0" w:color="auto"/>
        <w:left w:val="none" w:sz="0" w:space="0" w:color="auto"/>
        <w:bottom w:val="none" w:sz="0" w:space="0" w:color="auto"/>
        <w:right w:val="none" w:sz="0" w:space="0" w:color="auto"/>
      </w:divBdr>
    </w:div>
    <w:div w:id="617839718">
      <w:bodyDiv w:val="1"/>
      <w:marLeft w:val="0"/>
      <w:marRight w:val="0"/>
      <w:marTop w:val="0"/>
      <w:marBottom w:val="0"/>
      <w:divBdr>
        <w:top w:val="none" w:sz="0" w:space="0" w:color="auto"/>
        <w:left w:val="none" w:sz="0" w:space="0" w:color="auto"/>
        <w:bottom w:val="none" w:sz="0" w:space="0" w:color="auto"/>
        <w:right w:val="none" w:sz="0" w:space="0" w:color="auto"/>
      </w:divBdr>
    </w:div>
    <w:div w:id="618874357">
      <w:bodyDiv w:val="1"/>
      <w:marLeft w:val="0"/>
      <w:marRight w:val="0"/>
      <w:marTop w:val="0"/>
      <w:marBottom w:val="0"/>
      <w:divBdr>
        <w:top w:val="none" w:sz="0" w:space="0" w:color="auto"/>
        <w:left w:val="none" w:sz="0" w:space="0" w:color="auto"/>
        <w:bottom w:val="none" w:sz="0" w:space="0" w:color="auto"/>
        <w:right w:val="none" w:sz="0" w:space="0" w:color="auto"/>
      </w:divBdr>
      <w:divsChild>
        <w:div w:id="1646204470">
          <w:marLeft w:val="547"/>
          <w:marRight w:val="0"/>
          <w:marTop w:val="134"/>
          <w:marBottom w:val="0"/>
          <w:divBdr>
            <w:top w:val="none" w:sz="0" w:space="0" w:color="auto"/>
            <w:left w:val="none" w:sz="0" w:space="0" w:color="auto"/>
            <w:bottom w:val="none" w:sz="0" w:space="0" w:color="auto"/>
            <w:right w:val="none" w:sz="0" w:space="0" w:color="auto"/>
          </w:divBdr>
        </w:div>
      </w:divsChild>
    </w:div>
    <w:div w:id="624385126">
      <w:bodyDiv w:val="1"/>
      <w:marLeft w:val="0"/>
      <w:marRight w:val="0"/>
      <w:marTop w:val="0"/>
      <w:marBottom w:val="0"/>
      <w:divBdr>
        <w:top w:val="none" w:sz="0" w:space="0" w:color="auto"/>
        <w:left w:val="none" w:sz="0" w:space="0" w:color="auto"/>
        <w:bottom w:val="none" w:sz="0" w:space="0" w:color="auto"/>
        <w:right w:val="none" w:sz="0" w:space="0" w:color="auto"/>
      </w:divBdr>
    </w:div>
    <w:div w:id="627853814">
      <w:bodyDiv w:val="1"/>
      <w:marLeft w:val="0"/>
      <w:marRight w:val="0"/>
      <w:marTop w:val="0"/>
      <w:marBottom w:val="0"/>
      <w:divBdr>
        <w:top w:val="none" w:sz="0" w:space="0" w:color="auto"/>
        <w:left w:val="none" w:sz="0" w:space="0" w:color="auto"/>
        <w:bottom w:val="none" w:sz="0" w:space="0" w:color="auto"/>
        <w:right w:val="none" w:sz="0" w:space="0" w:color="auto"/>
      </w:divBdr>
    </w:div>
    <w:div w:id="646323424">
      <w:bodyDiv w:val="1"/>
      <w:marLeft w:val="0"/>
      <w:marRight w:val="0"/>
      <w:marTop w:val="0"/>
      <w:marBottom w:val="0"/>
      <w:divBdr>
        <w:top w:val="none" w:sz="0" w:space="0" w:color="auto"/>
        <w:left w:val="none" w:sz="0" w:space="0" w:color="auto"/>
        <w:bottom w:val="none" w:sz="0" w:space="0" w:color="auto"/>
        <w:right w:val="none" w:sz="0" w:space="0" w:color="auto"/>
      </w:divBdr>
    </w:div>
    <w:div w:id="659816939">
      <w:bodyDiv w:val="1"/>
      <w:marLeft w:val="0"/>
      <w:marRight w:val="0"/>
      <w:marTop w:val="0"/>
      <w:marBottom w:val="0"/>
      <w:divBdr>
        <w:top w:val="none" w:sz="0" w:space="0" w:color="auto"/>
        <w:left w:val="none" w:sz="0" w:space="0" w:color="auto"/>
        <w:bottom w:val="none" w:sz="0" w:space="0" w:color="auto"/>
        <w:right w:val="none" w:sz="0" w:space="0" w:color="auto"/>
      </w:divBdr>
    </w:div>
    <w:div w:id="706174447">
      <w:bodyDiv w:val="1"/>
      <w:marLeft w:val="0"/>
      <w:marRight w:val="0"/>
      <w:marTop w:val="0"/>
      <w:marBottom w:val="0"/>
      <w:divBdr>
        <w:top w:val="none" w:sz="0" w:space="0" w:color="auto"/>
        <w:left w:val="none" w:sz="0" w:space="0" w:color="auto"/>
        <w:bottom w:val="none" w:sz="0" w:space="0" w:color="auto"/>
        <w:right w:val="none" w:sz="0" w:space="0" w:color="auto"/>
      </w:divBdr>
    </w:div>
    <w:div w:id="733741480">
      <w:bodyDiv w:val="1"/>
      <w:marLeft w:val="0"/>
      <w:marRight w:val="0"/>
      <w:marTop w:val="0"/>
      <w:marBottom w:val="0"/>
      <w:divBdr>
        <w:top w:val="none" w:sz="0" w:space="0" w:color="auto"/>
        <w:left w:val="none" w:sz="0" w:space="0" w:color="auto"/>
        <w:bottom w:val="none" w:sz="0" w:space="0" w:color="auto"/>
        <w:right w:val="none" w:sz="0" w:space="0" w:color="auto"/>
      </w:divBdr>
    </w:div>
    <w:div w:id="901602572">
      <w:bodyDiv w:val="1"/>
      <w:marLeft w:val="0"/>
      <w:marRight w:val="0"/>
      <w:marTop w:val="0"/>
      <w:marBottom w:val="0"/>
      <w:divBdr>
        <w:top w:val="none" w:sz="0" w:space="0" w:color="auto"/>
        <w:left w:val="none" w:sz="0" w:space="0" w:color="auto"/>
        <w:bottom w:val="none" w:sz="0" w:space="0" w:color="auto"/>
        <w:right w:val="none" w:sz="0" w:space="0" w:color="auto"/>
      </w:divBdr>
    </w:div>
    <w:div w:id="901867071">
      <w:bodyDiv w:val="1"/>
      <w:marLeft w:val="0"/>
      <w:marRight w:val="0"/>
      <w:marTop w:val="0"/>
      <w:marBottom w:val="0"/>
      <w:divBdr>
        <w:top w:val="none" w:sz="0" w:space="0" w:color="auto"/>
        <w:left w:val="none" w:sz="0" w:space="0" w:color="auto"/>
        <w:bottom w:val="none" w:sz="0" w:space="0" w:color="auto"/>
        <w:right w:val="none" w:sz="0" w:space="0" w:color="auto"/>
      </w:divBdr>
    </w:div>
    <w:div w:id="998534439">
      <w:bodyDiv w:val="1"/>
      <w:marLeft w:val="0"/>
      <w:marRight w:val="0"/>
      <w:marTop w:val="0"/>
      <w:marBottom w:val="0"/>
      <w:divBdr>
        <w:top w:val="none" w:sz="0" w:space="0" w:color="auto"/>
        <w:left w:val="none" w:sz="0" w:space="0" w:color="auto"/>
        <w:bottom w:val="none" w:sz="0" w:space="0" w:color="auto"/>
        <w:right w:val="none" w:sz="0" w:space="0" w:color="auto"/>
      </w:divBdr>
    </w:div>
    <w:div w:id="1005788089">
      <w:bodyDiv w:val="1"/>
      <w:marLeft w:val="0"/>
      <w:marRight w:val="0"/>
      <w:marTop w:val="0"/>
      <w:marBottom w:val="0"/>
      <w:divBdr>
        <w:top w:val="none" w:sz="0" w:space="0" w:color="auto"/>
        <w:left w:val="none" w:sz="0" w:space="0" w:color="auto"/>
        <w:bottom w:val="none" w:sz="0" w:space="0" w:color="auto"/>
        <w:right w:val="none" w:sz="0" w:space="0" w:color="auto"/>
      </w:divBdr>
    </w:div>
    <w:div w:id="1006784580">
      <w:bodyDiv w:val="1"/>
      <w:marLeft w:val="0"/>
      <w:marRight w:val="0"/>
      <w:marTop w:val="0"/>
      <w:marBottom w:val="0"/>
      <w:divBdr>
        <w:top w:val="none" w:sz="0" w:space="0" w:color="auto"/>
        <w:left w:val="none" w:sz="0" w:space="0" w:color="auto"/>
        <w:bottom w:val="none" w:sz="0" w:space="0" w:color="auto"/>
        <w:right w:val="none" w:sz="0" w:space="0" w:color="auto"/>
      </w:divBdr>
    </w:div>
    <w:div w:id="1008750581">
      <w:bodyDiv w:val="1"/>
      <w:marLeft w:val="0"/>
      <w:marRight w:val="0"/>
      <w:marTop w:val="0"/>
      <w:marBottom w:val="0"/>
      <w:divBdr>
        <w:top w:val="none" w:sz="0" w:space="0" w:color="auto"/>
        <w:left w:val="none" w:sz="0" w:space="0" w:color="auto"/>
        <w:bottom w:val="none" w:sz="0" w:space="0" w:color="auto"/>
        <w:right w:val="none" w:sz="0" w:space="0" w:color="auto"/>
      </w:divBdr>
    </w:div>
    <w:div w:id="1046375947">
      <w:bodyDiv w:val="1"/>
      <w:marLeft w:val="0"/>
      <w:marRight w:val="0"/>
      <w:marTop w:val="0"/>
      <w:marBottom w:val="0"/>
      <w:divBdr>
        <w:top w:val="none" w:sz="0" w:space="0" w:color="auto"/>
        <w:left w:val="none" w:sz="0" w:space="0" w:color="auto"/>
        <w:bottom w:val="none" w:sz="0" w:space="0" w:color="auto"/>
        <w:right w:val="none" w:sz="0" w:space="0" w:color="auto"/>
      </w:divBdr>
      <w:divsChild>
        <w:div w:id="580680744">
          <w:marLeft w:val="965"/>
          <w:marRight w:val="0"/>
          <w:marTop w:val="96"/>
          <w:marBottom w:val="0"/>
          <w:divBdr>
            <w:top w:val="none" w:sz="0" w:space="0" w:color="auto"/>
            <w:left w:val="none" w:sz="0" w:space="0" w:color="auto"/>
            <w:bottom w:val="none" w:sz="0" w:space="0" w:color="auto"/>
            <w:right w:val="none" w:sz="0" w:space="0" w:color="auto"/>
          </w:divBdr>
        </w:div>
      </w:divsChild>
    </w:div>
    <w:div w:id="1054698936">
      <w:bodyDiv w:val="1"/>
      <w:marLeft w:val="0"/>
      <w:marRight w:val="0"/>
      <w:marTop w:val="0"/>
      <w:marBottom w:val="0"/>
      <w:divBdr>
        <w:top w:val="none" w:sz="0" w:space="0" w:color="auto"/>
        <w:left w:val="none" w:sz="0" w:space="0" w:color="auto"/>
        <w:bottom w:val="none" w:sz="0" w:space="0" w:color="auto"/>
        <w:right w:val="none" w:sz="0" w:space="0" w:color="auto"/>
      </w:divBdr>
      <w:divsChild>
        <w:div w:id="190337738">
          <w:marLeft w:val="1166"/>
          <w:marRight w:val="0"/>
          <w:marTop w:val="96"/>
          <w:marBottom w:val="0"/>
          <w:divBdr>
            <w:top w:val="none" w:sz="0" w:space="0" w:color="auto"/>
            <w:left w:val="none" w:sz="0" w:space="0" w:color="auto"/>
            <w:bottom w:val="none" w:sz="0" w:space="0" w:color="auto"/>
            <w:right w:val="none" w:sz="0" w:space="0" w:color="auto"/>
          </w:divBdr>
        </w:div>
      </w:divsChild>
    </w:div>
    <w:div w:id="1144543368">
      <w:bodyDiv w:val="1"/>
      <w:marLeft w:val="0"/>
      <w:marRight w:val="0"/>
      <w:marTop w:val="0"/>
      <w:marBottom w:val="0"/>
      <w:divBdr>
        <w:top w:val="none" w:sz="0" w:space="0" w:color="auto"/>
        <w:left w:val="none" w:sz="0" w:space="0" w:color="auto"/>
        <w:bottom w:val="none" w:sz="0" w:space="0" w:color="auto"/>
        <w:right w:val="none" w:sz="0" w:space="0" w:color="auto"/>
      </w:divBdr>
    </w:div>
    <w:div w:id="1168059269">
      <w:bodyDiv w:val="1"/>
      <w:marLeft w:val="0"/>
      <w:marRight w:val="0"/>
      <w:marTop w:val="0"/>
      <w:marBottom w:val="0"/>
      <w:divBdr>
        <w:top w:val="none" w:sz="0" w:space="0" w:color="auto"/>
        <w:left w:val="none" w:sz="0" w:space="0" w:color="auto"/>
        <w:bottom w:val="none" w:sz="0" w:space="0" w:color="auto"/>
        <w:right w:val="none" w:sz="0" w:space="0" w:color="auto"/>
      </w:divBdr>
    </w:div>
    <w:div w:id="1191797954">
      <w:bodyDiv w:val="1"/>
      <w:marLeft w:val="0"/>
      <w:marRight w:val="0"/>
      <w:marTop w:val="0"/>
      <w:marBottom w:val="0"/>
      <w:divBdr>
        <w:top w:val="none" w:sz="0" w:space="0" w:color="auto"/>
        <w:left w:val="none" w:sz="0" w:space="0" w:color="auto"/>
        <w:bottom w:val="none" w:sz="0" w:space="0" w:color="auto"/>
        <w:right w:val="none" w:sz="0" w:space="0" w:color="auto"/>
      </w:divBdr>
    </w:div>
    <w:div w:id="1236355453">
      <w:bodyDiv w:val="1"/>
      <w:marLeft w:val="0"/>
      <w:marRight w:val="0"/>
      <w:marTop w:val="0"/>
      <w:marBottom w:val="0"/>
      <w:divBdr>
        <w:top w:val="none" w:sz="0" w:space="0" w:color="auto"/>
        <w:left w:val="none" w:sz="0" w:space="0" w:color="auto"/>
        <w:bottom w:val="none" w:sz="0" w:space="0" w:color="auto"/>
        <w:right w:val="none" w:sz="0" w:space="0" w:color="auto"/>
      </w:divBdr>
    </w:div>
    <w:div w:id="1334918810">
      <w:bodyDiv w:val="1"/>
      <w:marLeft w:val="0"/>
      <w:marRight w:val="0"/>
      <w:marTop w:val="0"/>
      <w:marBottom w:val="0"/>
      <w:divBdr>
        <w:top w:val="none" w:sz="0" w:space="0" w:color="auto"/>
        <w:left w:val="none" w:sz="0" w:space="0" w:color="auto"/>
        <w:bottom w:val="none" w:sz="0" w:space="0" w:color="auto"/>
        <w:right w:val="none" w:sz="0" w:space="0" w:color="auto"/>
      </w:divBdr>
    </w:div>
    <w:div w:id="1339623159">
      <w:bodyDiv w:val="1"/>
      <w:marLeft w:val="0"/>
      <w:marRight w:val="0"/>
      <w:marTop w:val="0"/>
      <w:marBottom w:val="0"/>
      <w:divBdr>
        <w:top w:val="none" w:sz="0" w:space="0" w:color="auto"/>
        <w:left w:val="none" w:sz="0" w:space="0" w:color="auto"/>
        <w:bottom w:val="none" w:sz="0" w:space="0" w:color="auto"/>
        <w:right w:val="none" w:sz="0" w:space="0" w:color="auto"/>
      </w:divBdr>
    </w:div>
    <w:div w:id="1371610776">
      <w:bodyDiv w:val="1"/>
      <w:marLeft w:val="0"/>
      <w:marRight w:val="0"/>
      <w:marTop w:val="0"/>
      <w:marBottom w:val="0"/>
      <w:divBdr>
        <w:top w:val="none" w:sz="0" w:space="0" w:color="auto"/>
        <w:left w:val="none" w:sz="0" w:space="0" w:color="auto"/>
        <w:bottom w:val="none" w:sz="0" w:space="0" w:color="auto"/>
        <w:right w:val="none" w:sz="0" w:space="0" w:color="auto"/>
      </w:divBdr>
    </w:div>
    <w:div w:id="1468863780">
      <w:bodyDiv w:val="1"/>
      <w:marLeft w:val="0"/>
      <w:marRight w:val="0"/>
      <w:marTop w:val="0"/>
      <w:marBottom w:val="0"/>
      <w:divBdr>
        <w:top w:val="none" w:sz="0" w:space="0" w:color="auto"/>
        <w:left w:val="none" w:sz="0" w:space="0" w:color="auto"/>
        <w:bottom w:val="none" w:sz="0" w:space="0" w:color="auto"/>
        <w:right w:val="none" w:sz="0" w:space="0" w:color="auto"/>
      </w:divBdr>
    </w:div>
    <w:div w:id="1520242834">
      <w:bodyDiv w:val="1"/>
      <w:marLeft w:val="0"/>
      <w:marRight w:val="0"/>
      <w:marTop w:val="0"/>
      <w:marBottom w:val="0"/>
      <w:divBdr>
        <w:top w:val="none" w:sz="0" w:space="0" w:color="auto"/>
        <w:left w:val="none" w:sz="0" w:space="0" w:color="auto"/>
        <w:bottom w:val="none" w:sz="0" w:space="0" w:color="auto"/>
        <w:right w:val="none" w:sz="0" w:space="0" w:color="auto"/>
      </w:divBdr>
    </w:div>
    <w:div w:id="1601832788">
      <w:bodyDiv w:val="1"/>
      <w:marLeft w:val="0"/>
      <w:marRight w:val="0"/>
      <w:marTop w:val="0"/>
      <w:marBottom w:val="0"/>
      <w:divBdr>
        <w:top w:val="none" w:sz="0" w:space="0" w:color="auto"/>
        <w:left w:val="none" w:sz="0" w:space="0" w:color="auto"/>
        <w:bottom w:val="none" w:sz="0" w:space="0" w:color="auto"/>
        <w:right w:val="none" w:sz="0" w:space="0" w:color="auto"/>
      </w:divBdr>
    </w:div>
    <w:div w:id="1607687843">
      <w:bodyDiv w:val="1"/>
      <w:marLeft w:val="0"/>
      <w:marRight w:val="0"/>
      <w:marTop w:val="0"/>
      <w:marBottom w:val="0"/>
      <w:divBdr>
        <w:top w:val="none" w:sz="0" w:space="0" w:color="auto"/>
        <w:left w:val="none" w:sz="0" w:space="0" w:color="auto"/>
        <w:bottom w:val="none" w:sz="0" w:space="0" w:color="auto"/>
        <w:right w:val="none" w:sz="0" w:space="0" w:color="auto"/>
      </w:divBdr>
      <w:divsChild>
        <w:div w:id="400103433">
          <w:marLeft w:val="1166"/>
          <w:marRight w:val="0"/>
          <w:marTop w:val="154"/>
          <w:marBottom w:val="0"/>
          <w:divBdr>
            <w:top w:val="none" w:sz="0" w:space="0" w:color="auto"/>
            <w:left w:val="none" w:sz="0" w:space="0" w:color="auto"/>
            <w:bottom w:val="none" w:sz="0" w:space="0" w:color="auto"/>
            <w:right w:val="none" w:sz="0" w:space="0" w:color="auto"/>
          </w:divBdr>
        </w:div>
        <w:div w:id="678776670">
          <w:marLeft w:val="1166"/>
          <w:marRight w:val="0"/>
          <w:marTop w:val="154"/>
          <w:marBottom w:val="0"/>
          <w:divBdr>
            <w:top w:val="none" w:sz="0" w:space="0" w:color="auto"/>
            <w:left w:val="none" w:sz="0" w:space="0" w:color="auto"/>
            <w:bottom w:val="none" w:sz="0" w:space="0" w:color="auto"/>
            <w:right w:val="none" w:sz="0" w:space="0" w:color="auto"/>
          </w:divBdr>
        </w:div>
      </w:divsChild>
    </w:div>
    <w:div w:id="1616673904">
      <w:bodyDiv w:val="1"/>
      <w:marLeft w:val="0"/>
      <w:marRight w:val="0"/>
      <w:marTop w:val="0"/>
      <w:marBottom w:val="0"/>
      <w:divBdr>
        <w:top w:val="none" w:sz="0" w:space="0" w:color="auto"/>
        <w:left w:val="none" w:sz="0" w:space="0" w:color="auto"/>
        <w:bottom w:val="none" w:sz="0" w:space="0" w:color="auto"/>
        <w:right w:val="none" w:sz="0" w:space="0" w:color="auto"/>
      </w:divBdr>
    </w:div>
    <w:div w:id="1725256445">
      <w:bodyDiv w:val="1"/>
      <w:marLeft w:val="0"/>
      <w:marRight w:val="0"/>
      <w:marTop w:val="0"/>
      <w:marBottom w:val="0"/>
      <w:divBdr>
        <w:top w:val="none" w:sz="0" w:space="0" w:color="auto"/>
        <w:left w:val="none" w:sz="0" w:space="0" w:color="auto"/>
        <w:bottom w:val="none" w:sz="0" w:space="0" w:color="auto"/>
        <w:right w:val="none" w:sz="0" w:space="0" w:color="auto"/>
      </w:divBdr>
    </w:div>
    <w:div w:id="1725830851">
      <w:bodyDiv w:val="1"/>
      <w:marLeft w:val="0"/>
      <w:marRight w:val="0"/>
      <w:marTop w:val="0"/>
      <w:marBottom w:val="0"/>
      <w:divBdr>
        <w:top w:val="none" w:sz="0" w:space="0" w:color="auto"/>
        <w:left w:val="none" w:sz="0" w:space="0" w:color="auto"/>
        <w:bottom w:val="none" w:sz="0" w:space="0" w:color="auto"/>
        <w:right w:val="none" w:sz="0" w:space="0" w:color="auto"/>
      </w:divBdr>
    </w:div>
    <w:div w:id="1766654388">
      <w:bodyDiv w:val="1"/>
      <w:marLeft w:val="0"/>
      <w:marRight w:val="0"/>
      <w:marTop w:val="0"/>
      <w:marBottom w:val="0"/>
      <w:divBdr>
        <w:top w:val="none" w:sz="0" w:space="0" w:color="auto"/>
        <w:left w:val="none" w:sz="0" w:space="0" w:color="auto"/>
        <w:bottom w:val="none" w:sz="0" w:space="0" w:color="auto"/>
        <w:right w:val="none" w:sz="0" w:space="0" w:color="auto"/>
      </w:divBdr>
    </w:div>
    <w:div w:id="1807627787">
      <w:bodyDiv w:val="1"/>
      <w:marLeft w:val="0"/>
      <w:marRight w:val="0"/>
      <w:marTop w:val="0"/>
      <w:marBottom w:val="0"/>
      <w:divBdr>
        <w:top w:val="none" w:sz="0" w:space="0" w:color="auto"/>
        <w:left w:val="none" w:sz="0" w:space="0" w:color="auto"/>
        <w:bottom w:val="none" w:sz="0" w:space="0" w:color="auto"/>
        <w:right w:val="none" w:sz="0" w:space="0" w:color="auto"/>
      </w:divBdr>
    </w:div>
    <w:div w:id="1830368884">
      <w:bodyDiv w:val="1"/>
      <w:marLeft w:val="0"/>
      <w:marRight w:val="0"/>
      <w:marTop w:val="0"/>
      <w:marBottom w:val="0"/>
      <w:divBdr>
        <w:top w:val="none" w:sz="0" w:space="0" w:color="auto"/>
        <w:left w:val="none" w:sz="0" w:space="0" w:color="auto"/>
        <w:bottom w:val="none" w:sz="0" w:space="0" w:color="auto"/>
        <w:right w:val="none" w:sz="0" w:space="0" w:color="auto"/>
      </w:divBdr>
    </w:div>
    <w:div w:id="1844277760">
      <w:bodyDiv w:val="1"/>
      <w:marLeft w:val="0"/>
      <w:marRight w:val="0"/>
      <w:marTop w:val="0"/>
      <w:marBottom w:val="0"/>
      <w:divBdr>
        <w:top w:val="none" w:sz="0" w:space="0" w:color="auto"/>
        <w:left w:val="none" w:sz="0" w:space="0" w:color="auto"/>
        <w:bottom w:val="none" w:sz="0" w:space="0" w:color="auto"/>
        <w:right w:val="none" w:sz="0" w:space="0" w:color="auto"/>
      </w:divBdr>
      <w:divsChild>
        <w:div w:id="806437315">
          <w:marLeft w:val="547"/>
          <w:marRight w:val="0"/>
          <w:marTop w:val="134"/>
          <w:marBottom w:val="0"/>
          <w:divBdr>
            <w:top w:val="none" w:sz="0" w:space="0" w:color="auto"/>
            <w:left w:val="none" w:sz="0" w:space="0" w:color="auto"/>
            <w:bottom w:val="none" w:sz="0" w:space="0" w:color="auto"/>
            <w:right w:val="none" w:sz="0" w:space="0" w:color="auto"/>
          </w:divBdr>
        </w:div>
      </w:divsChild>
    </w:div>
    <w:div w:id="1962153943">
      <w:bodyDiv w:val="1"/>
      <w:marLeft w:val="0"/>
      <w:marRight w:val="0"/>
      <w:marTop w:val="0"/>
      <w:marBottom w:val="0"/>
      <w:divBdr>
        <w:top w:val="none" w:sz="0" w:space="0" w:color="auto"/>
        <w:left w:val="none" w:sz="0" w:space="0" w:color="auto"/>
        <w:bottom w:val="none" w:sz="0" w:space="0" w:color="auto"/>
        <w:right w:val="none" w:sz="0" w:space="0" w:color="auto"/>
      </w:divBdr>
    </w:div>
    <w:div w:id="2023582241">
      <w:bodyDiv w:val="1"/>
      <w:marLeft w:val="0"/>
      <w:marRight w:val="0"/>
      <w:marTop w:val="0"/>
      <w:marBottom w:val="0"/>
      <w:divBdr>
        <w:top w:val="none" w:sz="0" w:space="0" w:color="auto"/>
        <w:left w:val="none" w:sz="0" w:space="0" w:color="auto"/>
        <w:bottom w:val="none" w:sz="0" w:space="0" w:color="auto"/>
        <w:right w:val="none" w:sz="0" w:space="0" w:color="auto"/>
      </w:divBdr>
    </w:div>
    <w:div w:id="2132162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emf"/><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Lev92</b:Tag>
    <b:SourceType>Report</b:SourceType>
    <b:Guid>{F1661812-4496-42DE-BC15-3DD2B412369F}</b:Guid>
    <b:Author>
      <b:Author>
        <b:NameList>
          <b:Person>
            <b:Last>Levine</b:Last>
            <b:First>Ross</b:First>
          </b:Person>
          <b:Person>
            <b:Last>Renelt</b:Last>
            <b:First>D</b:First>
          </b:Person>
        </b:NameList>
      </b:Author>
    </b:Author>
    <b:Title>A sensitivity analysis of cross-country growth regressions. </b:Title>
    <b:Year>1992</b:Year>
    <b:Publisher>American Economic Review 82: 942–963.</b:Publisher>
    <b:RefOrder>12</b:RefOrder>
  </b:Source>
</b:Sources>
</file>

<file path=customXml/itemProps1.xml><?xml version="1.0" encoding="utf-8"?>
<ds:datastoreItem xmlns:ds="http://schemas.openxmlformats.org/officeDocument/2006/customXml" ds:itemID="{2DF5EF55-012C-4A8A-B019-52467EBC7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7189</Words>
  <Characters>40983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Benin Economic Update April, 2011</vt:lpstr>
    </vt:vector>
  </TitlesOfParts>
  <Company>The World Bank Group</Company>
  <LinksUpToDate>false</LinksUpToDate>
  <CharactersWithSpaces>48076</CharactersWithSpaces>
  <SharedDoc>false</SharedDoc>
  <HLinks>
    <vt:vector size="102" baseType="variant">
      <vt:variant>
        <vt:i4>458832</vt:i4>
      </vt:variant>
      <vt:variant>
        <vt:i4>147</vt:i4>
      </vt:variant>
      <vt:variant>
        <vt:i4>0</vt:i4>
      </vt:variant>
      <vt:variant>
        <vt:i4>5</vt:i4>
      </vt:variant>
      <vt:variant>
        <vt:lpwstr>http://onlinelibrary.wiley.com/doi/10.1111/infi.2012.15.issue-1/issuetoc</vt:lpwstr>
      </vt:variant>
      <vt:variant>
        <vt:lpwstr/>
      </vt:variant>
      <vt:variant>
        <vt:i4>1966141</vt:i4>
      </vt:variant>
      <vt:variant>
        <vt:i4>101</vt:i4>
      </vt:variant>
      <vt:variant>
        <vt:i4>0</vt:i4>
      </vt:variant>
      <vt:variant>
        <vt:i4>5</vt:i4>
      </vt:variant>
      <vt:variant>
        <vt:lpwstr/>
      </vt:variant>
      <vt:variant>
        <vt:lpwstr>_Toc382553972</vt:lpwstr>
      </vt:variant>
      <vt:variant>
        <vt:i4>1966141</vt:i4>
      </vt:variant>
      <vt:variant>
        <vt:i4>92</vt:i4>
      </vt:variant>
      <vt:variant>
        <vt:i4>0</vt:i4>
      </vt:variant>
      <vt:variant>
        <vt:i4>5</vt:i4>
      </vt:variant>
      <vt:variant>
        <vt:lpwstr/>
      </vt:variant>
      <vt:variant>
        <vt:lpwstr>_Toc382553971</vt:lpwstr>
      </vt:variant>
      <vt:variant>
        <vt:i4>1966141</vt:i4>
      </vt:variant>
      <vt:variant>
        <vt:i4>86</vt:i4>
      </vt:variant>
      <vt:variant>
        <vt:i4>0</vt:i4>
      </vt:variant>
      <vt:variant>
        <vt:i4>5</vt:i4>
      </vt:variant>
      <vt:variant>
        <vt:lpwstr/>
      </vt:variant>
      <vt:variant>
        <vt:lpwstr>_Toc382553970</vt:lpwstr>
      </vt:variant>
      <vt:variant>
        <vt:i4>2031677</vt:i4>
      </vt:variant>
      <vt:variant>
        <vt:i4>80</vt:i4>
      </vt:variant>
      <vt:variant>
        <vt:i4>0</vt:i4>
      </vt:variant>
      <vt:variant>
        <vt:i4>5</vt:i4>
      </vt:variant>
      <vt:variant>
        <vt:lpwstr/>
      </vt:variant>
      <vt:variant>
        <vt:lpwstr>_Toc382553969</vt:lpwstr>
      </vt:variant>
      <vt:variant>
        <vt:i4>2031677</vt:i4>
      </vt:variant>
      <vt:variant>
        <vt:i4>74</vt:i4>
      </vt:variant>
      <vt:variant>
        <vt:i4>0</vt:i4>
      </vt:variant>
      <vt:variant>
        <vt:i4>5</vt:i4>
      </vt:variant>
      <vt:variant>
        <vt:lpwstr/>
      </vt:variant>
      <vt:variant>
        <vt:lpwstr>_Toc382553968</vt:lpwstr>
      </vt:variant>
      <vt:variant>
        <vt:i4>2031677</vt:i4>
      </vt:variant>
      <vt:variant>
        <vt:i4>65</vt:i4>
      </vt:variant>
      <vt:variant>
        <vt:i4>0</vt:i4>
      </vt:variant>
      <vt:variant>
        <vt:i4>5</vt:i4>
      </vt:variant>
      <vt:variant>
        <vt:lpwstr/>
      </vt:variant>
      <vt:variant>
        <vt:lpwstr>_Toc382553967</vt:lpwstr>
      </vt:variant>
      <vt:variant>
        <vt:i4>2031677</vt:i4>
      </vt:variant>
      <vt:variant>
        <vt:i4>59</vt:i4>
      </vt:variant>
      <vt:variant>
        <vt:i4>0</vt:i4>
      </vt:variant>
      <vt:variant>
        <vt:i4>5</vt:i4>
      </vt:variant>
      <vt:variant>
        <vt:lpwstr/>
      </vt:variant>
      <vt:variant>
        <vt:lpwstr>_Toc382553966</vt:lpwstr>
      </vt:variant>
      <vt:variant>
        <vt:i4>2031677</vt:i4>
      </vt:variant>
      <vt:variant>
        <vt:i4>53</vt:i4>
      </vt:variant>
      <vt:variant>
        <vt:i4>0</vt:i4>
      </vt:variant>
      <vt:variant>
        <vt:i4>5</vt:i4>
      </vt:variant>
      <vt:variant>
        <vt:lpwstr/>
      </vt:variant>
      <vt:variant>
        <vt:lpwstr>_Toc382553965</vt:lpwstr>
      </vt:variant>
      <vt:variant>
        <vt:i4>2031677</vt:i4>
      </vt:variant>
      <vt:variant>
        <vt:i4>44</vt:i4>
      </vt:variant>
      <vt:variant>
        <vt:i4>0</vt:i4>
      </vt:variant>
      <vt:variant>
        <vt:i4>5</vt:i4>
      </vt:variant>
      <vt:variant>
        <vt:lpwstr/>
      </vt:variant>
      <vt:variant>
        <vt:lpwstr>_Toc382553964</vt:lpwstr>
      </vt:variant>
      <vt:variant>
        <vt:i4>2031677</vt:i4>
      </vt:variant>
      <vt:variant>
        <vt:i4>38</vt:i4>
      </vt:variant>
      <vt:variant>
        <vt:i4>0</vt:i4>
      </vt:variant>
      <vt:variant>
        <vt:i4>5</vt:i4>
      </vt:variant>
      <vt:variant>
        <vt:lpwstr/>
      </vt:variant>
      <vt:variant>
        <vt:lpwstr>_Toc382553963</vt:lpwstr>
      </vt:variant>
      <vt:variant>
        <vt:i4>2031677</vt:i4>
      </vt:variant>
      <vt:variant>
        <vt:i4>32</vt:i4>
      </vt:variant>
      <vt:variant>
        <vt:i4>0</vt:i4>
      </vt:variant>
      <vt:variant>
        <vt:i4>5</vt:i4>
      </vt:variant>
      <vt:variant>
        <vt:lpwstr/>
      </vt:variant>
      <vt:variant>
        <vt:lpwstr>_Toc382553962</vt:lpwstr>
      </vt:variant>
      <vt:variant>
        <vt:i4>2031677</vt:i4>
      </vt:variant>
      <vt:variant>
        <vt:i4>26</vt:i4>
      </vt:variant>
      <vt:variant>
        <vt:i4>0</vt:i4>
      </vt:variant>
      <vt:variant>
        <vt:i4>5</vt:i4>
      </vt:variant>
      <vt:variant>
        <vt:lpwstr/>
      </vt:variant>
      <vt:variant>
        <vt:lpwstr>_Toc382553961</vt:lpwstr>
      </vt:variant>
      <vt:variant>
        <vt:i4>2031677</vt:i4>
      </vt:variant>
      <vt:variant>
        <vt:i4>20</vt:i4>
      </vt:variant>
      <vt:variant>
        <vt:i4>0</vt:i4>
      </vt:variant>
      <vt:variant>
        <vt:i4>5</vt:i4>
      </vt:variant>
      <vt:variant>
        <vt:lpwstr/>
      </vt:variant>
      <vt:variant>
        <vt:lpwstr>_Toc382553960</vt:lpwstr>
      </vt:variant>
      <vt:variant>
        <vt:i4>1835069</vt:i4>
      </vt:variant>
      <vt:variant>
        <vt:i4>14</vt:i4>
      </vt:variant>
      <vt:variant>
        <vt:i4>0</vt:i4>
      </vt:variant>
      <vt:variant>
        <vt:i4>5</vt:i4>
      </vt:variant>
      <vt:variant>
        <vt:lpwstr/>
      </vt:variant>
      <vt:variant>
        <vt:lpwstr>_Toc382553959</vt:lpwstr>
      </vt:variant>
      <vt:variant>
        <vt:i4>1835069</vt:i4>
      </vt:variant>
      <vt:variant>
        <vt:i4>8</vt:i4>
      </vt:variant>
      <vt:variant>
        <vt:i4>0</vt:i4>
      </vt:variant>
      <vt:variant>
        <vt:i4>5</vt:i4>
      </vt:variant>
      <vt:variant>
        <vt:lpwstr/>
      </vt:variant>
      <vt:variant>
        <vt:lpwstr>_Toc382553958</vt:lpwstr>
      </vt:variant>
      <vt:variant>
        <vt:i4>1835069</vt:i4>
      </vt:variant>
      <vt:variant>
        <vt:i4>2</vt:i4>
      </vt:variant>
      <vt:variant>
        <vt:i4>0</vt:i4>
      </vt:variant>
      <vt:variant>
        <vt:i4>5</vt:i4>
      </vt:variant>
      <vt:variant>
        <vt:lpwstr/>
      </vt:variant>
      <vt:variant>
        <vt:lpwstr>_Toc382553957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Benin Economic Update April, 2011</dc:title>
  <dc:subject>AFTP4</dc:subject>
  <dc:creator>Gregory Smith</dc:creator>
  <cp:lastModifiedBy>Jurgita Campbell</cp:lastModifiedBy>
  <cp:revision>4</cp:revision>
  <cp:lastPrinted>2014-10-23T18:34:00Z</cp:lastPrinted>
  <dcterms:created xsi:type="dcterms:W3CDTF">2014-10-23T14:23:00Z</dcterms:created>
  <dcterms:modified xsi:type="dcterms:W3CDTF">2014-10-23T18:34:00Z</dcterms:modified>
</cp:coreProperties>
</file>