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D9350" w14:textId="77777777" w:rsidR="00DE5775" w:rsidRPr="00327035" w:rsidRDefault="00DE5775" w:rsidP="00C7031A">
      <w:pPr>
        <w:shd w:val="clear" w:color="auto" w:fill="FFFFFF"/>
        <w:jc w:val="center"/>
        <w:textAlignment w:val="center"/>
        <w:rPr>
          <w:rFonts w:cs="Calibri"/>
          <w:color w:val="1F497D"/>
          <w:shd w:val="clear" w:color="auto" w:fill="FFFFFF"/>
        </w:rPr>
      </w:pPr>
    </w:p>
    <w:p w14:paraId="4ACC9110" w14:textId="7DF7F588" w:rsidR="00C7031A" w:rsidRPr="00327035" w:rsidRDefault="00C7031A" w:rsidP="00C7031A">
      <w:pPr>
        <w:shd w:val="clear" w:color="auto" w:fill="FFFFFF"/>
        <w:jc w:val="center"/>
        <w:textAlignment w:val="center"/>
        <w:rPr>
          <w:rFonts w:ascii="Segoe UI" w:hAnsi="Segoe UI" w:cs="Segoe UI"/>
          <w:sz w:val="17"/>
          <w:szCs w:val="17"/>
          <w:shd w:val="clear" w:color="auto" w:fill="FFFFFF"/>
        </w:rPr>
      </w:pPr>
    </w:p>
    <w:p w14:paraId="4ACC9113" w14:textId="77777777" w:rsidR="008E0DB1" w:rsidRPr="00327035" w:rsidRDefault="008E0DB1" w:rsidP="008E0DB1">
      <w:pPr>
        <w:spacing w:after="60"/>
        <w:jc w:val="center"/>
        <w:rPr>
          <w:b/>
        </w:rPr>
      </w:pPr>
    </w:p>
    <w:p w14:paraId="4ACC9114" w14:textId="77777777" w:rsidR="008E0DB1" w:rsidRPr="00327035" w:rsidRDefault="008E0DB1" w:rsidP="008E0DB1">
      <w:pPr>
        <w:spacing w:after="60"/>
        <w:jc w:val="center"/>
        <w:rPr>
          <w:b/>
          <w:sz w:val="36"/>
          <w:szCs w:val="36"/>
        </w:rPr>
      </w:pPr>
    </w:p>
    <w:p w14:paraId="4ACC9115" w14:textId="77777777" w:rsidR="008E0DB1" w:rsidRPr="00327035" w:rsidRDefault="008E0DB1" w:rsidP="008E0DB1">
      <w:pPr>
        <w:spacing w:after="60"/>
        <w:jc w:val="center"/>
        <w:rPr>
          <w:b/>
          <w:sz w:val="36"/>
          <w:szCs w:val="36"/>
        </w:rPr>
      </w:pPr>
    </w:p>
    <w:p w14:paraId="4ACC9116" w14:textId="77777777" w:rsidR="008E0DB1" w:rsidRPr="00327035" w:rsidRDefault="008E0DB1" w:rsidP="008E0DB1">
      <w:pPr>
        <w:spacing w:after="60"/>
        <w:jc w:val="center"/>
        <w:rPr>
          <w:b/>
          <w:sz w:val="36"/>
          <w:szCs w:val="36"/>
        </w:rPr>
      </w:pPr>
    </w:p>
    <w:p w14:paraId="4ACC9117" w14:textId="77777777" w:rsidR="008E0DB1" w:rsidRPr="00327035" w:rsidRDefault="008E0DB1" w:rsidP="008E0DB1">
      <w:pPr>
        <w:spacing w:after="60"/>
        <w:jc w:val="center"/>
        <w:rPr>
          <w:b/>
          <w:sz w:val="36"/>
          <w:szCs w:val="36"/>
        </w:rPr>
      </w:pPr>
    </w:p>
    <w:p w14:paraId="22455B88" w14:textId="35414F04" w:rsidR="00A958E7" w:rsidRPr="007120E5" w:rsidRDefault="00F82960" w:rsidP="00A958E7">
      <w:pPr>
        <w:pStyle w:val="Title"/>
        <w:jc w:val="left"/>
        <w:rPr>
          <w:rFonts w:asciiTheme="minorHAnsi" w:hAnsiTheme="minorHAnsi"/>
          <w:sz w:val="52"/>
          <w:szCs w:val="52"/>
        </w:rPr>
      </w:pPr>
      <w:r>
        <w:rPr>
          <w:rFonts w:asciiTheme="minorHAnsi" w:hAnsiTheme="minorHAnsi"/>
          <w:sz w:val="52"/>
          <w:szCs w:val="52"/>
        </w:rPr>
        <w:t>Turkey</w:t>
      </w:r>
      <w:r w:rsidR="00A958E7" w:rsidRPr="007120E5">
        <w:rPr>
          <w:rFonts w:asciiTheme="minorHAnsi" w:hAnsiTheme="minorHAnsi"/>
          <w:sz w:val="52"/>
          <w:szCs w:val="52"/>
        </w:rPr>
        <w:t>:</w:t>
      </w:r>
    </w:p>
    <w:p w14:paraId="59D529A6" w14:textId="25812C83" w:rsidR="00A958E7" w:rsidRPr="007120E5" w:rsidRDefault="00F82960" w:rsidP="00A958E7">
      <w:pPr>
        <w:pStyle w:val="Title"/>
        <w:jc w:val="left"/>
        <w:rPr>
          <w:rFonts w:asciiTheme="minorHAnsi" w:hAnsiTheme="minorHAnsi"/>
          <w:sz w:val="52"/>
          <w:szCs w:val="52"/>
        </w:rPr>
      </w:pPr>
      <w:r>
        <w:rPr>
          <w:rFonts w:asciiTheme="minorHAnsi" w:hAnsiTheme="minorHAnsi"/>
          <w:sz w:val="52"/>
          <w:szCs w:val="52"/>
        </w:rPr>
        <w:t>Rooftop Solar Market Assessment</w:t>
      </w:r>
    </w:p>
    <w:p w14:paraId="61ABBCD0" w14:textId="6795722F" w:rsidR="00A958E7" w:rsidRPr="000E0A64" w:rsidRDefault="0008132E" w:rsidP="00A958E7">
      <w:pPr>
        <w:spacing w:before="60" w:after="180"/>
        <w:rPr>
          <w:rFonts w:asciiTheme="minorHAnsi" w:hAnsiTheme="minorHAnsi"/>
          <w:b/>
          <w:sz w:val="44"/>
          <w:szCs w:val="44"/>
        </w:rPr>
      </w:pPr>
      <w:r>
        <w:rPr>
          <w:rFonts w:asciiTheme="minorHAnsi" w:hAnsiTheme="minorHAnsi"/>
          <w:b/>
          <w:sz w:val="44"/>
          <w:szCs w:val="44"/>
        </w:rPr>
        <w:t>Summary Note</w:t>
      </w:r>
    </w:p>
    <w:p w14:paraId="14776CE7" w14:textId="43846C48" w:rsidR="00A958E7" w:rsidRPr="007120E5" w:rsidRDefault="00F82960" w:rsidP="00A958E7">
      <w:pPr>
        <w:spacing w:before="60" w:after="180"/>
        <w:rPr>
          <w:rFonts w:asciiTheme="minorHAnsi" w:hAnsiTheme="minorHAnsi"/>
          <w:b/>
          <w:sz w:val="32"/>
          <w:szCs w:val="32"/>
        </w:rPr>
      </w:pPr>
      <w:r>
        <w:rPr>
          <w:rFonts w:asciiTheme="minorHAnsi" w:hAnsiTheme="minorHAnsi"/>
          <w:b/>
          <w:sz w:val="32"/>
          <w:szCs w:val="32"/>
        </w:rPr>
        <w:t xml:space="preserve">February </w:t>
      </w:r>
      <w:r w:rsidR="00A958E7" w:rsidRPr="007120E5">
        <w:rPr>
          <w:rFonts w:asciiTheme="minorHAnsi" w:hAnsiTheme="minorHAnsi"/>
          <w:b/>
          <w:sz w:val="32"/>
          <w:szCs w:val="32"/>
        </w:rPr>
        <w:t>201</w:t>
      </w:r>
      <w:r>
        <w:rPr>
          <w:rFonts w:asciiTheme="minorHAnsi" w:hAnsiTheme="minorHAnsi"/>
          <w:b/>
          <w:sz w:val="32"/>
          <w:szCs w:val="32"/>
        </w:rPr>
        <w:t>8</w:t>
      </w:r>
    </w:p>
    <w:p w14:paraId="4ACC9119" w14:textId="77777777" w:rsidR="008E0DB1" w:rsidRPr="00327035" w:rsidRDefault="008E0DB1" w:rsidP="008E0DB1">
      <w:pPr>
        <w:spacing w:after="60"/>
        <w:jc w:val="center"/>
        <w:rPr>
          <w:b/>
          <w:sz w:val="36"/>
          <w:szCs w:val="36"/>
        </w:rPr>
      </w:pPr>
    </w:p>
    <w:p w14:paraId="4ACC9120" w14:textId="77777777" w:rsidR="008E0DB1" w:rsidRDefault="008E0DB1" w:rsidP="008E0DB1">
      <w:pPr>
        <w:spacing w:after="60"/>
        <w:jc w:val="center"/>
        <w:rPr>
          <w:b/>
          <w:sz w:val="36"/>
          <w:szCs w:val="36"/>
        </w:rPr>
      </w:pPr>
    </w:p>
    <w:p w14:paraId="4B9BB97F" w14:textId="77777777" w:rsidR="00A958E7" w:rsidRDefault="00A958E7" w:rsidP="008E0DB1">
      <w:pPr>
        <w:spacing w:after="60"/>
        <w:jc w:val="center"/>
        <w:rPr>
          <w:b/>
          <w:sz w:val="36"/>
          <w:szCs w:val="36"/>
        </w:rPr>
      </w:pPr>
    </w:p>
    <w:p w14:paraId="30280FEF" w14:textId="77777777" w:rsidR="00A958E7" w:rsidRDefault="00A958E7" w:rsidP="008E0DB1">
      <w:pPr>
        <w:spacing w:after="60"/>
        <w:jc w:val="center"/>
        <w:rPr>
          <w:b/>
          <w:sz w:val="36"/>
          <w:szCs w:val="36"/>
        </w:rPr>
      </w:pPr>
    </w:p>
    <w:p w14:paraId="46F04771" w14:textId="77777777" w:rsidR="00A958E7" w:rsidRPr="00327035" w:rsidRDefault="00A958E7" w:rsidP="008E0DB1">
      <w:pPr>
        <w:spacing w:after="60"/>
        <w:jc w:val="center"/>
        <w:rPr>
          <w:b/>
          <w:sz w:val="36"/>
          <w:szCs w:val="36"/>
        </w:rPr>
      </w:pPr>
    </w:p>
    <w:p w14:paraId="4ACC9121" w14:textId="77777777" w:rsidR="008E0DB1" w:rsidRPr="00327035" w:rsidRDefault="008E0DB1" w:rsidP="008E0DB1">
      <w:pPr>
        <w:spacing w:after="60"/>
        <w:jc w:val="center"/>
        <w:rPr>
          <w:b/>
          <w:sz w:val="36"/>
          <w:szCs w:val="36"/>
        </w:rPr>
      </w:pPr>
    </w:p>
    <w:p w14:paraId="4ACC9122" w14:textId="48797563" w:rsidR="008E0DB1" w:rsidRDefault="008E0DB1" w:rsidP="008E0DB1">
      <w:pPr>
        <w:spacing w:after="60"/>
        <w:jc w:val="center"/>
        <w:rPr>
          <w:b/>
          <w:sz w:val="36"/>
          <w:szCs w:val="36"/>
        </w:rPr>
      </w:pPr>
    </w:p>
    <w:p w14:paraId="76992D21" w14:textId="77777777" w:rsidR="00BC5A08" w:rsidRPr="00327035" w:rsidRDefault="00BC5A08" w:rsidP="008E0DB1">
      <w:pPr>
        <w:spacing w:after="60"/>
        <w:jc w:val="center"/>
        <w:rPr>
          <w:b/>
          <w:sz w:val="36"/>
          <w:szCs w:val="36"/>
        </w:rPr>
      </w:pPr>
    </w:p>
    <w:p w14:paraId="4ACC9126" w14:textId="77777777" w:rsidR="008E0DB1" w:rsidRPr="00327035" w:rsidRDefault="008E0DB1" w:rsidP="008E0DB1">
      <w:pPr>
        <w:spacing w:after="60"/>
        <w:jc w:val="center"/>
        <w:rPr>
          <w:b/>
          <w:sz w:val="36"/>
          <w:szCs w:val="36"/>
        </w:rPr>
      </w:pPr>
    </w:p>
    <w:p w14:paraId="2C55DC8A" w14:textId="77777777" w:rsidR="00A958E7" w:rsidRDefault="00A958E7" w:rsidP="00BC5A08">
      <w:pPr>
        <w:spacing w:before="0" w:after="0"/>
        <w:jc w:val="center"/>
        <w:rPr>
          <w:b/>
        </w:rPr>
      </w:pPr>
    </w:p>
    <w:p w14:paraId="74FA7219" w14:textId="77777777" w:rsidR="00A958E7" w:rsidRPr="002463BC" w:rsidRDefault="00A958E7" w:rsidP="00A958E7">
      <w:pPr>
        <w:spacing w:before="60" w:after="180"/>
        <w:rPr>
          <w:rFonts w:ascii="Calibri" w:hAnsi="Calibri"/>
          <w:b/>
          <w:sz w:val="30"/>
        </w:rPr>
      </w:pPr>
      <w:r>
        <w:rPr>
          <w:rFonts w:ascii="Calibri" w:hAnsi="Calibri"/>
          <w:b/>
          <w:noProof/>
          <w:sz w:val="30"/>
          <w:lang w:eastAsia="en-US"/>
        </w:rPr>
        <w:drawing>
          <wp:anchor distT="0" distB="0" distL="114300" distR="114300" simplePos="0" relativeHeight="251659264" behindDoc="0" locked="0" layoutInCell="1" allowOverlap="1" wp14:anchorId="13F1F612" wp14:editId="4479BF12">
            <wp:simplePos x="0" y="0"/>
            <wp:positionH relativeFrom="column">
              <wp:posOffset>0</wp:posOffset>
            </wp:positionH>
            <wp:positionV relativeFrom="paragraph">
              <wp:posOffset>144780</wp:posOffset>
            </wp:positionV>
            <wp:extent cx="3656330" cy="717550"/>
            <wp:effectExtent l="0" t="0" r="1270" b="6350"/>
            <wp:wrapSquare wrapText="bothSides"/>
            <wp:docPr id="27" name="Picture 27" descr="WBG_Horizontal-RGB-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G_Horizontal-RGB-hig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633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F80C5D" w14:textId="77777777" w:rsidR="00A958E7" w:rsidRPr="002463BC" w:rsidRDefault="00A958E7" w:rsidP="00A958E7">
      <w:pPr>
        <w:spacing w:before="60" w:after="180"/>
        <w:rPr>
          <w:rFonts w:ascii="Calibri" w:hAnsi="Calibri"/>
          <w:b/>
          <w:sz w:val="30"/>
        </w:rPr>
      </w:pPr>
    </w:p>
    <w:p w14:paraId="34FF1930" w14:textId="77777777" w:rsidR="00A958E7" w:rsidRPr="002463BC" w:rsidRDefault="00A958E7" w:rsidP="00A958E7">
      <w:pPr>
        <w:spacing w:before="60" w:after="180"/>
        <w:rPr>
          <w:rFonts w:ascii="Calibri" w:hAnsi="Calibri"/>
          <w:b/>
          <w:sz w:val="30"/>
        </w:rPr>
      </w:pPr>
    </w:p>
    <w:p w14:paraId="39761244" w14:textId="77777777" w:rsidR="00A958E7" w:rsidRPr="00D96167" w:rsidRDefault="00A958E7" w:rsidP="00A958E7">
      <w:pPr>
        <w:rPr>
          <w:rFonts w:ascii="Calibri" w:hAnsi="Calibri" w:cs="Arial"/>
          <w:b/>
          <w:bCs/>
        </w:rPr>
      </w:pPr>
      <w:bookmarkStart w:id="0" w:name="_Toc68955302"/>
      <w:r>
        <w:rPr>
          <w:rFonts w:ascii="Calibri" w:hAnsi="Calibri" w:cs="Arial"/>
          <w:b/>
          <w:bCs/>
        </w:rPr>
        <w:t>Energy and Extractives Global Practice Group</w:t>
      </w:r>
    </w:p>
    <w:p w14:paraId="01A78DA7" w14:textId="77777777" w:rsidR="00A958E7" w:rsidRPr="00D96167" w:rsidRDefault="00A958E7" w:rsidP="00BC5A08">
      <w:pPr>
        <w:spacing w:before="60" w:after="0"/>
        <w:rPr>
          <w:rFonts w:ascii="Calibri" w:hAnsi="Calibri" w:cs="Arial"/>
          <w:b/>
          <w:sz w:val="30"/>
        </w:rPr>
      </w:pPr>
      <w:r w:rsidRPr="00D96167">
        <w:rPr>
          <w:rFonts w:ascii="Calibri" w:hAnsi="Calibri" w:cs="Arial"/>
          <w:b/>
          <w:bCs/>
        </w:rPr>
        <w:t>Europe and Central Asia Region</w:t>
      </w:r>
      <w:bookmarkEnd w:id="0"/>
      <w:r w:rsidRPr="00D96167">
        <w:rPr>
          <w:rFonts w:ascii="Calibri" w:hAnsi="Calibri" w:cs="Arial"/>
          <w:b/>
          <w:bCs/>
        </w:rPr>
        <w:t xml:space="preserve"> (ECA)</w:t>
      </w:r>
    </w:p>
    <w:p w14:paraId="4ACC912B" w14:textId="77777777" w:rsidR="00F33BA2" w:rsidRPr="00327035" w:rsidRDefault="00F33BA2" w:rsidP="00BC5A08">
      <w:pPr>
        <w:spacing w:before="0" w:after="0"/>
        <w:rPr>
          <w:b/>
          <w:sz w:val="28"/>
          <w:szCs w:val="28"/>
        </w:rPr>
      </w:pPr>
      <w:r w:rsidRPr="00327035">
        <w:rPr>
          <w:b/>
          <w:sz w:val="28"/>
          <w:szCs w:val="28"/>
        </w:rPr>
        <w:br w:type="page"/>
      </w:r>
    </w:p>
    <w:p w14:paraId="699D4918" w14:textId="77777777" w:rsidR="00F82960" w:rsidRPr="00F82960" w:rsidRDefault="00F82960" w:rsidP="00F82960">
      <w:pPr>
        <w:pStyle w:val="Heading1"/>
        <w:numPr>
          <w:ilvl w:val="0"/>
          <w:numId w:val="0"/>
        </w:numPr>
        <w:spacing w:before="0"/>
        <w:rPr>
          <w:rFonts w:asciiTheme="minorHAnsi" w:hAnsiTheme="minorHAnsi"/>
          <w:color w:val="244061" w:themeColor="accent1" w:themeShade="80"/>
          <w:sz w:val="32"/>
          <w:szCs w:val="32"/>
          <w:u w:val="none"/>
          <w:lang w:eastAsia="en-US"/>
        </w:rPr>
      </w:pPr>
      <w:bookmarkStart w:id="1" w:name="_Toc505699490"/>
      <w:r w:rsidRPr="00F82960">
        <w:rPr>
          <w:rFonts w:asciiTheme="minorHAnsi" w:hAnsiTheme="minorHAnsi"/>
          <w:bCs w:val="0"/>
          <w:color w:val="244061" w:themeColor="accent1" w:themeShade="80"/>
          <w:u w:val="none"/>
        </w:rPr>
        <w:lastRenderedPageBreak/>
        <w:t>Acknowledgements</w:t>
      </w:r>
      <w:bookmarkEnd w:id="1"/>
    </w:p>
    <w:p w14:paraId="520A0113" w14:textId="77777777" w:rsidR="00F82960" w:rsidRDefault="00F82960" w:rsidP="00F82960">
      <w:pPr>
        <w:spacing w:after="0"/>
        <w:rPr>
          <w:rFonts w:asciiTheme="minorHAnsi" w:hAnsiTheme="minorHAnsi"/>
        </w:rPr>
      </w:pPr>
    </w:p>
    <w:p w14:paraId="64D80A32" w14:textId="646D2521" w:rsidR="00F82960" w:rsidRDefault="00F82960" w:rsidP="00F82960">
      <w:pPr>
        <w:widowControl w:val="0"/>
        <w:snapToGrid w:val="0"/>
        <w:spacing w:after="240"/>
      </w:pPr>
      <w:r>
        <w:t>This report presents a summary of the main findings from the technical assistance activity “Turkey: Rooftop Solar PV Assessment,” which was financed by the Energy Sector Management Assistance Program (ESMAP) together with the World Bank’s Europe and Central Asia Region.</w:t>
      </w:r>
      <w:r w:rsidR="00D33F4C">
        <w:t xml:space="preserve"> The activity included a market </w:t>
      </w:r>
      <w:r w:rsidR="00F00693">
        <w:t>questionnaire</w:t>
      </w:r>
      <w:r w:rsidR="00D33F4C">
        <w:t xml:space="preserve">, </w:t>
      </w:r>
      <w:r w:rsidR="00A32D5E">
        <w:t xml:space="preserve">estimation of the technical and market potentials, </w:t>
      </w:r>
      <w:r w:rsidR="00D33F4C">
        <w:t>site visits to 18 buildings with representatives from the Ministry of Energy and Natural Resources (MENR), a market assessment report, a prefeasibility study report</w:t>
      </w:r>
      <w:r w:rsidR="00A32D5E">
        <w:t xml:space="preserve"> for the 18 site visits</w:t>
      </w:r>
      <w:r w:rsidR="00D33F4C">
        <w:t xml:space="preserve">, </w:t>
      </w:r>
      <w:r w:rsidR="00A32D5E">
        <w:t xml:space="preserve">development of a </w:t>
      </w:r>
      <w:r w:rsidR="00D33F4C">
        <w:t>roadmap and implementation plan, a roundtable discussion and a final report.</w:t>
      </w:r>
      <w:r w:rsidR="00A32D5E">
        <w:t xml:space="preserve"> This document is a summary of the final report.</w:t>
      </w:r>
      <w:r w:rsidR="00BC5A08">
        <w:t xml:space="preserve"> (The full final consultant report is available upon request.)</w:t>
      </w:r>
    </w:p>
    <w:p w14:paraId="1B7F9326" w14:textId="36114AEA" w:rsidR="00F82960" w:rsidRDefault="00F82960" w:rsidP="00F82960">
      <w:pPr>
        <w:widowControl w:val="0"/>
        <w:snapToGrid w:val="0"/>
        <w:spacing w:after="240"/>
      </w:pPr>
      <w:r>
        <w:t xml:space="preserve">The full technical report was prepared by the Tetra Tech team, which included Ujjwal Bhattacharjee, Rakesh Kumar Goyal, Apoorv Nagpal, Sugandha Chauhan, Shahab Alam from Tetra Tech ES India Pvt. Ltd.; Wietze Lise, Mehmet Kocaoglu, Gokhan Tosun, Duygu Kucukbahar-Beygo and Ismail Ozdamar from AF Mercados Turkey; Shirish Garud and Alekhya Datta from TERI India. The Tetra Tech team acknowledges the close cooperation and support from </w:t>
      </w:r>
      <w:r w:rsidR="00D33F4C">
        <w:t>M</w:t>
      </w:r>
      <w:r>
        <w:t>ENR, including Mr. Oguz Can, Ms. Dilan Kavruk, Mr. Mustafa Caliskan and Mr. Sebahattin Oz. The Bank team was led by Jas Singh and Yasemin Örücü, and included Almudena Mateos Merino and Pranay Kohli (Solar Consultant).</w:t>
      </w:r>
    </w:p>
    <w:p w14:paraId="1F505983" w14:textId="5D52DF78" w:rsidR="00F82960" w:rsidRDefault="00A32D5E" w:rsidP="00F82960">
      <w:pPr>
        <w:spacing w:after="240"/>
        <w:rPr>
          <w:rFonts w:eastAsiaTheme="minorHAnsi" w:cstheme="minorBidi"/>
        </w:rPr>
      </w:pPr>
      <w:r>
        <w:rPr>
          <w:snapToGrid w:val="0"/>
        </w:rPr>
        <w:t>The</w:t>
      </w:r>
      <w:r w:rsidR="00F82960">
        <w:rPr>
          <w:snapToGrid w:val="0"/>
        </w:rPr>
        <w:t xml:space="preserve"> roundtable discussion was held on December 14, 2017 in Ankara to discuss and debate some of the report’s preliminary findings and recommendations. The Bank team appreciated the comments and feedback received from the many government and private sector participants.</w:t>
      </w:r>
    </w:p>
    <w:p w14:paraId="7B29F4B2" w14:textId="356E9E6A" w:rsidR="00F82960" w:rsidRDefault="00F82960" w:rsidP="000A1B45">
      <w:pPr>
        <w:pStyle w:val="Normal0"/>
        <w:spacing w:after="180" w:line="257" w:lineRule="auto"/>
        <w:jc w:val="both"/>
        <w:rPr>
          <w:rFonts w:ascii="Times New Roman" w:hAnsi="Times New Roman"/>
          <w:b/>
          <w:sz w:val="24"/>
        </w:rPr>
      </w:pPr>
    </w:p>
    <w:p w14:paraId="6FC00B44" w14:textId="6E2CB5E3" w:rsidR="00F82960" w:rsidRDefault="00F82960">
      <w:pPr>
        <w:spacing w:before="0" w:after="200" w:line="276" w:lineRule="auto"/>
        <w:rPr>
          <w:rFonts w:eastAsia="Calibri"/>
          <w:b/>
          <w:szCs w:val="22"/>
          <w:lang w:eastAsia="en-US"/>
        </w:rPr>
      </w:pPr>
      <w:r>
        <w:rPr>
          <w:b/>
        </w:rPr>
        <w:br w:type="page"/>
      </w:r>
    </w:p>
    <w:p w14:paraId="0CFD5F24" w14:textId="50FFBD7D" w:rsidR="00F82960" w:rsidRDefault="00F82960" w:rsidP="000A1B45">
      <w:pPr>
        <w:pStyle w:val="Normal0"/>
        <w:spacing w:after="180" w:line="257" w:lineRule="auto"/>
        <w:jc w:val="both"/>
        <w:rPr>
          <w:rFonts w:ascii="Times New Roman" w:hAnsi="Times New Roman"/>
          <w:b/>
          <w:sz w:val="24"/>
        </w:rPr>
      </w:pPr>
      <w:r>
        <w:rPr>
          <w:rFonts w:ascii="Times New Roman" w:hAnsi="Times New Roman"/>
          <w:b/>
          <w:sz w:val="24"/>
        </w:rPr>
        <w:lastRenderedPageBreak/>
        <w:t>Summary of Activity and Final Report</w:t>
      </w:r>
    </w:p>
    <w:p w14:paraId="14D7700F" w14:textId="77777777" w:rsidR="00F82960" w:rsidRDefault="00F82960" w:rsidP="00F82960">
      <w:pPr>
        <w:spacing w:after="0"/>
        <w:rPr>
          <w:b/>
          <w:bCs/>
          <w:color w:val="002060"/>
        </w:rPr>
      </w:pPr>
    </w:p>
    <w:p w14:paraId="0BCCCC14" w14:textId="2C9BBE9C" w:rsidR="00F82960" w:rsidRDefault="00F82960" w:rsidP="00F82960">
      <w:pPr>
        <w:spacing w:after="0"/>
      </w:pPr>
      <w:r>
        <w:rPr>
          <w:b/>
          <w:bCs/>
          <w:color w:val="002060"/>
        </w:rPr>
        <w:t>Introduction</w:t>
      </w:r>
    </w:p>
    <w:p w14:paraId="776F23D9" w14:textId="4A73737C" w:rsidR="00F82960" w:rsidRPr="00F82960" w:rsidRDefault="00F82960" w:rsidP="00F82960">
      <w:pPr>
        <w:rPr>
          <w:rFonts w:asciiTheme="minorHAnsi" w:hAnsiTheme="minorHAnsi" w:cstheme="minorHAnsi"/>
          <w:sz w:val="22"/>
          <w:szCs w:val="22"/>
          <w:lang w:eastAsia="en-US"/>
        </w:rPr>
      </w:pPr>
      <w:r w:rsidRPr="00F82960">
        <w:rPr>
          <w:rFonts w:asciiTheme="minorHAnsi" w:hAnsiTheme="minorHAnsi" w:cstheme="minorHAnsi"/>
        </w:rPr>
        <w:t xml:space="preserve">Turkey has significant renewable energy (RE) potential, including solar, mainly as a result of its geographic location. Taking advantage of this potential will decrease the country’s dependence on imported fossil fuels as well as reduce greenhouse gas emissions. Recognizing this, the government has established a target of at least 30% (or 127.3 TWh) of the total electricity generation from RE by 2023. In addition, it has set targets of 3 GW of installed solar power by 2019 and 5 GW by 2023. As a result, the solar market in Turkey has grown exponentially over the last few years, with installed solar capacity growing from 40 MW in 2014 to </w:t>
      </w:r>
      <w:r w:rsidR="00A32D5E">
        <w:rPr>
          <w:rFonts w:asciiTheme="minorHAnsi" w:hAnsiTheme="minorHAnsi" w:cstheme="minorHAnsi"/>
        </w:rPr>
        <w:t>about 3,421 MW at the end of 2017.</w:t>
      </w:r>
    </w:p>
    <w:p w14:paraId="2D9CC95D" w14:textId="16A19381" w:rsidR="00F82960" w:rsidRPr="00F82960" w:rsidRDefault="00F82960" w:rsidP="00F82960">
      <w:pPr>
        <w:rPr>
          <w:rFonts w:asciiTheme="minorHAnsi" w:hAnsiTheme="minorHAnsi" w:cstheme="minorHAnsi"/>
        </w:rPr>
      </w:pPr>
      <w:r w:rsidRPr="00F82960">
        <w:rPr>
          <w:rFonts w:asciiTheme="minorHAnsi" w:hAnsiTheme="minorHAnsi" w:cstheme="minorHAnsi"/>
        </w:rPr>
        <w:t xml:space="preserve">The solar boom in Turkey </w:t>
      </w:r>
      <w:r w:rsidR="00A32D5E">
        <w:rPr>
          <w:rFonts w:asciiTheme="minorHAnsi" w:hAnsiTheme="minorHAnsi" w:cstheme="minorHAnsi"/>
        </w:rPr>
        <w:t xml:space="preserve">to date </w:t>
      </w:r>
      <w:r w:rsidRPr="00F82960">
        <w:rPr>
          <w:rFonts w:asciiTheme="minorHAnsi" w:hAnsiTheme="minorHAnsi" w:cstheme="minorHAnsi"/>
        </w:rPr>
        <w:t>has been primarily limited to larger</w:t>
      </w:r>
      <w:r w:rsidR="00A32D5E">
        <w:rPr>
          <w:rFonts w:asciiTheme="minorHAnsi" w:hAnsiTheme="minorHAnsi" w:cstheme="minorHAnsi"/>
        </w:rPr>
        <w:t>, ground-based</w:t>
      </w:r>
      <w:r w:rsidRPr="00F82960">
        <w:rPr>
          <w:rFonts w:asciiTheme="minorHAnsi" w:hAnsiTheme="minorHAnsi" w:cstheme="minorHAnsi"/>
        </w:rPr>
        <w:t xml:space="preserve"> projects. Most of them are, however, under 1 MW in size in order to take advantage of the unlicensed feed-in-tariff (FiT) schemes. In contrast, in countries with more developed solar markets, such as Germany, the United States and Japan, a significant portion of solar capacity is produced by rooftop solar photovoltaic (RSPV) applications with 1 kW to 10 MW capacities. Given the fast pace of urbanization and corresponding residential, commercial and industrial markets, th</w:t>
      </w:r>
      <w:r w:rsidR="00A32D5E">
        <w:rPr>
          <w:rFonts w:asciiTheme="minorHAnsi" w:hAnsiTheme="minorHAnsi" w:cstheme="minorHAnsi"/>
        </w:rPr>
        <w:t>e</w:t>
      </w:r>
      <w:r w:rsidRPr="00F82960">
        <w:rPr>
          <w:rFonts w:asciiTheme="minorHAnsi" w:hAnsiTheme="minorHAnsi" w:cstheme="minorHAnsi"/>
        </w:rPr>
        <w:t xml:space="preserve"> study conclude</w:t>
      </w:r>
      <w:r w:rsidR="00A32D5E">
        <w:rPr>
          <w:rFonts w:asciiTheme="minorHAnsi" w:hAnsiTheme="minorHAnsi" w:cstheme="minorHAnsi"/>
        </w:rPr>
        <w:t>d</w:t>
      </w:r>
      <w:r w:rsidRPr="00F82960">
        <w:rPr>
          <w:rFonts w:asciiTheme="minorHAnsi" w:hAnsiTheme="minorHAnsi" w:cstheme="minorHAnsi"/>
        </w:rPr>
        <w:t xml:space="preserve"> that there is a significant potential for RSPV deployment in Turkey. A first-order assessment of the RSPV market potential has been carried out at the request of the Ministry of Energy and Natural Resources (MENR) and its Directorate General for Renewable Energy (DGRE) with financial and technical support from the World Bank</w:t>
      </w:r>
      <w:r w:rsidR="00A32D5E">
        <w:rPr>
          <w:rFonts w:asciiTheme="minorHAnsi" w:hAnsiTheme="minorHAnsi" w:cstheme="minorHAnsi"/>
        </w:rPr>
        <w:t xml:space="preserve"> and ESMAP</w:t>
      </w:r>
      <w:r w:rsidRPr="00F82960">
        <w:rPr>
          <w:rFonts w:asciiTheme="minorHAnsi" w:hAnsiTheme="minorHAnsi" w:cstheme="minorHAnsi"/>
        </w:rPr>
        <w:t>. Th</w:t>
      </w:r>
      <w:r w:rsidR="00A32D5E">
        <w:rPr>
          <w:rFonts w:asciiTheme="minorHAnsi" w:hAnsiTheme="minorHAnsi" w:cstheme="minorHAnsi"/>
        </w:rPr>
        <w:t>e</w:t>
      </w:r>
      <w:r w:rsidRPr="00F82960">
        <w:rPr>
          <w:rFonts w:asciiTheme="minorHAnsi" w:hAnsiTheme="minorHAnsi" w:cstheme="minorHAnsi"/>
        </w:rPr>
        <w:t xml:space="preserve"> report also presents a roadmap for the development of the RSPV market in Turkey. </w:t>
      </w:r>
    </w:p>
    <w:p w14:paraId="738B34EF" w14:textId="154EF1D3" w:rsidR="00F82960" w:rsidRPr="00F82960" w:rsidRDefault="00F82960" w:rsidP="00F82960">
      <w:pPr>
        <w:rPr>
          <w:rFonts w:asciiTheme="minorHAnsi" w:hAnsiTheme="minorHAnsi" w:cstheme="minorHAnsi"/>
        </w:rPr>
      </w:pPr>
      <w:r w:rsidRPr="00F82960">
        <w:rPr>
          <w:rFonts w:asciiTheme="minorHAnsi" w:hAnsiTheme="minorHAnsi" w:cstheme="minorHAnsi"/>
        </w:rPr>
        <w:t>The market assessment include</w:t>
      </w:r>
      <w:r w:rsidR="00A32D5E">
        <w:rPr>
          <w:rFonts w:asciiTheme="minorHAnsi" w:hAnsiTheme="minorHAnsi" w:cstheme="minorHAnsi"/>
        </w:rPr>
        <w:t>d</w:t>
      </w:r>
      <w:r w:rsidRPr="00F82960">
        <w:rPr>
          <w:rFonts w:asciiTheme="minorHAnsi" w:hAnsiTheme="minorHAnsi" w:cstheme="minorHAnsi"/>
        </w:rPr>
        <w:t xml:space="preserve"> </w:t>
      </w:r>
      <w:r w:rsidR="00A32D5E">
        <w:rPr>
          <w:rFonts w:asciiTheme="minorHAnsi" w:hAnsiTheme="minorHAnsi" w:cstheme="minorHAnsi"/>
        </w:rPr>
        <w:t>four</w:t>
      </w:r>
      <w:r w:rsidRPr="00F82960">
        <w:rPr>
          <w:rFonts w:asciiTheme="minorHAnsi" w:hAnsiTheme="minorHAnsi" w:cstheme="minorHAnsi"/>
        </w:rPr>
        <w:t xml:space="preserve"> main consumer sectors: </w:t>
      </w:r>
      <w:r w:rsidR="00A32D5E">
        <w:rPr>
          <w:rFonts w:asciiTheme="minorHAnsi" w:hAnsiTheme="minorHAnsi" w:cstheme="minorHAnsi"/>
        </w:rPr>
        <w:t xml:space="preserve">(i) </w:t>
      </w:r>
      <w:r w:rsidRPr="00F82960">
        <w:rPr>
          <w:rFonts w:asciiTheme="minorHAnsi" w:hAnsiTheme="minorHAnsi" w:cstheme="minorHAnsi"/>
        </w:rPr>
        <w:t>residential</w:t>
      </w:r>
      <w:r w:rsidR="00A32D5E">
        <w:rPr>
          <w:rFonts w:asciiTheme="minorHAnsi" w:hAnsiTheme="minorHAnsi" w:cstheme="minorHAnsi"/>
        </w:rPr>
        <w:t xml:space="preserve"> buildings including single-family and multifamily apartment buildings (MABs); (ii) </w:t>
      </w:r>
      <w:r w:rsidRPr="00F82960">
        <w:rPr>
          <w:rFonts w:asciiTheme="minorHAnsi" w:hAnsiTheme="minorHAnsi" w:cstheme="minorHAnsi"/>
        </w:rPr>
        <w:t xml:space="preserve">commercial </w:t>
      </w:r>
      <w:r w:rsidR="00A32D5E">
        <w:rPr>
          <w:rFonts w:asciiTheme="minorHAnsi" w:hAnsiTheme="minorHAnsi" w:cstheme="minorHAnsi"/>
        </w:rPr>
        <w:t xml:space="preserve">buildings; (iii) </w:t>
      </w:r>
      <w:r w:rsidRPr="00F82960">
        <w:rPr>
          <w:rFonts w:asciiTheme="minorHAnsi" w:hAnsiTheme="minorHAnsi" w:cstheme="minorHAnsi"/>
        </w:rPr>
        <w:t>industrial</w:t>
      </w:r>
      <w:r w:rsidR="00A32D5E">
        <w:rPr>
          <w:rFonts w:asciiTheme="minorHAnsi" w:hAnsiTheme="minorHAnsi" w:cstheme="minorHAnsi"/>
        </w:rPr>
        <w:t xml:space="preserve"> facilities; and (iv) government </w:t>
      </w:r>
      <w:r w:rsidRPr="00F82960">
        <w:rPr>
          <w:rFonts w:asciiTheme="minorHAnsi" w:hAnsiTheme="minorHAnsi" w:cstheme="minorHAnsi"/>
        </w:rPr>
        <w:t xml:space="preserve">buildings. </w:t>
      </w:r>
      <w:r w:rsidR="00131A13">
        <w:rPr>
          <w:rFonts w:asciiTheme="minorHAnsi" w:hAnsiTheme="minorHAnsi" w:cstheme="minorHAnsi"/>
        </w:rPr>
        <w:t xml:space="preserve">The assessment included a number of components, including: (a) </w:t>
      </w:r>
      <w:r w:rsidRPr="00F82960">
        <w:rPr>
          <w:rFonts w:asciiTheme="minorHAnsi" w:hAnsiTheme="minorHAnsi" w:cstheme="minorHAnsi"/>
        </w:rPr>
        <w:t>a review of existing solar-related policies and regulations</w:t>
      </w:r>
      <w:r w:rsidR="00131A13">
        <w:rPr>
          <w:rFonts w:asciiTheme="minorHAnsi" w:hAnsiTheme="minorHAnsi" w:cstheme="minorHAnsi"/>
        </w:rPr>
        <w:t xml:space="preserve">; (b) an assessment of </w:t>
      </w:r>
      <w:r w:rsidRPr="00F82960">
        <w:rPr>
          <w:rFonts w:asciiTheme="minorHAnsi" w:hAnsiTheme="minorHAnsi" w:cstheme="minorHAnsi"/>
        </w:rPr>
        <w:t xml:space="preserve">solar </w:t>
      </w:r>
      <w:r w:rsidR="00131A13">
        <w:rPr>
          <w:rFonts w:asciiTheme="minorHAnsi" w:hAnsiTheme="minorHAnsi" w:cstheme="minorHAnsi"/>
        </w:rPr>
        <w:t xml:space="preserve">radiation </w:t>
      </w:r>
      <w:r w:rsidRPr="00F82960">
        <w:rPr>
          <w:rFonts w:asciiTheme="minorHAnsi" w:hAnsiTheme="minorHAnsi" w:cstheme="minorHAnsi"/>
        </w:rPr>
        <w:t>resources</w:t>
      </w:r>
      <w:r w:rsidR="00131A13">
        <w:rPr>
          <w:rFonts w:asciiTheme="minorHAnsi" w:hAnsiTheme="minorHAnsi" w:cstheme="minorHAnsi"/>
        </w:rPr>
        <w:t xml:space="preserve">; (c) estimates of the </w:t>
      </w:r>
      <w:r w:rsidRPr="00F82960">
        <w:rPr>
          <w:rFonts w:asciiTheme="minorHAnsi" w:hAnsiTheme="minorHAnsi" w:cstheme="minorHAnsi"/>
        </w:rPr>
        <w:t>usable rooftop areas</w:t>
      </w:r>
      <w:r w:rsidR="00131A13">
        <w:rPr>
          <w:rFonts w:asciiTheme="minorHAnsi" w:hAnsiTheme="minorHAnsi" w:cstheme="minorHAnsi"/>
        </w:rPr>
        <w:t xml:space="preserve">; and (d) </w:t>
      </w:r>
      <w:r w:rsidRPr="00F82960">
        <w:rPr>
          <w:rFonts w:asciiTheme="minorHAnsi" w:hAnsiTheme="minorHAnsi" w:cstheme="minorHAnsi"/>
        </w:rPr>
        <w:t xml:space="preserve">a market survey of key stakeholders. Field visits to representative buildings were then </w:t>
      </w:r>
      <w:r w:rsidR="00131A13">
        <w:rPr>
          <w:rFonts w:asciiTheme="minorHAnsi" w:hAnsiTheme="minorHAnsi" w:cstheme="minorHAnsi"/>
        </w:rPr>
        <w:t xml:space="preserve">conducted </w:t>
      </w:r>
      <w:r w:rsidRPr="00F82960">
        <w:rPr>
          <w:rFonts w:asciiTheme="minorHAnsi" w:hAnsiTheme="minorHAnsi" w:cstheme="minorHAnsi"/>
        </w:rPr>
        <w:t xml:space="preserve">to </w:t>
      </w:r>
      <w:r w:rsidR="00131A13">
        <w:rPr>
          <w:rFonts w:asciiTheme="minorHAnsi" w:hAnsiTheme="minorHAnsi" w:cstheme="minorHAnsi"/>
        </w:rPr>
        <w:t xml:space="preserve">collect detailed site data in order to </w:t>
      </w:r>
      <w:r w:rsidRPr="00F82960">
        <w:rPr>
          <w:rFonts w:asciiTheme="minorHAnsi" w:hAnsiTheme="minorHAnsi" w:cstheme="minorHAnsi"/>
        </w:rPr>
        <w:t xml:space="preserve">carry out financial and economic analyses </w:t>
      </w:r>
      <w:r w:rsidR="00131A13">
        <w:rPr>
          <w:rFonts w:asciiTheme="minorHAnsi" w:hAnsiTheme="minorHAnsi" w:cstheme="minorHAnsi"/>
        </w:rPr>
        <w:t xml:space="preserve">for these </w:t>
      </w:r>
      <w:r w:rsidRPr="00F82960">
        <w:rPr>
          <w:rFonts w:asciiTheme="minorHAnsi" w:hAnsiTheme="minorHAnsi" w:cstheme="minorHAnsi"/>
        </w:rPr>
        <w:t>sites. The study also benefited from inputs from the DGRE and World Bank teams. Finally, a workshop was conducted on December 14, 2017 in Ankara to share findings and gather feedback from stakeholders</w:t>
      </w:r>
      <w:r w:rsidR="00131A13">
        <w:rPr>
          <w:rFonts w:asciiTheme="minorHAnsi" w:hAnsiTheme="minorHAnsi" w:cstheme="minorHAnsi"/>
        </w:rPr>
        <w:t xml:space="preserve"> on the draft findings and recommendations.</w:t>
      </w:r>
    </w:p>
    <w:p w14:paraId="03DEA689" w14:textId="77777777" w:rsidR="00F82960" w:rsidRDefault="00F82960" w:rsidP="00F82960">
      <w:pPr>
        <w:spacing w:before="240"/>
      </w:pPr>
      <w:r>
        <w:rPr>
          <w:b/>
          <w:bCs/>
          <w:color w:val="002060"/>
          <w:lang w:val="en-GB"/>
        </w:rPr>
        <w:t>Status of RSPV in Turkey</w:t>
      </w:r>
    </w:p>
    <w:p w14:paraId="5DD51DF3" w14:textId="299E2DEB" w:rsidR="00F82960" w:rsidRPr="00F82960" w:rsidRDefault="00F82960" w:rsidP="00F82960">
      <w:pPr>
        <w:rPr>
          <w:rFonts w:asciiTheme="minorHAnsi" w:hAnsiTheme="minorHAnsi" w:cstheme="minorHAnsi"/>
        </w:rPr>
      </w:pPr>
      <w:r w:rsidRPr="00F82960">
        <w:rPr>
          <w:rFonts w:asciiTheme="minorHAnsi" w:hAnsiTheme="minorHAnsi" w:cstheme="minorHAnsi"/>
        </w:rPr>
        <w:t>As of the end of 2017, roughly 200 MW of RSPV had been installed in Turkey. The installations are mainly in large industrial and commercial establishments</w:t>
      </w:r>
      <w:r w:rsidR="00B43450">
        <w:rPr>
          <w:rFonts w:asciiTheme="minorHAnsi" w:hAnsiTheme="minorHAnsi" w:cstheme="minorHAnsi"/>
        </w:rPr>
        <w:t>, which seek to benefit from the FiT and for environmental and corporate social responsibility reasons</w:t>
      </w:r>
      <w:r w:rsidRPr="00F82960">
        <w:rPr>
          <w:rFonts w:asciiTheme="minorHAnsi" w:hAnsiTheme="minorHAnsi" w:cstheme="minorHAnsi"/>
        </w:rPr>
        <w:t xml:space="preserve">. </w:t>
      </w:r>
      <w:r w:rsidR="00BE6D72">
        <w:rPr>
          <w:rFonts w:asciiTheme="minorHAnsi" w:hAnsiTheme="minorHAnsi" w:cstheme="minorHAnsi"/>
        </w:rPr>
        <w:t>The</w:t>
      </w:r>
      <w:r w:rsidRPr="00F82960">
        <w:rPr>
          <w:rFonts w:asciiTheme="minorHAnsi" w:hAnsiTheme="minorHAnsi" w:cstheme="minorHAnsi"/>
        </w:rPr>
        <w:t xml:space="preserve"> FiT for renewable energy generation</w:t>
      </w:r>
      <w:r w:rsidR="00BE6D72">
        <w:rPr>
          <w:rFonts w:asciiTheme="minorHAnsi" w:hAnsiTheme="minorHAnsi" w:cstheme="minorHAnsi"/>
        </w:rPr>
        <w:t xml:space="preserve">, including solar </w:t>
      </w:r>
      <w:r w:rsidR="00BE6D72" w:rsidRPr="00F82960">
        <w:rPr>
          <w:rFonts w:asciiTheme="minorHAnsi" w:hAnsiTheme="minorHAnsi" w:cstheme="minorHAnsi"/>
        </w:rPr>
        <w:t>photovoltaics (PV)</w:t>
      </w:r>
      <w:r w:rsidR="00BE6D72">
        <w:rPr>
          <w:rFonts w:asciiTheme="minorHAnsi" w:hAnsiTheme="minorHAnsi" w:cstheme="minorHAnsi"/>
        </w:rPr>
        <w:t>,</w:t>
      </w:r>
      <w:r w:rsidRPr="00F82960">
        <w:rPr>
          <w:rFonts w:asciiTheme="minorHAnsi" w:hAnsiTheme="minorHAnsi" w:cstheme="minorHAnsi"/>
        </w:rPr>
        <w:t xml:space="preserve"> was introduced in 2010. For solar</w:t>
      </w:r>
      <w:r w:rsidR="00BE6D72">
        <w:rPr>
          <w:rFonts w:asciiTheme="minorHAnsi" w:hAnsiTheme="minorHAnsi" w:cstheme="minorHAnsi"/>
        </w:rPr>
        <w:t xml:space="preserve"> PV</w:t>
      </w:r>
      <w:r w:rsidRPr="00F82960">
        <w:rPr>
          <w:rFonts w:asciiTheme="minorHAnsi" w:hAnsiTheme="minorHAnsi" w:cstheme="minorHAnsi"/>
        </w:rPr>
        <w:t xml:space="preserve">, the FiT </w:t>
      </w:r>
      <w:r w:rsidR="00BE6D72">
        <w:rPr>
          <w:rFonts w:asciiTheme="minorHAnsi" w:hAnsiTheme="minorHAnsi" w:cstheme="minorHAnsi"/>
        </w:rPr>
        <w:t>w</w:t>
      </w:r>
      <w:r w:rsidRPr="00F82960">
        <w:rPr>
          <w:rFonts w:asciiTheme="minorHAnsi" w:hAnsiTheme="minorHAnsi" w:cstheme="minorHAnsi"/>
        </w:rPr>
        <w:t xml:space="preserve">as </w:t>
      </w:r>
      <w:r w:rsidR="00BE6D72">
        <w:rPr>
          <w:rFonts w:asciiTheme="minorHAnsi" w:hAnsiTheme="minorHAnsi" w:cstheme="minorHAnsi"/>
        </w:rPr>
        <w:t>set</w:t>
      </w:r>
      <w:r w:rsidRPr="00F82960">
        <w:rPr>
          <w:rFonts w:asciiTheme="minorHAnsi" w:hAnsiTheme="minorHAnsi" w:cstheme="minorHAnsi"/>
        </w:rPr>
        <w:t xml:space="preserve"> at US$133/MWh</w:t>
      </w:r>
      <w:r w:rsidR="00BE6D72">
        <w:rPr>
          <w:rFonts w:asciiTheme="minorHAnsi" w:hAnsiTheme="minorHAnsi" w:cstheme="minorHAnsi"/>
        </w:rPr>
        <w:t xml:space="preserve"> with the potential to go up to US$196/MWh with use of </w:t>
      </w:r>
      <w:r w:rsidRPr="00F82960">
        <w:rPr>
          <w:rFonts w:asciiTheme="minorHAnsi" w:hAnsiTheme="minorHAnsi" w:cstheme="minorHAnsi"/>
        </w:rPr>
        <w:t xml:space="preserve">locally produced equipment. The FiT is applicable to both licensed and unlicensed projects up to 1 MW capacity, but only licensed projects with capacities above 1 MW can benefit from the local FiT premium. As </w:t>
      </w:r>
      <w:r w:rsidR="00BE6D72">
        <w:rPr>
          <w:rFonts w:asciiTheme="minorHAnsi" w:hAnsiTheme="minorHAnsi" w:cstheme="minorHAnsi"/>
        </w:rPr>
        <w:t>of the end of 2017</w:t>
      </w:r>
      <w:r w:rsidRPr="00F82960">
        <w:rPr>
          <w:rFonts w:asciiTheme="minorHAnsi" w:hAnsiTheme="minorHAnsi" w:cstheme="minorHAnsi"/>
        </w:rPr>
        <w:t xml:space="preserve">, only </w:t>
      </w:r>
      <w:r w:rsidR="00BE6D72">
        <w:rPr>
          <w:rFonts w:asciiTheme="minorHAnsi" w:hAnsiTheme="minorHAnsi" w:cstheme="minorHAnsi"/>
        </w:rPr>
        <w:t xml:space="preserve">about </w:t>
      </w:r>
      <w:r w:rsidRPr="00F82960">
        <w:rPr>
          <w:rFonts w:asciiTheme="minorHAnsi" w:hAnsiTheme="minorHAnsi" w:cstheme="minorHAnsi"/>
        </w:rPr>
        <w:t xml:space="preserve">17.9 MW </w:t>
      </w:r>
      <w:r w:rsidR="00BE6D72">
        <w:rPr>
          <w:rFonts w:asciiTheme="minorHAnsi" w:hAnsiTheme="minorHAnsi" w:cstheme="minorHAnsi"/>
        </w:rPr>
        <w:t>of licensed solar PV had</w:t>
      </w:r>
      <w:r w:rsidRPr="00F82960">
        <w:rPr>
          <w:rFonts w:asciiTheme="minorHAnsi" w:hAnsiTheme="minorHAnsi" w:cstheme="minorHAnsi"/>
        </w:rPr>
        <w:t xml:space="preserve"> been installed</w:t>
      </w:r>
      <w:r w:rsidR="00BE6D72">
        <w:rPr>
          <w:rFonts w:asciiTheme="minorHAnsi" w:hAnsiTheme="minorHAnsi" w:cstheme="minorHAnsi"/>
        </w:rPr>
        <w:t xml:space="preserve"> due largely to the lengthy and complex licensing </w:t>
      </w:r>
      <w:r w:rsidR="00BE6D72">
        <w:rPr>
          <w:rFonts w:asciiTheme="minorHAnsi" w:hAnsiTheme="minorHAnsi" w:cstheme="minorHAnsi"/>
        </w:rPr>
        <w:lastRenderedPageBreak/>
        <w:t>procedures</w:t>
      </w:r>
      <w:r w:rsidRPr="00F82960">
        <w:rPr>
          <w:rFonts w:asciiTheme="minorHAnsi" w:hAnsiTheme="minorHAnsi" w:cstheme="minorHAnsi"/>
        </w:rPr>
        <w:t xml:space="preserve">. A draft regulation was introduced </w:t>
      </w:r>
      <w:r w:rsidR="00BE6D72">
        <w:rPr>
          <w:rFonts w:asciiTheme="minorHAnsi" w:hAnsiTheme="minorHAnsi" w:cstheme="minorHAnsi"/>
        </w:rPr>
        <w:t xml:space="preserve">by MENR </w:t>
      </w:r>
      <w:r w:rsidRPr="00F82960">
        <w:rPr>
          <w:rFonts w:asciiTheme="minorHAnsi" w:hAnsiTheme="minorHAnsi" w:cstheme="minorHAnsi"/>
        </w:rPr>
        <w:t>in January 2018 to incentivize RSPV below 10 kW capacity</w:t>
      </w:r>
      <w:r w:rsidR="00BE6D72">
        <w:rPr>
          <w:rFonts w:asciiTheme="minorHAnsi" w:hAnsiTheme="minorHAnsi" w:cstheme="minorHAnsi"/>
        </w:rPr>
        <w:t xml:space="preserve"> and is </w:t>
      </w:r>
      <w:r w:rsidRPr="00F82960">
        <w:rPr>
          <w:rFonts w:asciiTheme="minorHAnsi" w:hAnsiTheme="minorHAnsi" w:cstheme="minorHAnsi"/>
        </w:rPr>
        <w:t xml:space="preserve">expected to be </w:t>
      </w:r>
      <w:r w:rsidR="00BE6D72">
        <w:rPr>
          <w:rFonts w:asciiTheme="minorHAnsi" w:hAnsiTheme="minorHAnsi" w:cstheme="minorHAnsi"/>
        </w:rPr>
        <w:t>approved</w:t>
      </w:r>
      <w:r w:rsidRPr="00F82960">
        <w:rPr>
          <w:rFonts w:asciiTheme="minorHAnsi" w:hAnsiTheme="minorHAnsi" w:cstheme="minorHAnsi"/>
        </w:rPr>
        <w:t xml:space="preserve"> in the coming months. While the FiT can be a good driver for RSPV in Turkey, as in other countries, MENR has indicated </w:t>
      </w:r>
      <w:r w:rsidR="00BE6D72">
        <w:rPr>
          <w:rFonts w:asciiTheme="minorHAnsi" w:hAnsiTheme="minorHAnsi" w:cstheme="minorHAnsi"/>
        </w:rPr>
        <w:t xml:space="preserve">its plans to phase it out by </w:t>
      </w:r>
      <w:r w:rsidRPr="00F82960">
        <w:rPr>
          <w:rFonts w:asciiTheme="minorHAnsi" w:hAnsiTheme="minorHAnsi" w:cstheme="minorHAnsi"/>
        </w:rPr>
        <w:t>2020.</w:t>
      </w:r>
    </w:p>
    <w:p w14:paraId="5A99EAF5" w14:textId="5BA1D3A3" w:rsidR="00F82960" w:rsidRPr="00F82960" w:rsidRDefault="00BE6D72" w:rsidP="00F82960">
      <w:pPr>
        <w:pStyle w:val="Normal0"/>
        <w:spacing w:before="120" w:after="120" w:line="240" w:lineRule="auto"/>
        <w:jc w:val="both"/>
        <w:rPr>
          <w:sz w:val="24"/>
        </w:rPr>
      </w:pPr>
      <w:r>
        <w:rPr>
          <w:sz w:val="24"/>
        </w:rPr>
        <w:t xml:space="preserve">The study also reviewed international RSPV programs globally in order to identify lessons to assist Turkey with its market development plans. </w:t>
      </w:r>
      <w:r w:rsidR="00F82960" w:rsidRPr="00F82960">
        <w:rPr>
          <w:sz w:val="24"/>
        </w:rPr>
        <w:t xml:space="preserve">Table 1 </w:t>
      </w:r>
      <w:r>
        <w:rPr>
          <w:sz w:val="24"/>
        </w:rPr>
        <w:t>summarizes</w:t>
      </w:r>
      <w:r w:rsidR="00F82960" w:rsidRPr="00F82960">
        <w:rPr>
          <w:sz w:val="24"/>
        </w:rPr>
        <w:t xml:space="preserve"> the </w:t>
      </w:r>
      <w:r>
        <w:rPr>
          <w:sz w:val="24"/>
        </w:rPr>
        <w:t xml:space="preserve">most salient </w:t>
      </w:r>
      <w:r w:rsidR="00F82960" w:rsidRPr="00F82960">
        <w:rPr>
          <w:sz w:val="24"/>
        </w:rPr>
        <w:t xml:space="preserve">features of </w:t>
      </w:r>
      <w:r>
        <w:rPr>
          <w:sz w:val="24"/>
        </w:rPr>
        <w:t xml:space="preserve">the </w:t>
      </w:r>
      <w:r w:rsidR="00F82960" w:rsidRPr="00F82960">
        <w:rPr>
          <w:sz w:val="24"/>
        </w:rPr>
        <w:t xml:space="preserve">RSPV policies </w:t>
      </w:r>
      <w:r>
        <w:rPr>
          <w:sz w:val="24"/>
        </w:rPr>
        <w:t>and programs from</w:t>
      </w:r>
      <w:r w:rsidR="00F82960" w:rsidRPr="00F82960">
        <w:rPr>
          <w:sz w:val="24"/>
        </w:rPr>
        <w:t xml:space="preserve"> </w:t>
      </w:r>
      <w:r>
        <w:rPr>
          <w:sz w:val="24"/>
        </w:rPr>
        <w:t xml:space="preserve">the People’s Republic of China, Germany, India, Japan and </w:t>
      </w:r>
      <w:r w:rsidR="00F82960" w:rsidRPr="00F82960">
        <w:rPr>
          <w:sz w:val="24"/>
        </w:rPr>
        <w:t xml:space="preserve">the United States. The </w:t>
      </w:r>
      <w:r>
        <w:rPr>
          <w:sz w:val="24"/>
        </w:rPr>
        <w:t>last</w:t>
      </w:r>
      <w:r w:rsidR="00F82960" w:rsidRPr="00F82960">
        <w:rPr>
          <w:sz w:val="24"/>
        </w:rPr>
        <w:t xml:space="preserve"> column </w:t>
      </w:r>
      <w:r>
        <w:rPr>
          <w:sz w:val="24"/>
        </w:rPr>
        <w:t xml:space="preserve">provides some implications of these experiences for </w:t>
      </w:r>
      <w:r w:rsidR="00F82960" w:rsidRPr="00F82960">
        <w:rPr>
          <w:sz w:val="24"/>
        </w:rPr>
        <w:t>Turkey.</w:t>
      </w:r>
    </w:p>
    <w:p w14:paraId="14665188" w14:textId="77777777" w:rsidR="00F82960" w:rsidRPr="00F82960" w:rsidRDefault="00F82960" w:rsidP="00F82960">
      <w:pPr>
        <w:spacing w:before="240"/>
        <w:rPr>
          <w:b/>
          <w:bCs/>
          <w:color w:val="002060"/>
          <w:lang w:val="en-GB"/>
        </w:rPr>
      </w:pPr>
      <w:r>
        <w:rPr>
          <w:b/>
          <w:bCs/>
          <w:color w:val="002060"/>
          <w:lang w:val="en-GB"/>
        </w:rPr>
        <w:t>RSPV Market Potential in Turkey</w:t>
      </w:r>
    </w:p>
    <w:p w14:paraId="34527E10" w14:textId="77777777" w:rsidR="00F82960" w:rsidRDefault="00F82960" w:rsidP="00F82960">
      <w:r>
        <w:rPr>
          <w:i/>
          <w:iCs/>
          <w:color w:val="002060"/>
          <w:lang w:val="en-GB"/>
        </w:rPr>
        <w:t>Market Survey</w:t>
      </w:r>
    </w:p>
    <w:p w14:paraId="5BBAF35E" w14:textId="421550B3" w:rsidR="00F82960" w:rsidRPr="00F82960" w:rsidRDefault="00F82960" w:rsidP="00F82960">
      <w:pPr>
        <w:spacing w:after="60"/>
        <w:rPr>
          <w:rFonts w:asciiTheme="minorHAnsi" w:hAnsiTheme="minorHAnsi" w:cstheme="minorHAnsi"/>
        </w:rPr>
      </w:pPr>
      <w:r w:rsidRPr="00F82960">
        <w:rPr>
          <w:rFonts w:asciiTheme="minorHAnsi" w:hAnsiTheme="minorHAnsi" w:cstheme="minorHAnsi"/>
        </w:rPr>
        <w:t xml:space="preserve">A </w:t>
      </w:r>
      <w:r w:rsidR="004A1AF5">
        <w:rPr>
          <w:rFonts w:asciiTheme="minorHAnsi" w:hAnsiTheme="minorHAnsi" w:cstheme="minorHAnsi"/>
        </w:rPr>
        <w:t xml:space="preserve">questionnaire </w:t>
      </w:r>
      <w:r w:rsidRPr="00F82960">
        <w:rPr>
          <w:rFonts w:asciiTheme="minorHAnsi" w:hAnsiTheme="minorHAnsi" w:cstheme="minorHAnsi"/>
        </w:rPr>
        <w:t xml:space="preserve">was </w:t>
      </w:r>
      <w:r w:rsidR="004A1AF5">
        <w:rPr>
          <w:rFonts w:asciiTheme="minorHAnsi" w:hAnsiTheme="minorHAnsi" w:cstheme="minorHAnsi"/>
        </w:rPr>
        <w:t>implemented in order to</w:t>
      </w:r>
      <w:r w:rsidRPr="00F82960">
        <w:rPr>
          <w:rFonts w:asciiTheme="minorHAnsi" w:hAnsiTheme="minorHAnsi" w:cstheme="minorHAnsi"/>
        </w:rPr>
        <w:t>:</w:t>
      </w:r>
    </w:p>
    <w:p w14:paraId="2E1748E6" w14:textId="63750669" w:rsidR="00F82960" w:rsidRPr="00F82960" w:rsidRDefault="004A1AF5" w:rsidP="004A1AF5">
      <w:pPr>
        <w:numPr>
          <w:ilvl w:val="0"/>
          <w:numId w:val="2"/>
        </w:numPr>
        <w:spacing w:before="0" w:after="0"/>
        <w:ind w:left="720"/>
        <w:contextualSpacing/>
        <w:rPr>
          <w:rFonts w:asciiTheme="minorHAnsi" w:hAnsiTheme="minorHAnsi" w:cstheme="minorHAnsi"/>
        </w:rPr>
      </w:pPr>
      <w:r>
        <w:rPr>
          <w:rFonts w:asciiTheme="minorHAnsi" w:hAnsiTheme="minorHAnsi" w:cstheme="minorHAnsi"/>
        </w:rPr>
        <w:t>A</w:t>
      </w:r>
      <w:r w:rsidR="00F82960" w:rsidRPr="00F82960">
        <w:rPr>
          <w:rFonts w:asciiTheme="minorHAnsi" w:hAnsiTheme="minorHAnsi" w:cstheme="minorHAnsi"/>
        </w:rPr>
        <w:t xml:space="preserve">ssess the </w:t>
      </w:r>
      <w:r>
        <w:rPr>
          <w:rFonts w:asciiTheme="minorHAnsi" w:hAnsiTheme="minorHAnsi" w:cstheme="minorHAnsi"/>
        </w:rPr>
        <w:t xml:space="preserve">perceived </w:t>
      </w:r>
      <w:r w:rsidR="00F82960" w:rsidRPr="00F82960">
        <w:rPr>
          <w:rFonts w:asciiTheme="minorHAnsi" w:hAnsiTheme="minorHAnsi" w:cstheme="minorHAnsi"/>
        </w:rPr>
        <w:t xml:space="preserve">gaps in current policies and procedures </w:t>
      </w:r>
      <w:r>
        <w:rPr>
          <w:rFonts w:asciiTheme="minorHAnsi" w:hAnsiTheme="minorHAnsi" w:cstheme="minorHAnsi"/>
        </w:rPr>
        <w:t xml:space="preserve">for </w:t>
      </w:r>
      <w:r w:rsidR="00F82960" w:rsidRPr="00F82960">
        <w:rPr>
          <w:rFonts w:asciiTheme="minorHAnsi" w:hAnsiTheme="minorHAnsi" w:cstheme="minorHAnsi"/>
        </w:rPr>
        <w:t xml:space="preserve">RSPV </w:t>
      </w:r>
      <w:r>
        <w:rPr>
          <w:rFonts w:asciiTheme="minorHAnsi" w:hAnsiTheme="minorHAnsi" w:cstheme="minorHAnsi"/>
        </w:rPr>
        <w:t>systems;</w:t>
      </w:r>
    </w:p>
    <w:p w14:paraId="4E545AAC" w14:textId="340E78C3" w:rsidR="00F82960" w:rsidRPr="00F82960" w:rsidRDefault="004A1AF5" w:rsidP="004A1AF5">
      <w:pPr>
        <w:numPr>
          <w:ilvl w:val="0"/>
          <w:numId w:val="2"/>
        </w:numPr>
        <w:spacing w:before="0" w:after="0"/>
        <w:ind w:left="720"/>
        <w:contextualSpacing/>
        <w:rPr>
          <w:rFonts w:asciiTheme="minorHAnsi" w:hAnsiTheme="minorHAnsi" w:cstheme="minorHAnsi"/>
        </w:rPr>
      </w:pPr>
      <w:r>
        <w:rPr>
          <w:rFonts w:asciiTheme="minorHAnsi" w:hAnsiTheme="minorHAnsi" w:cstheme="minorHAnsi"/>
        </w:rPr>
        <w:t>Identify</w:t>
      </w:r>
      <w:r w:rsidR="00F82960" w:rsidRPr="00F82960">
        <w:rPr>
          <w:rFonts w:asciiTheme="minorHAnsi" w:hAnsiTheme="minorHAnsi" w:cstheme="minorHAnsi"/>
        </w:rPr>
        <w:t xml:space="preserve"> the barriers </w:t>
      </w:r>
      <w:r>
        <w:rPr>
          <w:rFonts w:asciiTheme="minorHAnsi" w:hAnsiTheme="minorHAnsi" w:cstheme="minorHAnsi"/>
        </w:rPr>
        <w:t>and challenges</w:t>
      </w:r>
      <w:r w:rsidR="00F82960" w:rsidRPr="00F82960">
        <w:rPr>
          <w:rFonts w:asciiTheme="minorHAnsi" w:hAnsiTheme="minorHAnsi" w:cstheme="minorHAnsi"/>
        </w:rPr>
        <w:t xml:space="preserve"> faced by various stakeholders in </w:t>
      </w:r>
      <w:r>
        <w:rPr>
          <w:rFonts w:asciiTheme="minorHAnsi" w:hAnsiTheme="minorHAnsi" w:cstheme="minorHAnsi"/>
        </w:rPr>
        <w:t xml:space="preserve">installing </w:t>
      </w:r>
      <w:r w:rsidR="00F82960" w:rsidRPr="00F82960">
        <w:rPr>
          <w:rFonts w:asciiTheme="minorHAnsi" w:hAnsiTheme="minorHAnsi" w:cstheme="minorHAnsi"/>
        </w:rPr>
        <w:t>RSPV</w:t>
      </w:r>
      <w:r>
        <w:rPr>
          <w:rFonts w:asciiTheme="minorHAnsi" w:hAnsiTheme="minorHAnsi" w:cstheme="minorHAnsi"/>
        </w:rPr>
        <w:t xml:space="preserve"> systems;</w:t>
      </w:r>
    </w:p>
    <w:p w14:paraId="15275E64" w14:textId="455EBEF3" w:rsidR="00F82960" w:rsidRPr="00F82960" w:rsidRDefault="004A1AF5" w:rsidP="004A1AF5">
      <w:pPr>
        <w:numPr>
          <w:ilvl w:val="0"/>
          <w:numId w:val="2"/>
        </w:numPr>
        <w:spacing w:before="0" w:after="0"/>
        <w:ind w:left="720"/>
        <w:contextualSpacing/>
        <w:rPr>
          <w:rFonts w:asciiTheme="minorHAnsi" w:hAnsiTheme="minorHAnsi" w:cstheme="minorHAnsi"/>
        </w:rPr>
      </w:pPr>
      <w:r>
        <w:rPr>
          <w:rFonts w:asciiTheme="minorHAnsi" w:hAnsiTheme="minorHAnsi" w:cstheme="minorHAnsi"/>
        </w:rPr>
        <w:t>D</w:t>
      </w:r>
      <w:r w:rsidR="00F82960" w:rsidRPr="00F82960">
        <w:rPr>
          <w:rFonts w:asciiTheme="minorHAnsi" w:hAnsiTheme="minorHAnsi" w:cstheme="minorHAnsi"/>
        </w:rPr>
        <w:t xml:space="preserve">etermine </w:t>
      </w:r>
      <w:r>
        <w:rPr>
          <w:rFonts w:asciiTheme="minorHAnsi" w:hAnsiTheme="minorHAnsi" w:cstheme="minorHAnsi"/>
        </w:rPr>
        <w:t xml:space="preserve">possible support measures </w:t>
      </w:r>
      <w:r w:rsidR="00F82960" w:rsidRPr="00F82960">
        <w:rPr>
          <w:rFonts w:asciiTheme="minorHAnsi" w:hAnsiTheme="minorHAnsi" w:cstheme="minorHAnsi"/>
        </w:rPr>
        <w:t xml:space="preserve">to encourage </w:t>
      </w:r>
      <w:r>
        <w:rPr>
          <w:rFonts w:asciiTheme="minorHAnsi" w:hAnsiTheme="minorHAnsi" w:cstheme="minorHAnsi"/>
        </w:rPr>
        <w:t>RSPV adoption; and</w:t>
      </w:r>
    </w:p>
    <w:p w14:paraId="225CD701" w14:textId="793C9041" w:rsidR="00F82960" w:rsidRPr="00F82960" w:rsidRDefault="004A1AF5" w:rsidP="004A1AF5">
      <w:pPr>
        <w:numPr>
          <w:ilvl w:val="0"/>
          <w:numId w:val="2"/>
        </w:numPr>
        <w:spacing w:before="0" w:after="0"/>
        <w:ind w:left="720"/>
        <w:contextualSpacing/>
        <w:rPr>
          <w:rFonts w:asciiTheme="minorHAnsi" w:hAnsiTheme="minorHAnsi" w:cstheme="minorHAnsi"/>
        </w:rPr>
      </w:pPr>
      <w:r>
        <w:rPr>
          <w:rFonts w:asciiTheme="minorHAnsi" w:hAnsiTheme="minorHAnsi" w:cstheme="minorHAnsi"/>
        </w:rPr>
        <w:t xml:space="preserve">Assess potential growth in the </w:t>
      </w:r>
      <w:r w:rsidR="00F82960" w:rsidRPr="00F82960">
        <w:rPr>
          <w:rFonts w:asciiTheme="minorHAnsi" w:hAnsiTheme="minorHAnsi" w:cstheme="minorHAnsi"/>
        </w:rPr>
        <w:t>RSPV market.</w:t>
      </w:r>
    </w:p>
    <w:p w14:paraId="49AA1FDE" w14:textId="0BC440A5" w:rsidR="00F82960" w:rsidRPr="00F82960" w:rsidRDefault="00F82960" w:rsidP="00F82960">
      <w:pPr>
        <w:spacing w:after="60"/>
        <w:rPr>
          <w:rFonts w:asciiTheme="minorHAnsi" w:hAnsiTheme="minorHAnsi" w:cstheme="minorHAnsi"/>
        </w:rPr>
      </w:pPr>
      <w:r w:rsidRPr="00F82960">
        <w:rPr>
          <w:rFonts w:asciiTheme="minorHAnsi" w:hAnsiTheme="minorHAnsi" w:cstheme="minorHAnsi"/>
        </w:rPr>
        <w:t xml:space="preserve">A </w:t>
      </w:r>
      <w:r w:rsidR="00D76B7A">
        <w:rPr>
          <w:rFonts w:asciiTheme="minorHAnsi" w:hAnsiTheme="minorHAnsi" w:cstheme="minorHAnsi"/>
        </w:rPr>
        <w:t xml:space="preserve">telephone </w:t>
      </w:r>
      <w:r w:rsidRPr="00F82960">
        <w:rPr>
          <w:rFonts w:asciiTheme="minorHAnsi" w:hAnsiTheme="minorHAnsi" w:cstheme="minorHAnsi"/>
        </w:rPr>
        <w:t>survey was issued to a sample of 243 stakeholders. Survey respondents were selected to provide a representation of the country and to cover all key stakeholders</w:t>
      </w:r>
      <w:r w:rsidR="004A1AF5">
        <w:rPr>
          <w:rFonts w:asciiTheme="minorHAnsi" w:hAnsiTheme="minorHAnsi" w:cstheme="minorHAnsi"/>
        </w:rPr>
        <w:t>—engineering, procurement and construction firms (EPCs), financial institutions, distribution companies</w:t>
      </w:r>
      <w:r w:rsidR="004D7BC6">
        <w:rPr>
          <w:rFonts w:asciiTheme="minorHAnsi" w:hAnsiTheme="minorHAnsi" w:cstheme="minorHAnsi"/>
        </w:rPr>
        <w:t xml:space="preserve"> (Discoms)</w:t>
      </w:r>
      <w:r w:rsidR="004A1AF5">
        <w:rPr>
          <w:rFonts w:asciiTheme="minorHAnsi" w:hAnsiTheme="minorHAnsi" w:cstheme="minorHAnsi"/>
        </w:rPr>
        <w:t xml:space="preserve"> and consumers in the four sectors noted </w:t>
      </w:r>
      <w:r w:rsidR="00241087">
        <w:rPr>
          <w:rFonts w:asciiTheme="minorHAnsi" w:hAnsiTheme="minorHAnsi" w:cstheme="minorHAnsi"/>
        </w:rPr>
        <w:t>earlier</w:t>
      </w:r>
      <w:r w:rsidRPr="00F82960">
        <w:rPr>
          <w:rFonts w:asciiTheme="minorHAnsi" w:hAnsiTheme="minorHAnsi" w:cstheme="minorHAnsi"/>
        </w:rPr>
        <w:t xml:space="preserve">. </w:t>
      </w:r>
      <w:r w:rsidR="00241087">
        <w:rPr>
          <w:rFonts w:asciiTheme="minorHAnsi" w:hAnsiTheme="minorHAnsi" w:cstheme="minorHAnsi"/>
        </w:rPr>
        <w:t xml:space="preserve">Questionnaires were customized for each </w:t>
      </w:r>
      <w:r w:rsidRPr="00F82960">
        <w:rPr>
          <w:rFonts w:asciiTheme="minorHAnsi" w:hAnsiTheme="minorHAnsi" w:cstheme="minorHAnsi"/>
        </w:rPr>
        <w:t>stakeholder category</w:t>
      </w:r>
      <w:r w:rsidR="00241087">
        <w:rPr>
          <w:rFonts w:asciiTheme="minorHAnsi" w:hAnsiTheme="minorHAnsi" w:cstheme="minorHAnsi"/>
        </w:rPr>
        <w:t xml:space="preserve"> and covered</w:t>
      </w:r>
      <w:r w:rsidRPr="00F82960">
        <w:rPr>
          <w:rFonts w:asciiTheme="minorHAnsi" w:hAnsiTheme="minorHAnsi" w:cstheme="minorHAnsi"/>
        </w:rPr>
        <w:t xml:space="preserve"> building characteristics, use of roofs, motivation for RSPV</w:t>
      </w:r>
      <w:r w:rsidR="00241087">
        <w:rPr>
          <w:rFonts w:asciiTheme="minorHAnsi" w:hAnsiTheme="minorHAnsi" w:cstheme="minorHAnsi"/>
        </w:rPr>
        <w:t xml:space="preserve"> adoption</w:t>
      </w:r>
      <w:r w:rsidRPr="00F82960">
        <w:rPr>
          <w:rFonts w:asciiTheme="minorHAnsi" w:hAnsiTheme="minorHAnsi" w:cstheme="minorHAnsi"/>
        </w:rPr>
        <w:t xml:space="preserve">, barriers in </w:t>
      </w:r>
      <w:r w:rsidR="00241087">
        <w:rPr>
          <w:rFonts w:asciiTheme="minorHAnsi" w:hAnsiTheme="minorHAnsi" w:cstheme="minorHAnsi"/>
        </w:rPr>
        <w:t>RSPV deployment</w:t>
      </w:r>
      <w:r w:rsidRPr="00F82960">
        <w:rPr>
          <w:rFonts w:asciiTheme="minorHAnsi" w:hAnsiTheme="minorHAnsi" w:cstheme="minorHAnsi"/>
        </w:rPr>
        <w:t xml:space="preserve">, </w:t>
      </w:r>
      <w:r w:rsidR="00241087">
        <w:rPr>
          <w:rFonts w:asciiTheme="minorHAnsi" w:hAnsiTheme="minorHAnsi" w:cstheme="minorHAnsi"/>
        </w:rPr>
        <w:t xml:space="preserve">preferred </w:t>
      </w:r>
      <w:r w:rsidRPr="00F82960">
        <w:rPr>
          <w:rFonts w:asciiTheme="minorHAnsi" w:hAnsiTheme="minorHAnsi" w:cstheme="minorHAnsi"/>
        </w:rPr>
        <w:t>business mode</w:t>
      </w:r>
      <w:r w:rsidR="00241087">
        <w:rPr>
          <w:rFonts w:asciiTheme="minorHAnsi" w:hAnsiTheme="minorHAnsi" w:cstheme="minorHAnsi"/>
        </w:rPr>
        <w:t>ls</w:t>
      </w:r>
      <w:r w:rsidRPr="00F82960">
        <w:rPr>
          <w:rFonts w:asciiTheme="minorHAnsi" w:hAnsiTheme="minorHAnsi" w:cstheme="minorHAnsi"/>
        </w:rPr>
        <w:t xml:space="preserve">, financing </w:t>
      </w:r>
      <w:r w:rsidR="00241087">
        <w:rPr>
          <w:rFonts w:asciiTheme="minorHAnsi" w:hAnsiTheme="minorHAnsi" w:cstheme="minorHAnsi"/>
        </w:rPr>
        <w:t>and incentive needs and other aspects</w:t>
      </w:r>
      <w:r w:rsidRPr="00F82960">
        <w:rPr>
          <w:rFonts w:asciiTheme="minorHAnsi" w:hAnsiTheme="minorHAnsi" w:cstheme="minorHAnsi"/>
        </w:rPr>
        <w:t xml:space="preserve">. </w:t>
      </w:r>
      <w:r w:rsidR="00241087">
        <w:rPr>
          <w:rFonts w:asciiTheme="minorHAnsi" w:hAnsiTheme="minorHAnsi" w:cstheme="minorHAnsi"/>
        </w:rPr>
        <w:t>Some main</w:t>
      </w:r>
      <w:r w:rsidRPr="00F82960">
        <w:rPr>
          <w:rFonts w:asciiTheme="minorHAnsi" w:hAnsiTheme="minorHAnsi" w:cstheme="minorHAnsi"/>
        </w:rPr>
        <w:t xml:space="preserve"> findings from the survey </w:t>
      </w:r>
      <w:r w:rsidR="00241087">
        <w:rPr>
          <w:rFonts w:asciiTheme="minorHAnsi" w:hAnsiTheme="minorHAnsi" w:cstheme="minorHAnsi"/>
        </w:rPr>
        <w:t>included</w:t>
      </w:r>
      <w:r w:rsidRPr="00F82960">
        <w:rPr>
          <w:rFonts w:asciiTheme="minorHAnsi" w:hAnsiTheme="minorHAnsi" w:cstheme="minorHAnsi"/>
        </w:rPr>
        <w:t>:</w:t>
      </w:r>
    </w:p>
    <w:p w14:paraId="1E955BDF" w14:textId="55F80CF0" w:rsidR="00F82960" w:rsidRPr="00F82960" w:rsidRDefault="00F82960" w:rsidP="00D33F4C">
      <w:pPr>
        <w:numPr>
          <w:ilvl w:val="0"/>
          <w:numId w:val="3"/>
        </w:numPr>
        <w:spacing w:before="0" w:after="0"/>
        <w:contextualSpacing/>
        <w:rPr>
          <w:rFonts w:asciiTheme="minorHAnsi" w:hAnsiTheme="minorHAnsi" w:cstheme="minorHAnsi"/>
        </w:rPr>
      </w:pPr>
      <w:r w:rsidRPr="00F82960">
        <w:rPr>
          <w:rFonts w:asciiTheme="minorHAnsi" w:hAnsiTheme="minorHAnsi" w:cstheme="minorHAnsi"/>
        </w:rPr>
        <w:t xml:space="preserve">92% of </w:t>
      </w:r>
      <w:r w:rsidR="00CF7FF3">
        <w:rPr>
          <w:rFonts w:asciiTheme="minorHAnsi" w:hAnsiTheme="minorHAnsi" w:cstheme="minorHAnsi"/>
        </w:rPr>
        <w:t xml:space="preserve">consumers </w:t>
      </w:r>
      <w:r w:rsidRPr="00F82960">
        <w:rPr>
          <w:rFonts w:asciiTheme="minorHAnsi" w:hAnsiTheme="minorHAnsi" w:cstheme="minorHAnsi"/>
        </w:rPr>
        <w:t>indicated that their roof was not being used</w:t>
      </w:r>
    </w:p>
    <w:p w14:paraId="62F233C8" w14:textId="1AE64767" w:rsidR="00F82960" w:rsidRPr="00F82960" w:rsidRDefault="00F82960" w:rsidP="00D33F4C">
      <w:pPr>
        <w:numPr>
          <w:ilvl w:val="0"/>
          <w:numId w:val="3"/>
        </w:numPr>
        <w:spacing w:before="0" w:after="0"/>
        <w:contextualSpacing/>
        <w:rPr>
          <w:rFonts w:asciiTheme="minorHAnsi" w:hAnsiTheme="minorHAnsi" w:cstheme="minorHAnsi"/>
        </w:rPr>
      </w:pPr>
      <w:r w:rsidRPr="00F82960">
        <w:rPr>
          <w:rFonts w:asciiTheme="minorHAnsi" w:hAnsiTheme="minorHAnsi" w:cstheme="minorHAnsi"/>
        </w:rPr>
        <w:t xml:space="preserve">64% of the </w:t>
      </w:r>
      <w:r w:rsidR="00CF7FF3">
        <w:rPr>
          <w:rFonts w:asciiTheme="minorHAnsi" w:hAnsiTheme="minorHAnsi" w:cstheme="minorHAnsi"/>
        </w:rPr>
        <w:t xml:space="preserve">consumer </w:t>
      </w:r>
      <w:r w:rsidRPr="00F82960">
        <w:rPr>
          <w:rFonts w:asciiTheme="minorHAnsi" w:hAnsiTheme="minorHAnsi" w:cstheme="minorHAnsi"/>
        </w:rPr>
        <w:t>rooftops are of the pitch type (P-type), 24% are flat and 12% are a mix of flat and P-type construction</w:t>
      </w:r>
    </w:p>
    <w:p w14:paraId="00B95B39" w14:textId="05BB558D" w:rsidR="00F82960" w:rsidRPr="00F82960" w:rsidRDefault="00F82960" w:rsidP="00D33F4C">
      <w:pPr>
        <w:numPr>
          <w:ilvl w:val="0"/>
          <w:numId w:val="3"/>
        </w:numPr>
        <w:spacing w:before="0" w:after="0"/>
        <w:contextualSpacing/>
        <w:rPr>
          <w:rFonts w:asciiTheme="minorHAnsi" w:hAnsiTheme="minorHAnsi" w:cstheme="minorHAnsi"/>
        </w:rPr>
      </w:pPr>
      <w:r w:rsidRPr="00F82960">
        <w:rPr>
          <w:rFonts w:asciiTheme="minorHAnsi" w:hAnsiTheme="minorHAnsi" w:cstheme="minorHAnsi"/>
        </w:rPr>
        <w:t xml:space="preserve">58% of </w:t>
      </w:r>
      <w:r w:rsidR="00CF7FF3">
        <w:rPr>
          <w:rFonts w:asciiTheme="minorHAnsi" w:hAnsiTheme="minorHAnsi" w:cstheme="minorHAnsi"/>
        </w:rPr>
        <w:t xml:space="preserve">consumers indicated that </w:t>
      </w:r>
      <w:r w:rsidRPr="00F82960">
        <w:rPr>
          <w:rFonts w:asciiTheme="minorHAnsi" w:hAnsiTheme="minorHAnsi" w:cstheme="minorHAnsi"/>
        </w:rPr>
        <w:t xml:space="preserve">environmental concerns were the main motivation for </w:t>
      </w:r>
      <w:r w:rsidR="00CF7FF3">
        <w:rPr>
          <w:rFonts w:asciiTheme="minorHAnsi" w:hAnsiTheme="minorHAnsi" w:cstheme="minorHAnsi"/>
        </w:rPr>
        <w:t xml:space="preserve">adopting </w:t>
      </w:r>
      <w:r w:rsidRPr="00F82960">
        <w:rPr>
          <w:rFonts w:asciiTheme="minorHAnsi" w:hAnsiTheme="minorHAnsi" w:cstheme="minorHAnsi"/>
        </w:rPr>
        <w:t xml:space="preserve">RSPV </w:t>
      </w:r>
      <w:r w:rsidR="00CF7FF3">
        <w:rPr>
          <w:rFonts w:asciiTheme="minorHAnsi" w:hAnsiTheme="minorHAnsi" w:cstheme="minorHAnsi"/>
        </w:rPr>
        <w:t>systems</w:t>
      </w:r>
      <w:r w:rsidRPr="00F82960">
        <w:rPr>
          <w:rFonts w:asciiTheme="minorHAnsi" w:hAnsiTheme="minorHAnsi" w:cstheme="minorHAnsi"/>
        </w:rPr>
        <w:t xml:space="preserve">; 51% </w:t>
      </w:r>
      <w:r w:rsidR="00CF7FF3">
        <w:rPr>
          <w:rFonts w:asciiTheme="minorHAnsi" w:hAnsiTheme="minorHAnsi" w:cstheme="minorHAnsi"/>
        </w:rPr>
        <w:t xml:space="preserve">responded that </w:t>
      </w:r>
      <w:r w:rsidRPr="00F82960">
        <w:rPr>
          <w:rFonts w:asciiTheme="minorHAnsi" w:hAnsiTheme="minorHAnsi" w:cstheme="minorHAnsi"/>
        </w:rPr>
        <w:t>a reduction in their electricity bill</w:t>
      </w:r>
      <w:r w:rsidR="00CF7FF3">
        <w:rPr>
          <w:rFonts w:asciiTheme="minorHAnsi" w:hAnsiTheme="minorHAnsi" w:cstheme="minorHAnsi"/>
        </w:rPr>
        <w:t>s was a main driver</w:t>
      </w:r>
      <w:r w:rsidRPr="00F82960">
        <w:rPr>
          <w:rFonts w:asciiTheme="minorHAnsi" w:hAnsiTheme="minorHAnsi" w:cstheme="minorHAnsi"/>
        </w:rPr>
        <w:t>.</w:t>
      </w:r>
    </w:p>
    <w:p w14:paraId="61ED4BD5" w14:textId="5A1BA151" w:rsidR="00F82960" w:rsidRPr="00F82960" w:rsidRDefault="00F82960" w:rsidP="00D33F4C">
      <w:pPr>
        <w:numPr>
          <w:ilvl w:val="0"/>
          <w:numId w:val="3"/>
        </w:numPr>
        <w:spacing w:before="0" w:after="0"/>
        <w:contextualSpacing/>
        <w:rPr>
          <w:rFonts w:asciiTheme="minorHAnsi" w:hAnsiTheme="minorHAnsi" w:cstheme="minorHAnsi"/>
        </w:rPr>
      </w:pPr>
      <w:r w:rsidRPr="00F82960">
        <w:rPr>
          <w:rFonts w:asciiTheme="minorHAnsi" w:hAnsiTheme="minorHAnsi" w:cstheme="minorHAnsi"/>
        </w:rPr>
        <w:t xml:space="preserve">For 36% of respondents, a lack of awareness on related policies and regulations </w:t>
      </w:r>
      <w:r w:rsidR="00852B8A">
        <w:rPr>
          <w:rFonts w:asciiTheme="minorHAnsi" w:hAnsiTheme="minorHAnsi" w:cstheme="minorHAnsi"/>
        </w:rPr>
        <w:t xml:space="preserve">was </w:t>
      </w:r>
      <w:r w:rsidRPr="00F82960">
        <w:rPr>
          <w:rFonts w:asciiTheme="minorHAnsi" w:hAnsiTheme="minorHAnsi" w:cstheme="minorHAnsi"/>
        </w:rPr>
        <w:t>the greatest barrier to RSPV implementation</w:t>
      </w:r>
      <w:r w:rsidR="00852B8A">
        <w:rPr>
          <w:rFonts w:asciiTheme="minorHAnsi" w:hAnsiTheme="minorHAnsi" w:cstheme="minorHAnsi"/>
        </w:rPr>
        <w:t xml:space="preserve">; </w:t>
      </w:r>
      <w:r w:rsidRPr="00F82960">
        <w:rPr>
          <w:rFonts w:asciiTheme="minorHAnsi" w:hAnsiTheme="minorHAnsi" w:cstheme="minorHAnsi"/>
        </w:rPr>
        <w:t xml:space="preserve">34% </w:t>
      </w:r>
      <w:r w:rsidR="00852B8A">
        <w:rPr>
          <w:rFonts w:asciiTheme="minorHAnsi" w:hAnsiTheme="minorHAnsi" w:cstheme="minorHAnsi"/>
        </w:rPr>
        <w:t xml:space="preserve">indicated it was </w:t>
      </w:r>
      <w:r w:rsidRPr="00F82960">
        <w:rPr>
          <w:rFonts w:asciiTheme="minorHAnsi" w:hAnsiTheme="minorHAnsi" w:cstheme="minorHAnsi"/>
        </w:rPr>
        <w:t>a lack of knowledge on how to arrange financing.</w:t>
      </w:r>
    </w:p>
    <w:p w14:paraId="67831813" w14:textId="7950272B" w:rsidR="00F82960" w:rsidRPr="00F82960" w:rsidRDefault="00F82960" w:rsidP="00D33F4C">
      <w:pPr>
        <w:numPr>
          <w:ilvl w:val="0"/>
          <w:numId w:val="3"/>
        </w:numPr>
        <w:spacing w:before="0" w:after="0"/>
        <w:contextualSpacing/>
        <w:rPr>
          <w:rFonts w:asciiTheme="minorHAnsi" w:hAnsiTheme="minorHAnsi" w:cstheme="minorHAnsi"/>
        </w:rPr>
      </w:pPr>
      <w:r w:rsidRPr="00F82960">
        <w:rPr>
          <w:rFonts w:asciiTheme="minorHAnsi" w:hAnsiTheme="minorHAnsi" w:cstheme="minorHAnsi"/>
        </w:rPr>
        <w:t xml:space="preserve">In terms of incentives, 65% of the respondents indicated a preference for the FiT scheme, while the remaining respondents preferred net-metering </w:t>
      </w:r>
      <w:r w:rsidR="004903E6">
        <w:rPr>
          <w:rFonts w:asciiTheme="minorHAnsi" w:hAnsiTheme="minorHAnsi" w:cstheme="minorHAnsi"/>
        </w:rPr>
        <w:t>(NM)</w:t>
      </w:r>
      <w:r w:rsidRPr="00F82960">
        <w:rPr>
          <w:rFonts w:asciiTheme="minorHAnsi" w:hAnsiTheme="minorHAnsi" w:cstheme="minorHAnsi"/>
        </w:rPr>
        <w:t xml:space="preserve">. 46% of respondents indicated a preference for </w:t>
      </w:r>
      <w:r w:rsidR="004903E6">
        <w:rPr>
          <w:rFonts w:asciiTheme="minorHAnsi" w:hAnsiTheme="minorHAnsi" w:cstheme="minorHAnsi"/>
        </w:rPr>
        <w:t xml:space="preserve">upfront or </w:t>
      </w:r>
      <w:r w:rsidRPr="00F82960">
        <w:rPr>
          <w:rFonts w:asciiTheme="minorHAnsi" w:hAnsiTheme="minorHAnsi" w:cstheme="minorHAnsi"/>
        </w:rPr>
        <w:t>buy-down incentives</w:t>
      </w:r>
      <w:r w:rsidR="004903E6">
        <w:rPr>
          <w:rFonts w:asciiTheme="minorHAnsi" w:hAnsiTheme="minorHAnsi" w:cstheme="minorHAnsi"/>
        </w:rPr>
        <w:t xml:space="preserve">; </w:t>
      </w:r>
      <w:r w:rsidRPr="00F82960">
        <w:rPr>
          <w:rFonts w:asciiTheme="minorHAnsi" w:hAnsiTheme="minorHAnsi" w:cstheme="minorHAnsi"/>
        </w:rPr>
        <w:t xml:space="preserve">26% </w:t>
      </w:r>
      <w:r w:rsidR="004903E6">
        <w:rPr>
          <w:rFonts w:asciiTheme="minorHAnsi" w:hAnsiTheme="minorHAnsi" w:cstheme="minorHAnsi"/>
        </w:rPr>
        <w:t xml:space="preserve">preferred </w:t>
      </w:r>
      <w:r w:rsidRPr="00F82960">
        <w:rPr>
          <w:rFonts w:asciiTheme="minorHAnsi" w:hAnsiTheme="minorHAnsi" w:cstheme="minorHAnsi"/>
        </w:rPr>
        <w:t>low-cost financing.</w:t>
      </w:r>
    </w:p>
    <w:p w14:paraId="2B3F7336" w14:textId="49613C3E" w:rsidR="00F82960" w:rsidRDefault="004903E6" w:rsidP="00D33F4C">
      <w:pPr>
        <w:numPr>
          <w:ilvl w:val="0"/>
          <w:numId w:val="3"/>
        </w:numPr>
        <w:spacing w:before="0" w:after="0"/>
        <w:contextualSpacing/>
        <w:rPr>
          <w:rFonts w:asciiTheme="minorHAnsi" w:hAnsiTheme="minorHAnsi" w:cstheme="minorHAnsi"/>
        </w:rPr>
      </w:pPr>
      <w:r>
        <w:rPr>
          <w:rFonts w:asciiTheme="minorHAnsi" w:hAnsiTheme="minorHAnsi" w:cstheme="minorHAnsi"/>
        </w:rPr>
        <w:t>About 50%</w:t>
      </w:r>
      <w:r w:rsidR="00F82960" w:rsidRPr="00F82960">
        <w:rPr>
          <w:rFonts w:asciiTheme="minorHAnsi" w:hAnsiTheme="minorHAnsi" w:cstheme="minorHAnsi"/>
        </w:rPr>
        <w:t xml:space="preserve"> of the EPC</w:t>
      </w:r>
      <w:r>
        <w:rPr>
          <w:rFonts w:asciiTheme="minorHAnsi" w:hAnsiTheme="minorHAnsi" w:cstheme="minorHAnsi"/>
        </w:rPr>
        <w:t>s</w:t>
      </w:r>
      <w:r w:rsidR="00F82960" w:rsidRPr="00F82960">
        <w:rPr>
          <w:rFonts w:asciiTheme="minorHAnsi" w:hAnsiTheme="minorHAnsi" w:cstheme="minorHAnsi"/>
        </w:rPr>
        <w:t xml:space="preserve"> believe that RSPV development in the commercial sector is </w:t>
      </w:r>
      <w:r>
        <w:rPr>
          <w:rFonts w:asciiTheme="minorHAnsi" w:hAnsiTheme="minorHAnsi" w:cstheme="minorHAnsi"/>
        </w:rPr>
        <w:t xml:space="preserve">the </w:t>
      </w:r>
      <w:r w:rsidR="00F82960" w:rsidRPr="00F82960">
        <w:rPr>
          <w:rFonts w:asciiTheme="minorHAnsi" w:hAnsiTheme="minorHAnsi" w:cstheme="minorHAnsi"/>
        </w:rPr>
        <w:t xml:space="preserve">most </w:t>
      </w:r>
      <w:r>
        <w:rPr>
          <w:rFonts w:asciiTheme="minorHAnsi" w:hAnsiTheme="minorHAnsi" w:cstheme="minorHAnsi"/>
        </w:rPr>
        <w:t xml:space="preserve">promising; 83% </w:t>
      </w:r>
      <w:r w:rsidR="00F82960" w:rsidRPr="00F82960">
        <w:rPr>
          <w:rFonts w:asciiTheme="minorHAnsi" w:hAnsiTheme="minorHAnsi" w:cstheme="minorHAnsi"/>
        </w:rPr>
        <w:t>believe</w:t>
      </w:r>
      <w:r>
        <w:rPr>
          <w:rFonts w:asciiTheme="minorHAnsi" w:hAnsiTheme="minorHAnsi" w:cstheme="minorHAnsi"/>
        </w:rPr>
        <w:t xml:space="preserve"> a </w:t>
      </w:r>
      <w:r w:rsidR="00F82960" w:rsidRPr="00F82960">
        <w:rPr>
          <w:rFonts w:asciiTheme="minorHAnsi" w:hAnsiTheme="minorHAnsi" w:cstheme="minorHAnsi"/>
        </w:rPr>
        <w:t>lack of skilled labor is a critical barrier to RSPV</w:t>
      </w:r>
      <w:r>
        <w:rPr>
          <w:rFonts w:asciiTheme="minorHAnsi" w:hAnsiTheme="minorHAnsi" w:cstheme="minorHAnsi"/>
        </w:rPr>
        <w:t>s</w:t>
      </w:r>
      <w:r w:rsidR="00F82960" w:rsidRPr="00F82960">
        <w:rPr>
          <w:rFonts w:asciiTheme="minorHAnsi" w:hAnsiTheme="minorHAnsi" w:cstheme="minorHAnsi"/>
        </w:rPr>
        <w:t>.</w:t>
      </w:r>
    </w:p>
    <w:p w14:paraId="6C3F4FD6" w14:textId="77777777" w:rsidR="004903E6" w:rsidRPr="00F82960" w:rsidRDefault="004903E6" w:rsidP="004903E6">
      <w:pPr>
        <w:numPr>
          <w:ilvl w:val="0"/>
          <w:numId w:val="3"/>
        </w:numPr>
        <w:spacing w:before="0" w:after="0"/>
        <w:contextualSpacing/>
        <w:rPr>
          <w:rFonts w:asciiTheme="minorHAnsi" w:hAnsiTheme="minorHAnsi" w:cstheme="minorHAnsi"/>
        </w:rPr>
      </w:pPr>
      <w:r w:rsidRPr="00F82960">
        <w:rPr>
          <w:rFonts w:asciiTheme="minorHAnsi" w:hAnsiTheme="minorHAnsi" w:cstheme="minorHAnsi"/>
        </w:rPr>
        <w:t>FIs expressed difficulties in providing finance to EPC companies, because most of them are early-stage firms with weak balance sheets. A mismatch between the current FiT (which only lasts 10 years) and most RSPV systems (with 25-year lifespans) was also concern.</w:t>
      </w:r>
    </w:p>
    <w:p w14:paraId="74DFE7DD" w14:textId="77777777" w:rsidR="00E71E7D" w:rsidRPr="004903E6" w:rsidRDefault="00E71E7D" w:rsidP="004903E6">
      <w:pPr>
        <w:spacing w:before="0" w:after="0"/>
        <w:rPr>
          <w:b/>
          <w:bCs/>
          <w:color w:val="002060"/>
          <w:sz w:val="12"/>
          <w:lang w:val="en-GB"/>
        </w:rPr>
      </w:pPr>
    </w:p>
    <w:p w14:paraId="5915DE2C" w14:textId="77777777" w:rsidR="00E71E7D" w:rsidRPr="004903E6" w:rsidRDefault="00E71E7D" w:rsidP="004903E6">
      <w:pPr>
        <w:spacing w:before="0" w:after="0"/>
        <w:rPr>
          <w:b/>
          <w:bCs/>
          <w:color w:val="002060"/>
          <w:sz w:val="12"/>
          <w:lang w:val="en-GB"/>
        </w:rPr>
        <w:sectPr w:rsidR="00E71E7D" w:rsidRPr="004903E6" w:rsidSect="00D33F4C">
          <w:footerReference w:type="default" r:id="rId13"/>
          <w:pgSz w:w="11906" w:h="16838"/>
          <w:pgMar w:top="1440" w:right="1440" w:bottom="1440" w:left="1440" w:header="706" w:footer="706" w:gutter="0"/>
          <w:cols w:space="708"/>
          <w:titlePg/>
          <w:docGrid w:linePitch="360"/>
        </w:sectPr>
      </w:pPr>
    </w:p>
    <w:p w14:paraId="7157CD86" w14:textId="7A4863F1" w:rsidR="00E71E7D" w:rsidRDefault="00E71E7D" w:rsidP="00E71E7D">
      <w:pPr>
        <w:keepNext/>
        <w:spacing w:after="0"/>
        <w:rPr>
          <w:sz w:val="22"/>
          <w:szCs w:val="22"/>
          <w:lang w:eastAsia="en-US"/>
        </w:rPr>
      </w:pPr>
      <w:r>
        <w:rPr>
          <w:i/>
          <w:iCs/>
          <w:color w:val="000000" w:themeColor="text1"/>
          <w:lang w:val="en-GB"/>
        </w:rPr>
        <w:lastRenderedPageBreak/>
        <w:t xml:space="preserve">Table 1: Lessons on RSPV development from international experience </w:t>
      </w:r>
    </w:p>
    <w:tbl>
      <w:tblPr>
        <w:tblStyle w:val="TableGrid1111"/>
        <w:tblpPr w:leftFromText="180" w:rightFromText="180" w:vertAnchor="text" w:horzAnchor="margin" w:tblpY="93"/>
        <w:tblW w:w="5085" w:type="pct"/>
        <w:tblInd w:w="0" w:type="dxa"/>
        <w:tblLook w:val="04A0" w:firstRow="1" w:lastRow="0" w:firstColumn="1" w:lastColumn="0" w:noHBand="0" w:noVBand="1"/>
      </w:tblPr>
      <w:tblGrid>
        <w:gridCol w:w="1683"/>
        <w:gridCol w:w="1817"/>
        <w:gridCol w:w="2636"/>
        <w:gridCol w:w="2320"/>
        <w:gridCol w:w="1714"/>
        <w:gridCol w:w="2249"/>
        <w:gridCol w:w="1813"/>
      </w:tblGrid>
      <w:tr w:rsidR="00E71E7D" w14:paraId="0AFF0F1A" w14:textId="77777777" w:rsidTr="00E71E7D">
        <w:trPr>
          <w:trHeight w:val="288"/>
          <w:tblHeader/>
        </w:trPr>
        <w:tc>
          <w:tcPr>
            <w:tcW w:w="591" w:type="pct"/>
            <w:tcBorders>
              <w:top w:val="single" w:sz="4" w:space="0" w:color="auto"/>
              <w:left w:val="single" w:sz="4" w:space="0" w:color="auto"/>
              <w:bottom w:val="single" w:sz="4" w:space="0" w:color="auto"/>
              <w:right w:val="single" w:sz="4" w:space="0" w:color="auto"/>
            </w:tcBorders>
            <w:shd w:val="clear" w:color="auto" w:fill="002060"/>
            <w:hideMark/>
          </w:tcPr>
          <w:p w14:paraId="50748617" w14:textId="77777777" w:rsidR="00E71E7D" w:rsidRDefault="00E71E7D">
            <w:pPr>
              <w:spacing w:after="0"/>
              <w:rPr>
                <w:sz w:val="20"/>
                <w:szCs w:val="20"/>
              </w:rPr>
            </w:pPr>
            <w:r>
              <w:rPr>
                <w:rFonts w:eastAsia="Calibri"/>
                <w:b/>
                <w:bCs/>
                <w:sz w:val="20"/>
                <w:szCs w:val="20"/>
              </w:rPr>
              <w:t>Parameter</w:t>
            </w:r>
          </w:p>
        </w:tc>
        <w:tc>
          <w:tcPr>
            <w:tcW w:w="638" w:type="pct"/>
            <w:tcBorders>
              <w:top w:val="single" w:sz="4" w:space="0" w:color="auto"/>
              <w:left w:val="single" w:sz="4" w:space="0" w:color="auto"/>
              <w:bottom w:val="single" w:sz="4" w:space="0" w:color="auto"/>
              <w:right w:val="single" w:sz="4" w:space="0" w:color="auto"/>
            </w:tcBorders>
            <w:shd w:val="clear" w:color="auto" w:fill="002060"/>
            <w:hideMark/>
          </w:tcPr>
          <w:p w14:paraId="2148F64D" w14:textId="77777777" w:rsidR="00E71E7D" w:rsidRDefault="00E71E7D">
            <w:pPr>
              <w:spacing w:after="0"/>
              <w:rPr>
                <w:sz w:val="20"/>
                <w:szCs w:val="20"/>
              </w:rPr>
            </w:pPr>
            <w:r>
              <w:rPr>
                <w:rFonts w:eastAsia="Calibri"/>
                <w:b/>
                <w:bCs/>
                <w:sz w:val="20"/>
                <w:szCs w:val="20"/>
              </w:rPr>
              <w:t>USA</w:t>
            </w:r>
          </w:p>
        </w:tc>
        <w:tc>
          <w:tcPr>
            <w:tcW w:w="926" w:type="pct"/>
            <w:tcBorders>
              <w:top w:val="single" w:sz="4" w:space="0" w:color="auto"/>
              <w:left w:val="single" w:sz="4" w:space="0" w:color="auto"/>
              <w:bottom w:val="single" w:sz="4" w:space="0" w:color="auto"/>
              <w:right w:val="single" w:sz="4" w:space="0" w:color="auto"/>
            </w:tcBorders>
            <w:shd w:val="clear" w:color="auto" w:fill="002060"/>
            <w:hideMark/>
          </w:tcPr>
          <w:p w14:paraId="071DA891" w14:textId="77777777" w:rsidR="00E71E7D" w:rsidRDefault="00E71E7D">
            <w:pPr>
              <w:spacing w:after="0"/>
              <w:rPr>
                <w:sz w:val="20"/>
                <w:szCs w:val="20"/>
              </w:rPr>
            </w:pPr>
            <w:r>
              <w:rPr>
                <w:rFonts w:eastAsia="Calibri"/>
                <w:b/>
                <w:bCs/>
                <w:sz w:val="20"/>
                <w:szCs w:val="20"/>
              </w:rPr>
              <w:t>Germany</w:t>
            </w:r>
          </w:p>
        </w:tc>
        <w:tc>
          <w:tcPr>
            <w:tcW w:w="815" w:type="pct"/>
            <w:tcBorders>
              <w:top w:val="single" w:sz="4" w:space="0" w:color="auto"/>
              <w:left w:val="single" w:sz="4" w:space="0" w:color="auto"/>
              <w:bottom w:val="single" w:sz="4" w:space="0" w:color="auto"/>
              <w:right w:val="single" w:sz="4" w:space="0" w:color="auto"/>
            </w:tcBorders>
            <w:shd w:val="clear" w:color="auto" w:fill="002060"/>
            <w:hideMark/>
          </w:tcPr>
          <w:p w14:paraId="17D865D2" w14:textId="77777777" w:rsidR="00E71E7D" w:rsidRDefault="00E71E7D">
            <w:pPr>
              <w:spacing w:after="0"/>
              <w:rPr>
                <w:sz w:val="20"/>
                <w:szCs w:val="20"/>
              </w:rPr>
            </w:pPr>
            <w:r>
              <w:rPr>
                <w:rFonts w:eastAsia="Calibri"/>
                <w:b/>
                <w:bCs/>
                <w:sz w:val="20"/>
                <w:szCs w:val="20"/>
              </w:rPr>
              <w:t>India</w:t>
            </w:r>
          </w:p>
        </w:tc>
        <w:tc>
          <w:tcPr>
            <w:tcW w:w="602" w:type="pct"/>
            <w:tcBorders>
              <w:top w:val="single" w:sz="4" w:space="0" w:color="auto"/>
              <w:left w:val="single" w:sz="4" w:space="0" w:color="auto"/>
              <w:bottom w:val="single" w:sz="4" w:space="0" w:color="auto"/>
              <w:right w:val="single" w:sz="4" w:space="0" w:color="auto"/>
            </w:tcBorders>
            <w:shd w:val="clear" w:color="auto" w:fill="002060"/>
            <w:hideMark/>
          </w:tcPr>
          <w:p w14:paraId="63C6E408" w14:textId="77777777" w:rsidR="00E71E7D" w:rsidRDefault="00E71E7D">
            <w:pPr>
              <w:spacing w:after="0"/>
              <w:rPr>
                <w:sz w:val="20"/>
                <w:szCs w:val="20"/>
              </w:rPr>
            </w:pPr>
            <w:r>
              <w:rPr>
                <w:rFonts w:eastAsia="Calibri"/>
                <w:b/>
                <w:bCs/>
                <w:sz w:val="20"/>
                <w:szCs w:val="20"/>
              </w:rPr>
              <w:t xml:space="preserve">China </w:t>
            </w:r>
          </w:p>
        </w:tc>
        <w:tc>
          <w:tcPr>
            <w:tcW w:w="790" w:type="pct"/>
            <w:tcBorders>
              <w:top w:val="single" w:sz="4" w:space="0" w:color="auto"/>
              <w:left w:val="single" w:sz="4" w:space="0" w:color="auto"/>
              <w:bottom w:val="single" w:sz="4" w:space="0" w:color="auto"/>
              <w:right w:val="single" w:sz="4" w:space="0" w:color="auto"/>
            </w:tcBorders>
            <w:shd w:val="clear" w:color="auto" w:fill="002060"/>
            <w:hideMark/>
          </w:tcPr>
          <w:p w14:paraId="6026F054" w14:textId="77777777" w:rsidR="00E71E7D" w:rsidRDefault="00E71E7D">
            <w:pPr>
              <w:spacing w:after="0"/>
              <w:rPr>
                <w:sz w:val="20"/>
                <w:szCs w:val="20"/>
              </w:rPr>
            </w:pPr>
            <w:r>
              <w:rPr>
                <w:rFonts w:eastAsia="Calibri"/>
                <w:b/>
                <w:bCs/>
                <w:sz w:val="20"/>
                <w:szCs w:val="20"/>
              </w:rPr>
              <w:t>Japan</w:t>
            </w:r>
          </w:p>
        </w:tc>
        <w:tc>
          <w:tcPr>
            <w:tcW w:w="637" w:type="pct"/>
            <w:tcBorders>
              <w:top w:val="single" w:sz="4" w:space="0" w:color="auto"/>
              <w:left w:val="single" w:sz="4" w:space="0" w:color="auto"/>
              <w:bottom w:val="single" w:sz="4" w:space="0" w:color="auto"/>
              <w:right w:val="single" w:sz="4" w:space="0" w:color="auto"/>
            </w:tcBorders>
            <w:shd w:val="clear" w:color="auto" w:fill="002060"/>
            <w:hideMark/>
          </w:tcPr>
          <w:p w14:paraId="50DEB628" w14:textId="77777777" w:rsidR="00E71E7D" w:rsidRDefault="00E71E7D">
            <w:pPr>
              <w:spacing w:after="0"/>
              <w:rPr>
                <w:sz w:val="20"/>
                <w:szCs w:val="20"/>
              </w:rPr>
            </w:pPr>
            <w:r>
              <w:rPr>
                <w:rFonts w:eastAsia="Calibri"/>
                <w:b/>
                <w:bCs/>
                <w:sz w:val="20"/>
                <w:szCs w:val="20"/>
              </w:rPr>
              <w:t>Lessons for Turkey</w:t>
            </w:r>
          </w:p>
        </w:tc>
      </w:tr>
      <w:tr w:rsidR="00E71E7D" w14:paraId="7C1B93F6" w14:textId="77777777" w:rsidTr="00E71E7D">
        <w:tc>
          <w:tcPr>
            <w:tcW w:w="59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F30181" w14:textId="77777777" w:rsidR="00E71E7D" w:rsidRDefault="00E71E7D">
            <w:pPr>
              <w:spacing w:after="0"/>
              <w:rPr>
                <w:sz w:val="20"/>
                <w:szCs w:val="20"/>
              </w:rPr>
            </w:pPr>
            <w:r>
              <w:rPr>
                <w:rFonts w:eastAsia="Calibri"/>
                <w:b/>
                <w:bCs/>
                <w:sz w:val="20"/>
                <w:szCs w:val="20"/>
              </w:rPr>
              <w:t xml:space="preserve">Permitting and Licensing Requirements </w:t>
            </w:r>
          </w:p>
        </w:tc>
        <w:tc>
          <w:tcPr>
            <w:tcW w:w="638" w:type="pct"/>
            <w:tcBorders>
              <w:top w:val="single" w:sz="4" w:space="0" w:color="auto"/>
              <w:left w:val="single" w:sz="4" w:space="0" w:color="auto"/>
              <w:bottom w:val="single" w:sz="4" w:space="0" w:color="auto"/>
              <w:right w:val="single" w:sz="4" w:space="0" w:color="auto"/>
            </w:tcBorders>
            <w:hideMark/>
          </w:tcPr>
          <w:p w14:paraId="068DA063" w14:textId="77777777" w:rsidR="00E71E7D" w:rsidRDefault="00E71E7D" w:rsidP="00D33F4C">
            <w:pPr>
              <w:pStyle w:val="ListParagraph"/>
              <w:numPr>
                <w:ilvl w:val="0"/>
                <w:numId w:val="5"/>
              </w:numPr>
              <w:spacing w:before="0" w:after="0"/>
              <w:ind w:left="212" w:hanging="180"/>
              <w:contextualSpacing/>
              <w:rPr>
                <w:rFonts w:eastAsia="Calibri" w:cs="Times New Roman"/>
                <w:sz w:val="20"/>
                <w:szCs w:val="20"/>
              </w:rPr>
            </w:pPr>
            <w:r>
              <w:rPr>
                <w:rFonts w:eastAsia="Calibri" w:cs="Times New Roman"/>
                <w:sz w:val="20"/>
                <w:szCs w:val="20"/>
              </w:rPr>
              <w:t>On-line permitting practice</w:t>
            </w:r>
          </w:p>
          <w:p w14:paraId="024EA673" w14:textId="77777777" w:rsidR="00E71E7D" w:rsidRDefault="00E71E7D" w:rsidP="00D33F4C">
            <w:pPr>
              <w:pStyle w:val="ListParagraph"/>
              <w:numPr>
                <w:ilvl w:val="0"/>
                <w:numId w:val="5"/>
              </w:numPr>
              <w:spacing w:before="0" w:after="0"/>
              <w:ind w:left="212" w:hanging="180"/>
              <w:contextualSpacing/>
              <w:rPr>
                <w:rFonts w:eastAsia="Calibri" w:cs="Times New Roman"/>
                <w:sz w:val="20"/>
                <w:szCs w:val="20"/>
              </w:rPr>
            </w:pPr>
            <w:r>
              <w:rPr>
                <w:rFonts w:eastAsia="Calibri" w:cs="Times New Roman"/>
                <w:sz w:val="20"/>
                <w:szCs w:val="20"/>
              </w:rPr>
              <w:t>Single-window clearance</w:t>
            </w:r>
          </w:p>
        </w:tc>
        <w:tc>
          <w:tcPr>
            <w:tcW w:w="926" w:type="pct"/>
            <w:tcBorders>
              <w:top w:val="single" w:sz="4" w:space="0" w:color="auto"/>
              <w:left w:val="single" w:sz="4" w:space="0" w:color="auto"/>
              <w:bottom w:val="single" w:sz="4" w:space="0" w:color="auto"/>
              <w:right w:val="single" w:sz="4" w:space="0" w:color="auto"/>
            </w:tcBorders>
          </w:tcPr>
          <w:p w14:paraId="1E542AE6" w14:textId="77777777" w:rsidR="00E71E7D" w:rsidRDefault="00E71E7D" w:rsidP="00D33F4C">
            <w:pPr>
              <w:pStyle w:val="ListParagraph"/>
              <w:numPr>
                <w:ilvl w:val="0"/>
                <w:numId w:val="5"/>
              </w:numPr>
              <w:spacing w:before="0" w:after="0"/>
              <w:ind w:left="226" w:hanging="226"/>
              <w:contextualSpacing/>
              <w:rPr>
                <w:rFonts w:eastAsia="Calibri" w:cs="Times New Roman"/>
                <w:sz w:val="20"/>
                <w:szCs w:val="20"/>
              </w:rPr>
            </w:pPr>
            <w:r>
              <w:rPr>
                <w:rFonts w:eastAsia="Calibri" w:cs="Times New Roman"/>
                <w:sz w:val="20"/>
                <w:szCs w:val="20"/>
              </w:rPr>
              <w:t xml:space="preserve">Streamlined permitting process </w:t>
            </w:r>
          </w:p>
          <w:p w14:paraId="1DFE77FA" w14:textId="77777777" w:rsidR="00E71E7D" w:rsidRDefault="00E71E7D">
            <w:pPr>
              <w:spacing w:after="0"/>
              <w:ind w:left="226" w:hanging="226"/>
              <w:rPr>
                <w:rFonts w:eastAsia="Calibri"/>
                <w:sz w:val="20"/>
                <w:szCs w:val="20"/>
              </w:rPr>
            </w:pPr>
          </w:p>
          <w:p w14:paraId="464D61B3" w14:textId="77777777" w:rsidR="00E71E7D" w:rsidRDefault="00E71E7D" w:rsidP="00D33F4C">
            <w:pPr>
              <w:pStyle w:val="ListParagraph"/>
              <w:numPr>
                <w:ilvl w:val="0"/>
                <w:numId w:val="5"/>
              </w:numPr>
              <w:spacing w:before="0" w:after="0"/>
              <w:ind w:left="226" w:hanging="226"/>
              <w:contextualSpacing/>
              <w:rPr>
                <w:rFonts w:eastAsia="Calibri" w:cs="Times New Roman"/>
                <w:sz w:val="20"/>
                <w:szCs w:val="20"/>
              </w:rPr>
            </w:pPr>
            <w:r>
              <w:rPr>
                <w:rFonts w:eastAsia="Calibri" w:cs="Times New Roman"/>
                <w:sz w:val="20"/>
                <w:szCs w:val="20"/>
              </w:rPr>
              <w:t>No permit fee for small residential PV systems</w:t>
            </w:r>
          </w:p>
        </w:tc>
        <w:tc>
          <w:tcPr>
            <w:tcW w:w="815" w:type="pct"/>
            <w:tcBorders>
              <w:top w:val="single" w:sz="4" w:space="0" w:color="auto"/>
              <w:left w:val="single" w:sz="4" w:space="0" w:color="auto"/>
              <w:bottom w:val="single" w:sz="4" w:space="0" w:color="auto"/>
              <w:right w:val="single" w:sz="4" w:space="0" w:color="auto"/>
            </w:tcBorders>
          </w:tcPr>
          <w:p w14:paraId="21A9EC7E" w14:textId="77777777" w:rsidR="00E71E7D" w:rsidRDefault="00E71E7D" w:rsidP="00D33F4C">
            <w:pPr>
              <w:pStyle w:val="ListParagraph"/>
              <w:numPr>
                <w:ilvl w:val="0"/>
                <w:numId w:val="5"/>
              </w:numPr>
              <w:spacing w:before="0" w:after="0"/>
              <w:ind w:left="318" w:hanging="318"/>
              <w:contextualSpacing/>
              <w:rPr>
                <w:rFonts w:eastAsia="Calibri" w:cs="Times New Roman"/>
                <w:sz w:val="20"/>
                <w:szCs w:val="20"/>
              </w:rPr>
            </w:pPr>
            <w:r>
              <w:rPr>
                <w:rFonts w:eastAsia="Calibri" w:cs="Times New Roman"/>
                <w:sz w:val="20"/>
                <w:szCs w:val="20"/>
              </w:rPr>
              <w:t xml:space="preserve">Single-window clearance </w:t>
            </w:r>
          </w:p>
          <w:p w14:paraId="0EE256CC" w14:textId="77777777" w:rsidR="00E71E7D" w:rsidRDefault="00E71E7D">
            <w:pPr>
              <w:spacing w:after="0"/>
              <w:ind w:left="318" w:hanging="318"/>
              <w:rPr>
                <w:rFonts w:eastAsia="Calibri"/>
                <w:sz w:val="20"/>
                <w:szCs w:val="20"/>
              </w:rPr>
            </w:pPr>
          </w:p>
          <w:p w14:paraId="1C288C5B" w14:textId="77777777" w:rsidR="00E71E7D" w:rsidRDefault="00E71E7D" w:rsidP="00D33F4C">
            <w:pPr>
              <w:pStyle w:val="ListParagraph"/>
              <w:numPr>
                <w:ilvl w:val="0"/>
                <w:numId w:val="5"/>
              </w:numPr>
              <w:spacing w:before="0" w:after="0"/>
              <w:ind w:left="318" w:hanging="318"/>
              <w:contextualSpacing/>
              <w:rPr>
                <w:rFonts w:eastAsia="Calibri" w:cs="Times New Roman"/>
                <w:sz w:val="20"/>
                <w:szCs w:val="20"/>
              </w:rPr>
            </w:pPr>
            <w:r>
              <w:rPr>
                <w:rFonts w:eastAsia="Calibri" w:cs="Times New Roman"/>
                <w:sz w:val="20"/>
                <w:szCs w:val="20"/>
              </w:rPr>
              <w:t>Technical standards are pre-defined</w:t>
            </w:r>
          </w:p>
        </w:tc>
        <w:tc>
          <w:tcPr>
            <w:tcW w:w="602" w:type="pct"/>
            <w:tcBorders>
              <w:top w:val="single" w:sz="4" w:space="0" w:color="auto"/>
              <w:left w:val="single" w:sz="4" w:space="0" w:color="auto"/>
              <w:bottom w:val="single" w:sz="4" w:space="0" w:color="auto"/>
              <w:right w:val="single" w:sz="4" w:space="0" w:color="auto"/>
            </w:tcBorders>
            <w:hideMark/>
          </w:tcPr>
          <w:p w14:paraId="5A9D3408" w14:textId="77777777" w:rsidR="00E71E7D" w:rsidRDefault="00E71E7D">
            <w:pPr>
              <w:spacing w:after="0"/>
              <w:rPr>
                <w:rFonts w:eastAsiaTheme="minorHAnsi" w:cstheme="minorBidi"/>
                <w:sz w:val="20"/>
                <w:szCs w:val="20"/>
              </w:rPr>
            </w:pPr>
            <w:r>
              <w:rPr>
                <w:rFonts w:eastAsia="Calibri"/>
                <w:sz w:val="20"/>
                <w:szCs w:val="20"/>
              </w:rPr>
              <w:t>No data available</w:t>
            </w:r>
          </w:p>
        </w:tc>
        <w:tc>
          <w:tcPr>
            <w:tcW w:w="790" w:type="pct"/>
            <w:tcBorders>
              <w:top w:val="single" w:sz="4" w:space="0" w:color="auto"/>
              <w:left w:val="single" w:sz="4" w:space="0" w:color="auto"/>
              <w:bottom w:val="single" w:sz="4" w:space="0" w:color="auto"/>
              <w:right w:val="single" w:sz="4" w:space="0" w:color="auto"/>
            </w:tcBorders>
          </w:tcPr>
          <w:p w14:paraId="5BE200DA" w14:textId="77777777" w:rsidR="00E71E7D" w:rsidRDefault="00E71E7D" w:rsidP="00D33F4C">
            <w:pPr>
              <w:pStyle w:val="ListParagraph"/>
              <w:numPr>
                <w:ilvl w:val="0"/>
                <w:numId w:val="5"/>
              </w:numPr>
              <w:spacing w:before="0" w:after="0"/>
              <w:ind w:left="285" w:hanging="285"/>
              <w:contextualSpacing/>
              <w:rPr>
                <w:rFonts w:eastAsia="Calibri" w:cs="Times New Roman"/>
                <w:sz w:val="20"/>
                <w:szCs w:val="20"/>
              </w:rPr>
            </w:pPr>
            <w:r>
              <w:rPr>
                <w:rFonts w:eastAsia="Calibri" w:cs="Times New Roman"/>
                <w:sz w:val="20"/>
                <w:szCs w:val="20"/>
              </w:rPr>
              <w:t>Online application system</w:t>
            </w:r>
          </w:p>
          <w:p w14:paraId="0847A542" w14:textId="77777777" w:rsidR="00E71E7D" w:rsidRDefault="00E71E7D">
            <w:pPr>
              <w:spacing w:after="0"/>
              <w:ind w:left="285" w:hanging="285"/>
              <w:rPr>
                <w:rFonts w:eastAsia="Calibri"/>
                <w:sz w:val="20"/>
                <w:szCs w:val="20"/>
              </w:rPr>
            </w:pPr>
          </w:p>
          <w:p w14:paraId="3F9B8455" w14:textId="77777777" w:rsidR="00E71E7D" w:rsidRDefault="00E71E7D" w:rsidP="00D33F4C">
            <w:pPr>
              <w:pStyle w:val="ListParagraph"/>
              <w:numPr>
                <w:ilvl w:val="0"/>
                <w:numId w:val="5"/>
              </w:numPr>
              <w:spacing w:before="0" w:after="0"/>
              <w:ind w:left="285" w:hanging="285"/>
              <w:contextualSpacing/>
              <w:rPr>
                <w:rFonts w:eastAsia="Calibri" w:cs="Times New Roman"/>
                <w:sz w:val="20"/>
                <w:szCs w:val="20"/>
              </w:rPr>
            </w:pPr>
            <w:r>
              <w:rPr>
                <w:rFonts w:eastAsia="Calibri" w:cs="Times New Roman"/>
                <w:sz w:val="20"/>
                <w:szCs w:val="20"/>
              </w:rPr>
              <w:t>Requires both a pre- and final inspection</w:t>
            </w:r>
          </w:p>
        </w:tc>
        <w:tc>
          <w:tcPr>
            <w:tcW w:w="637" w:type="pct"/>
            <w:tcBorders>
              <w:top w:val="single" w:sz="4" w:space="0" w:color="auto"/>
              <w:left w:val="single" w:sz="4" w:space="0" w:color="auto"/>
              <w:bottom w:val="single" w:sz="4" w:space="0" w:color="auto"/>
              <w:right w:val="single" w:sz="4" w:space="0" w:color="auto"/>
            </w:tcBorders>
            <w:hideMark/>
          </w:tcPr>
          <w:p w14:paraId="4C3082ED" w14:textId="77777777" w:rsidR="00E71E7D" w:rsidRDefault="00E71E7D" w:rsidP="00D33F4C">
            <w:pPr>
              <w:pStyle w:val="ListParagraph"/>
              <w:numPr>
                <w:ilvl w:val="0"/>
                <w:numId w:val="5"/>
              </w:numPr>
              <w:spacing w:before="0" w:after="0"/>
              <w:ind w:left="248" w:hanging="248"/>
              <w:contextualSpacing/>
              <w:rPr>
                <w:rFonts w:eastAsia="Calibri" w:cs="Times New Roman"/>
                <w:sz w:val="20"/>
                <w:szCs w:val="20"/>
              </w:rPr>
            </w:pPr>
            <w:r>
              <w:rPr>
                <w:rFonts w:eastAsia="Calibri" w:cs="Times New Roman"/>
                <w:sz w:val="20"/>
                <w:szCs w:val="20"/>
              </w:rPr>
              <w:t>Licensing and permitting procedure should be simple, online and time bound</w:t>
            </w:r>
          </w:p>
        </w:tc>
      </w:tr>
      <w:tr w:rsidR="00E71E7D" w14:paraId="15E0FF3C" w14:textId="77777777" w:rsidTr="00E71E7D">
        <w:tc>
          <w:tcPr>
            <w:tcW w:w="59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084AB7" w14:textId="77777777" w:rsidR="00E71E7D" w:rsidRDefault="00E71E7D">
            <w:pPr>
              <w:spacing w:after="0"/>
              <w:rPr>
                <w:rFonts w:eastAsiaTheme="minorHAnsi" w:cstheme="minorBidi"/>
                <w:sz w:val="20"/>
                <w:szCs w:val="20"/>
              </w:rPr>
            </w:pPr>
            <w:r>
              <w:rPr>
                <w:rFonts w:eastAsia="Calibri"/>
                <w:b/>
                <w:bCs/>
                <w:sz w:val="20"/>
                <w:szCs w:val="20"/>
              </w:rPr>
              <w:t>FiT vs. Net-Metering</w:t>
            </w:r>
          </w:p>
        </w:tc>
        <w:tc>
          <w:tcPr>
            <w:tcW w:w="638" w:type="pct"/>
            <w:tcBorders>
              <w:top w:val="single" w:sz="4" w:space="0" w:color="auto"/>
              <w:left w:val="single" w:sz="4" w:space="0" w:color="auto"/>
              <w:bottom w:val="single" w:sz="4" w:space="0" w:color="auto"/>
              <w:right w:val="single" w:sz="4" w:space="0" w:color="auto"/>
            </w:tcBorders>
            <w:hideMark/>
          </w:tcPr>
          <w:p w14:paraId="5E271C2E" w14:textId="77777777" w:rsidR="00E71E7D" w:rsidRDefault="00E71E7D" w:rsidP="00D33F4C">
            <w:pPr>
              <w:pStyle w:val="ListParagraph"/>
              <w:numPr>
                <w:ilvl w:val="0"/>
                <w:numId w:val="5"/>
              </w:numPr>
              <w:spacing w:before="0" w:after="0"/>
              <w:ind w:left="212" w:hanging="180"/>
              <w:contextualSpacing/>
              <w:rPr>
                <w:rFonts w:eastAsia="Calibri" w:cs="Times New Roman"/>
                <w:sz w:val="20"/>
                <w:szCs w:val="20"/>
              </w:rPr>
            </w:pPr>
            <w:r>
              <w:rPr>
                <w:rFonts w:eastAsia="Calibri" w:cs="Times New Roman"/>
                <w:sz w:val="20"/>
                <w:szCs w:val="20"/>
              </w:rPr>
              <w:t xml:space="preserve">Net-metering </w:t>
            </w:r>
          </w:p>
        </w:tc>
        <w:tc>
          <w:tcPr>
            <w:tcW w:w="926" w:type="pct"/>
            <w:tcBorders>
              <w:top w:val="single" w:sz="4" w:space="0" w:color="auto"/>
              <w:left w:val="single" w:sz="4" w:space="0" w:color="auto"/>
              <w:bottom w:val="single" w:sz="4" w:space="0" w:color="auto"/>
              <w:right w:val="single" w:sz="4" w:space="0" w:color="auto"/>
            </w:tcBorders>
            <w:hideMark/>
          </w:tcPr>
          <w:p w14:paraId="1D70F86A" w14:textId="77777777" w:rsidR="00E71E7D" w:rsidRDefault="00E71E7D" w:rsidP="00D33F4C">
            <w:pPr>
              <w:pStyle w:val="ListParagraph"/>
              <w:numPr>
                <w:ilvl w:val="0"/>
                <w:numId w:val="5"/>
              </w:numPr>
              <w:spacing w:before="0" w:after="0"/>
              <w:ind w:left="226" w:hanging="226"/>
              <w:contextualSpacing/>
              <w:rPr>
                <w:rFonts w:eastAsia="Calibri" w:cs="Times New Roman"/>
                <w:sz w:val="20"/>
                <w:szCs w:val="20"/>
              </w:rPr>
            </w:pPr>
            <w:r>
              <w:rPr>
                <w:rFonts w:eastAsia="Calibri" w:cs="Times New Roman"/>
                <w:sz w:val="20"/>
                <w:szCs w:val="20"/>
              </w:rPr>
              <w:t>Market-based net-metering</w:t>
            </w:r>
          </w:p>
        </w:tc>
        <w:tc>
          <w:tcPr>
            <w:tcW w:w="815" w:type="pct"/>
            <w:tcBorders>
              <w:top w:val="single" w:sz="4" w:space="0" w:color="auto"/>
              <w:left w:val="single" w:sz="4" w:space="0" w:color="auto"/>
              <w:bottom w:val="single" w:sz="4" w:space="0" w:color="auto"/>
              <w:right w:val="single" w:sz="4" w:space="0" w:color="auto"/>
            </w:tcBorders>
            <w:hideMark/>
          </w:tcPr>
          <w:p w14:paraId="11F6BCF9" w14:textId="77777777" w:rsidR="00E71E7D" w:rsidRDefault="00E71E7D" w:rsidP="00D33F4C">
            <w:pPr>
              <w:pStyle w:val="ListParagraph"/>
              <w:numPr>
                <w:ilvl w:val="0"/>
                <w:numId w:val="5"/>
              </w:numPr>
              <w:spacing w:before="0" w:after="0"/>
              <w:ind w:left="318" w:hanging="318"/>
              <w:contextualSpacing/>
              <w:rPr>
                <w:rFonts w:eastAsia="Calibri" w:cs="Times New Roman"/>
                <w:sz w:val="20"/>
                <w:szCs w:val="20"/>
              </w:rPr>
            </w:pPr>
            <w:r>
              <w:rPr>
                <w:rFonts w:eastAsia="Calibri" w:cs="Times New Roman"/>
                <w:sz w:val="20"/>
                <w:szCs w:val="20"/>
              </w:rPr>
              <w:t>Net-metering is mostly used</w:t>
            </w:r>
          </w:p>
        </w:tc>
        <w:tc>
          <w:tcPr>
            <w:tcW w:w="602" w:type="pct"/>
            <w:tcBorders>
              <w:top w:val="single" w:sz="4" w:space="0" w:color="auto"/>
              <w:left w:val="single" w:sz="4" w:space="0" w:color="auto"/>
              <w:bottom w:val="single" w:sz="4" w:space="0" w:color="auto"/>
              <w:right w:val="single" w:sz="4" w:space="0" w:color="auto"/>
            </w:tcBorders>
            <w:hideMark/>
          </w:tcPr>
          <w:p w14:paraId="41BC545B" w14:textId="77777777" w:rsidR="00E71E7D" w:rsidRDefault="00E71E7D" w:rsidP="00D33F4C">
            <w:pPr>
              <w:pStyle w:val="ListParagraph"/>
              <w:numPr>
                <w:ilvl w:val="0"/>
                <w:numId w:val="5"/>
              </w:numPr>
              <w:spacing w:before="0" w:after="0"/>
              <w:ind w:left="189" w:hanging="194"/>
              <w:contextualSpacing/>
              <w:rPr>
                <w:rFonts w:eastAsia="Calibri" w:cs="Times New Roman"/>
                <w:sz w:val="20"/>
                <w:szCs w:val="20"/>
              </w:rPr>
            </w:pPr>
            <w:r>
              <w:rPr>
                <w:rFonts w:eastAsia="Calibri" w:cs="Times New Roman"/>
                <w:sz w:val="20"/>
                <w:szCs w:val="20"/>
              </w:rPr>
              <w:t>Net-metering (self-consumption) and FiT co-exist</w:t>
            </w:r>
          </w:p>
        </w:tc>
        <w:tc>
          <w:tcPr>
            <w:tcW w:w="790" w:type="pct"/>
            <w:tcBorders>
              <w:top w:val="single" w:sz="4" w:space="0" w:color="auto"/>
              <w:left w:val="single" w:sz="4" w:space="0" w:color="auto"/>
              <w:bottom w:val="single" w:sz="4" w:space="0" w:color="auto"/>
              <w:right w:val="single" w:sz="4" w:space="0" w:color="auto"/>
            </w:tcBorders>
            <w:hideMark/>
          </w:tcPr>
          <w:p w14:paraId="70FCEDDD" w14:textId="77777777" w:rsidR="00E71E7D" w:rsidRDefault="00E71E7D" w:rsidP="00D33F4C">
            <w:pPr>
              <w:pStyle w:val="ListParagraph"/>
              <w:numPr>
                <w:ilvl w:val="0"/>
                <w:numId w:val="5"/>
              </w:numPr>
              <w:spacing w:before="0" w:after="0"/>
              <w:ind w:left="285" w:hanging="285"/>
              <w:contextualSpacing/>
              <w:rPr>
                <w:rFonts w:eastAsia="Calibri" w:cs="Times New Roman"/>
                <w:sz w:val="20"/>
                <w:szCs w:val="20"/>
              </w:rPr>
            </w:pPr>
            <w:r>
              <w:rPr>
                <w:rFonts w:eastAsia="Calibri" w:cs="Times New Roman"/>
                <w:sz w:val="20"/>
                <w:szCs w:val="20"/>
              </w:rPr>
              <w:t>A FiT policy has been implemented</w:t>
            </w:r>
          </w:p>
        </w:tc>
        <w:tc>
          <w:tcPr>
            <w:tcW w:w="637" w:type="pct"/>
            <w:tcBorders>
              <w:top w:val="single" w:sz="4" w:space="0" w:color="auto"/>
              <w:left w:val="single" w:sz="4" w:space="0" w:color="auto"/>
              <w:bottom w:val="single" w:sz="4" w:space="0" w:color="auto"/>
              <w:right w:val="single" w:sz="4" w:space="0" w:color="auto"/>
            </w:tcBorders>
            <w:hideMark/>
          </w:tcPr>
          <w:p w14:paraId="323E2A14" w14:textId="77777777" w:rsidR="00E71E7D" w:rsidRDefault="00E71E7D" w:rsidP="00D33F4C">
            <w:pPr>
              <w:pStyle w:val="ListParagraph"/>
              <w:numPr>
                <w:ilvl w:val="0"/>
                <w:numId w:val="5"/>
              </w:numPr>
              <w:spacing w:before="0" w:after="0"/>
              <w:ind w:left="248" w:hanging="248"/>
              <w:contextualSpacing/>
              <w:rPr>
                <w:rFonts w:eastAsia="Calibri" w:cs="Times New Roman"/>
                <w:sz w:val="20"/>
                <w:szCs w:val="20"/>
              </w:rPr>
            </w:pPr>
            <w:r>
              <w:rPr>
                <w:rFonts w:eastAsia="Calibri" w:cs="Times New Roman"/>
                <w:sz w:val="20"/>
                <w:szCs w:val="20"/>
              </w:rPr>
              <w:t>Move towards net-metering</w:t>
            </w:r>
          </w:p>
        </w:tc>
      </w:tr>
      <w:tr w:rsidR="00E71E7D" w14:paraId="324CAE56" w14:textId="77777777" w:rsidTr="00E71E7D">
        <w:tc>
          <w:tcPr>
            <w:tcW w:w="59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AC5C96" w14:textId="77777777" w:rsidR="00E71E7D" w:rsidRDefault="00E71E7D">
            <w:pPr>
              <w:spacing w:after="0"/>
              <w:rPr>
                <w:rFonts w:eastAsiaTheme="minorHAnsi" w:cstheme="minorBidi"/>
                <w:sz w:val="20"/>
                <w:szCs w:val="20"/>
              </w:rPr>
            </w:pPr>
            <w:r>
              <w:rPr>
                <w:rFonts w:eastAsia="Calibri"/>
                <w:b/>
                <w:bCs/>
                <w:sz w:val="20"/>
                <w:szCs w:val="20"/>
              </w:rPr>
              <w:t>Self-Consumption</w:t>
            </w:r>
          </w:p>
        </w:tc>
        <w:tc>
          <w:tcPr>
            <w:tcW w:w="638" w:type="pct"/>
            <w:tcBorders>
              <w:top w:val="single" w:sz="4" w:space="0" w:color="auto"/>
              <w:left w:val="single" w:sz="4" w:space="0" w:color="auto"/>
              <w:bottom w:val="single" w:sz="4" w:space="0" w:color="auto"/>
              <w:right w:val="single" w:sz="4" w:space="0" w:color="auto"/>
            </w:tcBorders>
            <w:hideMark/>
          </w:tcPr>
          <w:p w14:paraId="3668E4BF" w14:textId="77777777" w:rsidR="00E71E7D" w:rsidRDefault="00E71E7D" w:rsidP="00D33F4C">
            <w:pPr>
              <w:pStyle w:val="ListParagraph"/>
              <w:numPr>
                <w:ilvl w:val="0"/>
                <w:numId w:val="5"/>
              </w:numPr>
              <w:spacing w:before="0" w:after="0"/>
              <w:ind w:left="212" w:hanging="180"/>
              <w:contextualSpacing/>
              <w:rPr>
                <w:rFonts w:eastAsia="Calibri" w:cs="Times New Roman"/>
                <w:sz w:val="20"/>
                <w:szCs w:val="20"/>
              </w:rPr>
            </w:pPr>
            <w:r>
              <w:rPr>
                <w:rFonts w:eastAsia="Calibri" w:cs="Times New Roman"/>
                <w:sz w:val="20"/>
                <w:szCs w:val="20"/>
              </w:rPr>
              <w:t xml:space="preserve">Net-metering and self-consumption are popular in the United States </w:t>
            </w:r>
          </w:p>
        </w:tc>
        <w:tc>
          <w:tcPr>
            <w:tcW w:w="926" w:type="pct"/>
            <w:tcBorders>
              <w:top w:val="single" w:sz="4" w:space="0" w:color="auto"/>
              <w:left w:val="single" w:sz="4" w:space="0" w:color="auto"/>
              <w:bottom w:val="single" w:sz="4" w:space="0" w:color="auto"/>
              <w:right w:val="single" w:sz="4" w:space="0" w:color="auto"/>
            </w:tcBorders>
            <w:hideMark/>
          </w:tcPr>
          <w:p w14:paraId="711C4FC5" w14:textId="77777777" w:rsidR="00E71E7D" w:rsidRDefault="00E71E7D" w:rsidP="00D33F4C">
            <w:pPr>
              <w:pStyle w:val="ListParagraph"/>
              <w:numPr>
                <w:ilvl w:val="0"/>
                <w:numId w:val="5"/>
              </w:numPr>
              <w:spacing w:before="0" w:after="0"/>
              <w:ind w:left="226" w:hanging="226"/>
              <w:contextualSpacing/>
              <w:rPr>
                <w:rFonts w:eastAsia="Calibri" w:cs="Times New Roman"/>
                <w:sz w:val="20"/>
                <w:szCs w:val="20"/>
              </w:rPr>
            </w:pPr>
            <w:r>
              <w:rPr>
                <w:rFonts w:eastAsia="Calibri" w:cs="Times New Roman"/>
                <w:sz w:val="20"/>
                <w:szCs w:val="20"/>
              </w:rPr>
              <w:t xml:space="preserve">Self-consumption is legally permitted under the Renewable Energy Act (amended in 2014) </w:t>
            </w:r>
          </w:p>
        </w:tc>
        <w:tc>
          <w:tcPr>
            <w:tcW w:w="815" w:type="pct"/>
            <w:tcBorders>
              <w:top w:val="single" w:sz="4" w:space="0" w:color="auto"/>
              <w:left w:val="single" w:sz="4" w:space="0" w:color="auto"/>
              <w:bottom w:val="single" w:sz="4" w:space="0" w:color="auto"/>
              <w:right w:val="single" w:sz="4" w:space="0" w:color="auto"/>
            </w:tcBorders>
            <w:hideMark/>
          </w:tcPr>
          <w:p w14:paraId="662D3758" w14:textId="77777777" w:rsidR="00E71E7D" w:rsidRDefault="00E71E7D" w:rsidP="00D33F4C">
            <w:pPr>
              <w:pStyle w:val="ListParagraph"/>
              <w:numPr>
                <w:ilvl w:val="0"/>
                <w:numId w:val="5"/>
              </w:numPr>
              <w:spacing w:before="0" w:after="0"/>
              <w:ind w:left="318" w:hanging="318"/>
              <w:contextualSpacing/>
              <w:rPr>
                <w:rFonts w:eastAsia="Calibri" w:cs="Times New Roman"/>
                <w:sz w:val="20"/>
                <w:szCs w:val="20"/>
              </w:rPr>
            </w:pPr>
            <w:r>
              <w:rPr>
                <w:rFonts w:eastAsia="Calibri" w:cs="Times New Roman"/>
                <w:sz w:val="20"/>
                <w:szCs w:val="20"/>
              </w:rPr>
              <w:t>25 of the 29 states have prepared policies on net-metering and self-consumption</w:t>
            </w:r>
          </w:p>
        </w:tc>
        <w:tc>
          <w:tcPr>
            <w:tcW w:w="602" w:type="pct"/>
            <w:tcBorders>
              <w:top w:val="single" w:sz="4" w:space="0" w:color="auto"/>
              <w:left w:val="single" w:sz="4" w:space="0" w:color="auto"/>
              <w:bottom w:val="single" w:sz="4" w:space="0" w:color="auto"/>
              <w:right w:val="single" w:sz="4" w:space="0" w:color="auto"/>
            </w:tcBorders>
            <w:hideMark/>
          </w:tcPr>
          <w:p w14:paraId="6FB111B1" w14:textId="77777777" w:rsidR="00E71E7D" w:rsidRDefault="00E71E7D" w:rsidP="00D33F4C">
            <w:pPr>
              <w:pStyle w:val="ListParagraph"/>
              <w:numPr>
                <w:ilvl w:val="0"/>
                <w:numId w:val="5"/>
              </w:numPr>
              <w:spacing w:before="0" w:after="0"/>
              <w:ind w:left="189" w:hanging="194"/>
              <w:contextualSpacing/>
              <w:rPr>
                <w:rFonts w:eastAsia="Calibri" w:cs="Times New Roman"/>
                <w:sz w:val="20"/>
                <w:szCs w:val="20"/>
              </w:rPr>
            </w:pPr>
            <w:r>
              <w:rPr>
                <w:rFonts w:eastAsia="Calibri" w:cs="Times New Roman"/>
                <w:sz w:val="20"/>
                <w:szCs w:val="20"/>
              </w:rPr>
              <w:t>Self-consumption is allowed</w:t>
            </w:r>
          </w:p>
        </w:tc>
        <w:tc>
          <w:tcPr>
            <w:tcW w:w="790" w:type="pct"/>
            <w:tcBorders>
              <w:top w:val="single" w:sz="4" w:space="0" w:color="auto"/>
              <w:left w:val="single" w:sz="4" w:space="0" w:color="auto"/>
              <w:bottom w:val="single" w:sz="4" w:space="0" w:color="auto"/>
              <w:right w:val="single" w:sz="4" w:space="0" w:color="auto"/>
            </w:tcBorders>
            <w:hideMark/>
          </w:tcPr>
          <w:p w14:paraId="7700B4A0" w14:textId="77777777" w:rsidR="00E71E7D" w:rsidRDefault="00E71E7D" w:rsidP="00D33F4C">
            <w:pPr>
              <w:pStyle w:val="ListParagraph"/>
              <w:numPr>
                <w:ilvl w:val="0"/>
                <w:numId w:val="5"/>
              </w:numPr>
              <w:spacing w:before="0" w:after="0"/>
              <w:ind w:left="285" w:hanging="285"/>
              <w:contextualSpacing/>
              <w:rPr>
                <w:rFonts w:eastAsia="Calibri" w:cs="Times New Roman"/>
                <w:sz w:val="20"/>
                <w:szCs w:val="20"/>
              </w:rPr>
            </w:pPr>
            <w:r>
              <w:rPr>
                <w:rFonts w:eastAsia="Calibri" w:cs="Times New Roman"/>
                <w:sz w:val="20"/>
                <w:szCs w:val="20"/>
              </w:rPr>
              <w:t>FiT is the main option</w:t>
            </w:r>
          </w:p>
        </w:tc>
        <w:tc>
          <w:tcPr>
            <w:tcW w:w="637" w:type="pct"/>
            <w:tcBorders>
              <w:top w:val="single" w:sz="4" w:space="0" w:color="auto"/>
              <w:left w:val="single" w:sz="4" w:space="0" w:color="auto"/>
              <w:bottom w:val="single" w:sz="4" w:space="0" w:color="auto"/>
              <w:right w:val="single" w:sz="4" w:space="0" w:color="auto"/>
            </w:tcBorders>
            <w:hideMark/>
          </w:tcPr>
          <w:p w14:paraId="711E4BBE" w14:textId="77777777" w:rsidR="00E71E7D" w:rsidRDefault="00E71E7D" w:rsidP="00D33F4C">
            <w:pPr>
              <w:pStyle w:val="ListParagraph"/>
              <w:numPr>
                <w:ilvl w:val="0"/>
                <w:numId w:val="5"/>
              </w:numPr>
              <w:spacing w:before="0" w:after="0"/>
              <w:ind w:left="248" w:hanging="248"/>
              <w:contextualSpacing/>
              <w:rPr>
                <w:rFonts w:eastAsia="Calibri" w:cs="Times New Roman"/>
                <w:sz w:val="20"/>
                <w:szCs w:val="20"/>
              </w:rPr>
            </w:pPr>
            <w:r>
              <w:rPr>
                <w:rFonts w:eastAsia="Calibri" w:cs="Times New Roman"/>
                <w:sz w:val="20"/>
                <w:szCs w:val="20"/>
              </w:rPr>
              <w:t>Self-consumption must be encouraged</w:t>
            </w:r>
          </w:p>
        </w:tc>
      </w:tr>
      <w:tr w:rsidR="00E71E7D" w14:paraId="51A9531E" w14:textId="77777777" w:rsidTr="00E71E7D">
        <w:tc>
          <w:tcPr>
            <w:tcW w:w="59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C8EBE3" w14:textId="77777777" w:rsidR="00E71E7D" w:rsidRDefault="00E71E7D">
            <w:pPr>
              <w:spacing w:after="0"/>
              <w:rPr>
                <w:rFonts w:eastAsiaTheme="minorHAnsi" w:cstheme="minorBidi"/>
                <w:sz w:val="20"/>
                <w:szCs w:val="20"/>
              </w:rPr>
            </w:pPr>
            <w:r>
              <w:rPr>
                <w:rFonts w:eastAsia="Calibri"/>
                <w:b/>
                <w:bCs/>
                <w:sz w:val="20"/>
                <w:szCs w:val="20"/>
              </w:rPr>
              <w:t>Other Key Incentives</w:t>
            </w:r>
          </w:p>
          <w:p w14:paraId="310E4AB8" w14:textId="77777777" w:rsidR="00E71E7D" w:rsidRDefault="00E71E7D">
            <w:pPr>
              <w:spacing w:after="0"/>
              <w:rPr>
                <w:rFonts w:eastAsia="Calibri"/>
                <w:b/>
                <w:sz w:val="20"/>
                <w:szCs w:val="20"/>
              </w:rPr>
            </w:pPr>
          </w:p>
          <w:p w14:paraId="0C5533DD" w14:textId="77777777" w:rsidR="00E71E7D" w:rsidRDefault="00E71E7D">
            <w:pPr>
              <w:spacing w:after="0"/>
              <w:rPr>
                <w:rFonts w:eastAsia="Calibri"/>
                <w:b/>
                <w:sz w:val="20"/>
                <w:szCs w:val="20"/>
              </w:rPr>
            </w:pPr>
          </w:p>
          <w:p w14:paraId="3BB34F8C" w14:textId="77777777" w:rsidR="00E71E7D" w:rsidRDefault="00E71E7D">
            <w:pPr>
              <w:spacing w:after="0"/>
              <w:rPr>
                <w:rFonts w:eastAsia="Calibri"/>
                <w:b/>
                <w:sz w:val="20"/>
                <w:szCs w:val="20"/>
              </w:rPr>
            </w:pPr>
          </w:p>
          <w:p w14:paraId="68FF726B" w14:textId="77777777" w:rsidR="00E71E7D" w:rsidRDefault="00E71E7D">
            <w:pPr>
              <w:spacing w:after="0"/>
              <w:rPr>
                <w:rFonts w:eastAsia="Calibri"/>
                <w:b/>
                <w:sz w:val="20"/>
                <w:szCs w:val="20"/>
              </w:rPr>
            </w:pPr>
          </w:p>
        </w:tc>
        <w:tc>
          <w:tcPr>
            <w:tcW w:w="638" w:type="pct"/>
            <w:tcBorders>
              <w:top w:val="single" w:sz="4" w:space="0" w:color="auto"/>
              <w:left w:val="single" w:sz="4" w:space="0" w:color="auto"/>
              <w:bottom w:val="single" w:sz="4" w:space="0" w:color="auto"/>
              <w:right w:val="single" w:sz="4" w:space="0" w:color="auto"/>
            </w:tcBorders>
            <w:hideMark/>
          </w:tcPr>
          <w:p w14:paraId="2AD5546E" w14:textId="77777777" w:rsidR="00E71E7D" w:rsidRDefault="00E71E7D" w:rsidP="00D33F4C">
            <w:pPr>
              <w:pStyle w:val="ListParagraph"/>
              <w:numPr>
                <w:ilvl w:val="0"/>
                <w:numId w:val="5"/>
              </w:numPr>
              <w:spacing w:before="0" w:after="0"/>
              <w:ind w:left="212" w:hanging="180"/>
              <w:contextualSpacing/>
              <w:rPr>
                <w:rFonts w:eastAsia="Calibri" w:cs="Times New Roman"/>
                <w:sz w:val="20"/>
                <w:szCs w:val="20"/>
              </w:rPr>
            </w:pPr>
            <w:r>
              <w:rPr>
                <w:rFonts w:eastAsia="Calibri" w:cs="Times New Roman"/>
                <w:sz w:val="20"/>
                <w:szCs w:val="20"/>
              </w:rPr>
              <w:t xml:space="preserve">Green building incentive, soft loans, guaranteed loan, property tax exemption, capital subsidy, tax credits, up-front rebates on RSPV system cost </w:t>
            </w:r>
          </w:p>
        </w:tc>
        <w:tc>
          <w:tcPr>
            <w:tcW w:w="926" w:type="pct"/>
            <w:tcBorders>
              <w:top w:val="single" w:sz="4" w:space="0" w:color="auto"/>
              <w:left w:val="single" w:sz="4" w:space="0" w:color="auto"/>
              <w:bottom w:val="single" w:sz="4" w:space="0" w:color="auto"/>
              <w:right w:val="single" w:sz="4" w:space="0" w:color="auto"/>
            </w:tcBorders>
            <w:hideMark/>
          </w:tcPr>
          <w:p w14:paraId="5514C678" w14:textId="77777777" w:rsidR="00E71E7D" w:rsidRDefault="00E71E7D" w:rsidP="00D33F4C">
            <w:pPr>
              <w:pStyle w:val="ListParagraph"/>
              <w:numPr>
                <w:ilvl w:val="0"/>
                <w:numId w:val="5"/>
              </w:numPr>
              <w:spacing w:before="0" w:after="0"/>
              <w:ind w:left="226" w:hanging="226"/>
              <w:contextualSpacing/>
              <w:rPr>
                <w:rFonts w:eastAsia="Calibri" w:cs="Times New Roman"/>
                <w:sz w:val="20"/>
                <w:szCs w:val="20"/>
              </w:rPr>
            </w:pPr>
            <w:r>
              <w:rPr>
                <w:rFonts w:eastAsia="Calibri" w:cs="Times New Roman"/>
                <w:sz w:val="20"/>
                <w:szCs w:val="20"/>
              </w:rPr>
              <w:t>Guaranteed grid inter-connection for all RSPV plants and low-interest loans</w:t>
            </w:r>
          </w:p>
        </w:tc>
        <w:tc>
          <w:tcPr>
            <w:tcW w:w="815" w:type="pct"/>
            <w:tcBorders>
              <w:top w:val="single" w:sz="4" w:space="0" w:color="auto"/>
              <w:left w:val="single" w:sz="4" w:space="0" w:color="auto"/>
              <w:bottom w:val="single" w:sz="4" w:space="0" w:color="auto"/>
              <w:right w:val="single" w:sz="4" w:space="0" w:color="auto"/>
            </w:tcBorders>
            <w:hideMark/>
          </w:tcPr>
          <w:p w14:paraId="190EC083" w14:textId="77777777" w:rsidR="00E71E7D" w:rsidRDefault="00E71E7D" w:rsidP="00D33F4C">
            <w:pPr>
              <w:pStyle w:val="ListParagraph"/>
              <w:numPr>
                <w:ilvl w:val="0"/>
                <w:numId w:val="5"/>
              </w:numPr>
              <w:spacing w:before="0" w:after="0"/>
              <w:ind w:left="318" w:hanging="318"/>
              <w:contextualSpacing/>
              <w:rPr>
                <w:rFonts w:eastAsia="Calibri" w:cs="Times New Roman"/>
                <w:sz w:val="20"/>
                <w:szCs w:val="20"/>
              </w:rPr>
            </w:pPr>
            <w:r>
              <w:rPr>
                <w:rFonts w:eastAsia="Calibri" w:cs="Times New Roman"/>
                <w:sz w:val="20"/>
                <w:szCs w:val="20"/>
              </w:rPr>
              <w:t xml:space="preserve">Accelerated depreciation, capital subsidy, training and capacity development programs </w:t>
            </w:r>
          </w:p>
        </w:tc>
        <w:tc>
          <w:tcPr>
            <w:tcW w:w="602" w:type="pct"/>
            <w:tcBorders>
              <w:top w:val="single" w:sz="4" w:space="0" w:color="auto"/>
              <w:left w:val="single" w:sz="4" w:space="0" w:color="auto"/>
              <w:bottom w:val="single" w:sz="4" w:space="0" w:color="auto"/>
              <w:right w:val="single" w:sz="4" w:space="0" w:color="auto"/>
            </w:tcBorders>
            <w:hideMark/>
          </w:tcPr>
          <w:p w14:paraId="65FC300A" w14:textId="77777777" w:rsidR="00E71E7D" w:rsidRDefault="00E71E7D" w:rsidP="00D33F4C">
            <w:pPr>
              <w:pStyle w:val="ListParagraph"/>
              <w:numPr>
                <w:ilvl w:val="0"/>
                <w:numId w:val="5"/>
              </w:numPr>
              <w:spacing w:before="0" w:after="0"/>
              <w:ind w:left="189" w:hanging="194"/>
              <w:contextualSpacing/>
              <w:rPr>
                <w:rFonts w:eastAsia="Calibri" w:cs="Times New Roman"/>
                <w:sz w:val="20"/>
                <w:szCs w:val="20"/>
              </w:rPr>
            </w:pPr>
            <w:r>
              <w:rPr>
                <w:rFonts w:eastAsia="Calibri" w:cs="Times New Roman"/>
                <w:sz w:val="20"/>
                <w:szCs w:val="20"/>
              </w:rPr>
              <w:t>National Renewable Energy Fund with tax benefits, renewable purchase obligation (RPO) for utilities, capital subsidies as high as 30 – 50% for distributed generation</w:t>
            </w:r>
          </w:p>
        </w:tc>
        <w:tc>
          <w:tcPr>
            <w:tcW w:w="790" w:type="pct"/>
            <w:tcBorders>
              <w:top w:val="single" w:sz="4" w:space="0" w:color="auto"/>
              <w:left w:val="single" w:sz="4" w:space="0" w:color="auto"/>
              <w:bottom w:val="single" w:sz="4" w:space="0" w:color="auto"/>
              <w:right w:val="single" w:sz="4" w:space="0" w:color="auto"/>
            </w:tcBorders>
            <w:hideMark/>
          </w:tcPr>
          <w:p w14:paraId="16CBD04B" w14:textId="77777777" w:rsidR="00E71E7D" w:rsidRDefault="00E71E7D" w:rsidP="00D33F4C">
            <w:pPr>
              <w:pStyle w:val="ListParagraph"/>
              <w:numPr>
                <w:ilvl w:val="0"/>
                <w:numId w:val="5"/>
              </w:numPr>
              <w:spacing w:before="0" w:after="0"/>
              <w:ind w:left="285" w:hanging="285"/>
              <w:contextualSpacing/>
              <w:rPr>
                <w:rFonts w:eastAsia="Calibri" w:cs="Times New Roman"/>
                <w:sz w:val="20"/>
                <w:szCs w:val="20"/>
              </w:rPr>
            </w:pPr>
            <w:r>
              <w:rPr>
                <w:rFonts w:eastAsia="Calibri" w:cs="Times New Roman"/>
                <w:sz w:val="20"/>
                <w:szCs w:val="20"/>
              </w:rPr>
              <w:t>Residential incentive of $0.20/W for systems priced below $4.10/W. A lower subsidy of $0.15/W for systems priced between $4.10/W and $5.00/W. RPO, tax incentives of 30% against standard purchase prices or 7% tax deduction (for small &amp; medium enterprises)</w:t>
            </w:r>
          </w:p>
        </w:tc>
        <w:tc>
          <w:tcPr>
            <w:tcW w:w="637" w:type="pct"/>
            <w:tcBorders>
              <w:top w:val="single" w:sz="4" w:space="0" w:color="auto"/>
              <w:left w:val="single" w:sz="4" w:space="0" w:color="auto"/>
              <w:bottom w:val="single" w:sz="4" w:space="0" w:color="auto"/>
              <w:right w:val="single" w:sz="4" w:space="0" w:color="auto"/>
            </w:tcBorders>
          </w:tcPr>
          <w:p w14:paraId="24028CDD" w14:textId="77777777" w:rsidR="00E71E7D" w:rsidRDefault="00E71E7D" w:rsidP="00D33F4C">
            <w:pPr>
              <w:pStyle w:val="ListParagraph"/>
              <w:numPr>
                <w:ilvl w:val="0"/>
                <w:numId w:val="5"/>
              </w:numPr>
              <w:spacing w:before="0" w:after="0"/>
              <w:ind w:left="248" w:hanging="248"/>
              <w:contextualSpacing/>
              <w:rPr>
                <w:rFonts w:eastAsia="Calibri" w:cs="Times New Roman"/>
                <w:sz w:val="20"/>
                <w:szCs w:val="20"/>
              </w:rPr>
            </w:pPr>
            <w:r>
              <w:rPr>
                <w:rFonts w:eastAsia="Calibri" w:cs="Times New Roman"/>
                <w:sz w:val="20"/>
                <w:szCs w:val="20"/>
              </w:rPr>
              <w:t>Initial push to consumers for whom RSPV is less financially attractive</w:t>
            </w:r>
          </w:p>
          <w:p w14:paraId="10E2B5EE" w14:textId="77777777" w:rsidR="00E71E7D" w:rsidRDefault="00E71E7D">
            <w:pPr>
              <w:spacing w:after="0"/>
              <w:ind w:left="248" w:hanging="248"/>
              <w:rPr>
                <w:rFonts w:eastAsia="Calibri"/>
                <w:sz w:val="20"/>
                <w:szCs w:val="20"/>
              </w:rPr>
            </w:pPr>
          </w:p>
          <w:p w14:paraId="646A356A" w14:textId="77777777" w:rsidR="00E71E7D" w:rsidRDefault="00E71E7D" w:rsidP="00D33F4C">
            <w:pPr>
              <w:pStyle w:val="ListParagraph"/>
              <w:numPr>
                <w:ilvl w:val="0"/>
                <w:numId w:val="5"/>
              </w:numPr>
              <w:spacing w:before="0" w:after="0"/>
              <w:ind w:left="248" w:hanging="248"/>
              <w:contextualSpacing/>
              <w:rPr>
                <w:rFonts w:eastAsia="Calibri" w:cs="Times New Roman"/>
                <w:sz w:val="20"/>
                <w:szCs w:val="20"/>
              </w:rPr>
            </w:pPr>
            <w:r>
              <w:rPr>
                <w:rFonts w:eastAsia="Calibri" w:cs="Times New Roman"/>
                <w:sz w:val="20"/>
                <w:szCs w:val="20"/>
              </w:rPr>
              <w:t xml:space="preserve">Variable incentive scheme based on solar resource availability </w:t>
            </w:r>
          </w:p>
          <w:p w14:paraId="5990080F" w14:textId="77777777" w:rsidR="00E71E7D" w:rsidRDefault="00E71E7D">
            <w:pPr>
              <w:spacing w:after="0"/>
              <w:ind w:left="248" w:hanging="248"/>
              <w:rPr>
                <w:rFonts w:eastAsia="Calibri"/>
                <w:sz w:val="20"/>
                <w:szCs w:val="20"/>
              </w:rPr>
            </w:pPr>
          </w:p>
          <w:p w14:paraId="05921E84" w14:textId="77777777" w:rsidR="00E71E7D" w:rsidRDefault="00E71E7D" w:rsidP="00D33F4C">
            <w:pPr>
              <w:pStyle w:val="ListParagraph"/>
              <w:numPr>
                <w:ilvl w:val="0"/>
                <w:numId w:val="5"/>
              </w:numPr>
              <w:spacing w:before="0" w:after="0"/>
              <w:ind w:left="248" w:hanging="248"/>
              <w:contextualSpacing/>
              <w:rPr>
                <w:rFonts w:eastAsia="Calibri" w:cs="Times New Roman"/>
                <w:sz w:val="20"/>
                <w:szCs w:val="20"/>
              </w:rPr>
            </w:pPr>
            <w:r>
              <w:rPr>
                <w:rFonts w:eastAsia="Calibri" w:cs="Times New Roman"/>
                <w:sz w:val="20"/>
                <w:szCs w:val="20"/>
              </w:rPr>
              <w:t>Develop capacity building and outreach programs.</w:t>
            </w:r>
          </w:p>
        </w:tc>
      </w:tr>
      <w:tr w:rsidR="00E71E7D" w14:paraId="51346A44" w14:textId="77777777" w:rsidTr="00E71E7D">
        <w:trPr>
          <w:trHeight w:val="530"/>
        </w:trPr>
        <w:tc>
          <w:tcPr>
            <w:tcW w:w="59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E68355" w14:textId="77777777" w:rsidR="00E71E7D" w:rsidRDefault="00E71E7D">
            <w:pPr>
              <w:spacing w:after="0"/>
              <w:rPr>
                <w:rFonts w:eastAsiaTheme="minorHAnsi" w:cstheme="minorBidi"/>
                <w:sz w:val="20"/>
                <w:szCs w:val="20"/>
              </w:rPr>
            </w:pPr>
            <w:r>
              <w:rPr>
                <w:rFonts w:eastAsia="Calibri"/>
                <w:b/>
                <w:bCs/>
                <w:sz w:val="20"/>
                <w:szCs w:val="20"/>
              </w:rPr>
              <w:lastRenderedPageBreak/>
              <w:t>Energy Storage for Rooftop Solar</w:t>
            </w:r>
          </w:p>
        </w:tc>
        <w:tc>
          <w:tcPr>
            <w:tcW w:w="638" w:type="pct"/>
            <w:tcBorders>
              <w:top w:val="single" w:sz="4" w:space="0" w:color="auto"/>
              <w:left w:val="single" w:sz="4" w:space="0" w:color="auto"/>
              <w:bottom w:val="single" w:sz="4" w:space="0" w:color="auto"/>
              <w:right w:val="single" w:sz="4" w:space="0" w:color="auto"/>
            </w:tcBorders>
          </w:tcPr>
          <w:p w14:paraId="11494121" w14:textId="77777777" w:rsidR="00E71E7D" w:rsidRDefault="00E71E7D" w:rsidP="00D33F4C">
            <w:pPr>
              <w:pStyle w:val="ListParagraph"/>
              <w:numPr>
                <w:ilvl w:val="0"/>
                <w:numId w:val="5"/>
              </w:numPr>
              <w:spacing w:before="0" w:after="0"/>
              <w:ind w:left="217" w:hanging="217"/>
              <w:contextualSpacing/>
              <w:rPr>
                <w:rFonts w:eastAsia="Calibri" w:cs="Times New Roman"/>
                <w:sz w:val="20"/>
                <w:szCs w:val="20"/>
              </w:rPr>
            </w:pPr>
            <w:r>
              <w:rPr>
                <w:rFonts w:eastAsia="Calibri" w:cs="Times New Roman"/>
                <w:sz w:val="20"/>
                <w:szCs w:val="20"/>
              </w:rPr>
              <w:t>AB 2514: Directing utilities to set an energy storage target</w:t>
            </w:r>
          </w:p>
          <w:p w14:paraId="42543C05" w14:textId="77777777" w:rsidR="00E71E7D" w:rsidRDefault="00E71E7D">
            <w:pPr>
              <w:spacing w:after="0"/>
              <w:ind w:left="217" w:hanging="217"/>
              <w:rPr>
                <w:rFonts w:eastAsia="Calibri"/>
                <w:sz w:val="20"/>
                <w:szCs w:val="20"/>
              </w:rPr>
            </w:pPr>
          </w:p>
          <w:p w14:paraId="348F6C06" w14:textId="77777777" w:rsidR="00E71E7D" w:rsidRDefault="00E71E7D" w:rsidP="00D33F4C">
            <w:pPr>
              <w:pStyle w:val="ListParagraph"/>
              <w:numPr>
                <w:ilvl w:val="0"/>
                <w:numId w:val="5"/>
              </w:numPr>
              <w:spacing w:before="0" w:after="0"/>
              <w:ind w:left="217" w:hanging="217"/>
              <w:contextualSpacing/>
              <w:rPr>
                <w:rFonts w:eastAsia="Calibri" w:cs="Times New Roman"/>
                <w:sz w:val="20"/>
                <w:szCs w:val="20"/>
              </w:rPr>
            </w:pPr>
            <w:r>
              <w:rPr>
                <w:rFonts w:eastAsia="Calibri" w:cs="Times New Roman"/>
                <w:sz w:val="20"/>
                <w:szCs w:val="20"/>
              </w:rPr>
              <w:t>Self-Generation Incentive Program (Law AB 327): To identify optimal locations for distributed resources</w:t>
            </w:r>
          </w:p>
          <w:p w14:paraId="7D3004B5" w14:textId="77777777" w:rsidR="00E71E7D" w:rsidRDefault="00E71E7D">
            <w:pPr>
              <w:spacing w:after="0"/>
              <w:ind w:left="217" w:hanging="217"/>
              <w:rPr>
                <w:rFonts w:eastAsia="Calibri"/>
                <w:sz w:val="20"/>
                <w:szCs w:val="20"/>
              </w:rPr>
            </w:pPr>
          </w:p>
          <w:p w14:paraId="36318E7D" w14:textId="77777777" w:rsidR="00E71E7D" w:rsidRDefault="00E71E7D" w:rsidP="00D33F4C">
            <w:pPr>
              <w:pStyle w:val="ListParagraph"/>
              <w:numPr>
                <w:ilvl w:val="0"/>
                <w:numId w:val="5"/>
              </w:numPr>
              <w:spacing w:before="0" w:after="0"/>
              <w:ind w:left="217" w:hanging="217"/>
              <w:contextualSpacing/>
              <w:rPr>
                <w:rFonts w:eastAsia="Calibri" w:cs="Times New Roman"/>
                <w:sz w:val="20"/>
                <w:szCs w:val="20"/>
              </w:rPr>
            </w:pPr>
            <w:r>
              <w:rPr>
                <w:rFonts w:eastAsia="Calibri" w:cs="Times New Roman"/>
                <w:sz w:val="20"/>
                <w:szCs w:val="20"/>
              </w:rPr>
              <w:t>Electric Tariff Rule 21: Interconnection and smart inverters, permitting, inspection and safety</w:t>
            </w:r>
          </w:p>
          <w:p w14:paraId="26341945" w14:textId="77777777" w:rsidR="00E71E7D" w:rsidRDefault="00E71E7D">
            <w:pPr>
              <w:spacing w:after="0"/>
              <w:ind w:left="217" w:hanging="217"/>
              <w:rPr>
                <w:rFonts w:eastAsia="Calibri"/>
                <w:sz w:val="20"/>
                <w:szCs w:val="20"/>
              </w:rPr>
            </w:pPr>
          </w:p>
        </w:tc>
        <w:tc>
          <w:tcPr>
            <w:tcW w:w="926" w:type="pct"/>
            <w:tcBorders>
              <w:top w:val="single" w:sz="4" w:space="0" w:color="auto"/>
              <w:left w:val="single" w:sz="4" w:space="0" w:color="auto"/>
              <w:bottom w:val="single" w:sz="4" w:space="0" w:color="auto"/>
              <w:right w:val="single" w:sz="4" w:space="0" w:color="auto"/>
            </w:tcBorders>
            <w:hideMark/>
          </w:tcPr>
          <w:p w14:paraId="37BA26F6" w14:textId="77777777" w:rsidR="00E71E7D" w:rsidRDefault="00E71E7D" w:rsidP="00D33F4C">
            <w:pPr>
              <w:pStyle w:val="ListParagraph"/>
              <w:numPr>
                <w:ilvl w:val="0"/>
                <w:numId w:val="5"/>
              </w:numPr>
              <w:spacing w:before="0" w:after="0"/>
              <w:ind w:left="217" w:hanging="217"/>
              <w:contextualSpacing/>
              <w:rPr>
                <w:rFonts w:eastAsia="Calibri" w:cs="Times New Roman"/>
                <w:sz w:val="20"/>
                <w:szCs w:val="20"/>
              </w:rPr>
            </w:pPr>
            <w:r>
              <w:rPr>
                <w:rFonts w:eastAsia="Calibri" w:cs="Times New Roman"/>
                <w:sz w:val="20"/>
                <w:szCs w:val="20"/>
              </w:rPr>
              <w:t>KfW 275 incentive: 30% investment grant on equipment purchased with low-interest loans</w:t>
            </w:r>
          </w:p>
        </w:tc>
        <w:tc>
          <w:tcPr>
            <w:tcW w:w="815" w:type="pct"/>
            <w:tcBorders>
              <w:top w:val="single" w:sz="4" w:space="0" w:color="auto"/>
              <w:left w:val="single" w:sz="4" w:space="0" w:color="auto"/>
              <w:bottom w:val="single" w:sz="4" w:space="0" w:color="auto"/>
              <w:right w:val="single" w:sz="4" w:space="0" w:color="auto"/>
            </w:tcBorders>
          </w:tcPr>
          <w:p w14:paraId="7B757C5D" w14:textId="77777777" w:rsidR="00E71E7D" w:rsidRDefault="00E71E7D" w:rsidP="00D33F4C">
            <w:pPr>
              <w:pStyle w:val="ListParagraph"/>
              <w:numPr>
                <w:ilvl w:val="0"/>
                <w:numId w:val="5"/>
              </w:numPr>
              <w:spacing w:before="0" w:after="0"/>
              <w:ind w:left="217" w:hanging="217"/>
              <w:contextualSpacing/>
              <w:rPr>
                <w:rFonts w:eastAsia="Calibri" w:cs="Times New Roman"/>
                <w:sz w:val="20"/>
                <w:szCs w:val="20"/>
              </w:rPr>
            </w:pPr>
            <w:r>
              <w:rPr>
                <w:rFonts w:eastAsia="Calibri" w:cs="Times New Roman"/>
                <w:sz w:val="20"/>
                <w:szCs w:val="20"/>
              </w:rPr>
              <w:t>Pilot projects to demonstrate energy storage in supporting a national-level action plan</w:t>
            </w:r>
          </w:p>
          <w:p w14:paraId="6530E32F" w14:textId="77777777" w:rsidR="00E71E7D" w:rsidRDefault="00E71E7D">
            <w:pPr>
              <w:spacing w:after="0"/>
              <w:ind w:left="217" w:hanging="217"/>
              <w:rPr>
                <w:rFonts w:eastAsia="Calibri"/>
                <w:sz w:val="20"/>
                <w:szCs w:val="20"/>
              </w:rPr>
            </w:pPr>
          </w:p>
          <w:p w14:paraId="1F887564" w14:textId="77777777" w:rsidR="00E71E7D" w:rsidRDefault="00E71E7D" w:rsidP="00D33F4C">
            <w:pPr>
              <w:pStyle w:val="ListParagraph"/>
              <w:numPr>
                <w:ilvl w:val="0"/>
                <w:numId w:val="5"/>
              </w:numPr>
              <w:spacing w:before="0" w:after="0"/>
              <w:ind w:left="217" w:hanging="217"/>
              <w:contextualSpacing/>
              <w:rPr>
                <w:rFonts w:eastAsia="Calibri" w:cs="Times New Roman"/>
                <w:sz w:val="20"/>
                <w:szCs w:val="20"/>
              </w:rPr>
            </w:pPr>
            <w:r>
              <w:rPr>
                <w:rFonts w:eastAsia="Calibri" w:cs="Times New Roman"/>
                <w:sz w:val="20"/>
                <w:szCs w:val="20"/>
              </w:rPr>
              <w:t>Capital subsidy for PV systems with energy storage</w:t>
            </w:r>
          </w:p>
        </w:tc>
        <w:tc>
          <w:tcPr>
            <w:tcW w:w="602" w:type="pct"/>
            <w:tcBorders>
              <w:top w:val="single" w:sz="4" w:space="0" w:color="auto"/>
              <w:left w:val="single" w:sz="4" w:space="0" w:color="auto"/>
              <w:bottom w:val="single" w:sz="4" w:space="0" w:color="auto"/>
              <w:right w:val="single" w:sz="4" w:space="0" w:color="auto"/>
            </w:tcBorders>
          </w:tcPr>
          <w:p w14:paraId="510C45B5" w14:textId="77777777" w:rsidR="00E71E7D" w:rsidRDefault="00E71E7D" w:rsidP="00D33F4C">
            <w:pPr>
              <w:pStyle w:val="ListParagraph"/>
              <w:numPr>
                <w:ilvl w:val="0"/>
                <w:numId w:val="5"/>
              </w:numPr>
              <w:spacing w:before="0" w:after="0"/>
              <w:ind w:left="217" w:hanging="217"/>
              <w:contextualSpacing/>
              <w:rPr>
                <w:rFonts w:eastAsia="Calibri" w:cs="Times New Roman"/>
                <w:sz w:val="20"/>
                <w:szCs w:val="20"/>
              </w:rPr>
            </w:pPr>
            <w:r>
              <w:rPr>
                <w:rFonts w:eastAsia="Calibri" w:cs="Times New Roman"/>
                <w:sz w:val="20"/>
                <w:szCs w:val="20"/>
              </w:rPr>
              <w:t>Innovation in the Energy Storage Technology Revolution: New Action Plan (2016-2030): R&amp;D grants for energy storage</w:t>
            </w:r>
          </w:p>
          <w:p w14:paraId="5EDB1C6D" w14:textId="77777777" w:rsidR="00E71E7D" w:rsidRDefault="00E71E7D">
            <w:pPr>
              <w:spacing w:after="0"/>
              <w:ind w:left="217" w:hanging="217"/>
              <w:rPr>
                <w:rFonts w:eastAsia="Calibri"/>
                <w:sz w:val="20"/>
                <w:szCs w:val="20"/>
              </w:rPr>
            </w:pPr>
          </w:p>
          <w:p w14:paraId="16DE5C1D" w14:textId="77777777" w:rsidR="00E71E7D" w:rsidRDefault="00E71E7D" w:rsidP="00D33F4C">
            <w:pPr>
              <w:pStyle w:val="ListParagraph"/>
              <w:numPr>
                <w:ilvl w:val="0"/>
                <w:numId w:val="5"/>
              </w:numPr>
              <w:spacing w:before="0" w:after="0"/>
              <w:ind w:left="217" w:hanging="217"/>
              <w:contextualSpacing/>
              <w:rPr>
                <w:rFonts w:eastAsia="Calibri" w:cs="Times New Roman"/>
                <w:sz w:val="20"/>
                <w:szCs w:val="20"/>
              </w:rPr>
            </w:pPr>
            <w:r>
              <w:rPr>
                <w:rFonts w:eastAsia="Calibri" w:cs="Times New Roman"/>
                <w:sz w:val="20"/>
                <w:szCs w:val="20"/>
              </w:rPr>
              <w:t>Outline for the Strategy of Driving National Innovation</w:t>
            </w:r>
          </w:p>
          <w:p w14:paraId="6B808831" w14:textId="77777777" w:rsidR="00E71E7D" w:rsidRDefault="00E71E7D">
            <w:pPr>
              <w:spacing w:after="0"/>
              <w:rPr>
                <w:rFonts w:eastAsia="Calibri"/>
                <w:sz w:val="20"/>
                <w:szCs w:val="20"/>
              </w:rPr>
            </w:pPr>
          </w:p>
          <w:p w14:paraId="3CF5C0D4" w14:textId="77777777" w:rsidR="00E71E7D" w:rsidRDefault="00E71E7D" w:rsidP="00D33F4C">
            <w:pPr>
              <w:pStyle w:val="ListParagraph"/>
              <w:numPr>
                <w:ilvl w:val="0"/>
                <w:numId w:val="5"/>
              </w:numPr>
              <w:spacing w:before="0" w:after="0"/>
              <w:ind w:left="217" w:hanging="217"/>
              <w:contextualSpacing/>
              <w:rPr>
                <w:rFonts w:eastAsia="Calibri" w:cs="Times New Roman"/>
                <w:sz w:val="20"/>
                <w:szCs w:val="20"/>
              </w:rPr>
            </w:pPr>
            <w:r>
              <w:rPr>
                <w:rFonts w:eastAsia="Calibri" w:cs="Times New Roman"/>
                <w:sz w:val="20"/>
                <w:szCs w:val="20"/>
              </w:rPr>
              <w:t>R&amp;D grants for storage with SPV</w:t>
            </w:r>
          </w:p>
        </w:tc>
        <w:tc>
          <w:tcPr>
            <w:tcW w:w="790" w:type="pct"/>
            <w:tcBorders>
              <w:top w:val="single" w:sz="4" w:space="0" w:color="auto"/>
              <w:left w:val="single" w:sz="4" w:space="0" w:color="auto"/>
              <w:bottom w:val="single" w:sz="4" w:space="0" w:color="auto"/>
              <w:right w:val="single" w:sz="4" w:space="0" w:color="auto"/>
            </w:tcBorders>
          </w:tcPr>
          <w:p w14:paraId="3AF356C3" w14:textId="77777777" w:rsidR="00E71E7D" w:rsidRDefault="00E71E7D" w:rsidP="00D33F4C">
            <w:pPr>
              <w:pStyle w:val="ListParagraph"/>
              <w:numPr>
                <w:ilvl w:val="0"/>
                <w:numId w:val="5"/>
              </w:numPr>
              <w:spacing w:before="0" w:after="0"/>
              <w:ind w:left="217" w:hanging="217"/>
              <w:contextualSpacing/>
              <w:rPr>
                <w:rFonts w:eastAsia="Calibri" w:cs="Times New Roman"/>
                <w:sz w:val="20"/>
                <w:szCs w:val="20"/>
              </w:rPr>
            </w:pPr>
            <w:r>
              <w:rPr>
                <w:rFonts w:eastAsia="Calibri" w:cs="Times New Roman"/>
                <w:sz w:val="20"/>
                <w:szCs w:val="20"/>
              </w:rPr>
              <w:t>Storage Battery Strategy: integrated strategic policies for storage batteries</w:t>
            </w:r>
          </w:p>
          <w:p w14:paraId="24545733" w14:textId="77777777" w:rsidR="00E71E7D" w:rsidRDefault="00E71E7D">
            <w:pPr>
              <w:spacing w:after="0"/>
              <w:ind w:left="217" w:hanging="217"/>
              <w:rPr>
                <w:rFonts w:eastAsia="Calibri"/>
                <w:sz w:val="20"/>
                <w:szCs w:val="20"/>
              </w:rPr>
            </w:pPr>
          </w:p>
          <w:p w14:paraId="52A209A1" w14:textId="77777777" w:rsidR="00E71E7D" w:rsidRDefault="00E71E7D" w:rsidP="00D33F4C">
            <w:pPr>
              <w:pStyle w:val="ListParagraph"/>
              <w:numPr>
                <w:ilvl w:val="0"/>
                <w:numId w:val="5"/>
              </w:numPr>
              <w:spacing w:before="0" w:after="0"/>
              <w:ind w:left="217" w:hanging="217"/>
              <w:contextualSpacing/>
              <w:rPr>
                <w:rFonts w:eastAsia="Calibri" w:cs="Times New Roman"/>
                <w:sz w:val="20"/>
                <w:szCs w:val="20"/>
              </w:rPr>
            </w:pPr>
            <w:r>
              <w:rPr>
                <w:rFonts w:eastAsia="Calibri" w:cs="Times New Roman"/>
                <w:sz w:val="20"/>
                <w:szCs w:val="20"/>
              </w:rPr>
              <w:t>Technical requirements by METI include a guideline for grid interconnection to secure electricity quality</w:t>
            </w:r>
          </w:p>
          <w:p w14:paraId="2D5857FB" w14:textId="77777777" w:rsidR="00E71E7D" w:rsidRDefault="00E71E7D">
            <w:pPr>
              <w:spacing w:after="0"/>
              <w:ind w:left="217" w:hanging="217"/>
              <w:rPr>
                <w:rFonts w:eastAsia="Calibri"/>
                <w:sz w:val="20"/>
                <w:szCs w:val="20"/>
              </w:rPr>
            </w:pPr>
          </w:p>
          <w:p w14:paraId="313400A4" w14:textId="77777777" w:rsidR="00E71E7D" w:rsidRDefault="00E71E7D" w:rsidP="00D33F4C">
            <w:pPr>
              <w:pStyle w:val="ListParagraph"/>
              <w:numPr>
                <w:ilvl w:val="0"/>
                <w:numId w:val="5"/>
              </w:numPr>
              <w:spacing w:before="0" w:after="0"/>
              <w:ind w:left="217" w:hanging="217"/>
              <w:contextualSpacing/>
              <w:rPr>
                <w:rFonts w:eastAsia="Calibri" w:cs="Times New Roman"/>
                <w:sz w:val="20"/>
                <w:szCs w:val="20"/>
              </w:rPr>
            </w:pPr>
            <w:r>
              <w:rPr>
                <w:rFonts w:eastAsia="Calibri" w:cs="Times New Roman"/>
                <w:sz w:val="20"/>
                <w:szCs w:val="20"/>
              </w:rPr>
              <w:t>Electricity Business Act: A requirement for the approval of large electricity storage systems of more than 80,000 kWh</w:t>
            </w:r>
          </w:p>
        </w:tc>
        <w:tc>
          <w:tcPr>
            <w:tcW w:w="637" w:type="pct"/>
            <w:tcBorders>
              <w:top w:val="single" w:sz="4" w:space="0" w:color="auto"/>
              <w:left w:val="single" w:sz="4" w:space="0" w:color="auto"/>
              <w:bottom w:val="single" w:sz="4" w:space="0" w:color="auto"/>
              <w:right w:val="single" w:sz="4" w:space="0" w:color="auto"/>
            </w:tcBorders>
            <w:shd w:val="clear" w:color="auto" w:fill="FFFFFF" w:themeFill="background1"/>
          </w:tcPr>
          <w:p w14:paraId="33095FDB" w14:textId="77777777" w:rsidR="00E71E7D" w:rsidRDefault="00E71E7D" w:rsidP="00D33F4C">
            <w:pPr>
              <w:pStyle w:val="ListParagraph"/>
              <w:numPr>
                <w:ilvl w:val="0"/>
                <w:numId w:val="5"/>
              </w:numPr>
              <w:spacing w:before="0" w:after="0"/>
              <w:ind w:left="217" w:hanging="217"/>
              <w:contextualSpacing/>
              <w:rPr>
                <w:rFonts w:eastAsia="Calibri" w:cs="Times New Roman"/>
                <w:sz w:val="20"/>
                <w:szCs w:val="20"/>
              </w:rPr>
            </w:pPr>
            <w:r>
              <w:rPr>
                <w:rFonts w:eastAsia="Calibri" w:cs="Times New Roman"/>
                <w:sz w:val="20"/>
                <w:szCs w:val="20"/>
              </w:rPr>
              <w:t>Evaluate battery storage option with RSPV. In Turkey, the peak energy demand falls between 5 to 10 PM and the peak tariff is 90% more than the day tariff. Such tariff difference is likely to offer a business case for battery storage with RSPV</w:t>
            </w:r>
          </w:p>
          <w:p w14:paraId="09AF2AF4" w14:textId="77777777" w:rsidR="00E71E7D" w:rsidRDefault="00E71E7D">
            <w:pPr>
              <w:pStyle w:val="ListParagraph"/>
              <w:spacing w:after="0"/>
              <w:ind w:left="217"/>
              <w:rPr>
                <w:rFonts w:eastAsia="Calibri" w:cs="Times New Roman"/>
                <w:sz w:val="20"/>
                <w:szCs w:val="20"/>
              </w:rPr>
            </w:pPr>
          </w:p>
          <w:p w14:paraId="200F96AE" w14:textId="77777777" w:rsidR="00E71E7D" w:rsidRDefault="00E71E7D">
            <w:pPr>
              <w:pStyle w:val="ListParagraph"/>
              <w:spacing w:after="0"/>
              <w:ind w:left="217"/>
              <w:rPr>
                <w:rFonts w:eastAsia="Calibri" w:cs="Times New Roman"/>
                <w:sz w:val="20"/>
                <w:szCs w:val="20"/>
              </w:rPr>
            </w:pPr>
          </w:p>
          <w:p w14:paraId="111441FE" w14:textId="77777777" w:rsidR="00E71E7D" w:rsidRDefault="00E71E7D">
            <w:pPr>
              <w:spacing w:after="0"/>
              <w:rPr>
                <w:rFonts w:eastAsia="Calibri"/>
                <w:sz w:val="20"/>
                <w:szCs w:val="20"/>
              </w:rPr>
            </w:pPr>
          </w:p>
        </w:tc>
      </w:tr>
    </w:tbl>
    <w:p w14:paraId="0D41B210" w14:textId="77777777" w:rsidR="00E71E7D" w:rsidRDefault="00E71E7D" w:rsidP="00F82960">
      <w:pPr>
        <w:spacing w:before="240"/>
        <w:rPr>
          <w:b/>
          <w:bCs/>
          <w:color w:val="002060"/>
          <w:lang w:val="en-GB"/>
        </w:rPr>
      </w:pPr>
    </w:p>
    <w:p w14:paraId="1DFCA8C3" w14:textId="77777777" w:rsidR="00E71E7D" w:rsidRDefault="00E71E7D" w:rsidP="00F82960">
      <w:pPr>
        <w:spacing w:before="240"/>
        <w:rPr>
          <w:b/>
          <w:bCs/>
          <w:color w:val="002060"/>
          <w:lang w:val="en-GB"/>
        </w:rPr>
        <w:sectPr w:rsidR="00E71E7D" w:rsidSect="00E71E7D">
          <w:pgSz w:w="16838" w:h="11906" w:orient="landscape"/>
          <w:pgMar w:top="1134" w:right="1417" w:bottom="1134" w:left="1417" w:header="708" w:footer="708" w:gutter="0"/>
          <w:cols w:space="708"/>
          <w:docGrid w:linePitch="360"/>
        </w:sectPr>
      </w:pPr>
    </w:p>
    <w:p w14:paraId="1118283A" w14:textId="51236F22" w:rsidR="00F82960" w:rsidRPr="004903E6" w:rsidRDefault="00F82960" w:rsidP="004903E6">
      <w:pPr>
        <w:rPr>
          <w:i/>
          <w:iCs/>
          <w:color w:val="002060"/>
          <w:lang w:val="en-GB"/>
        </w:rPr>
      </w:pPr>
      <w:r w:rsidRPr="004903E6">
        <w:rPr>
          <w:i/>
          <w:iCs/>
          <w:color w:val="002060"/>
          <w:lang w:val="en-GB"/>
        </w:rPr>
        <w:lastRenderedPageBreak/>
        <w:t>Estimation of Market Potential for RSPV</w:t>
      </w:r>
    </w:p>
    <w:p w14:paraId="66CBF682" w14:textId="58735EE9" w:rsidR="00F82960" w:rsidRPr="00F82960" w:rsidRDefault="00F82960" w:rsidP="00F82960">
      <w:pPr>
        <w:spacing w:after="60"/>
        <w:rPr>
          <w:rFonts w:asciiTheme="minorHAnsi" w:hAnsiTheme="minorHAnsi" w:cstheme="minorHAnsi"/>
        </w:rPr>
      </w:pPr>
      <w:r w:rsidRPr="00F82960">
        <w:rPr>
          <w:rFonts w:asciiTheme="minorHAnsi" w:hAnsiTheme="minorHAnsi" w:cstheme="minorHAnsi"/>
        </w:rPr>
        <w:t xml:space="preserve">A three-step approach was </w:t>
      </w:r>
      <w:r w:rsidR="004903E6">
        <w:rPr>
          <w:rFonts w:asciiTheme="minorHAnsi" w:hAnsiTheme="minorHAnsi" w:cstheme="minorHAnsi"/>
        </w:rPr>
        <w:t>used</w:t>
      </w:r>
      <w:r w:rsidRPr="00F82960">
        <w:rPr>
          <w:rFonts w:asciiTheme="minorHAnsi" w:hAnsiTheme="minorHAnsi" w:cstheme="minorHAnsi"/>
        </w:rPr>
        <w:t xml:space="preserve"> to estimate the RSPV market potential in Turkey: </w:t>
      </w:r>
    </w:p>
    <w:p w14:paraId="39BCD755" w14:textId="77777777" w:rsidR="00F82960" w:rsidRPr="00F82960" w:rsidRDefault="00F82960" w:rsidP="00D33F4C">
      <w:pPr>
        <w:numPr>
          <w:ilvl w:val="0"/>
          <w:numId w:val="4"/>
        </w:numPr>
        <w:spacing w:before="0" w:after="0"/>
        <w:contextualSpacing/>
        <w:rPr>
          <w:rFonts w:asciiTheme="minorHAnsi" w:hAnsiTheme="minorHAnsi" w:cstheme="minorHAnsi"/>
        </w:rPr>
      </w:pPr>
      <w:r w:rsidRPr="00F82960">
        <w:rPr>
          <w:rFonts w:asciiTheme="minorHAnsi" w:hAnsiTheme="minorHAnsi" w:cstheme="minorHAnsi"/>
        </w:rPr>
        <w:t xml:space="preserve">Determination of usable roof area using building data and </w:t>
      </w:r>
      <w:r w:rsidRPr="00F82960">
        <w:rPr>
          <w:rFonts w:asciiTheme="minorHAnsi" w:eastAsia="Calibri" w:hAnsiTheme="minorHAnsi" w:cstheme="minorHAnsi"/>
          <w:color w:val="000000"/>
          <w:spacing w:val="-2"/>
        </w:rPr>
        <w:t xml:space="preserve">geographic information system (GIS) imagery </w:t>
      </w:r>
      <w:r w:rsidRPr="00F82960">
        <w:rPr>
          <w:rFonts w:asciiTheme="minorHAnsi" w:hAnsiTheme="minorHAnsi" w:cstheme="minorHAnsi"/>
        </w:rPr>
        <w:t>mapping.</w:t>
      </w:r>
    </w:p>
    <w:p w14:paraId="1C9DA642" w14:textId="428B4BD2" w:rsidR="00F82960" w:rsidRPr="00F82960" w:rsidRDefault="004903E6" w:rsidP="00D33F4C">
      <w:pPr>
        <w:numPr>
          <w:ilvl w:val="0"/>
          <w:numId w:val="4"/>
        </w:numPr>
        <w:spacing w:before="0" w:after="0"/>
        <w:contextualSpacing/>
        <w:rPr>
          <w:rFonts w:asciiTheme="minorHAnsi" w:hAnsiTheme="minorHAnsi" w:cstheme="minorHAnsi"/>
        </w:rPr>
      </w:pPr>
      <w:r>
        <w:rPr>
          <w:rFonts w:asciiTheme="minorHAnsi" w:hAnsiTheme="minorHAnsi" w:cstheme="minorHAnsi"/>
        </w:rPr>
        <w:t>Calculation of the t</w:t>
      </w:r>
      <w:r w:rsidR="00F82960" w:rsidRPr="00F82960">
        <w:rPr>
          <w:rFonts w:asciiTheme="minorHAnsi" w:hAnsiTheme="minorHAnsi" w:cstheme="minorHAnsi"/>
        </w:rPr>
        <w:t xml:space="preserve">echnical potential </w:t>
      </w:r>
      <w:r>
        <w:rPr>
          <w:rFonts w:asciiTheme="minorHAnsi" w:hAnsiTheme="minorHAnsi" w:cstheme="minorHAnsi"/>
        </w:rPr>
        <w:t>combining roof area with solar resource data</w:t>
      </w:r>
      <w:r w:rsidR="00F82960" w:rsidRPr="00F82960">
        <w:rPr>
          <w:rFonts w:asciiTheme="minorHAnsi" w:hAnsiTheme="minorHAnsi" w:cstheme="minorHAnsi"/>
        </w:rPr>
        <w:t>.</w:t>
      </w:r>
    </w:p>
    <w:p w14:paraId="66FFE54D" w14:textId="3149F6A2" w:rsidR="00F82960" w:rsidRPr="00F82960" w:rsidRDefault="004903E6" w:rsidP="00D33F4C">
      <w:pPr>
        <w:numPr>
          <w:ilvl w:val="0"/>
          <w:numId w:val="4"/>
        </w:numPr>
        <w:spacing w:before="0" w:after="0"/>
        <w:contextualSpacing/>
        <w:rPr>
          <w:rFonts w:asciiTheme="minorHAnsi" w:hAnsiTheme="minorHAnsi" w:cstheme="minorHAnsi"/>
        </w:rPr>
      </w:pPr>
      <w:r>
        <w:rPr>
          <w:rFonts w:asciiTheme="minorHAnsi" w:hAnsiTheme="minorHAnsi" w:cstheme="minorHAnsi"/>
        </w:rPr>
        <w:t>Estimation of the m</w:t>
      </w:r>
      <w:r w:rsidR="00F82960" w:rsidRPr="00F82960">
        <w:rPr>
          <w:rFonts w:asciiTheme="minorHAnsi" w:hAnsiTheme="minorHAnsi" w:cstheme="minorHAnsi"/>
        </w:rPr>
        <w:t>arket potential</w:t>
      </w:r>
      <w:r>
        <w:rPr>
          <w:rFonts w:asciiTheme="minorHAnsi" w:hAnsiTheme="minorHAnsi" w:cstheme="minorHAnsi"/>
        </w:rPr>
        <w:t xml:space="preserve"> taking into account current market conditions.</w:t>
      </w:r>
    </w:p>
    <w:p w14:paraId="3FA0806C" w14:textId="5465EA6B" w:rsidR="00E71E7D" w:rsidRPr="00E71E7D" w:rsidRDefault="00E71E7D" w:rsidP="00E71E7D">
      <w:pPr>
        <w:rPr>
          <w:rFonts w:asciiTheme="minorHAnsi" w:eastAsia="Calibri" w:hAnsiTheme="minorHAnsi" w:cstheme="minorHAnsi"/>
          <w:sz w:val="22"/>
          <w:szCs w:val="22"/>
          <w:lang w:eastAsia="en-US"/>
        </w:rPr>
      </w:pPr>
      <w:r w:rsidRPr="00E71E7D">
        <w:rPr>
          <w:rFonts w:asciiTheme="minorHAnsi" w:hAnsiTheme="minorHAnsi" w:cstheme="minorHAnsi"/>
          <w:b/>
          <w:bCs/>
        </w:rPr>
        <w:t xml:space="preserve">Determination of Usable Roof Area: </w:t>
      </w:r>
      <w:r w:rsidRPr="00E71E7D">
        <w:rPr>
          <w:rFonts w:asciiTheme="minorHAnsi" w:eastAsia="Calibri" w:hAnsiTheme="minorHAnsi" w:cstheme="minorHAnsi"/>
          <w:color w:val="000000"/>
        </w:rPr>
        <w:t xml:space="preserve">Seven of Tukey’s 81 provinces were selected to cover </w:t>
      </w:r>
      <w:r w:rsidR="004903E6">
        <w:rPr>
          <w:rFonts w:asciiTheme="minorHAnsi" w:eastAsia="Calibri" w:hAnsiTheme="minorHAnsi" w:cstheme="minorHAnsi"/>
          <w:color w:val="000000"/>
        </w:rPr>
        <w:t xml:space="preserve">the </w:t>
      </w:r>
      <w:r w:rsidRPr="00E71E7D">
        <w:rPr>
          <w:rFonts w:asciiTheme="minorHAnsi" w:eastAsia="Calibri" w:hAnsiTheme="minorHAnsi" w:cstheme="minorHAnsi"/>
          <w:color w:val="000000"/>
        </w:rPr>
        <w:t xml:space="preserve">country’s varying features, such as solar radiation, availability of sun, roof type, building density, and consumer categories. A random data set of 909 polygons across </w:t>
      </w:r>
      <w:r w:rsidR="004903E6">
        <w:rPr>
          <w:rFonts w:asciiTheme="minorHAnsi" w:eastAsia="Calibri" w:hAnsiTheme="minorHAnsi" w:cstheme="minorHAnsi"/>
          <w:color w:val="000000"/>
        </w:rPr>
        <w:t>these</w:t>
      </w:r>
      <w:r w:rsidRPr="00E71E7D">
        <w:rPr>
          <w:rFonts w:asciiTheme="minorHAnsi" w:eastAsia="Calibri" w:hAnsiTheme="minorHAnsi" w:cstheme="minorHAnsi"/>
          <w:color w:val="000000"/>
        </w:rPr>
        <w:t xml:space="preserve"> provinces </w:t>
      </w:r>
      <w:r w:rsidR="004903E6">
        <w:rPr>
          <w:rFonts w:asciiTheme="minorHAnsi" w:eastAsia="Calibri" w:hAnsiTheme="minorHAnsi" w:cstheme="minorHAnsi"/>
          <w:color w:val="000000"/>
        </w:rPr>
        <w:t xml:space="preserve">was developed </w:t>
      </w:r>
      <w:r w:rsidRPr="00E71E7D">
        <w:rPr>
          <w:rFonts w:asciiTheme="minorHAnsi" w:eastAsia="Calibri" w:hAnsiTheme="minorHAnsi" w:cstheme="minorHAnsi"/>
          <w:color w:val="000000"/>
        </w:rPr>
        <w:t xml:space="preserve">for residential, commercial and public </w:t>
      </w:r>
      <w:r w:rsidR="004903E6">
        <w:rPr>
          <w:rFonts w:asciiTheme="minorHAnsi" w:eastAsia="Calibri" w:hAnsiTheme="minorHAnsi" w:cstheme="minorHAnsi"/>
          <w:color w:val="000000"/>
        </w:rPr>
        <w:t>buildings</w:t>
      </w:r>
      <w:r w:rsidRPr="00E71E7D">
        <w:rPr>
          <w:rFonts w:asciiTheme="minorHAnsi" w:eastAsia="Calibri" w:hAnsiTheme="minorHAnsi" w:cstheme="minorHAnsi"/>
          <w:color w:val="000000"/>
        </w:rPr>
        <w:t xml:space="preserve"> and building stock data from 1992 to 2016 was used for </w:t>
      </w:r>
      <w:r w:rsidR="004903E6">
        <w:rPr>
          <w:rFonts w:asciiTheme="minorHAnsi" w:eastAsia="Calibri" w:hAnsiTheme="minorHAnsi" w:cstheme="minorHAnsi"/>
          <w:color w:val="000000"/>
        </w:rPr>
        <w:t>the</w:t>
      </w:r>
      <w:r w:rsidRPr="00E71E7D">
        <w:rPr>
          <w:rFonts w:asciiTheme="minorHAnsi" w:eastAsia="Calibri" w:hAnsiTheme="minorHAnsi" w:cstheme="minorHAnsi"/>
          <w:color w:val="000000"/>
        </w:rPr>
        <w:t xml:space="preserve"> analysis. All 909 polygons were mapped on Google Earth to develop the solar polygon</w:t>
      </w:r>
      <w:r w:rsidR="004903E6">
        <w:rPr>
          <w:rFonts w:asciiTheme="minorHAnsi" w:eastAsia="Calibri" w:hAnsiTheme="minorHAnsi" w:cstheme="minorHAnsi"/>
          <w:color w:val="000000"/>
        </w:rPr>
        <w:t>,</w:t>
      </w:r>
      <w:r w:rsidRPr="00E71E7D">
        <w:rPr>
          <w:rFonts w:asciiTheme="minorHAnsi" w:eastAsia="Calibri" w:hAnsiTheme="minorHAnsi" w:cstheme="minorHAnsi"/>
          <w:color w:val="000000"/>
        </w:rPr>
        <w:t xml:space="preserve"> largely based on roof type (</w:t>
      </w:r>
      <w:r w:rsidRPr="00E71E7D">
        <w:rPr>
          <w:rFonts w:asciiTheme="minorHAnsi" w:eastAsia="Calibri" w:hAnsiTheme="minorHAnsi" w:cstheme="minorHAnsi"/>
        </w:rPr>
        <w:t xml:space="preserve">Figure 1). </w:t>
      </w:r>
    </w:p>
    <w:p w14:paraId="0B6B8448" w14:textId="23B17B74" w:rsidR="00E71E7D" w:rsidRDefault="00E71E7D" w:rsidP="00E71E7D">
      <w:pPr>
        <w:tabs>
          <w:tab w:val="left" w:pos="360"/>
          <w:tab w:val="left" w:pos="792"/>
        </w:tabs>
        <w:spacing w:before="240" w:after="0"/>
        <w:ind w:right="72"/>
        <w:textAlignment w:val="baseline"/>
        <w:rPr>
          <w:rFonts w:eastAsiaTheme="minorHAnsi"/>
        </w:rPr>
      </w:pPr>
      <w:r>
        <w:rPr>
          <w:rFonts w:eastAsiaTheme="minorHAnsi"/>
          <w:noProof/>
        </w:rPr>
        <w:drawing>
          <wp:anchor distT="0" distB="0" distL="114300" distR="114300" simplePos="0" relativeHeight="251661312" behindDoc="0" locked="0" layoutInCell="1" allowOverlap="1" wp14:anchorId="5E71679B" wp14:editId="5C350214">
            <wp:simplePos x="0" y="0"/>
            <wp:positionH relativeFrom="column">
              <wp:posOffset>0</wp:posOffset>
            </wp:positionH>
            <wp:positionV relativeFrom="paragraph">
              <wp:posOffset>296281</wp:posOffset>
            </wp:positionV>
            <wp:extent cx="3825240" cy="266700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5240" cy="266700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i/>
          <w:iCs/>
          <w:color w:val="000000"/>
          <w:spacing w:val="-2"/>
        </w:rPr>
        <w:t>Figure 1: Main and solar polygons</w:t>
      </w:r>
    </w:p>
    <w:p w14:paraId="4408BACA" w14:textId="03B8FA3E" w:rsidR="00E71E7D" w:rsidRPr="00E71E7D" w:rsidRDefault="00E71E7D" w:rsidP="00E71E7D">
      <w:pPr>
        <w:tabs>
          <w:tab w:val="left" w:pos="360"/>
          <w:tab w:val="left" w:pos="792"/>
        </w:tabs>
        <w:spacing w:before="240"/>
        <w:ind w:right="72"/>
        <w:textAlignment w:val="baseline"/>
        <w:rPr>
          <w:rFonts w:asciiTheme="minorHAnsi" w:eastAsia="Calibri" w:hAnsiTheme="minorHAnsi" w:cstheme="minorHAnsi"/>
          <w:color w:val="000000"/>
          <w:spacing w:val="-2"/>
        </w:rPr>
      </w:pPr>
      <w:r w:rsidRPr="00E71E7D">
        <w:rPr>
          <w:rFonts w:asciiTheme="minorHAnsi" w:eastAsia="Calibri" w:hAnsiTheme="minorHAnsi" w:cstheme="minorHAnsi"/>
          <w:color w:val="000000"/>
          <w:spacing w:val="-2"/>
        </w:rPr>
        <w:t xml:space="preserve">The ratio of the main polygon area and solar polygon area was determined for all 909 polygons. To determine the representative multiplication factor for each </w:t>
      </w:r>
      <w:r w:rsidR="004903E6">
        <w:rPr>
          <w:rFonts w:asciiTheme="minorHAnsi" w:eastAsia="Calibri" w:hAnsiTheme="minorHAnsi" w:cstheme="minorHAnsi"/>
          <w:color w:val="000000"/>
          <w:spacing w:val="-2"/>
        </w:rPr>
        <w:t>building type (e.g., public, commercial)</w:t>
      </w:r>
      <w:r w:rsidRPr="00E71E7D">
        <w:rPr>
          <w:rFonts w:asciiTheme="minorHAnsi" w:eastAsia="Calibri" w:hAnsiTheme="minorHAnsi" w:cstheme="minorHAnsi"/>
          <w:color w:val="000000"/>
          <w:spacing w:val="-2"/>
        </w:rPr>
        <w:t xml:space="preserve">, a weighted average was used. These multiplication factors were applied to building data to determine the usable roof area. </w:t>
      </w:r>
      <w:r w:rsidR="004903E6">
        <w:rPr>
          <w:rFonts w:asciiTheme="minorHAnsi" w:eastAsia="Calibri" w:hAnsiTheme="minorHAnsi" w:cstheme="minorHAnsi"/>
          <w:color w:val="000000"/>
          <w:spacing w:val="-2"/>
        </w:rPr>
        <w:t>Based on this methodology</w:t>
      </w:r>
      <w:r w:rsidRPr="00E71E7D">
        <w:rPr>
          <w:rFonts w:asciiTheme="minorHAnsi" w:eastAsia="Calibri" w:hAnsiTheme="minorHAnsi" w:cstheme="minorHAnsi"/>
          <w:color w:val="000000"/>
          <w:spacing w:val="-2"/>
        </w:rPr>
        <w:t>, the t</w:t>
      </w:r>
      <w:r w:rsidRPr="00E71E7D">
        <w:rPr>
          <w:rFonts w:asciiTheme="minorHAnsi" w:hAnsiTheme="minorHAnsi" w:cstheme="minorHAnsi"/>
        </w:rPr>
        <w:t>otal usable area for RSPV installation</w:t>
      </w:r>
      <w:r w:rsidR="004903E6">
        <w:rPr>
          <w:rFonts w:asciiTheme="minorHAnsi" w:hAnsiTheme="minorHAnsi" w:cstheme="minorHAnsi"/>
        </w:rPr>
        <w:t>s</w:t>
      </w:r>
      <w:r w:rsidRPr="00E71E7D">
        <w:rPr>
          <w:rFonts w:asciiTheme="minorHAnsi" w:hAnsiTheme="minorHAnsi" w:cstheme="minorHAnsi"/>
        </w:rPr>
        <w:t xml:space="preserve"> in Turkey was estimated at 1.1 billion square meters (m</w:t>
      </w:r>
      <w:r w:rsidRPr="00E71E7D">
        <w:rPr>
          <w:rFonts w:asciiTheme="minorHAnsi" w:hAnsiTheme="minorHAnsi" w:cstheme="minorHAnsi"/>
          <w:vertAlign w:val="superscript"/>
        </w:rPr>
        <w:t>2</w:t>
      </w:r>
      <w:r w:rsidRPr="00E71E7D">
        <w:rPr>
          <w:rFonts w:asciiTheme="minorHAnsi" w:hAnsiTheme="minorHAnsi" w:cstheme="minorHAnsi"/>
        </w:rPr>
        <w:t>).</w:t>
      </w:r>
    </w:p>
    <w:p w14:paraId="02F00499" w14:textId="6CF341C1" w:rsidR="00E71E7D" w:rsidRPr="00E71E7D" w:rsidRDefault="00E71E7D" w:rsidP="00E71E7D">
      <w:pPr>
        <w:tabs>
          <w:tab w:val="left" w:pos="360"/>
          <w:tab w:val="left" w:pos="792"/>
        </w:tabs>
        <w:ind w:right="72"/>
        <w:textAlignment w:val="baseline"/>
        <w:rPr>
          <w:rFonts w:asciiTheme="minorHAnsi" w:hAnsiTheme="minorHAnsi" w:cstheme="minorHAnsi"/>
        </w:rPr>
      </w:pPr>
      <w:r w:rsidRPr="00E71E7D">
        <w:rPr>
          <w:rFonts w:asciiTheme="minorHAnsi" w:eastAsia="Calibri" w:hAnsiTheme="minorHAnsi" w:cstheme="minorHAnsi"/>
          <w:b/>
          <w:bCs/>
          <w:color w:val="000000"/>
          <w:spacing w:val="-2"/>
        </w:rPr>
        <w:t>Technical Potential of RSPV:</w:t>
      </w:r>
      <w:r w:rsidRPr="004903E6">
        <w:rPr>
          <w:rFonts w:asciiTheme="minorHAnsi" w:eastAsia="Calibri" w:hAnsiTheme="minorHAnsi" w:cstheme="minorHAnsi"/>
          <w:bCs/>
          <w:color w:val="000000"/>
          <w:spacing w:val="-2"/>
        </w:rPr>
        <w:t xml:space="preserve"> </w:t>
      </w:r>
      <w:r w:rsidRPr="00E71E7D">
        <w:rPr>
          <w:rFonts w:asciiTheme="minorHAnsi" w:hAnsiTheme="minorHAnsi" w:cstheme="minorHAnsi"/>
        </w:rPr>
        <w:t xml:space="preserve">The </w:t>
      </w:r>
      <w:r w:rsidRPr="00E71E7D">
        <w:rPr>
          <w:rFonts w:asciiTheme="minorHAnsi" w:hAnsiTheme="minorHAnsi" w:cstheme="minorHAnsi"/>
          <w:color w:val="000000"/>
        </w:rPr>
        <w:t>total usable area was further adjusted to account for</w:t>
      </w:r>
      <w:r w:rsidR="004903E6">
        <w:rPr>
          <w:rFonts w:asciiTheme="minorHAnsi" w:hAnsiTheme="minorHAnsi" w:cstheme="minorHAnsi"/>
          <w:color w:val="000000"/>
        </w:rPr>
        <w:t xml:space="preserve">: (i) </w:t>
      </w:r>
      <w:r w:rsidRPr="00E71E7D">
        <w:rPr>
          <w:rFonts w:asciiTheme="minorHAnsi" w:hAnsiTheme="minorHAnsi" w:cstheme="minorHAnsi"/>
          <w:color w:val="000000"/>
        </w:rPr>
        <w:t>shading from other parts of the roof or from neighboring buildings and trees</w:t>
      </w:r>
      <w:r w:rsidR="004903E6">
        <w:rPr>
          <w:rFonts w:asciiTheme="minorHAnsi" w:hAnsiTheme="minorHAnsi" w:cstheme="minorHAnsi"/>
          <w:color w:val="000000"/>
        </w:rPr>
        <w:t xml:space="preserve">; (ii) </w:t>
      </w:r>
      <w:r w:rsidRPr="00E71E7D">
        <w:rPr>
          <w:rFonts w:asciiTheme="minorHAnsi" w:hAnsiTheme="minorHAnsi" w:cstheme="minorHAnsi"/>
          <w:color w:val="000000"/>
        </w:rPr>
        <w:t>the use of roof space for other applications, such as ventilation, heating/air conditioning, dormers or chimneys</w:t>
      </w:r>
      <w:r w:rsidR="00235613">
        <w:rPr>
          <w:rFonts w:asciiTheme="minorHAnsi" w:hAnsiTheme="minorHAnsi" w:cstheme="minorHAnsi"/>
          <w:color w:val="000000"/>
        </w:rPr>
        <w:t xml:space="preserve">; and (iii) </w:t>
      </w:r>
      <w:r w:rsidRPr="00E71E7D">
        <w:rPr>
          <w:rFonts w:asciiTheme="minorHAnsi" w:hAnsiTheme="minorHAnsi" w:cstheme="minorHAnsi"/>
          <w:color w:val="000000"/>
        </w:rPr>
        <w:t xml:space="preserve">installation and racking of the PV panels. </w:t>
      </w:r>
      <w:r w:rsidRPr="00E71E7D">
        <w:rPr>
          <w:rFonts w:asciiTheme="minorHAnsi" w:eastAsia="Calibri" w:hAnsiTheme="minorHAnsi" w:cstheme="minorHAnsi"/>
          <w:color w:val="000000"/>
          <w:spacing w:val="-2"/>
        </w:rPr>
        <w:t xml:space="preserve">To account for these factors, an access factor was estimated based on </w:t>
      </w:r>
      <w:r w:rsidR="00235613">
        <w:rPr>
          <w:rFonts w:asciiTheme="minorHAnsi" w:eastAsia="Calibri" w:hAnsiTheme="minorHAnsi" w:cstheme="minorHAnsi"/>
          <w:color w:val="000000"/>
          <w:spacing w:val="-2"/>
        </w:rPr>
        <w:t>comparable studies in other countries</w:t>
      </w:r>
      <w:r w:rsidRPr="00E71E7D">
        <w:rPr>
          <w:rFonts w:asciiTheme="minorHAnsi" w:eastAsia="Calibri" w:hAnsiTheme="minorHAnsi" w:cstheme="minorHAnsi"/>
          <w:color w:val="000000"/>
          <w:spacing w:val="-2"/>
        </w:rPr>
        <w:t xml:space="preserve">. </w:t>
      </w:r>
      <w:r w:rsidR="00235613">
        <w:rPr>
          <w:rFonts w:asciiTheme="minorHAnsi" w:eastAsia="Calibri" w:hAnsiTheme="minorHAnsi" w:cstheme="minorHAnsi"/>
          <w:color w:val="000000"/>
          <w:spacing w:val="-2"/>
        </w:rPr>
        <w:t>Based on all these considerations</w:t>
      </w:r>
      <w:r w:rsidRPr="00E71E7D">
        <w:rPr>
          <w:rFonts w:asciiTheme="minorHAnsi" w:hAnsiTheme="minorHAnsi" w:cstheme="minorHAnsi"/>
          <w:color w:val="000000"/>
        </w:rPr>
        <w:t xml:space="preserve">, the technical potential of RSPV in Turkey </w:t>
      </w:r>
      <w:r w:rsidR="00235613">
        <w:rPr>
          <w:rFonts w:asciiTheme="minorHAnsi" w:hAnsiTheme="minorHAnsi" w:cstheme="minorHAnsi"/>
          <w:color w:val="000000"/>
        </w:rPr>
        <w:t>wa</w:t>
      </w:r>
      <w:r w:rsidRPr="00E71E7D">
        <w:rPr>
          <w:rFonts w:asciiTheme="minorHAnsi" w:hAnsiTheme="minorHAnsi" w:cstheme="minorHAnsi"/>
          <w:color w:val="000000"/>
        </w:rPr>
        <w:t>s estimated at about 46.8 GW</w:t>
      </w:r>
      <w:r w:rsidRPr="00E71E7D">
        <w:rPr>
          <w:rFonts w:asciiTheme="minorHAnsi" w:hAnsiTheme="minorHAnsi" w:cstheme="minorHAnsi"/>
          <w:b/>
          <w:bCs/>
        </w:rPr>
        <w:t xml:space="preserve">, </w:t>
      </w:r>
      <w:r w:rsidRPr="00E71E7D">
        <w:rPr>
          <w:rFonts w:asciiTheme="minorHAnsi" w:hAnsiTheme="minorHAnsi" w:cstheme="minorHAnsi"/>
        </w:rPr>
        <w:t>as shown in Table 2. It should be noted that t</w:t>
      </w:r>
      <w:r w:rsidRPr="00E71E7D">
        <w:rPr>
          <w:rFonts w:asciiTheme="minorHAnsi" w:hAnsiTheme="minorHAnsi" w:cstheme="minorHAnsi"/>
          <w:color w:val="000000"/>
        </w:rPr>
        <w:t xml:space="preserve">he technical potential assumes </w:t>
      </w:r>
      <w:r w:rsidR="00235613">
        <w:rPr>
          <w:rFonts w:asciiTheme="minorHAnsi" w:hAnsiTheme="minorHAnsi" w:cstheme="minorHAnsi"/>
          <w:color w:val="000000"/>
        </w:rPr>
        <w:t xml:space="preserve">all technically viable </w:t>
      </w:r>
      <w:r w:rsidRPr="00E71E7D">
        <w:rPr>
          <w:rFonts w:asciiTheme="minorHAnsi" w:hAnsiTheme="minorHAnsi" w:cstheme="minorHAnsi"/>
          <w:color w:val="000000"/>
        </w:rPr>
        <w:t>RSPV system</w:t>
      </w:r>
      <w:r w:rsidR="00235613">
        <w:rPr>
          <w:rFonts w:asciiTheme="minorHAnsi" w:hAnsiTheme="minorHAnsi" w:cstheme="minorHAnsi"/>
          <w:color w:val="000000"/>
        </w:rPr>
        <w:t>s are installed</w:t>
      </w:r>
      <w:r w:rsidRPr="00E71E7D">
        <w:rPr>
          <w:rFonts w:asciiTheme="minorHAnsi" w:hAnsiTheme="minorHAnsi" w:cstheme="minorHAnsi"/>
          <w:color w:val="000000"/>
        </w:rPr>
        <w:t xml:space="preserve">, regardless of physical or economic viability and, thus, </w:t>
      </w:r>
      <w:r w:rsidR="00235613">
        <w:rPr>
          <w:rFonts w:asciiTheme="minorHAnsi" w:hAnsiTheme="minorHAnsi" w:cstheme="minorHAnsi"/>
          <w:color w:val="000000"/>
        </w:rPr>
        <w:t>it is not an achievable figure</w:t>
      </w:r>
      <w:r w:rsidRPr="00E71E7D">
        <w:rPr>
          <w:rFonts w:asciiTheme="minorHAnsi" w:hAnsiTheme="minorHAnsi" w:cstheme="minorHAnsi"/>
          <w:color w:val="000000"/>
        </w:rPr>
        <w:t>.</w:t>
      </w:r>
    </w:p>
    <w:p w14:paraId="3E61D138" w14:textId="05ACBE5B" w:rsidR="00E71E7D" w:rsidRDefault="00E71E7D" w:rsidP="00E71E7D">
      <w:pPr>
        <w:keepNext/>
        <w:spacing w:before="240" w:after="20"/>
        <w:rPr>
          <w:rFonts w:eastAsiaTheme="minorHAnsi"/>
        </w:rPr>
      </w:pPr>
      <w:r>
        <w:rPr>
          <w:i/>
          <w:iCs/>
          <w:lang w:val="en-GB"/>
        </w:rPr>
        <w:lastRenderedPageBreak/>
        <w:t>Table 2: Estimation of RSPV technical potential</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1367"/>
        <w:gridCol w:w="1268"/>
        <w:gridCol w:w="1268"/>
        <w:gridCol w:w="1367"/>
        <w:gridCol w:w="1566"/>
      </w:tblGrid>
      <w:tr w:rsidR="00E71E7D" w14:paraId="408D62DC" w14:textId="77777777" w:rsidTr="00E71E7D">
        <w:trPr>
          <w:trHeight w:val="20"/>
          <w:tblHeader/>
        </w:trPr>
        <w:tc>
          <w:tcPr>
            <w:tcW w:w="965" w:type="pct"/>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49A424E3" w14:textId="77777777" w:rsidR="00E71E7D" w:rsidRDefault="00E71E7D">
            <w:pPr>
              <w:spacing w:after="0"/>
              <w:jc w:val="center"/>
              <w:rPr>
                <w:b/>
                <w:bCs/>
                <w:color w:val="FFFFFF" w:themeColor="background1"/>
                <w:sz w:val="20"/>
                <w:szCs w:val="20"/>
              </w:rPr>
            </w:pPr>
            <w:r>
              <w:rPr>
                <w:b/>
                <w:bCs/>
                <w:color w:val="FFFFFF" w:themeColor="background1"/>
                <w:sz w:val="20"/>
                <w:szCs w:val="20"/>
              </w:rPr>
              <w:t>Building Type</w:t>
            </w:r>
          </w:p>
        </w:tc>
        <w:tc>
          <w:tcPr>
            <w:tcW w:w="807"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3928069C" w14:textId="77777777" w:rsidR="00E71E7D" w:rsidRDefault="00E71E7D">
            <w:pPr>
              <w:spacing w:after="0"/>
              <w:jc w:val="center"/>
              <w:rPr>
                <w:b/>
                <w:bCs/>
                <w:color w:val="FFFFFF" w:themeColor="background1"/>
                <w:sz w:val="20"/>
                <w:szCs w:val="20"/>
              </w:rPr>
            </w:pPr>
            <w:r>
              <w:rPr>
                <w:b/>
                <w:bCs/>
                <w:color w:val="FFFFFF" w:themeColor="background1"/>
                <w:sz w:val="20"/>
                <w:szCs w:val="20"/>
              </w:rPr>
              <w:t># of Buildings</w:t>
            </w:r>
            <w:r>
              <w:rPr>
                <w:b/>
                <w:bCs/>
                <w:color w:val="FFFFFF" w:themeColor="background1"/>
                <w:sz w:val="20"/>
              </w:rPr>
              <w:br/>
            </w:r>
            <w:r>
              <w:rPr>
                <w:b/>
                <w:bCs/>
                <w:color w:val="FFFFFF" w:themeColor="background1"/>
                <w:sz w:val="20"/>
                <w:szCs w:val="20"/>
              </w:rPr>
              <w:t>(in thousand)</w:t>
            </w:r>
          </w:p>
        </w:tc>
        <w:tc>
          <w:tcPr>
            <w:tcW w:w="753"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4F9268F6" w14:textId="77777777" w:rsidR="00E71E7D" w:rsidRDefault="00E71E7D">
            <w:pPr>
              <w:spacing w:after="0"/>
              <w:jc w:val="center"/>
              <w:rPr>
                <w:b/>
                <w:bCs/>
                <w:color w:val="FFFFFF" w:themeColor="background1"/>
                <w:sz w:val="20"/>
                <w:szCs w:val="20"/>
              </w:rPr>
            </w:pPr>
            <w:r>
              <w:rPr>
                <w:b/>
                <w:bCs/>
                <w:color w:val="FFFFFF" w:themeColor="background1"/>
                <w:sz w:val="20"/>
                <w:szCs w:val="20"/>
              </w:rPr>
              <w:t>Base Area</w:t>
            </w:r>
            <w:r>
              <w:rPr>
                <w:b/>
                <w:bCs/>
                <w:color w:val="FFFFFF" w:themeColor="background1"/>
                <w:sz w:val="20"/>
              </w:rPr>
              <w:br/>
            </w:r>
            <w:r>
              <w:rPr>
                <w:b/>
                <w:bCs/>
                <w:color w:val="FFFFFF" w:themeColor="background1"/>
                <w:sz w:val="20"/>
                <w:szCs w:val="20"/>
              </w:rPr>
              <w:t>(million m</w:t>
            </w:r>
            <w:r>
              <w:rPr>
                <w:b/>
                <w:bCs/>
                <w:color w:val="FFFFFF" w:themeColor="background1"/>
                <w:sz w:val="20"/>
                <w:szCs w:val="20"/>
                <w:vertAlign w:val="superscript"/>
              </w:rPr>
              <w:t>2</w:t>
            </w:r>
            <w:r>
              <w:rPr>
                <w:b/>
                <w:bCs/>
                <w:color w:val="FFFFFF" w:themeColor="background1"/>
                <w:sz w:val="20"/>
                <w:szCs w:val="20"/>
              </w:rPr>
              <w:t>)</w:t>
            </w:r>
          </w:p>
        </w:tc>
        <w:tc>
          <w:tcPr>
            <w:tcW w:w="753"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3ED17A7C" w14:textId="77777777" w:rsidR="00E71E7D" w:rsidRDefault="00E71E7D">
            <w:pPr>
              <w:spacing w:after="0"/>
              <w:jc w:val="center"/>
              <w:rPr>
                <w:b/>
                <w:bCs/>
                <w:color w:val="FFFFFF" w:themeColor="background1"/>
                <w:sz w:val="20"/>
                <w:szCs w:val="20"/>
              </w:rPr>
            </w:pPr>
            <w:r>
              <w:rPr>
                <w:b/>
                <w:bCs/>
                <w:color w:val="FFFFFF" w:themeColor="background1"/>
                <w:sz w:val="20"/>
                <w:szCs w:val="20"/>
              </w:rPr>
              <w:t>Weighted Average Usable Area</w:t>
            </w:r>
          </w:p>
        </w:tc>
        <w:tc>
          <w:tcPr>
            <w:tcW w:w="807"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0554CE14" w14:textId="77777777" w:rsidR="00E71E7D" w:rsidRDefault="00E71E7D">
            <w:pPr>
              <w:spacing w:after="0"/>
              <w:jc w:val="center"/>
              <w:rPr>
                <w:b/>
                <w:bCs/>
                <w:color w:val="FFFFFF" w:themeColor="background1"/>
                <w:sz w:val="20"/>
                <w:szCs w:val="20"/>
              </w:rPr>
            </w:pPr>
            <w:r>
              <w:rPr>
                <w:b/>
                <w:bCs/>
                <w:color w:val="FFFFFF" w:themeColor="background1"/>
                <w:sz w:val="20"/>
                <w:szCs w:val="20"/>
              </w:rPr>
              <w:t xml:space="preserve">Usable Area </w:t>
            </w:r>
            <w:r>
              <w:rPr>
                <w:b/>
                <w:bCs/>
                <w:color w:val="FFFFFF" w:themeColor="background1"/>
                <w:sz w:val="20"/>
              </w:rPr>
              <w:br/>
            </w:r>
            <w:r>
              <w:rPr>
                <w:b/>
                <w:bCs/>
                <w:color w:val="FFFFFF" w:themeColor="background1"/>
                <w:sz w:val="20"/>
                <w:szCs w:val="20"/>
              </w:rPr>
              <w:t>(million m</w:t>
            </w:r>
            <w:r>
              <w:rPr>
                <w:b/>
                <w:bCs/>
                <w:color w:val="FFFFFF" w:themeColor="background1"/>
                <w:sz w:val="20"/>
                <w:szCs w:val="20"/>
                <w:vertAlign w:val="superscript"/>
              </w:rPr>
              <w:t>2</w:t>
            </w:r>
            <w:r>
              <w:rPr>
                <w:b/>
                <w:bCs/>
                <w:color w:val="FFFFFF" w:themeColor="background1"/>
                <w:sz w:val="20"/>
                <w:szCs w:val="20"/>
              </w:rPr>
              <w:t>)</w:t>
            </w:r>
          </w:p>
        </w:tc>
        <w:tc>
          <w:tcPr>
            <w:tcW w:w="915"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21727F61" w14:textId="77777777" w:rsidR="00E71E7D" w:rsidRDefault="00E71E7D">
            <w:pPr>
              <w:spacing w:after="0"/>
              <w:jc w:val="center"/>
              <w:rPr>
                <w:rFonts w:eastAsiaTheme="minorHAnsi" w:cstheme="minorBidi"/>
                <w:sz w:val="22"/>
                <w:szCs w:val="22"/>
              </w:rPr>
            </w:pPr>
            <w:r>
              <w:rPr>
                <w:b/>
                <w:bCs/>
                <w:color w:val="FFFFFF" w:themeColor="background1"/>
                <w:sz w:val="20"/>
                <w:szCs w:val="20"/>
              </w:rPr>
              <w:t>RSPV Technical Potential (GW)</w:t>
            </w:r>
          </w:p>
        </w:tc>
      </w:tr>
      <w:tr w:rsidR="00E71E7D" w14:paraId="47BD7F98" w14:textId="77777777" w:rsidTr="00E71E7D">
        <w:trPr>
          <w:trHeight w:val="20"/>
        </w:trPr>
        <w:tc>
          <w:tcPr>
            <w:tcW w:w="96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B167BB9" w14:textId="77777777" w:rsidR="00E71E7D" w:rsidRDefault="00E71E7D">
            <w:pPr>
              <w:spacing w:after="0"/>
              <w:rPr>
                <w:color w:val="000000"/>
                <w:sz w:val="20"/>
                <w:szCs w:val="20"/>
              </w:rPr>
            </w:pPr>
            <w:r>
              <w:rPr>
                <w:color w:val="000000"/>
                <w:sz w:val="20"/>
                <w:szCs w:val="20"/>
              </w:rPr>
              <w:t>Residential</w:t>
            </w:r>
          </w:p>
        </w:tc>
        <w:tc>
          <w:tcPr>
            <w:tcW w:w="807" w:type="pct"/>
            <w:tcBorders>
              <w:top w:val="single" w:sz="4" w:space="0" w:color="auto"/>
              <w:left w:val="single" w:sz="4" w:space="0" w:color="auto"/>
              <w:bottom w:val="single" w:sz="4" w:space="0" w:color="auto"/>
              <w:right w:val="single" w:sz="4" w:space="0" w:color="auto"/>
            </w:tcBorders>
            <w:noWrap/>
            <w:vAlign w:val="bottom"/>
            <w:hideMark/>
          </w:tcPr>
          <w:p w14:paraId="78952DF6" w14:textId="77777777" w:rsidR="00E71E7D" w:rsidRDefault="00E71E7D">
            <w:pPr>
              <w:spacing w:after="0"/>
              <w:jc w:val="center"/>
              <w:rPr>
                <w:rFonts w:eastAsiaTheme="minorHAnsi" w:cstheme="minorBidi"/>
                <w:sz w:val="22"/>
                <w:szCs w:val="22"/>
              </w:rPr>
            </w:pPr>
            <w:r>
              <w:rPr>
                <w:color w:val="000000"/>
                <w:sz w:val="20"/>
                <w:szCs w:val="20"/>
              </w:rPr>
              <w:t>8,230</w:t>
            </w:r>
          </w:p>
        </w:tc>
        <w:tc>
          <w:tcPr>
            <w:tcW w:w="753" w:type="pct"/>
            <w:tcBorders>
              <w:top w:val="single" w:sz="4" w:space="0" w:color="auto"/>
              <w:left w:val="single" w:sz="4" w:space="0" w:color="auto"/>
              <w:bottom w:val="single" w:sz="4" w:space="0" w:color="auto"/>
              <w:right w:val="single" w:sz="4" w:space="0" w:color="auto"/>
            </w:tcBorders>
            <w:noWrap/>
            <w:vAlign w:val="bottom"/>
            <w:hideMark/>
          </w:tcPr>
          <w:p w14:paraId="0E113AB2" w14:textId="77777777" w:rsidR="00E71E7D" w:rsidRDefault="00E71E7D">
            <w:pPr>
              <w:spacing w:after="0"/>
              <w:jc w:val="center"/>
            </w:pPr>
            <w:r>
              <w:rPr>
                <w:color w:val="000000"/>
                <w:sz w:val="20"/>
                <w:szCs w:val="20"/>
              </w:rPr>
              <w:t>1,269</w:t>
            </w:r>
          </w:p>
        </w:tc>
        <w:tc>
          <w:tcPr>
            <w:tcW w:w="753" w:type="pct"/>
            <w:tcBorders>
              <w:top w:val="single" w:sz="4" w:space="0" w:color="auto"/>
              <w:left w:val="single" w:sz="4" w:space="0" w:color="auto"/>
              <w:bottom w:val="single" w:sz="4" w:space="0" w:color="auto"/>
              <w:right w:val="single" w:sz="4" w:space="0" w:color="auto"/>
            </w:tcBorders>
            <w:noWrap/>
            <w:vAlign w:val="center"/>
            <w:hideMark/>
          </w:tcPr>
          <w:p w14:paraId="460569BF" w14:textId="77777777" w:rsidR="00E71E7D" w:rsidRDefault="00E71E7D">
            <w:pPr>
              <w:spacing w:after="0"/>
              <w:jc w:val="center"/>
              <w:rPr>
                <w:color w:val="000000"/>
                <w:sz w:val="20"/>
                <w:szCs w:val="20"/>
              </w:rPr>
            </w:pPr>
            <w:r>
              <w:rPr>
                <w:color w:val="000000"/>
                <w:sz w:val="20"/>
                <w:szCs w:val="20"/>
              </w:rPr>
              <w:t>47%</w:t>
            </w:r>
          </w:p>
        </w:tc>
        <w:tc>
          <w:tcPr>
            <w:tcW w:w="807" w:type="pct"/>
            <w:tcBorders>
              <w:top w:val="single" w:sz="4" w:space="0" w:color="auto"/>
              <w:left w:val="single" w:sz="4" w:space="0" w:color="auto"/>
              <w:bottom w:val="single" w:sz="4" w:space="0" w:color="auto"/>
              <w:right w:val="single" w:sz="4" w:space="0" w:color="auto"/>
            </w:tcBorders>
            <w:noWrap/>
            <w:vAlign w:val="center"/>
            <w:hideMark/>
          </w:tcPr>
          <w:p w14:paraId="58B6AF3C" w14:textId="77777777" w:rsidR="00E71E7D" w:rsidRDefault="00E71E7D">
            <w:pPr>
              <w:spacing w:after="0"/>
              <w:jc w:val="center"/>
              <w:rPr>
                <w:color w:val="000000"/>
                <w:sz w:val="20"/>
                <w:szCs w:val="20"/>
              </w:rPr>
            </w:pPr>
            <w:r>
              <w:rPr>
                <w:color w:val="000000"/>
                <w:sz w:val="20"/>
                <w:szCs w:val="20"/>
              </w:rPr>
              <w:t>596</w:t>
            </w:r>
          </w:p>
        </w:tc>
        <w:tc>
          <w:tcPr>
            <w:tcW w:w="915" w:type="pct"/>
            <w:tcBorders>
              <w:top w:val="single" w:sz="4" w:space="0" w:color="auto"/>
              <w:left w:val="single" w:sz="4" w:space="0" w:color="auto"/>
              <w:bottom w:val="single" w:sz="4" w:space="0" w:color="auto"/>
              <w:right w:val="single" w:sz="4" w:space="0" w:color="auto"/>
            </w:tcBorders>
            <w:vAlign w:val="bottom"/>
            <w:hideMark/>
          </w:tcPr>
          <w:p w14:paraId="736D6B62" w14:textId="77777777" w:rsidR="00E71E7D" w:rsidRDefault="00E71E7D">
            <w:pPr>
              <w:spacing w:after="0"/>
              <w:jc w:val="center"/>
              <w:rPr>
                <w:rFonts w:eastAsiaTheme="minorHAnsi" w:cstheme="minorBidi"/>
                <w:sz w:val="22"/>
                <w:szCs w:val="22"/>
              </w:rPr>
            </w:pPr>
            <w:r>
              <w:rPr>
                <w:b/>
                <w:bCs/>
                <w:color w:val="000000"/>
                <w:sz w:val="20"/>
                <w:szCs w:val="20"/>
              </w:rPr>
              <w:t>23.2</w:t>
            </w:r>
          </w:p>
        </w:tc>
      </w:tr>
      <w:tr w:rsidR="00E71E7D" w14:paraId="1B205711" w14:textId="77777777" w:rsidTr="00E71E7D">
        <w:trPr>
          <w:trHeight w:val="20"/>
        </w:trPr>
        <w:tc>
          <w:tcPr>
            <w:tcW w:w="96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BD4C0C3" w14:textId="77777777" w:rsidR="00E71E7D" w:rsidRDefault="00E71E7D">
            <w:pPr>
              <w:spacing w:after="0"/>
              <w:rPr>
                <w:color w:val="000000"/>
                <w:sz w:val="20"/>
                <w:szCs w:val="20"/>
              </w:rPr>
            </w:pPr>
            <w:r>
              <w:rPr>
                <w:color w:val="000000"/>
                <w:sz w:val="20"/>
                <w:szCs w:val="20"/>
              </w:rPr>
              <w:t>Commercial and Industrial</w:t>
            </w:r>
          </w:p>
        </w:tc>
        <w:tc>
          <w:tcPr>
            <w:tcW w:w="807" w:type="pct"/>
            <w:tcBorders>
              <w:top w:val="single" w:sz="4" w:space="0" w:color="auto"/>
              <w:left w:val="single" w:sz="4" w:space="0" w:color="auto"/>
              <w:bottom w:val="single" w:sz="4" w:space="0" w:color="auto"/>
              <w:right w:val="single" w:sz="4" w:space="0" w:color="auto"/>
            </w:tcBorders>
            <w:noWrap/>
            <w:vAlign w:val="bottom"/>
            <w:hideMark/>
          </w:tcPr>
          <w:p w14:paraId="3BF3CAD0" w14:textId="77777777" w:rsidR="00E71E7D" w:rsidRDefault="00E71E7D">
            <w:pPr>
              <w:spacing w:after="0"/>
              <w:jc w:val="center"/>
              <w:rPr>
                <w:rFonts w:eastAsiaTheme="minorHAnsi" w:cstheme="minorBidi"/>
                <w:sz w:val="22"/>
                <w:szCs w:val="22"/>
              </w:rPr>
            </w:pPr>
            <w:r>
              <w:rPr>
                <w:color w:val="000000"/>
                <w:sz w:val="20"/>
                <w:szCs w:val="20"/>
              </w:rPr>
              <w:t>950</w:t>
            </w:r>
          </w:p>
        </w:tc>
        <w:tc>
          <w:tcPr>
            <w:tcW w:w="753" w:type="pct"/>
            <w:tcBorders>
              <w:top w:val="single" w:sz="4" w:space="0" w:color="auto"/>
              <w:left w:val="single" w:sz="4" w:space="0" w:color="auto"/>
              <w:bottom w:val="single" w:sz="4" w:space="0" w:color="auto"/>
              <w:right w:val="single" w:sz="4" w:space="0" w:color="auto"/>
            </w:tcBorders>
            <w:noWrap/>
            <w:vAlign w:val="bottom"/>
            <w:hideMark/>
          </w:tcPr>
          <w:p w14:paraId="12B85C77" w14:textId="77777777" w:rsidR="00E71E7D" w:rsidRDefault="00E71E7D">
            <w:pPr>
              <w:spacing w:after="0"/>
              <w:jc w:val="center"/>
            </w:pPr>
            <w:r>
              <w:rPr>
                <w:color w:val="000000"/>
                <w:sz w:val="20"/>
                <w:szCs w:val="20"/>
              </w:rPr>
              <w:t>875</w:t>
            </w:r>
          </w:p>
        </w:tc>
        <w:tc>
          <w:tcPr>
            <w:tcW w:w="753" w:type="pct"/>
            <w:tcBorders>
              <w:top w:val="single" w:sz="4" w:space="0" w:color="auto"/>
              <w:left w:val="single" w:sz="4" w:space="0" w:color="auto"/>
              <w:bottom w:val="single" w:sz="4" w:space="0" w:color="auto"/>
              <w:right w:val="single" w:sz="4" w:space="0" w:color="auto"/>
            </w:tcBorders>
            <w:noWrap/>
            <w:vAlign w:val="center"/>
            <w:hideMark/>
          </w:tcPr>
          <w:p w14:paraId="45BFFEF9" w14:textId="77777777" w:rsidR="00E71E7D" w:rsidRDefault="00E71E7D">
            <w:pPr>
              <w:spacing w:after="0"/>
              <w:jc w:val="center"/>
              <w:rPr>
                <w:color w:val="000000"/>
                <w:sz w:val="20"/>
                <w:szCs w:val="20"/>
              </w:rPr>
            </w:pPr>
            <w:r>
              <w:rPr>
                <w:color w:val="000000"/>
                <w:sz w:val="20"/>
                <w:szCs w:val="20"/>
              </w:rPr>
              <w:t>57%</w:t>
            </w:r>
          </w:p>
        </w:tc>
        <w:tc>
          <w:tcPr>
            <w:tcW w:w="807" w:type="pct"/>
            <w:tcBorders>
              <w:top w:val="single" w:sz="4" w:space="0" w:color="auto"/>
              <w:left w:val="single" w:sz="4" w:space="0" w:color="auto"/>
              <w:bottom w:val="single" w:sz="4" w:space="0" w:color="auto"/>
              <w:right w:val="single" w:sz="4" w:space="0" w:color="auto"/>
            </w:tcBorders>
            <w:noWrap/>
            <w:vAlign w:val="center"/>
            <w:hideMark/>
          </w:tcPr>
          <w:p w14:paraId="71A563B5" w14:textId="77777777" w:rsidR="00E71E7D" w:rsidRDefault="00E71E7D">
            <w:pPr>
              <w:spacing w:after="0"/>
              <w:jc w:val="center"/>
              <w:rPr>
                <w:color w:val="000000"/>
                <w:sz w:val="20"/>
                <w:szCs w:val="20"/>
              </w:rPr>
            </w:pPr>
            <w:r>
              <w:rPr>
                <w:color w:val="000000"/>
                <w:sz w:val="20"/>
                <w:szCs w:val="20"/>
              </w:rPr>
              <w:t>499</w:t>
            </w:r>
          </w:p>
        </w:tc>
        <w:tc>
          <w:tcPr>
            <w:tcW w:w="915" w:type="pct"/>
            <w:tcBorders>
              <w:top w:val="single" w:sz="4" w:space="0" w:color="auto"/>
              <w:left w:val="single" w:sz="4" w:space="0" w:color="auto"/>
              <w:bottom w:val="single" w:sz="4" w:space="0" w:color="auto"/>
              <w:right w:val="single" w:sz="4" w:space="0" w:color="auto"/>
            </w:tcBorders>
            <w:vAlign w:val="bottom"/>
            <w:hideMark/>
          </w:tcPr>
          <w:p w14:paraId="70EEFB01" w14:textId="77777777" w:rsidR="00E71E7D" w:rsidRDefault="00E71E7D">
            <w:pPr>
              <w:spacing w:after="0"/>
              <w:jc w:val="center"/>
              <w:rPr>
                <w:rFonts w:eastAsiaTheme="minorHAnsi" w:cstheme="minorBidi"/>
                <w:sz w:val="22"/>
                <w:szCs w:val="22"/>
              </w:rPr>
            </w:pPr>
            <w:r>
              <w:rPr>
                <w:b/>
                <w:bCs/>
                <w:color w:val="000000"/>
                <w:sz w:val="20"/>
                <w:szCs w:val="20"/>
              </w:rPr>
              <w:t>21.5</w:t>
            </w:r>
          </w:p>
        </w:tc>
      </w:tr>
      <w:tr w:rsidR="00E71E7D" w14:paraId="67CD33EA" w14:textId="77777777" w:rsidTr="00E71E7D">
        <w:trPr>
          <w:trHeight w:val="20"/>
        </w:trPr>
        <w:tc>
          <w:tcPr>
            <w:tcW w:w="96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2B8EAD6" w14:textId="77777777" w:rsidR="00E71E7D" w:rsidRDefault="00E71E7D">
            <w:pPr>
              <w:spacing w:after="0"/>
              <w:rPr>
                <w:color w:val="000000"/>
                <w:sz w:val="20"/>
                <w:szCs w:val="20"/>
              </w:rPr>
            </w:pPr>
            <w:r>
              <w:rPr>
                <w:color w:val="000000"/>
                <w:sz w:val="20"/>
                <w:szCs w:val="20"/>
              </w:rPr>
              <w:t xml:space="preserve">Public </w:t>
            </w:r>
          </w:p>
        </w:tc>
        <w:tc>
          <w:tcPr>
            <w:tcW w:w="807" w:type="pct"/>
            <w:tcBorders>
              <w:top w:val="single" w:sz="4" w:space="0" w:color="auto"/>
              <w:left w:val="single" w:sz="4" w:space="0" w:color="auto"/>
              <w:bottom w:val="single" w:sz="4" w:space="0" w:color="auto"/>
              <w:right w:val="single" w:sz="4" w:space="0" w:color="auto"/>
            </w:tcBorders>
            <w:noWrap/>
            <w:vAlign w:val="bottom"/>
            <w:hideMark/>
          </w:tcPr>
          <w:p w14:paraId="4B15EE68" w14:textId="77777777" w:rsidR="00E71E7D" w:rsidRDefault="00E71E7D">
            <w:pPr>
              <w:spacing w:after="0"/>
              <w:jc w:val="center"/>
              <w:rPr>
                <w:rFonts w:eastAsiaTheme="minorHAnsi" w:cstheme="minorBidi"/>
                <w:sz w:val="22"/>
                <w:szCs w:val="22"/>
              </w:rPr>
            </w:pPr>
            <w:r>
              <w:rPr>
                <w:color w:val="000000"/>
                <w:sz w:val="20"/>
                <w:szCs w:val="20"/>
              </w:rPr>
              <w:t>69</w:t>
            </w:r>
          </w:p>
        </w:tc>
        <w:tc>
          <w:tcPr>
            <w:tcW w:w="753" w:type="pct"/>
            <w:tcBorders>
              <w:top w:val="single" w:sz="4" w:space="0" w:color="auto"/>
              <w:left w:val="single" w:sz="4" w:space="0" w:color="auto"/>
              <w:bottom w:val="single" w:sz="4" w:space="0" w:color="auto"/>
              <w:right w:val="single" w:sz="4" w:space="0" w:color="auto"/>
            </w:tcBorders>
            <w:noWrap/>
            <w:vAlign w:val="bottom"/>
            <w:hideMark/>
          </w:tcPr>
          <w:p w14:paraId="2367DD61" w14:textId="77777777" w:rsidR="00E71E7D" w:rsidRDefault="00E71E7D">
            <w:pPr>
              <w:spacing w:after="0"/>
              <w:jc w:val="center"/>
            </w:pPr>
            <w:r>
              <w:rPr>
                <w:color w:val="000000"/>
                <w:sz w:val="20"/>
                <w:szCs w:val="20"/>
              </w:rPr>
              <w:t>93</w:t>
            </w:r>
          </w:p>
        </w:tc>
        <w:tc>
          <w:tcPr>
            <w:tcW w:w="753" w:type="pct"/>
            <w:tcBorders>
              <w:top w:val="single" w:sz="4" w:space="0" w:color="auto"/>
              <w:left w:val="single" w:sz="4" w:space="0" w:color="auto"/>
              <w:bottom w:val="single" w:sz="4" w:space="0" w:color="auto"/>
              <w:right w:val="single" w:sz="4" w:space="0" w:color="auto"/>
            </w:tcBorders>
            <w:noWrap/>
            <w:vAlign w:val="center"/>
            <w:hideMark/>
          </w:tcPr>
          <w:p w14:paraId="62A4A4A8" w14:textId="77777777" w:rsidR="00E71E7D" w:rsidRDefault="00E71E7D">
            <w:pPr>
              <w:spacing w:after="0"/>
              <w:jc w:val="center"/>
              <w:rPr>
                <w:color w:val="000000"/>
                <w:sz w:val="20"/>
                <w:szCs w:val="20"/>
              </w:rPr>
            </w:pPr>
            <w:r>
              <w:rPr>
                <w:color w:val="000000"/>
                <w:sz w:val="20"/>
                <w:szCs w:val="20"/>
              </w:rPr>
              <w:t>45%</w:t>
            </w:r>
          </w:p>
        </w:tc>
        <w:tc>
          <w:tcPr>
            <w:tcW w:w="807" w:type="pct"/>
            <w:tcBorders>
              <w:top w:val="single" w:sz="4" w:space="0" w:color="auto"/>
              <w:left w:val="single" w:sz="4" w:space="0" w:color="auto"/>
              <w:bottom w:val="single" w:sz="4" w:space="0" w:color="auto"/>
              <w:right w:val="single" w:sz="4" w:space="0" w:color="auto"/>
            </w:tcBorders>
            <w:noWrap/>
            <w:vAlign w:val="center"/>
            <w:hideMark/>
          </w:tcPr>
          <w:p w14:paraId="614DB9BD" w14:textId="77777777" w:rsidR="00E71E7D" w:rsidRDefault="00E71E7D">
            <w:pPr>
              <w:spacing w:after="0"/>
              <w:jc w:val="center"/>
              <w:rPr>
                <w:color w:val="000000"/>
                <w:sz w:val="20"/>
                <w:szCs w:val="20"/>
              </w:rPr>
            </w:pPr>
            <w:r>
              <w:rPr>
                <w:color w:val="000000"/>
                <w:sz w:val="20"/>
                <w:szCs w:val="20"/>
              </w:rPr>
              <w:t>42</w:t>
            </w:r>
          </w:p>
        </w:tc>
        <w:tc>
          <w:tcPr>
            <w:tcW w:w="915" w:type="pct"/>
            <w:tcBorders>
              <w:top w:val="single" w:sz="4" w:space="0" w:color="auto"/>
              <w:left w:val="single" w:sz="4" w:space="0" w:color="auto"/>
              <w:bottom w:val="single" w:sz="4" w:space="0" w:color="auto"/>
              <w:right w:val="single" w:sz="4" w:space="0" w:color="auto"/>
            </w:tcBorders>
            <w:vAlign w:val="bottom"/>
            <w:hideMark/>
          </w:tcPr>
          <w:p w14:paraId="7DDB7966" w14:textId="77777777" w:rsidR="00E71E7D" w:rsidRDefault="00E71E7D">
            <w:pPr>
              <w:spacing w:after="0"/>
              <w:jc w:val="center"/>
              <w:rPr>
                <w:rFonts w:eastAsiaTheme="minorHAnsi" w:cstheme="minorBidi"/>
                <w:sz w:val="22"/>
                <w:szCs w:val="22"/>
              </w:rPr>
            </w:pPr>
            <w:r>
              <w:rPr>
                <w:b/>
                <w:bCs/>
                <w:color w:val="000000"/>
                <w:sz w:val="20"/>
                <w:szCs w:val="20"/>
              </w:rPr>
              <w:t>2.1</w:t>
            </w:r>
          </w:p>
        </w:tc>
      </w:tr>
      <w:tr w:rsidR="00E71E7D" w14:paraId="6BA10F74" w14:textId="77777777" w:rsidTr="00E71E7D">
        <w:trPr>
          <w:trHeight w:val="20"/>
        </w:trPr>
        <w:tc>
          <w:tcPr>
            <w:tcW w:w="96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64D8D92" w14:textId="77777777" w:rsidR="00E71E7D" w:rsidRDefault="00E71E7D">
            <w:pPr>
              <w:spacing w:after="0"/>
              <w:jc w:val="center"/>
              <w:rPr>
                <w:b/>
                <w:bCs/>
                <w:color w:val="000000"/>
                <w:sz w:val="20"/>
                <w:szCs w:val="20"/>
              </w:rPr>
            </w:pPr>
            <w:r>
              <w:rPr>
                <w:b/>
                <w:bCs/>
                <w:color w:val="000000"/>
                <w:sz w:val="20"/>
                <w:szCs w:val="20"/>
              </w:rPr>
              <w:t>Total</w:t>
            </w:r>
          </w:p>
        </w:tc>
        <w:tc>
          <w:tcPr>
            <w:tcW w:w="807" w:type="pct"/>
            <w:tcBorders>
              <w:top w:val="single" w:sz="4" w:space="0" w:color="auto"/>
              <w:left w:val="single" w:sz="4" w:space="0" w:color="auto"/>
              <w:bottom w:val="single" w:sz="4" w:space="0" w:color="auto"/>
              <w:right w:val="single" w:sz="4" w:space="0" w:color="auto"/>
            </w:tcBorders>
            <w:noWrap/>
            <w:vAlign w:val="bottom"/>
            <w:hideMark/>
          </w:tcPr>
          <w:p w14:paraId="283CF3A8" w14:textId="77777777" w:rsidR="00E71E7D" w:rsidRDefault="00E71E7D">
            <w:pPr>
              <w:spacing w:after="0"/>
              <w:jc w:val="center"/>
              <w:rPr>
                <w:rFonts w:eastAsiaTheme="minorHAnsi" w:cstheme="minorBidi"/>
                <w:sz w:val="22"/>
                <w:szCs w:val="22"/>
              </w:rPr>
            </w:pPr>
            <w:r>
              <w:rPr>
                <w:color w:val="000000"/>
                <w:sz w:val="20"/>
                <w:szCs w:val="20"/>
              </w:rPr>
              <w:t>9,248</w:t>
            </w:r>
          </w:p>
        </w:tc>
        <w:tc>
          <w:tcPr>
            <w:tcW w:w="753" w:type="pct"/>
            <w:tcBorders>
              <w:top w:val="single" w:sz="4" w:space="0" w:color="auto"/>
              <w:left w:val="single" w:sz="4" w:space="0" w:color="auto"/>
              <w:bottom w:val="single" w:sz="4" w:space="0" w:color="auto"/>
              <w:right w:val="single" w:sz="4" w:space="0" w:color="auto"/>
            </w:tcBorders>
            <w:noWrap/>
            <w:vAlign w:val="bottom"/>
            <w:hideMark/>
          </w:tcPr>
          <w:p w14:paraId="455C30CC" w14:textId="77777777" w:rsidR="00E71E7D" w:rsidRDefault="00E71E7D">
            <w:pPr>
              <w:spacing w:after="0"/>
              <w:jc w:val="center"/>
            </w:pPr>
            <w:r>
              <w:rPr>
                <w:color w:val="000000"/>
                <w:sz w:val="20"/>
                <w:szCs w:val="20"/>
              </w:rPr>
              <w:t>2,237</w:t>
            </w:r>
          </w:p>
        </w:tc>
        <w:tc>
          <w:tcPr>
            <w:tcW w:w="753" w:type="pct"/>
            <w:tcBorders>
              <w:top w:val="single" w:sz="4" w:space="0" w:color="auto"/>
              <w:left w:val="single" w:sz="4" w:space="0" w:color="auto"/>
              <w:bottom w:val="single" w:sz="4" w:space="0" w:color="auto"/>
              <w:right w:val="single" w:sz="4" w:space="0" w:color="auto"/>
            </w:tcBorders>
            <w:noWrap/>
            <w:vAlign w:val="center"/>
            <w:hideMark/>
          </w:tcPr>
          <w:p w14:paraId="7CC8E7DC" w14:textId="77777777" w:rsidR="00E71E7D" w:rsidRDefault="00E71E7D">
            <w:pPr>
              <w:spacing w:after="0"/>
              <w:jc w:val="center"/>
              <w:rPr>
                <w:b/>
                <w:bCs/>
                <w:color w:val="000000"/>
                <w:sz w:val="20"/>
                <w:szCs w:val="20"/>
              </w:rPr>
            </w:pPr>
            <w:r>
              <w:rPr>
                <w:b/>
                <w:bCs/>
                <w:color w:val="000000"/>
                <w:sz w:val="20"/>
                <w:szCs w:val="20"/>
              </w:rPr>
              <w:t>-</w:t>
            </w:r>
          </w:p>
        </w:tc>
        <w:tc>
          <w:tcPr>
            <w:tcW w:w="807" w:type="pct"/>
            <w:tcBorders>
              <w:top w:val="single" w:sz="4" w:space="0" w:color="auto"/>
              <w:left w:val="single" w:sz="4" w:space="0" w:color="auto"/>
              <w:bottom w:val="single" w:sz="4" w:space="0" w:color="auto"/>
              <w:right w:val="single" w:sz="4" w:space="0" w:color="auto"/>
            </w:tcBorders>
            <w:noWrap/>
            <w:vAlign w:val="bottom"/>
            <w:hideMark/>
          </w:tcPr>
          <w:p w14:paraId="4273D663" w14:textId="77777777" w:rsidR="00E71E7D" w:rsidRDefault="00E71E7D">
            <w:pPr>
              <w:spacing w:after="0"/>
              <w:jc w:val="center"/>
              <w:rPr>
                <w:rFonts w:eastAsiaTheme="minorHAnsi" w:cstheme="minorBidi"/>
                <w:sz w:val="22"/>
                <w:szCs w:val="22"/>
              </w:rPr>
            </w:pPr>
            <w:r>
              <w:rPr>
                <w:color w:val="000000"/>
                <w:sz w:val="20"/>
                <w:szCs w:val="20"/>
              </w:rPr>
              <w:t>1,137</w:t>
            </w:r>
          </w:p>
        </w:tc>
        <w:tc>
          <w:tcPr>
            <w:tcW w:w="915" w:type="pct"/>
            <w:tcBorders>
              <w:top w:val="single" w:sz="4" w:space="0" w:color="auto"/>
              <w:left w:val="single" w:sz="4" w:space="0" w:color="auto"/>
              <w:bottom w:val="single" w:sz="4" w:space="0" w:color="auto"/>
              <w:right w:val="single" w:sz="4" w:space="0" w:color="auto"/>
            </w:tcBorders>
            <w:vAlign w:val="bottom"/>
            <w:hideMark/>
          </w:tcPr>
          <w:p w14:paraId="70F46A5B" w14:textId="77777777" w:rsidR="00E71E7D" w:rsidRDefault="00E71E7D">
            <w:pPr>
              <w:spacing w:after="0"/>
              <w:jc w:val="center"/>
            </w:pPr>
            <w:r>
              <w:rPr>
                <w:b/>
                <w:bCs/>
                <w:color w:val="000000"/>
                <w:sz w:val="20"/>
                <w:szCs w:val="20"/>
              </w:rPr>
              <w:t>46.8</w:t>
            </w:r>
          </w:p>
        </w:tc>
      </w:tr>
    </w:tbl>
    <w:p w14:paraId="11CFE760" w14:textId="77777777" w:rsidR="00E71E7D" w:rsidRPr="00235613" w:rsidRDefault="00E71E7D" w:rsidP="00E71E7D">
      <w:pPr>
        <w:spacing w:before="240" w:after="60"/>
        <w:rPr>
          <w:rFonts w:asciiTheme="minorHAnsi" w:eastAsia="Verdana" w:hAnsiTheme="minorHAnsi" w:cstheme="minorHAnsi"/>
          <w:szCs w:val="18"/>
          <w:lang w:val="en-GB"/>
        </w:rPr>
      </w:pPr>
      <w:r w:rsidRPr="00E71E7D">
        <w:rPr>
          <w:rFonts w:asciiTheme="minorHAnsi" w:eastAsia="Calibri" w:hAnsiTheme="minorHAnsi" w:cstheme="minorHAnsi"/>
          <w:b/>
          <w:bCs/>
          <w:color w:val="000000"/>
          <w:spacing w:val="-2"/>
          <w:lang w:val="en-GB"/>
        </w:rPr>
        <w:t>Market Potential of RSPV:</w:t>
      </w:r>
      <w:r w:rsidRPr="00E71E7D">
        <w:rPr>
          <w:rFonts w:asciiTheme="minorHAnsi" w:eastAsia="Calibri" w:hAnsiTheme="minorHAnsi" w:cstheme="minorHAnsi"/>
          <w:color w:val="000000"/>
          <w:spacing w:val="-2"/>
          <w:lang w:val="en-GB"/>
        </w:rPr>
        <w:t xml:space="preserve"> </w:t>
      </w:r>
      <w:r w:rsidRPr="00E71E7D">
        <w:rPr>
          <w:rFonts w:asciiTheme="minorHAnsi" w:eastAsia="Verdana" w:hAnsiTheme="minorHAnsi" w:cstheme="minorHAnsi"/>
          <w:lang w:val="en-GB"/>
        </w:rPr>
        <w:t>The market potential is the technical potential that is economically viable and achievable. To estimate the RSPV market potential, four key elements were considered:</w:t>
      </w:r>
    </w:p>
    <w:p w14:paraId="6FEC02C6" w14:textId="77777777" w:rsidR="00E71E7D" w:rsidRPr="00E71E7D" w:rsidRDefault="00E71E7D" w:rsidP="00D33F4C">
      <w:pPr>
        <w:numPr>
          <w:ilvl w:val="0"/>
          <w:numId w:val="6"/>
        </w:numPr>
        <w:spacing w:before="0" w:after="0"/>
        <w:contextualSpacing/>
        <w:rPr>
          <w:rFonts w:asciiTheme="minorHAnsi" w:eastAsia="Verdana" w:hAnsiTheme="minorHAnsi" w:cstheme="minorHAnsi"/>
          <w:sz w:val="22"/>
          <w:szCs w:val="22"/>
          <w:lang w:val="en-GB"/>
        </w:rPr>
      </w:pPr>
      <w:r w:rsidRPr="00E71E7D">
        <w:rPr>
          <w:rFonts w:asciiTheme="minorHAnsi" w:eastAsia="Verdana" w:hAnsiTheme="minorHAnsi" w:cstheme="minorHAnsi"/>
          <w:lang w:val="en-GB"/>
        </w:rPr>
        <w:t>Grid capacity</w:t>
      </w:r>
    </w:p>
    <w:p w14:paraId="4C3348E9" w14:textId="77777777" w:rsidR="00E71E7D" w:rsidRPr="00E71E7D" w:rsidRDefault="00E71E7D" w:rsidP="00D33F4C">
      <w:pPr>
        <w:numPr>
          <w:ilvl w:val="0"/>
          <w:numId w:val="6"/>
        </w:numPr>
        <w:spacing w:before="0" w:after="0"/>
        <w:contextualSpacing/>
        <w:rPr>
          <w:rFonts w:asciiTheme="minorHAnsi" w:eastAsia="Verdana" w:hAnsiTheme="minorHAnsi" w:cstheme="minorHAnsi"/>
          <w:lang w:val="en-GB"/>
        </w:rPr>
      </w:pPr>
      <w:r w:rsidRPr="00E71E7D">
        <w:rPr>
          <w:rFonts w:asciiTheme="minorHAnsi" w:eastAsia="Verdana" w:hAnsiTheme="minorHAnsi" w:cstheme="minorHAnsi"/>
          <w:lang w:val="en-GB"/>
        </w:rPr>
        <w:t>Growth in RSPV sales</w:t>
      </w:r>
    </w:p>
    <w:p w14:paraId="6680EA89" w14:textId="4A1F2B36" w:rsidR="00E71E7D" w:rsidRPr="00E71E7D" w:rsidRDefault="00E71E7D" w:rsidP="00D33F4C">
      <w:pPr>
        <w:numPr>
          <w:ilvl w:val="0"/>
          <w:numId w:val="6"/>
        </w:numPr>
        <w:spacing w:before="0" w:after="0"/>
        <w:contextualSpacing/>
        <w:rPr>
          <w:rFonts w:asciiTheme="minorHAnsi" w:eastAsiaTheme="minorHAnsi" w:hAnsiTheme="minorHAnsi" w:cstheme="minorHAnsi"/>
        </w:rPr>
      </w:pPr>
      <w:r w:rsidRPr="00E71E7D">
        <w:rPr>
          <w:rFonts w:asciiTheme="minorHAnsi" w:eastAsia="Verdana" w:hAnsiTheme="minorHAnsi" w:cstheme="minorHAnsi"/>
          <w:lang w:val="en-GB"/>
        </w:rPr>
        <w:t>Income level</w:t>
      </w:r>
      <w:r w:rsidR="00235613">
        <w:rPr>
          <w:rFonts w:asciiTheme="minorHAnsi" w:eastAsia="Verdana" w:hAnsiTheme="minorHAnsi" w:cstheme="minorHAnsi"/>
          <w:lang w:val="en-GB"/>
        </w:rPr>
        <w:t>s</w:t>
      </w:r>
      <w:r w:rsidRPr="00E71E7D">
        <w:rPr>
          <w:rFonts w:asciiTheme="minorHAnsi" w:eastAsia="Verdana" w:hAnsiTheme="minorHAnsi" w:cstheme="minorHAnsi"/>
          <w:lang w:val="en-GB"/>
        </w:rPr>
        <w:t xml:space="preserve"> </w:t>
      </w:r>
    </w:p>
    <w:p w14:paraId="7AB26614" w14:textId="77777777" w:rsidR="00E71E7D" w:rsidRPr="00E71E7D" w:rsidRDefault="00E71E7D" w:rsidP="00D33F4C">
      <w:pPr>
        <w:numPr>
          <w:ilvl w:val="0"/>
          <w:numId w:val="6"/>
        </w:numPr>
        <w:spacing w:before="0" w:after="0"/>
        <w:contextualSpacing/>
        <w:rPr>
          <w:rFonts w:asciiTheme="minorHAnsi" w:hAnsiTheme="minorHAnsi" w:cstheme="minorHAnsi"/>
        </w:rPr>
      </w:pPr>
      <w:r w:rsidRPr="00E71E7D">
        <w:rPr>
          <w:rFonts w:asciiTheme="minorHAnsi" w:eastAsia="Verdana" w:hAnsiTheme="minorHAnsi" w:cstheme="minorHAnsi"/>
          <w:lang w:val="en-GB"/>
        </w:rPr>
        <w:t>Creditworthiness</w:t>
      </w:r>
    </w:p>
    <w:p w14:paraId="46589412" w14:textId="77777777" w:rsidR="00235613" w:rsidRDefault="00E71E7D" w:rsidP="00235613">
      <w:pPr>
        <w:rPr>
          <w:rFonts w:asciiTheme="minorHAnsi" w:hAnsiTheme="minorHAnsi" w:cstheme="minorHAnsi"/>
        </w:rPr>
      </w:pPr>
      <w:r w:rsidRPr="00E71E7D">
        <w:rPr>
          <w:rFonts w:asciiTheme="minorHAnsi" w:eastAsia="Verdana" w:hAnsiTheme="minorHAnsi" w:cstheme="minorHAnsi"/>
          <w:lang w:val="en-GB"/>
        </w:rPr>
        <w:t xml:space="preserve">The grid capacity available for RSPV was estimated by considering the </w:t>
      </w:r>
      <w:r w:rsidR="00235613">
        <w:rPr>
          <w:rFonts w:asciiTheme="minorHAnsi" w:hAnsiTheme="minorHAnsi" w:cstheme="minorHAnsi"/>
        </w:rPr>
        <w:t xml:space="preserve">total energy demand and assumed </w:t>
      </w:r>
      <w:r w:rsidRPr="00E71E7D">
        <w:rPr>
          <w:rFonts w:asciiTheme="minorHAnsi" w:hAnsiTheme="minorHAnsi" w:cstheme="minorHAnsi"/>
        </w:rPr>
        <w:t xml:space="preserve">a 25% </w:t>
      </w:r>
      <w:r w:rsidR="00235613">
        <w:rPr>
          <w:rFonts w:asciiTheme="minorHAnsi" w:hAnsiTheme="minorHAnsi" w:cstheme="minorHAnsi"/>
        </w:rPr>
        <w:t xml:space="preserve">grid </w:t>
      </w:r>
      <w:r w:rsidRPr="00E71E7D">
        <w:rPr>
          <w:rFonts w:asciiTheme="minorHAnsi" w:hAnsiTheme="minorHAnsi" w:cstheme="minorHAnsi"/>
        </w:rPr>
        <w:t>absorption capacity for intermittent RE (i.e., wind and solar)</w:t>
      </w:r>
      <w:r w:rsidRPr="00E71E7D">
        <w:rPr>
          <w:rFonts w:asciiTheme="minorHAnsi" w:hAnsiTheme="minorHAnsi" w:cstheme="minorHAnsi"/>
          <w:vertAlign w:val="superscript"/>
        </w:rPr>
        <w:footnoteReference w:id="1"/>
      </w:r>
      <w:r w:rsidRPr="00E71E7D">
        <w:rPr>
          <w:rFonts w:asciiTheme="minorHAnsi" w:hAnsiTheme="minorHAnsi" w:cstheme="minorHAnsi"/>
        </w:rPr>
        <w:t xml:space="preserve">. </w:t>
      </w:r>
      <w:r w:rsidR="00235613">
        <w:rPr>
          <w:rFonts w:asciiTheme="minorHAnsi" w:hAnsiTheme="minorHAnsi" w:cstheme="minorHAnsi"/>
        </w:rPr>
        <w:t xml:space="preserve">This analysis also took into account </w:t>
      </w:r>
      <w:r w:rsidRPr="00E71E7D">
        <w:rPr>
          <w:rFonts w:asciiTheme="minorHAnsi" w:hAnsiTheme="minorHAnsi" w:cstheme="minorHAnsi"/>
        </w:rPr>
        <w:t xml:space="preserve">solar and wind capacities already </w:t>
      </w:r>
      <w:r w:rsidR="00235613">
        <w:rPr>
          <w:rFonts w:asciiTheme="minorHAnsi" w:hAnsiTheme="minorHAnsi" w:cstheme="minorHAnsi"/>
        </w:rPr>
        <w:t xml:space="preserve">contracted and </w:t>
      </w:r>
      <w:r w:rsidRPr="00E71E7D">
        <w:rPr>
          <w:rFonts w:asciiTheme="minorHAnsi" w:hAnsiTheme="minorHAnsi" w:cstheme="minorHAnsi"/>
        </w:rPr>
        <w:t>in operation</w:t>
      </w:r>
      <w:r w:rsidR="00235613">
        <w:rPr>
          <w:rFonts w:asciiTheme="minorHAnsi" w:hAnsiTheme="minorHAnsi" w:cstheme="minorHAnsi"/>
        </w:rPr>
        <w:t>,</w:t>
      </w:r>
      <w:r w:rsidRPr="00E71E7D">
        <w:rPr>
          <w:rFonts w:asciiTheme="minorHAnsi" w:hAnsiTheme="minorHAnsi" w:cstheme="minorHAnsi"/>
        </w:rPr>
        <w:t xml:space="preserve"> and a</w:t>
      </w:r>
      <w:r w:rsidR="00235613">
        <w:rPr>
          <w:rFonts w:asciiTheme="minorHAnsi" w:hAnsiTheme="minorHAnsi" w:cstheme="minorHAnsi"/>
        </w:rPr>
        <w:t xml:space="preserve">ssumed that RSPV systems could provide about </w:t>
      </w:r>
      <w:r w:rsidRPr="00E71E7D">
        <w:rPr>
          <w:rFonts w:asciiTheme="minorHAnsi" w:hAnsiTheme="minorHAnsi" w:cstheme="minorHAnsi"/>
        </w:rPr>
        <w:t xml:space="preserve">30% </w:t>
      </w:r>
      <w:r w:rsidR="00235613">
        <w:rPr>
          <w:rFonts w:asciiTheme="minorHAnsi" w:hAnsiTheme="minorHAnsi" w:cstheme="minorHAnsi"/>
        </w:rPr>
        <w:t>of the total RE grid capacity</w:t>
      </w:r>
      <w:r w:rsidRPr="00E71E7D">
        <w:rPr>
          <w:rFonts w:asciiTheme="minorHAnsi" w:hAnsiTheme="minorHAnsi" w:cstheme="minorHAnsi"/>
        </w:rPr>
        <w:t xml:space="preserve">. </w:t>
      </w:r>
      <w:r w:rsidR="00235613">
        <w:rPr>
          <w:rFonts w:asciiTheme="minorHAnsi" w:hAnsiTheme="minorHAnsi" w:cstheme="minorHAnsi"/>
        </w:rPr>
        <w:t xml:space="preserve">Based on these factors, </w:t>
      </w:r>
      <w:r w:rsidRPr="00E71E7D">
        <w:rPr>
          <w:rFonts w:asciiTheme="minorHAnsi" w:hAnsiTheme="minorHAnsi" w:cstheme="minorHAnsi"/>
        </w:rPr>
        <w:t xml:space="preserve">the grid capacity for RSPV </w:t>
      </w:r>
      <w:r w:rsidR="00235613">
        <w:rPr>
          <w:rFonts w:asciiTheme="minorHAnsi" w:hAnsiTheme="minorHAnsi" w:cstheme="minorHAnsi"/>
        </w:rPr>
        <w:t>was</w:t>
      </w:r>
      <w:r w:rsidRPr="00E71E7D">
        <w:rPr>
          <w:rFonts w:asciiTheme="minorHAnsi" w:hAnsiTheme="minorHAnsi" w:cstheme="minorHAnsi"/>
        </w:rPr>
        <w:t xml:space="preserve"> estimated at </w:t>
      </w:r>
      <w:r w:rsidRPr="00E71E7D">
        <w:rPr>
          <w:rFonts w:asciiTheme="minorHAnsi" w:eastAsia="Verdana" w:hAnsiTheme="minorHAnsi" w:cstheme="minorHAnsi"/>
          <w:lang w:val="en-GB"/>
        </w:rPr>
        <w:t>approximately 6.5 GW over the next 10 years</w:t>
      </w:r>
      <w:r w:rsidRPr="00E71E7D">
        <w:rPr>
          <w:rFonts w:asciiTheme="minorHAnsi" w:hAnsiTheme="minorHAnsi" w:cstheme="minorHAnsi"/>
        </w:rPr>
        <w:t>.</w:t>
      </w:r>
    </w:p>
    <w:p w14:paraId="29030514" w14:textId="57131AFF" w:rsidR="00E71E7D" w:rsidRPr="00E71E7D" w:rsidRDefault="00235613" w:rsidP="00235613">
      <w:pPr>
        <w:rPr>
          <w:rFonts w:asciiTheme="minorHAnsi" w:eastAsia="Verdana" w:hAnsiTheme="minorHAnsi" w:cstheme="minorHAnsi"/>
          <w:lang w:val="en-GB"/>
        </w:rPr>
      </w:pPr>
      <w:r>
        <w:rPr>
          <w:rFonts w:asciiTheme="minorHAnsi" w:eastAsia="Verdana" w:hAnsiTheme="minorHAnsi" w:cstheme="minorHAnsi"/>
          <w:lang w:val="en-GB"/>
        </w:rPr>
        <w:t xml:space="preserve">For the market potential, the analysis also considered the current installed RSPV capacity and compared growth rates from other countries, as well as </w:t>
      </w:r>
      <w:r w:rsidR="00E71E7D" w:rsidRPr="00E71E7D">
        <w:rPr>
          <w:rFonts w:asciiTheme="minorHAnsi" w:eastAsia="Verdana" w:hAnsiTheme="minorHAnsi" w:cstheme="minorHAnsi"/>
          <w:lang w:val="en-GB"/>
        </w:rPr>
        <w:t>impact</w:t>
      </w:r>
      <w:r>
        <w:rPr>
          <w:rFonts w:asciiTheme="minorHAnsi" w:eastAsia="Verdana" w:hAnsiTheme="minorHAnsi" w:cstheme="minorHAnsi"/>
          <w:lang w:val="en-GB"/>
        </w:rPr>
        <w:t>s</w:t>
      </w:r>
      <w:r w:rsidR="00E71E7D" w:rsidRPr="00E71E7D">
        <w:rPr>
          <w:rFonts w:asciiTheme="minorHAnsi" w:eastAsia="Verdana" w:hAnsiTheme="minorHAnsi" w:cstheme="minorHAnsi"/>
          <w:lang w:val="en-GB"/>
        </w:rPr>
        <w:t xml:space="preserve"> of </w:t>
      </w:r>
      <w:r>
        <w:rPr>
          <w:rFonts w:asciiTheme="minorHAnsi" w:eastAsia="Verdana" w:hAnsiTheme="minorHAnsi" w:cstheme="minorHAnsi"/>
          <w:lang w:val="en-GB"/>
        </w:rPr>
        <w:t xml:space="preserve">the </w:t>
      </w:r>
      <w:r w:rsidR="00E71E7D" w:rsidRPr="00E71E7D">
        <w:rPr>
          <w:rFonts w:asciiTheme="minorHAnsi" w:eastAsia="Verdana" w:hAnsiTheme="minorHAnsi" w:cstheme="minorHAnsi"/>
          <w:lang w:val="en-GB"/>
        </w:rPr>
        <w:t xml:space="preserve">affordability </w:t>
      </w:r>
      <w:r>
        <w:rPr>
          <w:rFonts w:asciiTheme="minorHAnsi" w:eastAsia="Verdana" w:hAnsiTheme="minorHAnsi" w:cstheme="minorHAnsi"/>
          <w:lang w:val="en-GB"/>
        </w:rPr>
        <w:t xml:space="preserve">of RSPV systems </w:t>
      </w:r>
      <w:r w:rsidR="00E71E7D" w:rsidRPr="00E71E7D">
        <w:rPr>
          <w:rFonts w:asciiTheme="minorHAnsi" w:eastAsia="Verdana" w:hAnsiTheme="minorHAnsi" w:cstheme="minorHAnsi"/>
          <w:lang w:val="en-GB"/>
        </w:rPr>
        <w:t>and creditworthiness</w:t>
      </w:r>
      <w:r>
        <w:rPr>
          <w:rFonts w:asciiTheme="minorHAnsi" w:eastAsia="Verdana" w:hAnsiTheme="minorHAnsi" w:cstheme="minorHAnsi"/>
          <w:lang w:val="en-GB"/>
        </w:rPr>
        <w:t xml:space="preserve"> of the main customer classes</w:t>
      </w:r>
      <w:r w:rsidR="00E71E7D" w:rsidRPr="00E71E7D">
        <w:rPr>
          <w:rFonts w:asciiTheme="minorHAnsi" w:eastAsia="Verdana" w:hAnsiTheme="minorHAnsi" w:cstheme="minorHAnsi"/>
          <w:lang w:val="en-GB"/>
        </w:rPr>
        <w:t>, as shown in Table 3.</w:t>
      </w:r>
      <w:r w:rsidRPr="00235613">
        <w:rPr>
          <w:rFonts w:asciiTheme="minorHAnsi" w:eastAsia="Verdana" w:hAnsiTheme="minorHAnsi" w:cstheme="minorHAnsi"/>
        </w:rPr>
        <w:t xml:space="preserve"> </w:t>
      </w:r>
      <w:r>
        <w:rPr>
          <w:rFonts w:asciiTheme="minorHAnsi" w:eastAsia="Verdana" w:hAnsiTheme="minorHAnsi" w:cstheme="minorHAnsi"/>
        </w:rPr>
        <w:t>Thus, t</w:t>
      </w:r>
      <w:r w:rsidRPr="00E71E7D">
        <w:rPr>
          <w:rFonts w:asciiTheme="minorHAnsi" w:eastAsia="Verdana" w:hAnsiTheme="minorHAnsi" w:cstheme="minorHAnsi"/>
        </w:rPr>
        <w:t xml:space="preserve">he market potential for RSPV in Turkey </w:t>
      </w:r>
      <w:r>
        <w:rPr>
          <w:rFonts w:asciiTheme="minorHAnsi" w:eastAsia="Verdana" w:hAnsiTheme="minorHAnsi" w:cstheme="minorHAnsi"/>
        </w:rPr>
        <w:t xml:space="preserve">was </w:t>
      </w:r>
      <w:r w:rsidRPr="00E71E7D">
        <w:rPr>
          <w:rFonts w:asciiTheme="minorHAnsi" w:eastAsia="Verdana" w:hAnsiTheme="minorHAnsi" w:cstheme="minorHAnsi"/>
        </w:rPr>
        <w:t xml:space="preserve">estimated at 3.9 GW. </w:t>
      </w:r>
      <w:r w:rsidR="003859EE">
        <w:rPr>
          <w:rFonts w:asciiTheme="minorHAnsi" w:eastAsia="Verdana" w:hAnsiTheme="minorHAnsi" w:cstheme="minorHAnsi"/>
        </w:rPr>
        <w:t>The a</w:t>
      </w:r>
      <w:r w:rsidRPr="00E71E7D">
        <w:rPr>
          <w:rFonts w:asciiTheme="minorHAnsi" w:eastAsia="Verdana" w:hAnsiTheme="minorHAnsi" w:cstheme="minorHAnsi"/>
        </w:rPr>
        <w:t>nnual RSPV penetration was estimated using an S-curve trajectory as shown in Figure 2.</w:t>
      </w:r>
    </w:p>
    <w:p w14:paraId="0DB7B784" w14:textId="3B0F7D5F" w:rsidR="00E71E7D" w:rsidRDefault="00E71E7D" w:rsidP="00E71E7D">
      <w:pPr>
        <w:keepNext/>
        <w:spacing w:before="240" w:after="20"/>
        <w:rPr>
          <w:sz w:val="22"/>
          <w:szCs w:val="22"/>
          <w:lang w:eastAsia="en-US"/>
        </w:rPr>
      </w:pPr>
      <w:r>
        <w:rPr>
          <w:i/>
          <w:iCs/>
          <w:lang w:val="en-GB"/>
        </w:rPr>
        <w:t>Table 3: Estimated grid capacity for RSPV in Turkey</w:t>
      </w:r>
    </w:p>
    <w:tbl>
      <w:tblPr>
        <w:tblW w:w="9180" w:type="dxa"/>
        <w:tblLook w:val="04A0" w:firstRow="1" w:lastRow="0" w:firstColumn="1" w:lastColumn="0" w:noHBand="0" w:noVBand="1"/>
      </w:tblPr>
      <w:tblGrid>
        <w:gridCol w:w="2740"/>
        <w:gridCol w:w="1670"/>
        <w:gridCol w:w="1440"/>
        <w:gridCol w:w="1800"/>
        <w:gridCol w:w="1530"/>
      </w:tblGrid>
      <w:tr w:rsidR="00E71E7D" w14:paraId="594C06F3" w14:textId="77777777" w:rsidTr="00E71E7D">
        <w:tc>
          <w:tcPr>
            <w:tcW w:w="2740" w:type="dxa"/>
            <w:tcBorders>
              <w:top w:val="nil"/>
              <w:left w:val="nil"/>
              <w:bottom w:val="single" w:sz="8" w:space="0" w:color="506070"/>
              <w:right w:val="single" w:sz="8" w:space="0" w:color="506070"/>
            </w:tcBorders>
            <w:shd w:val="clear" w:color="auto" w:fill="002060"/>
            <w:noWrap/>
            <w:hideMark/>
          </w:tcPr>
          <w:p w14:paraId="5C07F275" w14:textId="77777777" w:rsidR="00E71E7D" w:rsidRDefault="00E71E7D">
            <w:pPr>
              <w:spacing w:after="0"/>
              <w:rPr>
                <w:b/>
                <w:bCs/>
                <w:color w:val="FFFFFF"/>
                <w:sz w:val="20"/>
                <w:szCs w:val="20"/>
              </w:rPr>
            </w:pPr>
            <w:r>
              <w:rPr>
                <w:b/>
                <w:bCs/>
                <w:color w:val="FFFFFF"/>
                <w:sz w:val="20"/>
                <w:szCs w:val="20"/>
                <w:lang w:val="en-GB"/>
              </w:rPr>
              <w:t>RSPV Sectors</w:t>
            </w:r>
          </w:p>
        </w:tc>
        <w:tc>
          <w:tcPr>
            <w:tcW w:w="1670" w:type="dxa"/>
            <w:tcBorders>
              <w:top w:val="single" w:sz="8" w:space="0" w:color="506070"/>
              <w:left w:val="nil"/>
              <w:bottom w:val="single" w:sz="8" w:space="0" w:color="506070"/>
              <w:right w:val="nil"/>
            </w:tcBorders>
            <w:shd w:val="clear" w:color="auto" w:fill="002060"/>
            <w:hideMark/>
          </w:tcPr>
          <w:p w14:paraId="37ED527D" w14:textId="432CE3AD" w:rsidR="00E71E7D" w:rsidRDefault="00E71E7D">
            <w:pPr>
              <w:spacing w:after="0"/>
              <w:jc w:val="center"/>
              <w:rPr>
                <w:b/>
                <w:bCs/>
                <w:color w:val="FFFFFF"/>
                <w:sz w:val="20"/>
                <w:szCs w:val="20"/>
              </w:rPr>
            </w:pPr>
            <w:r>
              <w:rPr>
                <w:b/>
                <w:bCs/>
                <w:color w:val="FFFFFF"/>
                <w:sz w:val="20"/>
                <w:szCs w:val="20"/>
                <w:lang w:val="en-GB"/>
              </w:rPr>
              <w:t>Grid Capacity</w:t>
            </w:r>
            <w:r w:rsidR="00235613">
              <w:rPr>
                <w:b/>
                <w:bCs/>
                <w:color w:val="FFFFFF"/>
                <w:sz w:val="20"/>
                <w:szCs w:val="20"/>
                <w:lang w:val="en-GB"/>
              </w:rPr>
              <w:t xml:space="preserve"> </w:t>
            </w:r>
            <w:r>
              <w:rPr>
                <w:b/>
                <w:bCs/>
                <w:color w:val="FFFFFF"/>
                <w:sz w:val="20"/>
                <w:szCs w:val="20"/>
                <w:lang w:val="en-GB"/>
              </w:rPr>
              <w:t>for RSPV (MW)</w:t>
            </w:r>
          </w:p>
        </w:tc>
        <w:tc>
          <w:tcPr>
            <w:tcW w:w="1440" w:type="dxa"/>
            <w:tcBorders>
              <w:top w:val="single" w:sz="8" w:space="0" w:color="506070"/>
              <w:left w:val="single" w:sz="8" w:space="0" w:color="506070"/>
              <w:bottom w:val="single" w:sz="8" w:space="0" w:color="506070"/>
              <w:right w:val="nil"/>
            </w:tcBorders>
            <w:shd w:val="clear" w:color="auto" w:fill="002060"/>
            <w:hideMark/>
          </w:tcPr>
          <w:p w14:paraId="2682530A" w14:textId="77777777" w:rsidR="00E71E7D" w:rsidRDefault="00E71E7D">
            <w:pPr>
              <w:spacing w:after="0"/>
              <w:jc w:val="center"/>
              <w:rPr>
                <w:b/>
                <w:bCs/>
                <w:color w:val="FFFFFF"/>
                <w:sz w:val="20"/>
                <w:szCs w:val="20"/>
              </w:rPr>
            </w:pPr>
            <w:r>
              <w:rPr>
                <w:b/>
                <w:bCs/>
                <w:color w:val="FFFFFF"/>
                <w:sz w:val="20"/>
                <w:szCs w:val="20"/>
                <w:lang w:val="en-GB"/>
              </w:rPr>
              <w:t>Income Level - Impact Factor</w:t>
            </w:r>
          </w:p>
        </w:tc>
        <w:tc>
          <w:tcPr>
            <w:tcW w:w="1800" w:type="dxa"/>
            <w:tcBorders>
              <w:top w:val="single" w:sz="8" w:space="0" w:color="506070"/>
              <w:left w:val="single" w:sz="8" w:space="0" w:color="506070"/>
              <w:bottom w:val="single" w:sz="8" w:space="0" w:color="506070"/>
              <w:right w:val="nil"/>
            </w:tcBorders>
            <w:shd w:val="clear" w:color="auto" w:fill="002060"/>
            <w:hideMark/>
          </w:tcPr>
          <w:p w14:paraId="70B86100" w14:textId="77777777" w:rsidR="00E71E7D" w:rsidRDefault="00E71E7D">
            <w:pPr>
              <w:spacing w:after="0"/>
              <w:jc w:val="center"/>
              <w:rPr>
                <w:b/>
                <w:bCs/>
                <w:color w:val="FFFFFF"/>
                <w:sz w:val="20"/>
                <w:szCs w:val="20"/>
              </w:rPr>
            </w:pPr>
            <w:r>
              <w:rPr>
                <w:b/>
                <w:bCs/>
                <w:color w:val="FFFFFF"/>
                <w:sz w:val="20"/>
                <w:szCs w:val="20"/>
                <w:lang w:val="en-GB"/>
              </w:rPr>
              <w:t>Creditworthiness - Impact Factor</w:t>
            </w:r>
          </w:p>
        </w:tc>
        <w:tc>
          <w:tcPr>
            <w:tcW w:w="1530" w:type="dxa"/>
            <w:tcBorders>
              <w:top w:val="single" w:sz="8" w:space="0" w:color="506070"/>
              <w:left w:val="single" w:sz="8" w:space="0" w:color="506070"/>
              <w:bottom w:val="single" w:sz="8" w:space="0" w:color="506070"/>
              <w:right w:val="nil"/>
            </w:tcBorders>
            <w:shd w:val="clear" w:color="auto" w:fill="002060"/>
            <w:hideMark/>
          </w:tcPr>
          <w:p w14:paraId="6C6E29F2" w14:textId="77777777" w:rsidR="00E71E7D" w:rsidRDefault="00E71E7D">
            <w:pPr>
              <w:spacing w:after="0"/>
              <w:jc w:val="center"/>
              <w:rPr>
                <w:b/>
                <w:bCs/>
                <w:color w:val="FFFFFF"/>
                <w:sz w:val="20"/>
                <w:szCs w:val="20"/>
              </w:rPr>
            </w:pPr>
            <w:r>
              <w:rPr>
                <w:b/>
                <w:bCs/>
                <w:color w:val="FFFFFF"/>
                <w:sz w:val="20"/>
                <w:szCs w:val="20"/>
              </w:rPr>
              <w:t>RSPV Market Potential (MW)</w:t>
            </w:r>
          </w:p>
        </w:tc>
      </w:tr>
      <w:tr w:rsidR="00E71E7D" w14:paraId="1926C0D2" w14:textId="77777777" w:rsidTr="00E71E7D">
        <w:tc>
          <w:tcPr>
            <w:tcW w:w="2740" w:type="dxa"/>
            <w:tcBorders>
              <w:top w:val="nil"/>
              <w:left w:val="single" w:sz="8" w:space="0" w:color="506070"/>
              <w:bottom w:val="single" w:sz="8" w:space="0" w:color="506070"/>
              <w:right w:val="single" w:sz="8" w:space="0" w:color="506070"/>
            </w:tcBorders>
            <w:shd w:val="clear" w:color="auto" w:fill="F2F2F2"/>
            <w:noWrap/>
            <w:hideMark/>
          </w:tcPr>
          <w:p w14:paraId="54B3709E" w14:textId="77777777" w:rsidR="00E71E7D" w:rsidRDefault="00E71E7D">
            <w:pPr>
              <w:spacing w:after="0"/>
              <w:rPr>
                <w:color w:val="000000"/>
                <w:sz w:val="20"/>
                <w:szCs w:val="20"/>
              </w:rPr>
            </w:pPr>
            <w:r>
              <w:rPr>
                <w:color w:val="000000"/>
                <w:sz w:val="20"/>
                <w:szCs w:val="20"/>
                <w:lang w:val="en-GB"/>
              </w:rPr>
              <w:t>Residential: Single-family</w:t>
            </w:r>
          </w:p>
        </w:tc>
        <w:tc>
          <w:tcPr>
            <w:tcW w:w="1670" w:type="dxa"/>
            <w:tcBorders>
              <w:top w:val="nil"/>
              <w:left w:val="nil"/>
              <w:bottom w:val="single" w:sz="8" w:space="0" w:color="506070"/>
              <w:right w:val="single" w:sz="8" w:space="0" w:color="506070"/>
            </w:tcBorders>
            <w:noWrap/>
            <w:hideMark/>
          </w:tcPr>
          <w:p w14:paraId="02F43D29" w14:textId="77777777" w:rsidR="00E71E7D" w:rsidRDefault="00E71E7D">
            <w:pPr>
              <w:spacing w:after="0"/>
              <w:jc w:val="center"/>
              <w:rPr>
                <w:color w:val="000000"/>
                <w:sz w:val="20"/>
                <w:szCs w:val="20"/>
              </w:rPr>
            </w:pPr>
            <w:r>
              <w:rPr>
                <w:color w:val="000000"/>
                <w:sz w:val="20"/>
                <w:szCs w:val="20"/>
                <w:lang w:val="en-GB"/>
              </w:rPr>
              <w:t>764</w:t>
            </w:r>
          </w:p>
        </w:tc>
        <w:tc>
          <w:tcPr>
            <w:tcW w:w="1440" w:type="dxa"/>
            <w:tcBorders>
              <w:top w:val="nil"/>
              <w:left w:val="nil"/>
              <w:bottom w:val="single" w:sz="8" w:space="0" w:color="506070"/>
              <w:right w:val="single" w:sz="8" w:space="0" w:color="506070"/>
            </w:tcBorders>
            <w:noWrap/>
            <w:hideMark/>
          </w:tcPr>
          <w:p w14:paraId="6EDB069D" w14:textId="77777777" w:rsidR="00E71E7D" w:rsidRDefault="00E71E7D">
            <w:pPr>
              <w:spacing w:after="0"/>
              <w:jc w:val="center"/>
              <w:rPr>
                <w:color w:val="000000"/>
                <w:sz w:val="20"/>
                <w:szCs w:val="20"/>
              </w:rPr>
            </w:pPr>
            <w:r>
              <w:rPr>
                <w:rFonts w:cs="Calibri"/>
                <w:color w:val="000000"/>
                <w:sz w:val="20"/>
                <w:szCs w:val="20"/>
                <w:lang w:val="en-GB"/>
              </w:rPr>
              <w:t>0.5</w:t>
            </w:r>
          </w:p>
        </w:tc>
        <w:tc>
          <w:tcPr>
            <w:tcW w:w="1800" w:type="dxa"/>
            <w:tcBorders>
              <w:top w:val="nil"/>
              <w:left w:val="nil"/>
              <w:bottom w:val="single" w:sz="8" w:space="0" w:color="506070"/>
              <w:right w:val="single" w:sz="8" w:space="0" w:color="506070"/>
            </w:tcBorders>
            <w:noWrap/>
            <w:hideMark/>
          </w:tcPr>
          <w:p w14:paraId="6399A222" w14:textId="77777777" w:rsidR="00E71E7D" w:rsidRDefault="00E71E7D">
            <w:pPr>
              <w:spacing w:after="0"/>
              <w:jc w:val="center"/>
              <w:rPr>
                <w:color w:val="000000"/>
                <w:sz w:val="20"/>
                <w:szCs w:val="20"/>
              </w:rPr>
            </w:pPr>
            <w:r>
              <w:rPr>
                <w:rFonts w:cs="Calibri"/>
                <w:color w:val="000000"/>
                <w:sz w:val="20"/>
                <w:szCs w:val="20"/>
                <w:lang w:val="en-GB"/>
              </w:rPr>
              <w:t>0.8</w:t>
            </w:r>
          </w:p>
        </w:tc>
        <w:tc>
          <w:tcPr>
            <w:tcW w:w="1530" w:type="dxa"/>
            <w:tcBorders>
              <w:top w:val="nil"/>
              <w:left w:val="nil"/>
              <w:bottom w:val="single" w:sz="8" w:space="0" w:color="506070"/>
              <w:right w:val="single" w:sz="8" w:space="0" w:color="506070"/>
            </w:tcBorders>
            <w:noWrap/>
            <w:hideMark/>
          </w:tcPr>
          <w:p w14:paraId="17EDCEE4" w14:textId="77777777" w:rsidR="00E71E7D" w:rsidRDefault="00E71E7D">
            <w:pPr>
              <w:spacing w:after="0"/>
              <w:jc w:val="center"/>
              <w:rPr>
                <w:color w:val="000000"/>
                <w:sz w:val="20"/>
                <w:szCs w:val="20"/>
              </w:rPr>
            </w:pPr>
            <w:r>
              <w:rPr>
                <w:rFonts w:cs="Calibri"/>
                <w:color w:val="000000"/>
                <w:sz w:val="20"/>
                <w:szCs w:val="20"/>
                <w:lang w:val="en-GB"/>
              </w:rPr>
              <w:t>306</w:t>
            </w:r>
          </w:p>
        </w:tc>
      </w:tr>
      <w:tr w:rsidR="00E71E7D" w14:paraId="322F1D66" w14:textId="77777777" w:rsidTr="00E71E7D">
        <w:tc>
          <w:tcPr>
            <w:tcW w:w="2740" w:type="dxa"/>
            <w:tcBorders>
              <w:top w:val="nil"/>
              <w:left w:val="single" w:sz="8" w:space="0" w:color="506070"/>
              <w:bottom w:val="single" w:sz="8" w:space="0" w:color="506070"/>
              <w:right w:val="single" w:sz="8" w:space="0" w:color="506070"/>
            </w:tcBorders>
            <w:shd w:val="clear" w:color="auto" w:fill="F2F2F2"/>
            <w:noWrap/>
            <w:hideMark/>
          </w:tcPr>
          <w:p w14:paraId="7EBFF068" w14:textId="77777777" w:rsidR="00E71E7D" w:rsidRDefault="00E71E7D">
            <w:pPr>
              <w:spacing w:after="0"/>
              <w:rPr>
                <w:color w:val="000000"/>
                <w:sz w:val="20"/>
                <w:szCs w:val="20"/>
              </w:rPr>
            </w:pPr>
            <w:r>
              <w:rPr>
                <w:color w:val="000000"/>
                <w:sz w:val="20"/>
                <w:szCs w:val="20"/>
                <w:lang w:val="en-GB"/>
              </w:rPr>
              <w:t>Residential: Multi-family</w:t>
            </w:r>
          </w:p>
        </w:tc>
        <w:tc>
          <w:tcPr>
            <w:tcW w:w="1670" w:type="dxa"/>
            <w:tcBorders>
              <w:top w:val="nil"/>
              <w:left w:val="nil"/>
              <w:bottom w:val="single" w:sz="8" w:space="0" w:color="506070"/>
              <w:right w:val="single" w:sz="8" w:space="0" w:color="506070"/>
            </w:tcBorders>
            <w:noWrap/>
            <w:hideMark/>
          </w:tcPr>
          <w:p w14:paraId="2476C7DC" w14:textId="77777777" w:rsidR="00E71E7D" w:rsidRDefault="00E71E7D">
            <w:pPr>
              <w:spacing w:after="0"/>
              <w:jc w:val="center"/>
              <w:rPr>
                <w:color w:val="000000"/>
                <w:sz w:val="20"/>
                <w:szCs w:val="20"/>
              </w:rPr>
            </w:pPr>
            <w:r>
              <w:rPr>
                <w:color w:val="000000"/>
                <w:sz w:val="20"/>
                <w:szCs w:val="20"/>
                <w:lang w:val="en-GB"/>
              </w:rPr>
              <w:t>2,519</w:t>
            </w:r>
          </w:p>
        </w:tc>
        <w:tc>
          <w:tcPr>
            <w:tcW w:w="1440" w:type="dxa"/>
            <w:tcBorders>
              <w:top w:val="nil"/>
              <w:left w:val="nil"/>
              <w:bottom w:val="single" w:sz="8" w:space="0" w:color="506070"/>
              <w:right w:val="single" w:sz="8" w:space="0" w:color="506070"/>
            </w:tcBorders>
            <w:noWrap/>
            <w:hideMark/>
          </w:tcPr>
          <w:p w14:paraId="7BDE02FB" w14:textId="77777777" w:rsidR="00E71E7D" w:rsidRDefault="00E71E7D">
            <w:pPr>
              <w:spacing w:after="0"/>
              <w:jc w:val="center"/>
              <w:rPr>
                <w:color w:val="000000"/>
                <w:sz w:val="20"/>
                <w:szCs w:val="20"/>
              </w:rPr>
            </w:pPr>
            <w:r>
              <w:rPr>
                <w:rFonts w:cs="Calibri"/>
                <w:color w:val="000000"/>
                <w:sz w:val="20"/>
                <w:szCs w:val="20"/>
                <w:lang w:val="en-GB"/>
              </w:rPr>
              <w:t>0.3</w:t>
            </w:r>
          </w:p>
        </w:tc>
        <w:tc>
          <w:tcPr>
            <w:tcW w:w="1800" w:type="dxa"/>
            <w:tcBorders>
              <w:top w:val="nil"/>
              <w:left w:val="nil"/>
              <w:bottom w:val="single" w:sz="8" w:space="0" w:color="506070"/>
              <w:right w:val="single" w:sz="8" w:space="0" w:color="506070"/>
            </w:tcBorders>
            <w:noWrap/>
            <w:hideMark/>
          </w:tcPr>
          <w:p w14:paraId="0F256301" w14:textId="77777777" w:rsidR="00E71E7D" w:rsidRDefault="00E71E7D">
            <w:pPr>
              <w:spacing w:after="0"/>
              <w:jc w:val="center"/>
              <w:rPr>
                <w:color w:val="000000"/>
                <w:sz w:val="20"/>
                <w:szCs w:val="20"/>
              </w:rPr>
            </w:pPr>
            <w:r>
              <w:rPr>
                <w:rFonts w:cs="Calibri"/>
                <w:color w:val="000000"/>
                <w:sz w:val="20"/>
                <w:szCs w:val="20"/>
                <w:lang w:val="en-GB"/>
              </w:rPr>
              <w:t>0.5</w:t>
            </w:r>
          </w:p>
        </w:tc>
        <w:tc>
          <w:tcPr>
            <w:tcW w:w="1530" w:type="dxa"/>
            <w:tcBorders>
              <w:top w:val="nil"/>
              <w:left w:val="nil"/>
              <w:bottom w:val="single" w:sz="8" w:space="0" w:color="506070"/>
              <w:right w:val="single" w:sz="8" w:space="0" w:color="506070"/>
            </w:tcBorders>
            <w:noWrap/>
            <w:hideMark/>
          </w:tcPr>
          <w:p w14:paraId="2853CEBE" w14:textId="77777777" w:rsidR="00E71E7D" w:rsidRDefault="00E71E7D">
            <w:pPr>
              <w:spacing w:after="0"/>
              <w:jc w:val="center"/>
              <w:rPr>
                <w:color w:val="000000"/>
                <w:sz w:val="20"/>
                <w:szCs w:val="20"/>
              </w:rPr>
            </w:pPr>
            <w:r>
              <w:rPr>
                <w:rFonts w:cs="Calibri"/>
                <w:color w:val="000000"/>
                <w:sz w:val="20"/>
                <w:szCs w:val="20"/>
                <w:lang w:val="en-GB"/>
              </w:rPr>
              <w:t>378</w:t>
            </w:r>
          </w:p>
        </w:tc>
      </w:tr>
      <w:tr w:rsidR="00E71E7D" w14:paraId="19522817" w14:textId="77777777" w:rsidTr="00E71E7D">
        <w:tc>
          <w:tcPr>
            <w:tcW w:w="2740" w:type="dxa"/>
            <w:tcBorders>
              <w:top w:val="nil"/>
              <w:left w:val="single" w:sz="8" w:space="0" w:color="506070"/>
              <w:bottom w:val="single" w:sz="8" w:space="0" w:color="506070"/>
              <w:right w:val="single" w:sz="8" w:space="0" w:color="506070"/>
            </w:tcBorders>
            <w:shd w:val="clear" w:color="auto" w:fill="F2F2F2"/>
            <w:noWrap/>
            <w:hideMark/>
          </w:tcPr>
          <w:p w14:paraId="5487ABBE" w14:textId="77777777" w:rsidR="00E71E7D" w:rsidRDefault="00E71E7D">
            <w:pPr>
              <w:spacing w:after="0"/>
              <w:rPr>
                <w:rFonts w:eastAsiaTheme="minorHAnsi" w:cstheme="minorBidi"/>
                <w:sz w:val="22"/>
                <w:szCs w:val="22"/>
              </w:rPr>
            </w:pPr>
            <w:r>
              <w:rPr>
                <w:rFonts w:cs="Calibri"/>
                <w:i/>
                <w:iCs/>
                <w:color w:val="000000"/>
                <w:sz w:val="20"/>
                <w:szCs w:val="20"/>
                <w:u w:val="single"/>
                <w:lang w:val="en-GB"/>
              </w:rPr>
              <w:t>Residential: Total</w:t>
            </w:r>
          </w:p>
        </w:tc>
        <w:tc>
          <w:tcPr>
            <w:tcW w:w="1670" w:type="dxa"/>
            <w:tcBorders>
              <w:top w:val="nil"/>
              <w:left w:val="nil"/>
              <w:bottom w:val="single" w:sz="8" w:space="0" w:color="506070"/>
              <w:right w:val="single" w:sz="8" w:space="0" w:color="506070"/>
            </w:tcBorders>
            <w:noWrap/>
            <w:hideMark/>
          </w:tcPr>
          <w:p w14:paraId="73D4821E" w14:textId="77777777" w:rsidR="00E71E7D" w:rsidRDefault="00E71E7D">
            <w:pPr>
              <w:spacing w:after="0"/>
              <w:jc w:val="center"/>
            </w:pPr>
            <w:r>
              <w:rPr>
                <w:rFonts w:cs="Calibri"/>
                <w:i/>
                <w:iCs/>
                <w:color w:val="000000"/>
                <w:sz w:val="20"/>
                <w:szCs w:val="20"/>
                <w:u w:val="single"/>
                <w:lang w:val="en-GB"/>
              </w:rPr>
              <w:t>3,283</w:t>
            </w:r>
          </w:p>
        </w:tc>
        <w:tc>
          <w:tcPr>
            <w:tcW w:w="1440" w:type="dxa"/>
            <w:tcBorders>
              <w:top w:val="nil"/>
              <w:left w:val="nil"/>
              <w:bottom w:val="single" w:sz="8" w:space="0" w:color="506070"/>
              <w:right w:val="single" w:sz="8" w:space="0" w:color="506070"/>
            </w:tcBorders>
            <w:noWrap/>
            <w:hideMark/>
          </w:tcPr>
          <w:p w14:paraId="3A90C0E5" w14:textId="1B779800" w:rsidR="00E71E7D" w:rsidRDefault="00E71E7D">
            <w:pPr>
              <w:spacing w:after="0"/>
              <w:rPr>
                <w:color w:val="000000"/>
                <w:sz w:val="18"/>
                <w:szCs w:val="18"/>
              </w:rPr>
            </w:pPr>
          </w:p>
        </w:tc>
        <w:tc>
          <w:tcPr>
            <w:tcW w:w="1800" w:type="dxa"/>
            <w:tcBorders>
              <w:top w:val="nil"/>
              <w:left w:val="nil"/>
              <w:bottom w:val="single" w:sz="8" w:space="0" w:color="506070"/>
              <w:right w:val="single" w:sz="8" w:space="0" w:color="506070"/>
            </w:tcBorders>
            <w:noWrap/>
            <w:hideMark/>
          </w:tcPr>
          <w:p w14:paraId="5E44DEBE" w14:textId="1A1CB212" w:rsidR="00E71E7D" w:rsidRDefault="00E71E7D">
            <w:pPr>
              <w:spacing w:after="0"/>
              <w:rPr>
                <w:color w:val="000000"/>
                <w:sz w:val="18"/>
                <w:szCs w:val="18"/>
              </w:rPr>
            </w:pPr>
          </w:p>
        </w:tc>
        <w:tc>
          <w:tcPr>
            <w:tcW w:w="1530" w:type="dxa"/>
            <w:tcBorders>
              <w:top w:val="nil"/>
              <w:left w:val="nil"/>
              <w:bottom w:val="single" w:sz="8" w:space="0" w:color="506070"/>
              <w:right w:val="single" w:sz="8" w:space="0" w:color="506070"/>
            </w:tcBorders>
            <w:noWrap/>
            <w:hideMark/>
          </w:tcPr>
          <w:p w14:paraId="1321F8CA" w14:textId="77777777" w:rsidR="00E71E7D" w:rsidRDefault="00E71E7D">
            <w:pPr>
              <w:spacing w:after="0"/>
              <w:jc w:val="center"/>
              <w:rPr>
                <w:rFonts w:eastAsiaTheme="minorHAnsi" w:cstheme="minorBidi"/>
                <w:sz w:val="22"/>
                <w:szCs w:val="22"/>
              </w:rPr>
            </w:pPr>
            <w:r>
              <w:rPr>
                <w:rFonts w:cs="Calibri"/>
                <w:i/>
                <w:iCs/>
                <w:color w:val="000000"/>
                <w:sz w:val="20"/>
                <w:szCs w:val="20"/>
                <w:u w:val="single"/>
                <w:lang w:val="en-GB"/>
              </w:rPr>
              <w:t>683</w:t>
            </w:r>
          </w:p>
        </w:tc>
      </w:tr>
      <w:tr w:rsidR="00E71E7D" w14:paraId="73426DD0" w14:textId="77777777" w:rsidTr="00E71E7D">
        <w:tc>
          <w:tcPr>
            <w:tcW w:w="2740" w:type="dxa"/>
            <w:tcBorders>
              <w:top w:val="nil"/>
              <w:left w:val="single" w:sz="8" w:space="0" w:color="506070"/>
              <w:bottom w:val="single" w:sz="8" w:space="0" w:color="506070"/>
              <w:right w:val="single" w:sz="8" w:space="0" w:color="506070"/>
            </w:tcBorders>
            <w:shd w:val="clear" w:color="auto" w:fill="F2F2F2"/>
            <w:noWrap/>
            <w:hideMark/>
          </w:tcPr>
          <w:p w14:paraId="7FD8B180" w14:textId="77777777" w:rsidR="00E71E7D" w:rsidRDefault="00E71E7D">
            <w:pPr>
              <w:spacing w:after="0"/>
              <w:rPr>
                <w:color w:val="000000"/>
                <w:sz w:val="20"/>
                <w:szCs w:val="20"/>
              </w:rPr>
            </w:pPr>
            <w:r>
              <w:rPr>
                <w:rFonts w:cs="Calibri"/>
                <w:color w:val="000000"/>
                <w:sz w:val="20"/>
                <w:szCs w:val="20"/>
                <w:lang w:val="en-GB"/>
              </w:rPr>
              <w:t>Commercial</w:t>
            </w:r>
          </w:p>
        </w:tc>
        <w:tc>
          <w:tcPr>
            <w:tcW w:w="1670" w:type="dxa"/>
            <w:tcBorders>
              <w:top w:val="nil"/>
              <w:left w:val="nil"/>
              <w:bottom w:val="single" w:sz="8" w:space="0" w:color="506070"/>
              <w:right w:val="single" w:sz="8" w:space="0" w:color="506070"/>
            </w:tcBorders>
            <w:noWrap/>
            <w:hideMark/>
          </w:tcPr>
          <w:p w14:paraId="371E6FB7" w14:textId="77777777" w:rsidR="00E71E7D" w:rsidRDefault="00E71E7D">
            <w:pPr>
              <w:spacing w:after="0"/>
              <w:jc w:val="center"/>
              <w:rPr>
                <w:color w:val="000000"/>
                <w:sz w:val="20"/>
                <w:szCs w:val="20"/>
              </w:rPr>
            </w:pPr>
            <w:r>
              <w:rPr>
                <w:rFonts w:cs="Calibri"/>
                <w:color w:val="000000"/>
                <w:sz w:val="20"/>
                <w:szCs w:val="20"/>
                <w:lang w:val="en-GB"/>
              </w:rPr>
              <w:t>1,488</w:t>
            </w:r>
          </w:p>
        </w:tc>
        <w:tc>
          <w:tcPr>
            <w:tcW w:w="1440" w:type="dxa"/>
            <w:tcBorders>
              <w:top w:val="nil"/>
              <w:left w:val="nil"/>
              <w:bottom w:val="single" w:sz="8" w:space="0" w:color="506070"/>
              <w:right w:val="single" w:sz="8" w:space="0" w:color="506070"/>
            </w:tcBorders>
            <w:noWrap/>
            <w:hideMark/>
          </w:tcPr>
          <w:p w14:paraId="25B08ED5" w14:textId="77777777" w:rsidR="00E71E7D" w:rsidRDefault="00E71E7D">
            <w:pPr>
              <w:spacing w:after="0"/>
              <w:jc w:val="center"/>
              <w:rPr>
                <w:color w:val="000000"/>
                <w:sz w:val="20"/>
                <w:szCs w:val="20"/>
              </w:rPr>
            </w:pPr>
            <w:r>
              <w:rPr>
                <w:rFonts w:cs="Calibri"/>
                <w:color w:val="000000"/>
                <w:sz w:val="20"/>
                <w:szCs w:val="20"/>
                <w:lang w:val="en-GB"/>
              </w:rPr>
              <w:t>1</w:t>
            </w:r>
          </w:p>
        </w:tc>
        <w:tc>
          <w:tcPr>
            <w:tcW w:w="1800" w:type="dxa"/>
            <w:tcBorders>
              <w:top w:val="nil"/>
              <w:left w:val="nil"/>
              <w:bottom w:val="single" w:sz="8" w:space="0" w:color="506070"/>
              <w:right w:val="single" w:sz="8" w:space="0" w:color="506070"/>
            </w:tcBorders>
            <w:noWrap/>
            <w:hideMark/>
          </w:tcPr>
          <w:p w14:paraId="01644292" w14:textId="77777777" w:rsidR="00E71E7D" w:rsidRDefault="00E71E7D">
            <w:pPr>
              <w:spacing w:after="0"/>
              <w:jc w:val="center"/>
              <w:rPr>
                <w:color w:val="000000"/>
                <w:sz w:val="20"/>
                <w:szCs w:val="20"/>
              </w:rPr>
            </w:pPr>
            <w:r>
              <w:rPr>
                <w:rFonts w:cs="Calibri"/>
                <w:color w:val="000000"/>
                <w:sz w:val="20"/>
                <w:szCs w:val="20"/>
                <w:lang w:val="en-GB"/>
              </w:rPr>
              <w:t>1</w:t>
            </w:r>
          </w:p>
        </w:tc>
        <w:tc>
          <w:tcPr>
            <w:tcW w:w="1530" w:type="dxa"/>
            <w:tcBorders>
              <w:top w:val="nil"/>
              <w:left w:val="nil"/>
              <w:bottom w:val="single" w:sz="8" w:space="0" w:color="506070"/>
              <w:right w:val="single" w:sz="8" w:space="0" w:color="506070"/>
            </w:tcBorders>
            <w:noWrap/>
            <w:hideMark/>
          </w:tcPr>
          <w:p w14:paraId="7E5A8F8F" w14:textId="77777777" w:rsidR="00E71E7D" w:rsidRDefault="00E71E7D">
            <w:pPr>
              <w:spacing w:after="0"/>
              <w:jc w:val="center"/>
              <w:rPr>
                <w:color w:val="000000"/>
                <w:sz w:val="20"/>
                <w:szCs w:val="20"/>
              </w:rPr>
            </w:pPr>
            <w:r>
              <w:rPr>
                <w:rFonts w:cs="Calibri"/>
                <w:color w:val="000000"/>
                <w:sz w:val="20"/>
                <w:szCs w:val="20"/>
                <w:lang w:val="en-GB"/>
              </w:rPr>
              <w:t>1,488</w:t>
            </w:r>
          </w:p>
        </w:tc>
      </w:tr>
      <w:tr w:rsidR="00E71E7D" w14:paraId="3E59261E" w14:textId="77777777" w:rsidTr="00E71E7D">
        <w:tc>
          <w:tcPr>
            <w:tcW w:w="2740" w:type="dxa"/>
            <w:tcBorders>
              <w:top w:val="nil"/>
              <w:left w:val="single" w:sz="8" w:space="0" w:color="506070"/>
              <w:bottom w:val="single" w:sz="8" w:space="0" w:color="506070"/>
              <w:right w:val="single" w:sz="8" w:space="0" w:color="506070"/>
            </w:tcBorders>
            <w:shd w:val="clear" w:color="auto" w:fill="F2F2F2"/>
            <w:noWrap/>
            <w:hideMark/>
          </w:tcPr>
          <w:p w14:paraId="567BBC86" w14:textId="77777777" w:rsidR="00E71E7D" w:rsidRDefault="00E71E7D">
            <w:pPr>
              <w:spacing w:after="0"/>
              <w:rPr>
                <w:color w:val="000000"/>
                <w:sz w:val="20"/>
                <w:szCs w:val="20"/>
              </w:rPr>
            </w:pPr>
            <w:r>
              <w:rPr>
                <w:rFonts w:cs="Calibri"/>
                <w:color w:val="000000"/>
                <w:sz w:val="20"/>
                <w:szCs w:val="20"/>
                <w:lang w:val="en-GB"/>
              </w:rPr>
              <w:t>Industrial</w:t>
            </w:r>
          </w:p>
        </w:tc>
        <w:tc>
          <w:tcPr>
            <w:tcW w:w="1670" w:type="dxa"/>
            <w:tcBorders>
              <w:top w:val="nil"/>
              <w:left w:val="nil"/>
              <w:bottom w:val="single" w:sz="8" w:space="0" w:color="506070"/>
              <w:right w:val="single" w:sz="8" w:space="0" w:color="506070"/>
            </w:tcBorders>
            <w:noWrap/>
            <w:hideMark/>
          </w:tcPr>
          <w:p w14:paraId="63FC332D" w14:textId="77777777" w:rsidR="00E71E7D" w:rsidRDefault="00E71E7D">
            <w:pPr>
              <w:spacing w:after="0"/>
              <w:jc w:val="center"/>
              <w:rPr>
                <w:color w:val="000000"/>
                <w:sz w:val="20"/>
                <w:szCs w:val="20"/>
              </w:rPr>
            </w:pPr>
            <w:r>
              <w:rPr>
                <w:rFonts w:cs="Calibri"/>
                <w:color w:val="000000"/>
                <w:sz w:val="20"/>
                <w:szCs w:val="20"/>
                <w:lang w:val="en-GB"/>
              </w:rPr>
              <w:t>1,523</w:t>
            </w:r>
          </w:p>
        </w:tc>
        <w:tc>
          <w:tcPr>
            <w:tcW w:w="1440" w:type="dxa"/>
            <w:tcBorders>
              <w:top w:val="nil"/>
              <w:left w:val="nil"/>
              <w:bottom w:val="single" w:sz="8" w:space="0" w:color="506070"/>
              <w:right w:val="single" w:sz="8" w:space="0" w:color="506070"/>
            </w:tcBorders>
            <w:noWrap/>
            <w:hideMark/>
          </w:tcPr>
          <w:p w14:paraId="5D441EA9" w14:textId="77777777" w:rsidR="00E71E7D" w:rsidRDefault="00E71E7D">
            <w:pPr>
              <w:spacing w:after="0"/>
              <w:jc w:val="center"/>
              <w:rPr>
                <w:color w:val="000000"/>
                <w:sz w:val="20"/>
                <w:szCs w:val="20"/>
              </w:rPr>
            </w:pPr>
            <w:r>
              <w:rPr>
                <w:rFonts w:cs="Calibri"/>
                <w:color w:val="000000"/>
                <w:sz w:val="20"/>
                <w:szCs w:val="20"/>
                <w:lang w:val="en-GB"/>
              </w:rPr>
              <w:t>1</w:t>
            </w:r>
          </w:p>
        </w:tc>
        <w:tc>
          <w:tcPr>
            <w:tcW w:w="1800" w:type="dxa"/>
            <w:tcBorders>
              <w:top w:val="nil"/>
              <w:left w:val="nil"/>
              <w:bottom w:val="single" w:sz="8" w:space="0" w:color="506070"/>
              <w:right w:val="single" w:sz="8" w:space="0" w:color="506070"/>
            </w:tcBorders>
            <w:noWrap/>
            <w:hideMark/>
          </w:tcPr>
          <w:p w14:paraId="19592704" w14:textId="77777777" w:rsidR="00E71E7D" w:rsidRDefault="00E71E7D">
            <w:pPr>
              <w:spacing w:after="0"/>
              <w:jc w:val="center"/>
              <w:rPr>
                <w:color w:val="000000"/>
                <w:sz w:val="20"/>
                <w:szCs w:val="20"/>
              </w:rPr>
            </w:pPr>
            <w:r>
              <w:rPr>
                <w:rFonts w:cs="Calibri"/>
                <w:color w:val="000000"/>
                <w:sz w:val="20"/>
                <w:szCs w:val="20"/>
                <w:lang w:val="en-GB"/>
              </w:rPr>
              <w:t>1</w:t>
            </w:r>
          </w:p>
        </w:tc>
        <w:tc>
          <w:tcPr>
            <w:tcW w:w="1530" w:type="dxa"/>
            <w:tcBorders>
              <w:top w:val="nil"/>
              <w:left w:val="nil"/>
              <w:bottom w:val="single" w:sz="8" w:space="0" w:color="506070"/>
              <w:right w:val="single" w:sz="8" w:space="0" w:color="506070"/>
            </w:tcBorders>
            <w:noWrap/>
            <w:hideMark/>
          </w:tcPr>
          <w:p w14:paraId="0C3A9455" w14:textId="77777777" w:rsidR="00E71E7D" w:rsidRDefault="00E71E7D">
            <w:pPr>
              <w:spacing w:after="0"/>
              <w:jc w:val="center"/>
              <w:rPr>
                <w:color w:val="000000"/>
                <w:sz w:val="20"/>
                <w:szCs w:val="20"/>
              </w:rPr>
            </w:pPr>
            <w:r>
              <w:rPr>
                <w:rFonts w:cs="Calibri"/>
                <w:color w:val="000000"/>
                <w:sz w:val="20"/>
                <w:szCs w:val="20"/>
                <w:lang w:val="en-GB"/>
              </w:rPr>
              <w:t>1,523</w:t>
            </w:r>
          </w:p>
        </w:tc>
      </w:tr>
      <w:tr w:rsidR="00E71E7D" w14:paraId="1E3FC7FE" w14:textId="77777777" w:rsidTr="00E71E7D">
        <w:tc>
          <w:tcPr>
            <w:tcW w:w="2740" w:type="dxa"/>
            <w:tcBorders>
              <w:top w:val="nil"/>
              <w:left w:val="single" w:sz="8" w:space="0" w:color="506070"/>
              <w:bottom w:val="single" w:sz="8" w:space="0" w:color="506070"/>
              <w:right w:val="single" w:sz="8" w:space="0" w:color="506070"/>
            </w:tcBorders>
            <w:shd w:val="clear" w:color="auto" w:fill="F2F2F2"/>
            <w:noWrap/>
            <w:hideMark/>
          </w:tcPr>
          <w:p w14:paraId="7D18314D" w14:textId="77777777" w:rsidR="00E71E7D" w:rsidRDefault="00E71E7D">
            <w:pPr>
              <w:spacing w:after="0"/>
              <w:rPr>
                <w:rFonts w:eastAsiaTheme="minorHAnsi" w:cstheme="minorBidi"/>
                <w:sz w:val="22"/>
                <w:szCs w:val="22"/>
              </w:rPr>
            </w:pPr>
            <w:r>
              <w:rPr>
                <w:i/>
                <w:iCs/>
                <w:color w:val="000000"/>
                <w:sz w:val="20"/>
                <w:szCs w:val="20"/>
                <w:u w:val="single"/>
                <w:lang w:val="en-GB"/>
              </w:rPr>
              <w:t>Commercial &amp; Industrial: Total</w:t>
            </w:r>
          </w:p>
        </w:tc>
        <w:tc>
          <w:tcPr>
            <w:tcW w:w="1670" w:type="dxa"/>
            <w:tcBorders>
              <w:top w:val="nil"/>
              <w:left w:val="nil"/>
              <w:bottom w:val="single" w:sz="8" w:space="0" w:color="506070"/>
              <w:right w:val="single" w:sz="8" w:space="0" w:color="506070"/>
            </w:tcBorders>
            <w:noWrap/>
            <w:hideMark/>
          </w:tcPr>
          <w:p w14:paraId="24284019" w14:textId="77777777" w:rsidR="00E71E7D" w:rsidRDefault="00E71E7D">
            <w:pPr>
              <w:spacing w:after="0"/>
              <w:jc w:val="center"/>
            </w:pPr>
            <w:r>
              <w:rPr>
                <w:i/>
                <w:iCs/>
                <w:color w:val="000000"/>
                <w:sz w:val="20"/>
                <w:szCs w:val="20"/>
                <w:u w:val="single"/>
                <w:lang w:val="en-GB"/>
              </w:rPr>
              <w:t>3,011</w:t>
            </w:r>
          </w:p>
        </w:tc>
        <w:tc>
          <w:tcPr>
            <w:tcW w:w="1440" w:type="dxa"/>
            <w:tcBorders>
              <w:top w:val="nil"/>
              <w:left w:val="nil"/>
              <w:bottom w:val="single" w:sz="8" w:space="0" w:color="506070"/>
              <w:right w:val="single" w:sz="8" w:space="0" w:color="506070"/>
            </w:tcBorders>
            <w:noWrap/>
            <w:hideMark/>
          </w:tcPr>
          <w:p w14:paraId="372FD2ED" w14:textId="35DFA1BF" w:rsidR="00E71E7D" w:rsidRDefault="00E71E7D">
            <w:pPr>
              <w:spacing w:after="0"/>
              <w:jc w:val="center"/>
            </w:pPr>
          </w:p>
        </w:tc>
        <w:tc>
          <w:tcPr>
            <w:tcW w:w="1800" w:type="dxa"/>
            <w:tcBorders>
              <w:top w:val="nil"/>
              <w:left w:val="nil"/>
              <w:bottom w:val="single" w:sz="8" w:space="0" w:color="506070"/>
              <w:right w:val="single" w:sz="8" w:space="0" w:color="506070"/>
            </w:tcBorders>
            <w:noWrap/>
            <w:hideMark/>
          </w:tcPr>
          <w:p w14:paraId="40BBB1C1" w14:textId="6E5CA26B" w:rsidR="00E71E7D" w:rsidRDefault="00E71E7D">
            <w:pPr>
              <w:spacing w:after="0"/>
              <w:jc w:val="center"/>
            </w:pPr>
          </w:p>
        </w:tc>
        <w:tc>
          <w:tcPr>
            <w:tcW w:w="1530" w:type="dxa"/>
            <w:tcBorders>
              <w:top w:val="nil"/>
              <w:left w:val="nil"/>
              <w:bottom w:val="single" w:sz="8" w:space="0" w:color="506070"/>
              <w:right w:val="single" w:sz="8" w:space="0" w:color="506070"/>
            </w:tcBorders>
            <w:noWrap/>
            <w:hideMark/>
          </w:tcPr>
          <w:p w14:paraId="7B9F02EA" w14:textId="77777777" w:rsidR="00E71E7D" w:rsidRDefault="00E71E7D">
            <w:pPr>
              <w:spacing w:after="0"/>
              <w:jc w:val="center"/>
            </w:pPr>
            <w:r>
              <w:rPr>
                <w:rFonts w:cs="Calibri"/>
                <w:i/>
                <w:iCs/>
                <w:color w:val="000000"/>
                <w:sz w:val="20"/>
                <w:szCs w:val="20"/>
                <w:u w:val="single"/>
                <w:lang w:val="en-GB"/>
              </w:rPr>
              <w:t>3,011</w:t>
            </w:r>
          </w:p>
        </w:tc>
      </w:tr>
      <w:tr w:rsidR="00E71E7D" w14:paraId="63BB79F3" w14:textId="77777777" w:rsidTr="00E71E7D">
        <w:tc>
          <w:tcPr>
            <w:tcW w:w="2740" w:type="dxa"/>
            <w:tcBorders>
              <w:top w:val="nil"/>
              <w:left w:val="single" w:sz="8" w:space="0" w:color="506070"/>
              <w:bottom w:val="single" w:sz="8" w:space="0" w:color="506070"/>
              <w:right w:val="single" w:sz="8" w:space="0" w:color="506070"/>
            </w:tcBorders>
            <w:shd w:val="clear" w:color="auto" w:fill="F2F2F2"/>
            <w:noWrap/>
            <w:hideMark/>
          </w:tcPr>
          <w:p w14:paraId="0FE80DDA" w14:textId="77777777" w:rsidR="00E71E7D" w:rsidRDefault="00E71E7D">
            <w:pPr>
              <w:spacing w:after="0"/>
              <w:rPr>
                <w:color w:val="000000"/>
                <w:sz w:val="20"/>
                <w:szCs w:val="20"/>
              </w:rPr>
            </w:pPr>
            <w:r>
              <w:rPr>
                <w:color w:val="000000"/>
                <w:sz w:val="20"/>
                <w:szCs w:val="20"/>
                <w:lang w:val="en-GB"/>
              </w:rPr>
              <w:t>Public</w:t>
            </w:r>
          </w:p>
        </w:tc>
        <w:tc>
          <w:tcPr>
            <w:tcW w:w="1670" w:type="dxa"/>
            <w:tcBorders>
              <w:top w:val="nil"/>
              <w:left w:val="nil"/>
              <w:bottom w:val="single" w:sz="8" w:space="0" w:color="506070"/>
              <w:right w:val="single" w:sz="8" w:space="0" w:color="506070"/>
            </w:tcBorders>
            <w:noWrap/>
            <w:hideMark/>
          </w:tcPr>
          <w:p w14:paraId="54682EF9" w14:textId="77777777" w:rsidR="00E71E7D" w:rsidRDefault="00E71E7D">
            <w:pPr>
              <w:spacing w:after="0"/>
              <w:jc w:val="center"/>
              <w:rPr>
                <w:color w:val="000000"/>
                <w:sz w:val="20"/>
                <w:szCs w:val="20"/>
              </w:rPr>
            </w:pPr>
            <w:r>
              <w:rPr>
                <w:color w:val="000000"/>
                <w:sz w:val="20"/>
                <w:szCs w:val="20"/>
                <w:lang w:val="en-GB"/>
              </w:rPr>
              <w:t>291</w:t>
            </w:r>
          </w:p>
        </w:tc>
        <w:tc>
          <w:tcPr>
            <w:tcW w:w="1440" w:type="dxa"/>
            <w:tcBorders>
              <w:top w:val="nil"/>
              <w:left w:val="nil"/>
              <w:bottom w:val="single" w:sz="8" w:space="0" w:color="506070"/>
              <w:right w:val="single" w:sz="8" w:space="0" w:color="506070"/>
            </w:tcBorders>
            <w:noWrap/>
            <w:hideMark/>
          </w:tcPr>
          <w:p w14:paraId="3BDEEAF0" w14:textId="77777777" w:rsidR="00E71E7D" w:rsidRDefault="00E71E7D">
            <w:pPr>
              <w:spacing w:after="0"/>
              <w:jc w:val="center"/>
              <w:rPr>
                <w:color w:val="000000"/>
                <w:sz w:val="20"/>
                <w:szCs w:val="20"/>
              </w:rPr>
            </w:pPr>
            <w:r>
              <w:rPr>
                <w:rFonts w:cs="Calibri"/>
                <w:color w:val="000000"/>
                <w:sz w:val="20"/>
                <w:szCs w:val="20"/>
                <w:lang w:val="en-GB"/>
              </w:rPr>
              <w:t>0.7</w:t>
            </w:r>
          </w:p>
        </w:tc>
        <w:tc>
          <w:tcPr>
            <w:tcW w:w="1800" w:type="dxa"/>
            <w:tcBorders>
              <w:top w:val="nil"/>
              <w:left w:val="nil"/>
              <w:bottom w:val="single" w:sz="8" w:space="0" w:color="506070"/>
              <w:right w:val="single" w:sz="8" w:space="0" w:color="506070"/>
            </w:tcBorders>
            <w:noWrap/>
            <w:hideMark/>
          </w:tcPr>
          <w:p w14:paraId="71E7C2EA" w14:textId="77777777" w:rsidR="00E71E7D" w:rsidRDefault="00E71E7D">
            <w:pPr>
              <w:spacing w:after="0"/>
              <w:jc w:val="center"/>
              <w:rPr>
                <w:color w:val="000000"/>
                <w:sz w:val="20"/>
                <w:szCs w:val="20"/>
              </w:rPr>
            </w:pPr>
            <w:r>
              <w:rPr>
                <w:rFonts w:cs="Calibri"/>
                <w:color w:val="000000"/>
                <w:sz w:val="20"/>
                <w:szCs w:val="20"/>
                <w:lang w:val="en-GB"/>
              </w:rPr>
              <w:t>0.8</w:t>
            </w:r>
          </w:p>
        </w:tc>
        <w:tc>
          <w:tcPr>
            <w:tcW w:w="1530" w:type="dxa"/>
            <w:tcBorders>
              <w:top w:val="nil"/>
              <w:left w:val="nil"/>
              <w:bottom w:val="single" w:sz="8" w:space="0" w:color="506070"/>
              <w:right w:val="single" w:sz="8" w:space="0" w:color="506070"/>
            </w:tcBorders>
            <w:noWrap/>
            <w:hideMark/>
          </w:tcPr>
          <w:p w14:paraId="632D8105" w14:textId="77777777" w:rsidR="00E71E7D" w:rsidRDefault="00E71E7D">
            <w:pPr>
              <w:spacing w:after="0"/>
              <w:jc w:val="center"/>
              <w:rPr>
                <w:color w:val="000000"/>
                <w:sz w:val="20"/>
                <w:szCs w:val="20"/>
              </w:rPr>
            </w:pPr>
            <w:r>
              <w:rPr>
                <w:rFonts w:cs="Calibri"/>
                <w:color w:val="000000"/>
                <w:sz w:val="20"/>
                <w:szCs w:val="20"/>
                <w:lang w:val="en-GB"/>
              </w:rPr>
              <w:t>163</w:t>
            </w:r>
          </w:p>
        </w:tc>
      </w:tr>
      <w:tr w:rsidR="00E71E7D" w14:paraId="66660551" w14:textId="77777777" w:rsidTr="00E71E7D">
        <w:tc>
          <w:tcPr>
            <w:tcW w:w="2740" w:type="dxa"/>
            <w:tcBorders>
              <w:top w:val="nil"/>
              <w:left w:val="single" w:sz="8" w:space="0" w:color="506070"/>
              <w:bottom w:val="single" w:sz="8" w:space="0" w:color="506070"/>
              <w:right w:val="single" w:sz="8" w:space="0" w:color="506070"/>
            </w:tcBorders>
            <w:shd w:val="clear" w:color="auto" w:fill="F2F2F2"/>
            <w:noWrap/>
            <w:hideMark/>
          </w:tcPr>
          <w:p w14:paraId="2A425704" w14:textId="77777777" w:rsidR="00E71E7D" w:rsidRDefault="00E71E7D">
            <w:pPr>
              <w:spacing w:after="0"/>
              <w:rPr>
                <w:rFonts w:eastAsiaTheme="minorHAnsi" w:cstheme="minorBidi"/>
                <w:sz w:val="22"/>
                <w:szCs w:val="22"/>
              </w:rPr>
            </w:pPr>
            <w:r>
              <w:rPr>
                <w:b/>
                <w:bCs/>
                <w:i/>
                <w:iCs/>
                <w:color w:val="000000"/>
                <w:sz w:val="20"/>
                <w:szCs w:val="20"/>
                <w:u w:val="single"/>
                <w:lang w:val="en-GB"/>
              </w:rPr>
              <w:t>Total (MW)</w:t>
            </w:r>
          </w:p>
        </w:tc>
        <w:tc>
          <w:tcPr>
            <w:tcW w:w="1670" w:type="dxa"/>
            <w:tcBorders>
              <w:top w:val="nil"/>
              <w:left w:val="nil"/>
              <w:bottom w:val="single" w:sz="8" w:space="0" w:color="506070"/>
              <w:right w:val="single" w:sz="8" w:space="0" w:color="506070"/>
            </w:tcBorders>
            <w:noWrap/>
            <w:hideMark/>
          </w:tcPr>
          <w:p w14:paraId="4E10F1F8" w14:textId="77777777" w:rsidR="00E71E7D" w:rsidRDefault="00E71E7D">
            <w:pPr>
              <w:spacing w:after="0"/>
              <w:jc w:val="center"/>
            </w:pPr>
            <w:r>
              <w:rPr>
                <w:b/>
                <w:bCs/>
                <w:i/>
                <w:iCs/>
                <w:color w:val="000000"/>
                <w:sz w:val="20"/>
                <w:szCs w:val="20"/>
                <w:u w:val="single"/>
                <w:lang w:val="en-GB"/>
              </w:rPr>
              <w:t>6,585</w:t>
            </w:r>
          </w:p>
        </w:tc>
        <w:tc>
          <w:tcPr>
            <w:tcW w:w="1440" w:type="dxa"/>
            <w:tcBorders>
              <w:top w:val="nil"/>
              <w:left w:val="nil"/>
              <w:bottom w:val="single" w:sz="8" w:space="0" w:color="506070"/>
              <w:right w:val="single" w:sz="8" w:space="0" w:color="506070"/>
            </w:tcBorders>
            <w:noWrap/>
            <w:hideMark/>
          </w:tcPr>
          <w:p w14:paraId="7B1F95CD" w14:textId="77777777" w:rsidR="00E71E7D" w:rsidRDefault="00E71E7D">
            <w:pPr>
              <w:spacing w:after="0"/>
              <w:rPr>
                <w:color w:val="000000"/>
                <w:sz w:val="18"/>
                <w:szCs w:val="18"/>
              </w:rPr>
            </w:pPr>
            <w:r>
              <w:rPr>
                <w:color w:val="000000"/>
                <w:sz w:val="18"/>
                <w:szCs w:val="18"/>
              </w:rPr>
              <w:t> </w:t>
            </w:r>
          </w:p>
        </w:tc>
        <w:tc>
          <w:tcPr>
            <w:tcW w:w="1800" w:type="dxa"/>
            <w:tcBorders>
              <w:top w:val="nil"/>
              <w:left w:val="nil"/>
              <w:bottom w:val="single" w:sz="8" w:space="0" w:color="506070"/>
              <w:right w:val="single" w:sz="8" w:space="0" w:color="506070"/>
            </w:tcBorders>
            <w:noWrap/>
            <w:hideMark/>
          </w:tcPr>
          <w:p w14:paraId="05C2CA18" w14:textId="77777777" w:rsidR="00E71E7D" w:rsidRDefault="00E71E7D">
            <w:pPr>
              <w:spacing w:after="0"/>
              <w:rPr>
                <w:color w:val="000000"/>
                <w:sz w:val="18"/>
                <w:szCs w:val="18"/>
              </w:rPr>
            </w:pPr>
            <w:r>
              <w:rPr>
                <w:color w:val="000000"/>
                <w:sz w:val="18"/>
                <w:szCs w:val="18"/>
              </w:rPr>
              <w:t> </w:t>
            </w:r>
          </w:p>
        </w:tc>
        <w:tc>
          <w:tcPr>
            <w:tcW w:w="1530" w:type="dxa"/>
            <w:tcBorders>
              <w:top w:val="nil"/>
              <w:left w:val="nil"/>
              <w:bottom w:val="single" w:sz="8" w:space="0" w:color="506070"/>
              <w:right w:val="single" w:sz="8" w:space="0" w:color="506070"/>
            </w:tcBorders>
            <w:noWrap/>
            <w:hideMark/>
          </w:tcPr>
          <w:p w14:paraId="1CCFAE7F" w14:textId="77777777" w:rsidR="00E71E7D" w:rsidRDefault="00E71E7D">
            <w:pPr>
              <w:spacing w:after="0"/>
              <w:jc w:val="center"/>
              <w:rPr>
                <w:rFonts w:eastAsiaTheme="minorHAnsi" w:cstheme="minorBidi"/>
                <w:sz w:val="22"/>
                <w:szCs w:val="22"/>
              </w:rPr>
            </w:pPr>
            <w:r>
              <w:rPr>
                <w:rFonts w:cs="Calibri"/>
                <w:b/>
                <w:bCs/>
                <w:i/>
                <w:iCs/>
                <w:color w:val="000000"/>
                <w:sz w:val="20"/>
                <w:szCs w:val="20"/>
                <w:u w:val="single"/>
                <w:lang w:val="en-GB"/>
              </w:rPr>
              <w:t>3,858</w:t>
            </w:r>
          </w:p>
        </w:tc>
      </w:tr>
    </w:tbl>
    <w:p w14:paraId="6D1ED7E0" w14:textId="02130B40" w:rsidR="00E71E7D" w:rsidRDefault="00E71E7D" w:rsidP="00E71E7D">
      <w:pPr>
        <w:spacing w:before="240" w:after="20"/>
      </w:pPr>
      <w:r>
        <w:rPr>
          <w:i/>
          <w:iCs/>
          <w:lang w:val="en-GB"/>
        </w:rPr>
        <w:lastRenderedPageBreak/>
        <w:t xml:space="preserve">Figure 2: Estimated annual RSPV growth in Turkey </w:t>
      </w:r>
    </w:p>
    <w:p w14:paraId="14F99934" w14:textId="1211C7EC" w:rsidR="00E71E7D" w:rsidRDefault="00E71E7D" w:rsidP="00C34866">
      <w:pPr>
        <w:keepNext/>
        <w:autoSpaceDE w:val="0"/>
        <w:autoSpaceDN w:val="0"/>
        <w:adjustRightInd w:val="0"/>
        <w:spacing w:before="20" w:after="60"/>
        <w:rPr>
          <w:rFonts w:eastAsiaTheme="minorHAnsi" w:cstheme="minorBidi"/>
        </w:rPr>
      </w:pPr>
      <w:r>
        <w:rPr>
          <w:noProof/>
        </w:rPr>
        <w:drawing>
          <wp:inline distT="0" distB="0" distL="0" distR="0" wp14:anchorId="083C55E4" wp14:editId="5315F7D7">
            <wp:extent cx="5702300" cy="2380615"/>
            <wp:effectExtent l="0" t="0" r="12700" b="635"/>
            <wp:docPr id="240" name="Chart 2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93A522F" w14:textId="5EE22091" w:rsidR="003859EE" w:rsidRPr="00E71E7D" w:rsidRDefault="003859EE" w:rsidP="003859EE">
      <w:pPr>
        <w:pStyle w:val="FootnoteText"/>
        <w:spacing w:before="240"/>
        <w:jc w:val="left"/>
        <w:rPr>
          <w:rFonts w:asciiTheme="minorHAnsi" w:eastAsia="Verdana" w:hAnsiTheme="minorHAnsi" w:cstheme="minorHAnsi"/>
        </w:rPr>
      </w:pPr>
      <w:r>
        <w:rPr>
          <w:rFonts w:asciiTheme="minorHAnsi" w:eastAsia="Verdana" w:hAnsiTheme="minorHAnsi" w:cstheme="minorHAnsi"/>
        </w:rPr>
        <w:t xml:space="preserve">These figures compare well with DGRE’s own analyses, which have determined the </w:t>
      </w:r>
      <w:r w:rsidRPr="00E71E7D">
        <w:rPr>
          <w:rFonts w:asciiTheme="minorHAnsi" w:eastAsia="Verdana" w:hAnsiTheme="minorHAnsi" w:cstheme="minorHAnsi"/>
        </w:rPr>
        <w:t xml:space="preserve">market potential of RSPV over next 10 years </w:t>
      </w:r>
      <w:r>
        <w:rPr>
          <w:rFonts w:asciiTheme="minorHAnsi" w:eastAsia="Verdana" w:hAnsiTheme="minorHAnsi" w:cstheme="minorHAnsi"/>
        </w:rPr>
        <w:t>to be</w:t>
      </w:r>
      <w:r w:rsidRPr="00E71E7D">
        <w:rPr>
          <w:rFonts w:asciiTheme="minorHAnsi" w:eastAsia="Verdana" w:hAnsiTheme="minorHAnsi" w:cstheme="minorHAnsi"/>
        </w:rPr>
        <w:t>: (a) 1.8 GW - Basic Scenario, (b) 4.0 GW - Medium-advanced Scenario, and (c) 7.5 GW - Advanced Scenario.</w:t>
      </w:r>
    </w:p>
    <w:p w14:paraId="1A78E168" w14:textId="77777777" w:rsidR="00E71E7D" w:rsidRPr="00E71E7D" w:rsidRDefault="00E71E7D" w:rsidP="00E71E7D">
      <w:pPr>
        <w:spacing w:before="240"/>
        <w:rPr>
          <w:b/>
          <w:bCs/>
          <w:color w:val="002060"/>
          <w:lang w:val="en-GB"/>
        </w:rPr>
      </w:pPr>
      <w:r>
        <w:rPr>
          <w:b/>
          <w:bCs/>
          <w:color w:val="002060"/>
          <w:lang w:val="en-GB"/>
        </w:rPr>
        <w:t>Pre-Feasibility Assessment of RSPV</w:t>
      </w:r>
    </w:p>
    <w:p w14:paraId="2A6C0E93" w14:textId="664A2AC6" w:rsidR="00E71E7D" w:rsidRPr="00E71E7D" w:rsidRDefault="00E71E7D" w:rsidP="00E71E7D">
      <w:pPr>
        <w:suppressAutoHyphens/>
        <w:spacing w:after="60"/>
        <w:rPr>
          <w:rFonts w:asciiTheme="minorHAnsi" w:eastAsia="SimSun" w:hAnsiTheme="minorHAnsi" w:cstheme="minorHAnsi"/>
          <w:lang w:val="en-GB"/>
        </w:rPr>
      </w:pPr>
      <w:r w:rsidRPr="00E71E7D">
        <w:rPr>
          <w:rFonts w:asciiTheme="minorHAnsi" w:eastAsia="SimSun" w:hAnsiTheme="minorHAnsi" w:cstheme="minorHAnsi"/>
          <w:lang w:val="en-GB"/>
        </w:rPr>
        <w:t xml:space="preserve">Field visits to 18 buildings were conducted to </w:t>
      </w:r>
      <w:r w:rsidR="00125F40">
        <w:rPr>
          <w:rFonts w:asciiTheme="minorHAnsi" w:eastAsia="SimSun" w:hAnsiTheme="minorHAnsi" w:cstheme="minorHAnsi"/>
          <w:lang w:val="en-GB"/>
        </w:rPr>
        <w:t>collect</w:t>
      </w:r>
      <w:r w:rsidRPr="00E71E7D">
        <w:rPr>
          <w:rFonts w:asciiTheme="minorHAnsi" w:eastAsia="SimSun" w:hAnsiTheme="minorHAnsi" w:cstheme="minorHAnsi"/>
          <w:lang w:val="en-GB"/>
        </w:rPr>
        <w:t xml:space="preserve"> data for prefeasibility assessments. These buildings were selected as representative buildings in the residential, commercial</w:t>
      </w:r>
      <w:r w:rsidR="00125F40">
        <w:rPr>
          <w:rFonts w:asciiTheme="minorHAnsi" w:eastAsia="SimSun" w:hAnsiTheme="minorHAnsi" w:cstheme="minorHAnsi"/>
          <w:lang w:val="en-GB"/>
        </w:rPr>
        <w:t>,</w:t>
      </w:r>
      <w:r w:rsidRPr="00E71E7D">
        <w:rPr>
          <w:rFonts w:asciiTheme="minorHAnsi" w:eastAsia="SimSun" w:hAnsiTheme="minorHAnsi" w:cstheme="minorHAnsi"/>
          <w:lang w:val="en-GB"/>
        </w:rPr>
        <w:t xml:space="preserve"> industrial and public sectors. Key considerations in conducting the</w:t>
      </w:r>
      <w:r w:rsidR="00125F40">
        <w:rPr>
          <w:rFonts w:asciiTheme="minorHAnsi" w:eastAsia="SimSun" w:hAnsiTheme="minorHAnsi" w:cstheme="minorHAnsi"/>
          <w:lang w:val="en-GB"/>
        </w:rPr>
        <w:t xml:space="preserve">se </w:t>
      </w:r>
      <w:r w:rsidRPr="00E71E7D">
        <w:rPr>
          <w:rFonts w:asciiTheme="minorHAnsi" w:eastAsia="SimSun" w:hAnsiTheme="minorHAnsi" w:cstheme="minorHAnsi"/>
          <w:lang w:val="en-GB"/>
        </w:rPr>
        <w:t>assessments included:</w:t>
      </w:r>
    </w:p>
    <w:p w14:paraId="0E77F54C" w14:textId="5AD5418A" w:rsidR="00E71E7D" w:rsidRPr="00E71E7D" w:rsidRDefault="00E71E7D" w:rsidP="00D33F4C">
      <w:pPr>
        <w:numPr>
          <w:ilvl w:val="0"/>
          <w:numId w:val="7"/>
        </w:numPr>
        <w:suppressAutoHyphens/>
        <w:spacing w:before="0" w:after="0"/>
        <w:contextualSpacing/>
        <w:rPr>
          <w:rFonts w:asciiTheme="minorHAnsi" w:eastAsia="SimSun" w:hAnsiTheme="minorHAnsi" w:cstheme="minorHAnsi"/>
          <w:lang w:val="en-GB"/>
        </w:rPr>
      </w:pPr>
      <w:r w:rsidRPr="00E71E7D">
        <w:rPr>
          <w:rFonts w:asciiTheme="minorHAnsi" w:eastAsia="SimSun" w:hAnsiTheme="minorHAnsi" w:cstheme="minorHAnsi"/>
          <w:lang w:val="en-GB"/>
        </w:rPr>
        <w:t>Solar PV system size, including roof structural stability</w:t>
      </w:r>
    </w:p>
    <w:p w14:paraId="2B0A1A8F" w14:textId="46C5332D" w:rsidR="00E71E7D" w:rsidRPr="00E71E7D" w:rsidRDefault="00E71E7D" w:rsidP="00D33F4C">
      <w:pPr>
        <w:numPr>
          <w:ilvl w:val="0"/>
          <w:numId w:val="7"/>
        </w:numPr>
        <w:suppressAutoHyphens/>
        <w:spacing w:before="0" w:after="0"/>
        <w:contextualSpacing/>
        <w:rPr>
          <w:rFonts w:asciiTheme="minorHAnsi" w:eastAsia="SimSun" w:hAnsiTheme="minorHAnsi" w:cstheme="minorHAnsi"/>
          <w:lang w:val="en-GB"/>
        </w:rPr>
      </w:pPr>
      <w:r w:rsidRPr="00E71E7D">
        <w:rPr>
          <w:rFonts w:asciiTheme="minorHAnsi" w:eastAsia="SimSun" w:hAnsiTheme="minorHAnsi" w:cstheme="minorHAnsi"/>
          <w:lang w:val="en-GB"/>
        </w:rPr>
        <w:t>Solar generation potential</w:t>
      </w:r>
    </w:p>
    <w:p w14:paraId="3DA9B166" w14:textId="675ED6AF" w:rsidR="00E71E7D" w:rsidRPr="00E71E7D" w:rsidRDefault="00E71E7D" w:rsidP="00D33F4C">
      <w:pPr>
        <w:numPr>
          <w:ilvl w:val="0"/>
          <w:numId w:val="7"/>
        </w:numPr>
        <w:suppressAutoHyphens/>
        <w:spacing w:before="0" w:after="0"/>
        <w:contextualSpacing/>
        <w:rPr>
          <w:rFonts w:asciiTheme="minorHAnsi" w:eastAsia="SimSun" w:hAnsiTheme="minorHAnsi" w:cstheme="minorHAnsi"/>
          <w:lang w:val="en-GB"/>
        </w:rPr>
      </w:pPr>
      <w:r w:rsidRPr="00E71E7D">
        <w:rPr>
          <w:rFonts w:asciiTheme="minorHAnsi" w:eastAsia="SimSun" w:hAnsiTheme="minorHAnsi" w:cstheme="minorHAnsi"/>
          <w:lang w:val="en-GB"/>
        </w:rPr>
        <w:t>Accessibility and grid interconnection</w:t>
      </w:r>
    </w:p>
    <w:p w14:paraId="32075A8A" w14:textId="7327E910" w:rsidR="00E71E7D" w:rsidRPr="00E71E7D" w:rsidRDefault="00E71E7D" w:rsidP="00D33F4C">
      <w:pPr>
        <w:numPr>
          <w:ilvl w:val="0"/>
          <w:numId w:val="7"/>
        </w:numPr>
        <w:suppressAutoHyphens/>
        <w:spacing w:before="0" w:after="0"/>
        <w:contextualSpacing/>
        <w:rPr>
          <w:rFonts w:asciiTheme="minorHAnsi" w:eastAsia="SimSun" w:hAnsiTheme="minorHAnsi" w:cstheme="minorHAnsi"/>
          <w:lang w:val="en-GB"/>
        </w:rPr>
      </w:pPr>
      <w:r w:rsidRPr="00E71E7D">
        <w:rPr>
          <w:rFonts w:asciiTheme="minorHAnsi" w:eastAsia="SimSun" w:hAnsiTheme="minorHAnsi" w:cstheme="minorHAnsi"/>
          <w:lang w:val="en-GB"/>
        </w:rPr>
        <w:t>Financing requirements</w:t>
      </w:r>
    </w:p>
    <w:p w14:paraId="5F293AB8" w14:textId="54D33A6D" w:rsidR="00E71E7D" w:rsidRPr="00E71E7D" w:rsidRDefault="00E71E7D" w:rsidP="00D33F4C">
      <w:pPr>
        <w:numPr>
          <w:ilvl w:val="0"/>
          <w:numId w:val="7"/>
        </w:numPr>
        <w:suppressAutoHyphens/>
        <w:spacing w:before="0" w:after="0"/>
        <w:contextualSpacing/>
        <w:rPr>
          <w:rFonts w:asciiTheme="minorHAnsi" w:eastAsia="SimSun" w:hAnsiTheme="minorHAnsi" w:cstheme="minorHAnsi"/>
          <w:lang w:val="en-GB"/>
        </w:rPr>
      </w:pPr>
      <w:r w:rsidRPr="00E71E7D">
        <w:rPr>
          <w:rFonts w:asciiTheme="minorHAnsi" w:eastAsia="SimSun" w:hAnsiTheme="minorHAnsi" w:cstheme="minorHAnsi"/>
          <w:lang w:val="en-GB"/>
        </w:rPr>
        <w:t>Financial and economic assessments</w:t>
      </w:r>
    </w:p>
    <w:p w14:paraId="69870948" w14:textId="1D0C5C6C" w:rsidR="00E71E7D" w:rsidRPr="00E71E7D" w:rsidRDefault="00E71E7D" w:rsidP="00E71E7D">
      <w:pPr>
        <w:suppressAutoHyphens/>
        <w:rPr>
          <w:rFonts w:asciiTheme="minorHAnsi" w:eastAsia="SimSun" w:hAnsiTheme="minorHAnsi" w:cstheme="minorHAnsi"/>
          <w:lang w:val="en-GB"/>
        </w:rPr>
      </w:pPr>
      <w:r w:rsidRPr="00E71E7D">
        <w:rPr>
          <w:rFonts w:asciiTheme="minorHAnsi" w:eastAsia="SimSun" w:hAnsiTheme="minorHAnsi" w:cstheme="minorHAnsi"/>
          <w:lang w:val="en-GB"/>
        </w:rPr>
        <w:t xml:space="preserve">Based on </w:t>
      </w:r>
      <w:r w:rsidR="00125F40">
        <w:rPr>
          <w:rFonts w:asciiTheme="minorHAnsi" w:eastAsia="SimSun" w:hAnsiTheme="minorHAnsi" w:cstheme="minorHAnsi"/>
          <w:lang w:val="en-GB"/>
        </w:rPr>
        <w:t xml:space="preserve">a detailed </w:t>
      </w:r>
      <w:r w:rsidRPr="00E71E7D">
        <w:rPr>
          <w:rFonts w:asciiTheme="minorHAnsi" w:eastAsia="SimSun" w:hAnsiTheme="minorHAnsi" w:cstheme="minorHAnsi"/>
          <w:lang w:val="en-GB"/>
        </w:rPr>
        <w:t xml:space="preserve">modelling </w:t>
      </w:r>
      <w:r w:rsidR="00125F40">
        <w:rPr>
          <w:rFonts w:asciiTheme="minorHAnsi" w:eastAsia="SimSun" w:hAnsiTheme="minorHAnsi" w:cstheme="minorHAnsi"/>
          <w:lang w:val="en-GB"/>
        </w:rPr>
        <w:t xml:space="preserve">exercise </w:t>
      </w:r>
      <w:r w:rsidRPr="00E71E7D">
        <w:rPr>
          <w:rFonts w:asciiTheme="minorHAnsi" w:eastAsia="SimSun" w:hAnsiTheme="minorHAnsi" w:cstheme="minorHAnsi"/>
          <w:lang w:val="en-GB"/>
        </w:rPr>
        <w:t>carried out for India, a RSPV system with a capacity of 80% of the building connected load was shown to cause losses (</w:t>
      </w:r>
      <w:r w:rsidR="00125F40">
        <w:rPr>
          <w:rFonts w:asciiTheme="minorHAnsi" w:eastAsia="SimSun" w:hAnsiTheme="minorHAnsi" w:cstheme="minorHAnsi"/>
          <w:lang w:val="en-GB"/>
        </w:rPr>
        <w:t>for</w:t>
      </w:r>
      <w:r w:rsidRPr="00E71E7D">
        <w:rPr>
          <w:rFonts w:asciiTheme="minorHAnsi" w:eastAsia="SimSun" w:hAnsiTheme="minorHAnsi" w:cstheme="minorHAnsi"/>
          <w:lang w:val="en-GB"/>
        </w:rPr>
        <w:t xml:space="preserve"> RSPV e</w:t>
      </w:r>
      <w:r w:rsidR="00125F40">
        <w:rPr>
          <w:rFonts w:asciiTheme="minorHAnsi" w:eastAsia="SimSun" w:hAnsiTheme="minorHAnsi" w:cstheme="minorHAnsi"/>
          <w:lang w:val="en-GB"/>
        </w:rPr>
        <w:t>lectricity</w:t>
      </w:r>
      <w:r w:rsidRPr="00E71E7D">
        <w:rPr>
          <w:rFonts w:asciiTheme="minorHAnsi" w:eastAsia="SimSun" w:hAnsiTheme="minorHAnsi" w:cstheme="minorHAnsi"/>
          <w:lang w:val="en-GB"/>
        </w:rPr>
        <w:t xml:space="preserve"> not self-consumed) of around 1%. Thus, in the interest of maximizing self-consumption, it is recommended that the RSPV system size not exceed 80% of the building’s connected load. For the 18 surveyed buildings in Turkey, four financial indicators were estimated: electricity (or the levelized cost of electricity, LCOE), internal rate of return (both economic – EIRR and financial – FIRR), net present value (NPV), and payback period. The analysis also looked at economic indicators based on both net-metering</w:t>
      </w:r>
      <w:r w:rsidRPr="00E71E7D">
        <w:rPr>
          <w:rFonts w:asciiTheme="minorHAnsi" w:eastAsia="SimSun" w:hAnsiTheme="minorHAnsi" w:cstheme="minorHAnsi"/>
          <w:vertAlign w:val="superscript"/>
          <w:lang w:val="en-GB"/>
        </w:rPr>
        <w:footnoteReference w:id="2"/>
      </w:r>
      <w:r w:rsidRPr="00E71E7D">
        <w:rPr>
          <w:rFonts w:asciiTheme="minorHAnsi" w:eastAsia="SimSun" w:hAnsiTheme="minorHAnsi" w:cstheme="minorHAnsi"/>
          <w:lang w:val="en-GB"/>
        </w:rPr>
        <w:t xml:space="preserve"> and 10-year FiT schemes</w:t>
      </w:r>
      <w:r w:rsidRPr="00E71E7D">
        <w:rPr>
          <w:rFonts w:asciiTheme="minorHAnsi" w:eastAsia="SimSun" w:hAnsiTheme="minorHAnsi" w:cstheme="minorHAnsi"/>
          <w:vertAlign w:val="superscript"/>
          <w:lang w:val="en-GB"/>
        </w:rPr>
        <w:footnoteReference w:id="3"/>
      </w:r>
      <w:r w:rsidRPr="00E71E7D">
        <w:rPr>
          <w:rFonts w:asciiTheme="minorHAnsi" w:eastAsia="SimSun" w:hAnsiTheme="minorHAnsi" w:cstheme="minorHAnsi"/>
          <w:lang w:val="en-GB"/>
        </w:rPr>
        <w:t>.</w:t>
      </w:r>
    </w:p>
    <w:p w14:paraId="3D383BAC" w14:textId="76C83F20" w:rsidR="00E71E7D" w:rsidRDefault="00E71E7D" w:rsidP="00E71E7D">
      <w:pPr>
        <w:rPr>
          <w:rFonts w:asciiTheme="minorHAnsi" w:eastAsia="SimSun" w:hAnsiTheme="minorHAnsi" w:cstheme="minorHAnsi"/>
          <w:lang w:val="en-GB"/>
        </w:rPr>
      </w:pPr>
      <w:r w:rsidRPr="00E71E7D">
        <w:rPr>
          <w:rFonts w:asciiTheme="minorHAnsi" w:eastAsia="SimSun" w:hAnsiTheme="minorHAnsi" w:cstheme="minorHAnsi"/>
          <w:lang w:val="en-GB"/>
        </w:rPr>
        <w:t>An Excel-based model was developed based on a standard cash flow methodology to determine these financial and economic parameters. All financial and economic parameters – such as interest rate, debt equity ratio, and operation and maintenance costs – were taken based on Turkey’s current market</w:t>
      </w:r>
      <w:r w:rsidR="00125F40">
        <w:rPr>
          <w:rFonts w:asciiTheme="minorHAnsi" w:eastAsia="SimSun" w:hAnsiTheme="minorHAnsi" w:cstheme="minorHAnsi"/>
          <w:lang w:val="en-GB"/>
        </w:rPr>
        <w:t xml:space="preserve"> conditions</w:t>
      </w:r>
      <w:r w:rsidRPr="00E71E7D">
        <w:rPr>
          <w:rFonts w:asciiTheme="minorHAnsi" w:eastAsia="SimSun" w:hAnsiTheme="minorHAnsi" w:cstheme="minorHAnsi"/>
          <w:lang w:val="en-GB"/>
        </w:rPr>
        <w:t>. The results for the residential</w:t>
      </w:r>
      <w:r w:rsidR="00C34866">
        <w:rPr>
          <w:rFonts w:asciiTheme="minorHAnsi" w:eastAsia="SimSun" w:hAnsiTheme="minorHAnsi" w:cstheme="minorHAnsi"/>
          <w:lang w:val="en-GB"/>
        </w:rPr>
        <w:t xml:space="preserve">, </w:t>
      </w:r>
      <w:r w:rsidRPr="00E71E7D">
        <w:rPr>
          <w:rFonts w:asciiTheme="minorHAnsi" w:eastAsia="SimSun" w:hAnsiTheme="minorHAnsi" w:cstheme="minorHAnsi"/>
          <w:lang w:val="en-GB"/>
        </w:rPr>
        <w:t>industrial</w:t>
      </w:r>
      <w:r w:rsidR="00C34866">
        <w:rPr>
          <w:rFonts w:asciiTheme="minorHAnsi" w:eastAsia="SimSun" w:hAnsiTheme="minorHAnsi" w:cstheme="minorHAnsi"/>
          <w:lang w:val="en-GB"/>
        </w:rPr>
        <w:t>, commercial and public</w:t>
      </w:r>
      <w:r w:rsidRPr="00E71E7D">
        <w:rPr>
          <w:rFonts w:asciiTheme="minorHAnsi" w:eastAsia="SimSun" w:hAnsiTheme="minorHAnsi" w:cstheme="minorHAnsi"/>
          <w:lang w:val="en-GB"/>
        </w:rPr>
        <w:t xml:space="preserve"> sectors are </w:t>
      </w:r>
      <w:r w:rsidR="00C34866">
        <w:rPr>
          <w:rFonts w:asciiTheme="minorHAnsi" w:eastAsia="SimSun" w:hAnsiTheme="minorHAnsi" w:cstheme="minorHAnsi"/>
          <w:lang w:val="en-GB"/>
        </w:rPr>
        <w:t>shown</w:t>
      </w:r>
      <w:r w:rsidRPr="00E71E7D">
        <w:rPr>
          <w:rFonts w:asciiTheme="minorHAnsi" w:eastAsia="SimSun" w:hAnsiTheme="minorHAnsi" w:cstheme="minorHAnsi"/>
          <w:lang w:val="en-GB"/>
        </w:rPr>
        <w:t xml:space="preserve"> in Table 4.</w:t>
      </w:r>
    </w:p>
    <w:p w14:paraId="4F2362FA" w14:textId="6A5AC4FF" w:rsidR="00E71E7D" w:rsidRDefault="00E71E7D" w:rsidP="00C34866">
      <w:pPr>
        <w:keepNext/>
        <w:spacing w:before="240" w:after="20"/>
        <w:rPr>
          <w:rFonts w:cstheme="minorBidi"/>
        </w:rPr>
      </w:pPr>
      <w:r>
        <w:rPr>
          <w:i/>
          <w:iCs/>
        </w:rPr>
        <w:lastRenderedPageBreak/>
        <w:t xml:space="preserve">Table 4: </w:t>
      </w:r>
      <w:r w:rsidR="00C34866">
        <w:rPr>
          <w:i/>
          <w:iCs/>
        </w:rPr>
        <w:t>Results of economic and financial analyses for all consumer classes</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011"/>
        <w:gridCol w:w="1108"/>
        <w:gridCol w:w="1349"/>
        <w:gridCol w:w="944"/>
        <w:gridCol w:w="1659"/>
        <w:gridCol w:w="950"/>
        <w:gridCol w:w="961"/>
      </w:tblGrid>
      <w:tr w:rsidR="00E71E7D" w14:paraId="548A51CF" w14:textId="77777777" w:rsidTr="00C34866">
        <w:tc>
          <w:tcPr>
            <w:tcW w:w="656" w:type="pct"/>
            <w:vMerge w:val="restart"/>
            <w:tcBorders>
              <w:top w:val="single" w:sz="4" w:space="0" w:color="auto"/>
              <w:left w:val="single" w:sz="4" w:space="0" w:color="auto"/>
              <w:bottom w:val="single" w:sz="4" w:space="0" w:color="auto"/>
              <w:right w:val="single" w:sz="4" w:space="0" w:color="auto"/>
            </w:tcBorders>
            <w:shd w:val="clear" w:color="auto" w:fill="002060"/>
            <w:noWrap/>
            <w:hideMark/>
          </w:tcPr>
          <w:p w14:paraId="1B98F0F5" w14:textId="77777777" w:rsidR="00E71E7D" w:rsidRDefault="00E71E7D">
            <w:pPr>
              <w:spacing w:after="0"/>
              <w:jc w:val="center"/>
              <w:rPr>
                <w:b/>
                <w:bCs/>
                <w:color w:val="FFFFFF"/>
                <w:sz w:val="20"/>
                <w:szCs w:val="20"/>
              </w:rPr>
            </w:pPr>
            <w:r>
              <w:rPr>
                <w:b/>
                <w:bCs/>
                <w:color w:val="FFFFFF"/>
                <w:sz w:val="20"/>
                <w:szCs w:val="20"/>
              </w:rPr>
              <w:t>Building</w:t>
            </w:r>
          </w:p>
        </w:tc>
        <w:tc>
          <w:tcPr>
            <w:tcW w:w="550" w:type="pct"/>
            <w:tcBorders>
              <w:top w:val="single" w:sz="4" w:space="0" w:color="auto"/>
              <w:left w:val="single" w:sz="4" w:space="0" w:color="auto"/>
              <w:bottom w:val="single" w:sz="4" w:space="0" w:color="auto"/>
              <w:right w:val="single" w:sz="4" w:space="0" w:color="auto"/>
            </w:tcBorders>
            <w:shd w:val="clear" w:color="auto" w:fill="002060"/>
            <w:hideMark/>
          </w:tcPr>
          <w:p w14:paraId="55609C34" w14:textId="77777777" w:rsidR="00E71E7D" w:rsidRDefault="00E71E7D">
            <w:pPr>
              <w:spacing w:after="0"/>
              <w:jc w:val="center"/>
              <w:rPr>
                <w:b/>
                <w:bCs/>
                <w:color w:val="FFFFFF"/>
                <w:sz w:val="20"/>
                <w:szCs w:val="20"/>
              </w:rPr>
            </w:pPr>
            <w:r>
              <w:rPr>
                <w:b/>
                <w:bCs/>
                <w:color w:val="FFFFFF"/>
                <w:sz w:val="20"/>
                <w:szCs w:val="20"/>
              </w:rPr>
              <w:t xml:space="preserve">RSPV Capacity </w:t>
            </w:r>
          </w:p>
        </w:tc>
        <w:tc>
          <w:tcPr>
            <w:tcW w:w="603" w:type="pct"/>
            <w:tcBorders>
              <w:top w:val="single" w:sz="4" w:space="0" w:color="auto"/>
              <w:left w:val="single" w:sz="4" w:space="0" w:color="auto"/>
              <w:bottom w:val="single" w:sz="4" w:space="0" w:color="auto"/>
              <w:right w:val="single" w:sz="4" w:space="0" w:color="auto"/>
            </w:tcBorders>
            <w:shd w:val="clear" w:color="auto" w:fill="002060"/>
            <w:noWrap/>
            <w:hideMark/>
          </w:tcPr>
          <w:p w14:paraId="76554F61" w14:textId="2A747490" w:rsidR="00E71E7D" w:rsidRDefault="00E71E7D" w:rsidP="003976EC">
            <w:pPr>
              <w:spacing w:after="0"/>
              <w:jc w:val="center"/>
              <w:rPr>
                <w:b/>
                <w:bCs/>
                <w:color w:val="FFFFFF"/>
                <w:sz w:val="20"/>
                <w:szCs w:val="20"/>
              </w:rPr>
            </w:pPr>
            <w:r>
              <w:rPr>
                <w:b/>
                <w:bCs/>
                <w:color w:val="FFFFFF"/>
                <w:sz w:val="20"/>
                <w:szCs w:val="20"/>
              </w:rPr>
              <w:t>EIRR</w:t>
            </w:r>
            <w:r w:rsidR="003976EC">
              <w:rPr>
                <w:b/>
                <w:bCs/>
                <w:color w:val="FFFFFF"/>
                <w:sz w:val="20"/>
                <w:szCs w:val="20"/>
              </w:rPr>
              <w:t xml:space="preserve"> (%)</w:t>
            </w:r>
          </w:p>
        </w:tc>
        <w:tc>
          <w:tcPr>
            <w:tcW w:w="1248" w:type="pct"/>
            <w:gridSpan w:val="2"/>
            <w:tcBorders>
              <w:top w:val="single" w:sz="4" w:space="0" w:color="auto"/>
              <w:left w:val="single" w:sz="4" w:space="0" w:color="auto"/>
              <w:bottom w:val="single" w:sz="4" w:space="0" w:color="auto"/>
              <w:right w:val="single" w:sz="4" w:space="0" w:color="auto"/>
            </w:tcBorders>
            <w:shd w:val="clear" w:color="auto" w:fill="002060"/>
            <w:noWrap/>
            <w:hideMark/>
          </w:tcPr>
          <w:p w14:paraId="41D329EF" w14:textId="32458D1E" w:rsidR="00E71E7D" w:rsidRDefault="00E71E7D">
            <w:pPr>
              <w:spacing w:after="0"/>
              <w:jc w:val="center"/>
              <w:rPr>
                <w:b/>
                <w:bCs/>
                <w:color w:val="FFFFFF"/>
                <w:sz w:val="20"/>
                <w:szCs w:val="20"/>
              </w:rPr>
            </w:pPr>
            <w:r>
              <w:rPr>
                <w:b/>
                <w:bCs/>
                <w:color w:val="FFFFFF"/>
                <w:sz w:val="20"/>
                <w:szCs w:val="20"/>
              </w:rPr>
              <w:t>FIRR</w:t>
            </w:r>
            <w:r w:rsidR="003976EC">
              <w:rPr>
                <w:b/>
                <w:bCs/>
                <w:color w:val="FFFFFF"/>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002060"/>
            <w:hideMark/>
          </w:tcPr>
          <w:p w14:paraId="5CFC8CAA" w14:textId="77777777" w:rsidR="00E71E7D" w:rsidRDefault="00E71E7D">
            <w:pPr>
              <w:spacing w:after="0"/>
              <w:jc w:val="center"/>
              <w:rPr>
                <w:b/>
                <w:bCs/>
                <w:color w:val="FFFFFF"/>
                <w:sz w:val="20"/>
                <w:szCs w:val="20"/>
              </w:rPr>
            </w:pPr>
            <w:r>
              <w:rPr>
                <w:b/>
                <w:bCs/>
                <w:color w:val="FFFFFF"/>
                <w:sz w:val="20"/>
                <w:szCs w:val="20"/>
              </w:rPr>
              <w:t xml:space="preserve">NPV </w:t>
            </w:r>
          </w:p>
        </w:tc>
        <w:tc>
          <w:tcPr>
            <w:tcW w:w="517" w:type="pct"/>
            <w:tcBorders>
              <w:top w:val="single" w:sz="4" w:space="0" w:color="auto"/>
              <w:left w:val="single" w:sz="4" w:space="0" w:color="auto"/>
              <w:bottom w:val="single" w:sz="4" w:space="0" w:color="auto"/>
              <w:right w:val="single" w:sz="4" w:space="0" w:color="auto"/>
            </w:tcBorders>
            <w:shd w:val="clear" w:color="auto" w:fill="002060"/>
            <w:hideMark/>
          </w:tcPr>
          <w:p w14:paraId="5FAD439A" w14:textId="77777777" w:rsidR="00E71E7D" w:rsidRDefault="00E71E7D">
            <w:pPr>
              <w:spacing w:after="0"/>
              <w:jc w:val="center"/>
              <w:rPr>
                <w:b/>
                <w:bCs/>
                <w:color w:val="FFFFFF"/>
                <w:sz w:val="20"/>
                <w:szCs w:val="20"/>
              </w:rPr>
            </w:pPr>
            <w:r>
              <w:rPr>
                <w:b/>
                <w:bCs/>
                <w:color w:val="FFFFFF"/>
                <w:sz w:val="20"/>
                <w:szCs w:val="20"/>
              </w:rPr>
              <w:t xml:space="preserve">Payback Period </w:t>
            </w:r>
          </w:p>
        </w:tc>
        <w:tc>
          <w:tcPr>
            <w:tcW w:w="523" w:type="pct"/>
            <w:tcBorders>
              <w:top w:val="single" w:sz="4" w:space="0" w:color="auto"/>
              <w:left w:val="single" w:sz="4" w:space="0" w:color="auto"/>
              <w:bottom w:val="single" w:sz="4" w:space="0" w:color="auto"/>
              <w:right w:val="single" w:sz="4" w:space="0" w:color="auto"/>
            </w:tcBorders>
            <w:shd w:val="clear" w:color="auto" w:fill="002060"/>
            <w:hideMark/>
          </w:tcPr>
          <w:p w14:paraId="15074FBA" w14:textId="77777777" w:rsidR="00E71E7D" w:rsidRDefault="00E71E7D">
            <w:pPr>
              <w:spacing w:after="0"/>
              <w:jc w:val="center"/>
              <w:rPr>
                <w:b/>
                <w:bCs/>
                <w:color w:val="FFFFFF"/>
                <w:sz w:val="20"/>
                <w:szCs w:val="20"/>
              </w:rPr>
            </w:pPr>
            <w:r>
              <w:rPr>
                <w:b/>
                <w:bCs/>
                <w:color w:val="FFFFFF"/>
                <w:sz w:val="20"/>
                <w:szCs w:val="20"/>
              </w:rPr>
              <w:t>LCOE</w:t>
            </w:r>
          </w:p>
        </w:tc>
      </w:tr>
      <w:tr w:rsidR="00E71E7D" w14:paraId="0CF05229" w14:textId="77777777" w:rsidTr="00C34866">
        <w:tc>
          <w:tcPr>
            <w:tcW w:w="0" w:type="auto"/>
            <w:vMerge/>
            <w:tcBorders>
              <w:top w:val="single" w:sz="4" w:space="0" w:color="auto"/>
              <w:left w:val="single" w:sz="4" w:space="0" w:color="auto"/>
              <w:bottom w:val="single" w:sz="4" w:space="0" w:color="auto"/>
              <w:right w:val="single" w:sz="4" w:space="0" w:color="auto"/>
            </w:tcBorders>
            <w:vAlign w:val="center"/>
            <w:hideMark/>
          </w:tcPr>
          <w:p w14:paraId="597157BA" w14:textId="77777777" w:rsidR="00E71E7D" w:rsidRDefault="00E71E7D">
            <w:pPr>
              <w:spacing w:after="0"/>
              <w:rPr>
                <w:b/>
                <w:bCs/>
                <w:color w:val="FFFFFF"/>
                <w:sz w:val="20"/>
                <w:szCs w:val="20"/>
              </w:rPr>
            </w:pPr>
          </w:p>
        </w:tc>
        <w:tc>
          <w:tcPr>
            <w:tcW w:w="550" w:type="pct"/>
            <w:tcBorders>
              <w:top w:val="single" w:sz="4" w:space="0" w:color="auto"/>
              <w:left w:val="single" w:sz="4" w:space="0" w:color="auto"/>
              <w:bottom w:val="single" w:sz="4" w:space="0" w:color="auto"/>
              <w:right w:val="single" w:sz="4" w:space="0" w:color="auto"/>
            </w:tcBorders>
            <w:shd w:val="clear" w:color="auto" w:fill="002060"/>
            <w:hideMark/>
          </w:tcPr>
          <w:p w14:paraId="6C3F5921" w14:textId="2A2FEB78" w:rsidR="00E71E7D" w:rsidRDefault="00E71E7D">
            <w:pPr>
              <w:spacing w:after="0"/>
              <w:jc w:val="center"/>
              <w:rPr>
                <w:b/>
                <w:bCs/>
                <w:color w:val="FFFFFF"/>
                <w:sz w:val="20"/>
                <w:szCs w:val="20"/>
              </w:rPr>
            </w:pPr>
            <w:r>
              <w:rPr>
                <w:b/>
                <w:bCs/>
                <w:color w:val="FFFFFF"/>
                <w:sz w:val="20"/>
                <w:szCs w:val="20"/>
              </w:rPr>
              <w:t>(kW)</w:t>
            </w:r>
          </w:p>
        </w:tc>
        <w:tc>
          <w:tcPr>
            <w:tcW w:w="603" w:type="pct"/>
            <w:tcBorders>
              <w:top w:val="single" w:sz="4" w:space="0" w:color="auto"/>
              <w:left w:val="single" w:sz="4" w:space="0" w:color="auto"/>
              <w:bottom w:val="single" w:sz="4" w:space="0" w:color="auto"/>
              <w:right w:val="single" w:sz="4" w:space="0" w:color="auto"/>
            </w:tcBorders>
            <w:shd w:val="clear" w:color="auto" w:fill="002060"/>
            <w:noWrap/>
            <w:hideMark/>
          </w:tcPr>
          <w:p w14:paraId="554B29AB" w14:textId="77777777" w:rsidR="00E71E7D" w:rsidRDefault="00E71E7D">
            <w:pPr>
              <w:rPr>
                <w:b/>
                <w:bCs/>
                <w:color w:val="FFFFFF"/>
                <w:sz w:val="20"/>
                <w:szCs w:val="20"/>
              </w:rPr>
            </w:pPr>
          </w:p>
        </w:tc>
        <w:tc>
          <w:tcPr>
            <w:tcW w:w="734" w:type="pct"/>
            <w:tcBorders>
              <w:top w:val="single" w:sz="4" w:space="0" w:color="auto"/>
              <w:left w:val="single" w:sz="4" w:space="0" w:color="auto"/>
              <w:bottom w:val="single" w:sz="4" w:space="0" w:color="auto"/>
              <w:right w:val="single" w:sz="4" w:space="0" w:color="auto"/>
            </w:tcBorders>
            <w:shd w:val="clear" w:color="auto" w:fill="002060"/>
            <w:noWrap/>
            <w:hideMark/>
          </w:tcPr>
          <w:p w14:paraId="3F8A6781" w14:textId="77777777" w:rsidR="00E71E7D" w:rsidRDefault="00E71E7D">
            <w:pPr>
              <w:spacing w:after="0"/>
              <w:jc w:val="center"/>
              <w:rPr>
                <w:b/>
                <w:bCs/>
                <w:color w:val="FFFFFF"/>
                <w:sz w:val="20"/>
                <w:szCs w:val="20"/>
              </w:rPr>
            </w:pPr>
            <w:r>
              <w:rPr>
                <w:b/>
                <w:bCs/>
                <w:color w:val="FFFFFF"/>
                <w:sz w:val="20"/>
                <w:szCs w:val="20"/>
              </w:rPr>
              <w:t>Net-metering</w:t>
            </w:r>
          </w:p>
        </w:tc>
        <w:tc>
          <w:tcPr>
            <w:tcW w:w="514" w:type="pct"/>
            <w:tcBorders>
              <w:top w:val="single" w:sz="4" w:space="0" w:color="auto"/>
              <w:left w:val="single" w:sz="4" w:space="0" w:color="auto"/>
              <w:bottom w:val="single" w:sz="4" w:space="0" w:color="auto"/>
              <w:right w:val="single" w:sz="4" w:space="0" w:color="auto"/>
            </w:tcBorders>
            <w:shd w:val="clear" w:color="auto" w:fill="002060"/>
            <w:noWrap/>
            <w:hideMark/>
          </w:tcPr>
          <w:p w14:paraId="3BB1864C" w14:textId="77777777" w:rsidR="00E71E7D" w:rsidRDefault="00E71E7D">
            <w:pPr>
              <w:spacing w:after="0"/>
              <w:jc w:val="center"/>
              <w:rPr>
                <w:b/>
                <w:bCs/>
                <w:color w:val="FFFFFF"/>
                <w:sz w:val="20"/>
                <w:szCs w:val="20"/>
              </w:rPr>
            </w:pPr>
            <w:r>
              <w:rPr>
                <w:b/>
                <w:bCs/>
                <w:color w:val="FFFFFF"/>
                <w:sz w:val="20"/>
                <w:szCs w:val="20"/>
              </w:rPr>
              <w:t>FiT-10 y</w:t>
            </w:r>
          </w:p>
        </w:tc>
        <w:tc>
          <w:tcPr>
            <w:tcW w:w="903" w:type="pct"/>
            <w:tcBorders>
              <w:top w:val="single" w:sz="4" w:space="0" w:color="auto"/>
              <w:left w:val="single" w:sz="4" w:space="0" w:color="auto"/>
              <w:bottom w:val="single" w:sz="4" w:space="0" w:color="auto"/>
              <w:right w:val="single" w:sz="4" w:space="0" w:color="auto"/>
            </w:tcBorders>
            <w:shd w:val="clear" w:color="auto" w:fill="002060"/>
            <w:hideMark/>
          </w:tcPr>
          <w:p w14:paraId="2479E18F" w14:textId="2DB7A76B" w:rsidR="00E71E7D" w:rsidRDefault="00E71E7D">
            <w:pPr>
              <w:spacing w:after="0"/>
              <w:jc w:val="center"/>
              <w:rPr>
                <w:b/>
                <w:bCs/>
                <w:color w:val="FFFFFF"/>
                <w:sz w:val="20"/>
                <w:szCs w:val="20"/>
              </w:rPr>
            </w:pPr>
            <w:r>
              <w:rPr>
                <w:b/>
                <w:bCs/>
                <w:color w:val="FFFFFF"/>
                <w:sz w:val="20"/>
                <w:szCs w:val="20"/>
              </w:rPr>
              <w:t>(</w:t>
            </w:r>
            <w:r w:rsidR="003976EC">
              <w:rPr>
                <w:b/>
                <w:bCs/>
                <w:color w:val="FFFFFF"/>
                <w:sz w:val="20"/>
                <w:szCs w:val="20"/>
              </w:rPr>
              <w:t>US</w:t>
            </w:r>
            <w:r>
              <w:rPr>
                <w:b/>
                <w:bCs/>
                <w:color w:val="FFFFFF"/>
                <w:sz w:val="20"/>
                <w:szCs w:val="20"/>
              </w:rPr>
              <w:t>$)</w:t>
            </w:r>
          </w:p>
        </w:tc>
        <w:tc>
          <w:tcPr>
            <w:tcW w:w="517" w:type="pct"/>
            <w:tcBorders>
              <w:top w:val="single" w:sz="4" w:space="0" w:color="auto"/>
              <w:left w:val="single" w:sz="4" w:space="0" w:color="auto"/>
              <w:bottom w:val="single" w:sz="4" w:space="0" w:color="auto"/>
              <w:right w:val="single" w:sz="4" w:space="0" w:color="auto"/>
            </w:tcBorders>
            <w:shd w:val="clear" w:color="auto" w:fill="002060"/>
            <w:hideMark/>
          </w:tcPr>
          <w:p w14:paraId="72CEFD84" w14:textId="77777777" w:rsidR="00E71E7D" w:rsidRDefault="00E71E7D">
            <w:pPr>
              <w:spacing w:after="0"/>
              <w:jc w:val="center"/>
              <w:rPr>
                <w:b/>
                <w:bCs/>
                <w:color w:val="FFFFFF"/>
                <w:sz w:val="20"/>
                <w:szCs w:val="20"/>
              </w:rPr>
            </w:pPr>
            <w:r>
              <w:rPr>
                <w:b/>
                <w:bCs/>
                <w:color w:val="FFFFFF"/>
                <w:sz w:val="20"/>
                <w:szCs w:val="20"/>
              </w:rPr>
              <w:t>(Years)</w:t>
            </w:r>
          </w:p>
        </w:tc>
        <w:tc>
          <w:tcPr>
            <w:tcW w:w="523" w:type="pct"/>
            <w:tcBorders>
              <w:top w:val="single" w:sz="4" w:space="0" w:color="auto"/>
              <w:left w:val="single" w:sz="4" w:space="0" w:color="auto"/>
              <w:bottom w:val="single" w:sz="4" w:space="0" w:color="auto"/>
              <w:right w:val="single" w:sz="4" w:space="0" w:color="auto"/>
            </w:tcBorders>
            <w:shd w:val="clear" w:color="auto" w:fill="002060"/>
            <w:hideMark/>
          </w:tcPr>
          <w:p w14:paraId="09E0B79A" w14:textId="1D884E40" w:rsidR="00E71E7D" w:rsidRDefault="00E71E7D">
            <w:pPr>
              <w:spacing w:after="0"/>
              <w:jc w:val="center"/>
              <w:rPr>
                <w:b/>
                <w:bCs/>
                <w:color w:val="FFFFFF"/>
                <w:sz w:val="20"/>
                <w:szCs w:val="20"/>
              </w:rPr>
            </w:pPr>
            <w:r>
              <w:rPr>
                <w:b/>
                <w:bCs/>
                <w:color w:val="FFFFFF"/>
                <w:sz w:val="20"/>
                <w:szCs w:val="20"/>
              </w:rPr>
              <w:t>($/kWh)</w:t>
            </w:r>
          </w:p>
        </w:tc>
      </w:tr>
      <w:tr w:rsidR="00C34866" w14:paraId="13744812" w14:textId="77777777" w:rsidTr="00C34866">
        <w:trPr>
          <w:trHeight w:val="251"/>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C29321D" w14:textId="5C3AA733" w:rsidR="00C34866" w:rsidRDefault="00C34866" w:rsidP="00C34866">
            <w:pPr>
              <w:spacing w:before="40" w:after="40"/>
              <w:jc w:val="center"/>
              <w:rPr>
                <w:color w:val="000000"/>
                <w:sz w:val="20"/>
                <w:szCs w:val="20"/>
              </w:rPr>
            </w:pPr>
            <w:r>
              <w:rPr>
                <w:color w:val="000000"/>
                <w:sz w:val="20"/>
                <w:szCs w:val="20"/>
              </w:rPr>
              <w:t>Residential</w:t>
            </w:r>
          </w:p>
        </w:tc>
      </w:tr>
      <w:tr w:rsidR="00E71E7D" w14:paraId="12E442B7" w14:textId="77777777" w:rsidTr="00C34866">
        <w:tc>
          <w:tcPr>
            <w:tcW w:w="65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8C9FBF" w14:textId="166CF586" w:rsidR="00E71E7D" w:rsidRDefault="00E71E7D">
            <w:pPr>
              <w:spacing w:after="0"/>
              <w:rPr>
                <w:color w:val="000000"/>
                <w:sz w:val="20"/>
                <w:szCs w:val="20"/>
              </w:rPr>
            </w:pPr>
            <w:r>
              <w:rPr>
                <w:color w:val="000000"/>
                <w:sz w:val="20"/>
                <w:szCs w:val="20"/>
              </w:rPr>
              <w:t>AE1</w:t>
            </w:r>
          </w:p>
        </w:tc>
        <w:tc>
          <w:tcPr>
            <w:tcW w:w="550" w:type="pct"/>
            <w:tcBorders>
              <w:top w:val="single" w:sz="4" w:space="0" w:color="auto"/>
              <w:left w:val="single" w:sz="4" w:space="0" w:color="auto"/>
              <w:bottom w:val="single" w:sz="4" w:space="0" w:color="auto"/>
              <w:right w:val="single" w:sz="4" w:space="0" w:color="auto"/>
            </w:tcBorders>
            <w:noWrap/>
            <w:hideMark/>
          </w:tcPr>
          <w:p w14:paraId="7FD94CB5" w14:textId="77777777" w:rsidR="00E71E7D" w:rsidRDefault="00E71E7D">
            <w:pPr>
              <w:spacing w:after="0"/>
              <w:jc w:val="center"/>
              <w:rPr>
                <w:color w:val="000000"/>
                <w:sz w:val="20"/>
                <w:szCs w:val="20"/>
              </w:rPr>
            </w:pPr>
            <w:r>
              <w:rPr>
                <w:color w:val="000000"/>
                <w:sz w:val="20"/>
                <w:szCs w:val="20"/>
              </w:rPr>
              <w:t>15</w:t>
            </w:r>
          </w:p>
        </w:tc>
        <w:tc>
          <w:tcPr>
            <w:tcW w:w="603" w:type="pct"/>
            <w:tcBorders>
              <w:top w:val="single" w:sz="4" w:space="0" w:color="auto"/>
              <w:left w:val="single" w:sz="4" w:space="0" w:color="auto"/>
              <w:bottom w:val="single" w:sz="4" w:space="0" w:color="auto"/>
              <w:right w:val="single" w:sz="4" w:space="0" w:color="auto"/>
            </w:tcBorders>
            <w:noWrap/>
            <w:hideMark/>
          </w:tcPr>
          <w:p w14:paraId="4E60B25D" w14:textId="16C6A52F" w:rsidR="00E71E7D" w:rsidRDefault="00E71E7D">
            <w:pPr>
              <w:spacing w:after="0"/>
              <w:jc w:val="center"/>
              <w:rPr>
                <w:color w:val="000000"/>
                <w:sz w:val="20"/>
                <w:szCs w:val="20"/>
              </w:rPr>
            </w:pPr>
            <w:r>
              <w:rPr>
                <w:color w:val="000000"/>
                <w:sz w:val="20"/>
                <w:szCs w:val="20"/>
              </w:rPr>
              <w:t>21</w:t>
            </w:r>
          </w:p>
        </w:tc>
        <w:tc>
          <w:tcPr>
            <w:tcW w:w="734" w:type="pct"/>
            <w:tcBorders>
              <w:top w:val="single" w:sz="4" w:space="0" w:color="auto"/>
              <w:left w:val="single" w:sz="4" w:space="0" w:color="auto"/>
              <w:bottom w:val="single" w:sz="4" w:space="0" w:color="auto"/>
              <w:right w:val="single" w:sz="4" w:space="0" w:color="auto"/>
            </w:tcBorders>
            <w:noWrap/>
            <w:hideMark/>
          </w:tcPr>
          <w:p w14:paraId="6EA7884D" w14:textId="7ADAA8F2" w:rsidR="00E71E7D" w:rsidRDefault="00E71E7D">
            <w:pPr>
              <w:spacing w:after="0"/>
              <w:jc w:val="center"/>
              <w:rPr>
                <w:color w:val="000000"/>
                <w:sz w:val="20"/>
                <w:szCs w:val="20"/>
              </w:rPr>
            </w:pPr>
            <w:r>
              <w:rPr>
                <w:color w:val="000000"/>
                <w:sz w:val="20"/>
                <w:szCs w:val="20"/>
              </w:rPr>
              <w:t>16</w:t>
            </w:r>
          </w:p>
        </w:tc>
        <w:tc>
          <w:tcPr>
            <w:tcW w:w="514" w:type="pct"/>
            <w:tcBorders>
              <w:top w:val="single" w:sz="4" w:space="0" w:color="auto"/>
              <w:left w:val="single" w:sz="4" w:space="0" w:color="auto"/>
              <w:bottom w:val="single" w:sz="4" w:space="0" w:color="auto"/>
              <w:right w:val="single" w:sz="4" w:space="0" w:color="auto"/>
            </w:tcBorders>
            <w:noWrap/>
            <w:hideMark/>
          </w:tcPr>
          <w:p w14:paraId="2C24EF1B" w14:textId="07739A25" w:rsidR="00E71E7D" w:rsidRDefault="00E71E7D">
            <w:pPr>
              <w:spacing w:after="0"/>
              <w:jc w:val="center"/>
              <w:rPr>
                <w:color w:val="000000"/>
                <w:sz w:val="20"/>
                <w:szCs w:val="20"/>
              </w:rPr>
            </w:pPr>
            <w:r>
              <w:rPr>
                <w:color w:val="000000"/>
                <w:sz w:val="20"/>
                <w:szCs w:val="20"/>
              </w:rPr>
              <w:t>15</w:t>
            </w:r>
          </w:p>
        </w:tc>
        <w:tc>
          <w:tcPr>
            <w:tcW w:w="903" w:type="pct"/>
            <w:tcBorders>
              <w:top w:val="single" w:sz="4" w:space="0" w:color="auto"/>
              <w:left w:val="single" w:sz="4" w:space="0" w:color="auto"/>
              <w:bottom w:val="single" w:sz="4" w:space="0" w:color="auto"/>
              <w:right w:val="single" w:sz="4" w:space="0" w:color="auto"/>
            </w:tcBorders>
            <w:noWrap/>
            <w:hideMark/>
          </w:tcPr>
          <w:p w14:paraId="1FF59F79" w14:textId="77777777" w:rsidR="00E71E7D" w:rsidRDefault="00E71E7D">
            <w:pPr>
              <w:spacing w:after="0"/>
              <w:jc w:val="center"/>
              <w:rPr>
                <w:color w:val="000000"/>
                <w:sz w:val="20"/>
                <w:szCs w:val="20"/>
              </w:rPr>
            </w:pPr>
            <w:r>
              <w:rPr>
                <w:color w:val="000000"/>
                <w:sz w:val="20"/>
                <w:szCs w:val="20"/>
              </w:rPr>
              <w:t>14,355</w:t>
            </w:r>
          </w:p>
        </w:tc>
        <w:tc>
          <w:tcPr>
            <w:tcW w:w="517" w:type="pct"/>
            <w:tcBorders>
              <w:top w:val="single" w:sz="4" w:space="0" w:color="auto"/>
              <w:left w:val="single" w:sz="4" w:space="0" w:color="auto"/>
              <w:bottom w:val="single" w:sz="4" w:space="0" w:color="auto"/>
              <w:right w:val="single" w:sz="4" w:space="0" w:color="auto"/>
            </w:tcBorders>
            <w:noWrap/>
            <w:hideMark/>
          </w:tcPr>
          <w:p w14:paraId="2CF3B56E" w14:textId="77777777" w:rsidR="00E71E7D" w:rsidRDefault="00E71E7D">
            <w:pPr>
              <w:spacing w:after="0"/>
              <w:jc w:val="center"/>
              <w:rPr>
                <w:color w:val="000000"/>
                <w:sz w:val="20"/>
                <w:szCs w:val="20"/>
              </w:rPr>
            </w:pPr>
            <w:r>
              <w:rPr>
                <w:color w:val="000000"/>
                <w:sz w:val="20"/>
                <w:szCs w:val="20"/>
              </w:rPr>
              <w:t>7.9</w:t>
            </w:r>
          </w:p>
        </w:tc>
        <w:tc>
          <w:tcPr>
            <w:tcW w:w="523" w:type="pct"/>
            <w:tcBorders>
              <w:top w:val="single" w:sz="4" w:space="0" w:color="auto"/>
              <w:left w:val="single" w:sz="4" w:space="0" w:color="auto"/>
              <w:bottom w:val="single" w:sz="4" w:space="0" w:color="auto"/>
              <w:right w:val="single" w:sz="4" w:space="0" w:color="auto"/>
            </w:tcBorders>
            <w:noWrap/>
            <w:hideMark/>
          </w:tcPr>
          <w:p w14:paraId="1C8419F3" w14:textId="77777777" w:rsidR="00E71E7D" w:rsidRDefault="00E71E7D">
            <w:pPr>
              <w:spacing w:after="0"/>
              <w:jc w:val="center"/>
              <w:rPr>
                <w:color w:val="000000"/>
                <w:sz w:val="20"/>
                <w:szCs w:val="20"/>
              </w:rPr>
            </w:pPr>
            <w:r>
              <w:rPr>
                <w:color w:val="000000"/>
                <w:sz w:val="20"/>
                <w:szCs w:val="20"/>
              </w:rPr>
              <w:t>0.15</w:t>
            </w:r>
          </w:p>
        </w:tc>
      </w:tr>
      <w:tr w:rsidR="00E71E7D" w14:paraId="739CB60B" w14:textId="77777777" w:rsidTr="00C34866">
        <w:tc>
          <w:tcPr>
            <w:tcW w:w="65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9E02C3D" w14:textId="1DE57E43" w:rsidR="00E71E7D" w:rsidRDefault="00E71E7D">
            <w:pPr>
              <w:spacing w:after="0"/>
              <w:rPr>
                <w:color w:val="000000"/>
                <w:sz w:val="20"/>
                <w:szCs w:val="20"/>
              </w:rPr>
            </w:pPr>
            <w:r>
              <w:rPr>
                <w:color w:val="000000"/>
                <w:sz w:val="20"/>
                <w:szCs w:val="20"/>
              </w:rPr>
              <w:t>AE2</w:t>
            </w:r>
          </w:p>
        </w:tc>
        <w:tc>
          <w:tcPr>
            <w:tcW w:w="550" w:type="pct"/>
            <w:tcBorders>
              <w:top w:val="single" w:sz="4" w:space="0" w:color="auto"/>
              <w:left w:val="single" w:sz="4" w:space="0" w:color="auto"/>
              <w:bottom w:val="single" w:sz="4" w:space="0" w:color="auto"/>
              <w:right w:val="single" w:sz="4" w:space="0" w:color="auto"/>
            </w:tcBorders>
            <w:noWrap/>
            <w:hideMark/>
          </w:tcPr>
          <w:p w14:paraId="080DFE20" w14:textId="77777777" w:rsidR="00E71E7D" w:rsidRDefault="00E71E7D">
            <w:pPr>
              <w:spacing w:after="0"/>
              <w:jc w:val="center"/>
              <w:rPr>
                <w:color w:val="000000"/>
                <w:sz w:val="20"/>
                <w:szCs w:val="20"/>
              </w:rPr>
            </w:pPr>
            <w:r>
              <w:rPr>
                <w:color w:val="000000"/>
                <w:sz w:val="20"/>
                <w:szCs w:val="20"/>
              </w:rPr>
              <w:t>15</w:t>
            </w:r>
          </w:p>
        </w:tc>
        <w:tc>
          <w:tcPr>
            <w:tcW w:w="603" w:type="pct"/>
            <w:tcBorders>
              <w:top w:val="single" w:sz="4" w:space="0" w:color="auto"/>
              <w:left w:val="single" w:sz="4" w:space="0" w:color="auto"/>
              <w:bottom w:val="single" w:sz="4" w:space="0" w:color="auto"/>
              <w:right w:val="single" w:sz="4" w:space="0" w:color="auto"/>
            </w:tcBorders>
            <w:noWrap/>
            <w:hideMark/>
          </w:tcPr>
          <w:p w14:paraId="1BDABC90" w14:textId="0EE562B2" w:rsidR="00E71E7D" w:rsidRDefault="00E71E7D">
            <w:pPr>
              <w:spacing w:after="0"/>
              <w:jc w:val="center"/>
              <w:rPr>
                <w:color w:val="000000"/>
                <w:sz w:val="20"/>
                <w:szCs w:val="20"/>
              </w:rPr>
            </w:pPr>
            <w:r>
              <w:rPr>
                <w:color w:val="000000"/>
                <w:sz w:val="20"/>
                <w:szCs w:val="20"/>
              </w:rPr>
              <w:t>22</w:t>
            </w:r>
          </w:p>
        </w:tc>
        <w:tc>
          <w:tcPr>
            <w:tcW w:w="734" w:type="pct"/>
            <w:tcBorders>
              <w:top w:val="single" w:sz="4" w:space="0" w:color="auto"/>
              <w:left w:val="single" w:sz="4" w:space="0" w:color="auto"/>
              <w:bottom w:val="single" w:sz="4" w:space="0" w:color="auto"/>
              <w:right w:val="single" w:sz="4" w:space="0" w:color="auto"/>
            </w:tcBorders>
            <w:noWrap/>
            <w:hideMark/>
          </w:tcPr>
          <w:p w14:paraId="318096DD" w14:textId="4F4E9EF0" w:rsidR="00E71E7D" w:rsidRDefault="00E71E7D">
            <w:pPr>
              <w:spacing w:after="0"/>
              <w:jc w:val="center"/>
              <w:rPr>
                <w:color w:val="000000"/>
                <w:sz w:val="20"/>
                <w:szCs w:val="20"/>
              </w:rPr>
            </w:pPr>
            <w:r>
              <w:rPr>
                <w:color w:val="000000"/>
                <w:sz w:val="20"/>
                <w:szCs w:val="20"/>
              </w:rPr>
              <w:t>16</w:t>
            </w:r>
          </w:p>
        </w:tc>
        <w:tc>
          <w:tcPr>
            <w:tcW w:w="514" w:type="pct"/>
            <w:tcBorders>
              <w:top w:val="single" w:sz="4" w:space="0" w:color="auto"/>
              <w:left w:val="single" w:sz="4" w:space="0" w:color="auto"/>
              <w:bottom w:val="single" w:sz="4" w:space="0" w:color="auto"/>
              <w:right w:val="single" w:sz="4" w:space="0" w:color="auto"/>
            </w:tcBorders>
            <w:noWrap/>
            <w:hideMark/>
          </w:tcPr>
          <w:p w14:paraId="2D2858C1" w14:textId="1CA60080" w:rsidR="00E71E7D" w:rsidRDefault="00E71E7D">
            <w:pPr>
              <w:spacing w:after="0"/>
              <w:jc w:val="center"/>
              <w:rPr>
                <w:color w:val="000000"/>
                <w:sz w:val="20"/>
                <w:szCs w:val="20"/>
              </w:rPr>
            </w:pPr>
            <w:r>
              <w:rPr>
                <w:color w:val="000000"/>
                <w:sz w:val="20"/>
                <w:szCs w:val="20"/>
              </w:rPr>
              <w:t>15</w:t>
            </w:r>
          </w:p>
        </w:tc>
        <w:tc>
          <w:tcPr>
            <w:tcW w:w="903" w:type="pct"/>
            <w:tcBorders>
              <w:top w:val="single" w:sz="4" w:space="0" w:color="auto"/>
              <w:left w:val="single" w:sz="4" w:space="0" w:color="auto"/>
              <w:bottom w:val="single" w:sz="4" w:space="0" w:color="auto"/>
              <w:right w:val="single" w:sz="4" w:space="0" w:color="auto"/>
            </w:tcBorders>
            <w:noWrap/>
            <w:hideMark/>
          </w:tcPr>
          <w:p w14:paraId="7FE1ADFD" w14:textId="77777777" w:rsidR="00E71E7D" w:rsidRDefault="00E71E7D">
            <w:pPr>
              <w:spacing w:after="0"/>
              <w:jc w:val="center"/>
              <w:rPr>
                <w:color w:val="000000"/>
                <w:sz w:val="20"/>
                <w:szCs w:val="20"/>
              </w:rPr>
            </w:pPr>
            <w:r>
              <w:rPr>
                <w:color w:val="000000"/>
                <w:sz w:val="20"/>
                <w:szCs w:val="20"/>
              </w:rPr>
              <w:t>14,355</w:t>
            </w:r>
          </w:p>
        </w:tc>
        <w:tc>
          <w:tcPr>
            <w:tcW w:w="517" w:type="pct"/>
            <w:tcBorders>
              <w:top w:val="single" w:sz="4" w:space="0" w:color="auto"/>
              <w:left w:val="single" w:sz="4" w:space="0" w:color="auto"/>
              <w:bottom w:val="single" w:sz="4" w:space="0" w:color="auto"/>
              <w:right w:val="single" w:sz="4" w:space="0" w:color="auto"/>
            </w:tcBorders>
            <w:noWrap/>
            <w:hideMark/>
          </w:tcPr>
          <w:p w14:paraId="0FDCC6DD" w14:textId="77777777" w:rsidR="00E71E7D" w:rsidRDefault="00E71E7D">
            <w:pPr>
              <w:spacing w:after="0"/>
              <w:jc w:val="center"/>
              <w:rPr>
                <w:color w:val="000000"/>
                <w:sz w:val="20"/>
                <w:szCs w:val="20"/>
              </w:rPr>
            </w:pPr>
            <w:r>
              <w:rPr>
                <w:color w:val="000000"/>
                <w:sz w:val="20"/>
                <w:szCs w:val="20"/>
              </w:rPr>
              <w:t>7.9</w:t>
            </w:r>
          </w:p>
        </w:tc>
        <w:tc>
          <w:tcPr>
            <w:tcW w:w="523" w:type="pct"/>
            <w:tcBorders>
              <w:top w:val="single" w:sz="4" w:space="0" w:color="auto"/>
              <w:left w:val="single" w:sz="4" w:space="0" w:color="auto"/>
              <w:bottom w:val="single" w:sz="4" w:space="0" w:color="auto"/>
              <w:right w:val="single" w:sz="4" w:space="0" w:color="auto"/>
            </w:tcBorders>
            <w:noWrap/>
            <w:hideMark/>
          </w:tcPr>
          <w:p w14:paraId="23C5BAD1" w14:textId="77777777" w:rsidR="00E71E7D" w:rsidRDefault="00E71E7D">
            <w:pPr>
              <w:spacing w:after="0"/>
              <w:jc w:val="center"/>
              <w:rPr>
                <w:color w:val="000000"/>
                <w:sz w:val="20"/>
                <w:szCs w:val="20"/>
              </w:rPr>
            </w:pPr>
            <w:r>
              <w:rPr>
                <w:color w:val="000000"/>
                <w:sz w:val="20"/>
                <w:szCs w:val="20"/>
              </w:rPr>
              <w:t>0.15</w:t>
            </w:r>
          </w:p>
        </w:tc>
      </w:tr>
      <w:tr w:rsidR="00E71E7D" w14:paraId="2E5FC556" w14:textId="77777777" w:rsidTr="00C34866">
        <w:tc>
          <w:tcPr>
            <w:tcW w:w="65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E00C732" w14:textId="1F0F188A" w:rsidR="00E71E7D" w:rsidRDefault="00E71E7D">
            <w:pPr>
              <w:spacing w:after="0"/>
              <w:rPr>
                <w:color w:val="000000"/>
                <w:sz w:val="20"/>
                <w:szCs w:val="20"/>
              </w:rPr>
            </w:pPr>
            <w:r>
              <w:rPr>
                <w:color w:val="000000"/>
                <w:sz w:val="20"/>
                <w:szCs w:val="20"/>
              </w:rPr>
              <w:t>Batikent</w:t>
            </w:r>
          </w:p>
        </w:tc>
        <w:tc>
          <w:tcPr>
            <w:tcW w:w="550" w:type="pct"/>
            <w:tcBorders>
              <w:top w:val="single" w:sz="4" w:space="0" w:color="auto"/>
              <w:left w:val="single" w:sz="4" w:space="0" w:color="auto"/>
              <w:bottom w:val="single" w:sz="4" w:space="0" w:color="auto"/>
              <w:right w:val="single" w:sz="4" w:space="0" w:color="auto"/>
            </w:tcBorders>
            <w:noWrap/>
            <w:hideMark/>
          </w:tcPr>
          <w:p w14:paraId="5EE6A519" w14:textId="77777777" w:rsidR="00E71E7D" w:rsidRDefault="00E71E7D">
            <w:pPr>
              <w:spacing w:after="0"/>
              <w:jc w:val="center"/>
              <w:rPr>
                <w:color w:val="000000"/>
                <w:sz w:val="20"/>
                <w:szCs w:val="20"/>
              </w:rPr>
            </w:pPr>
            <w:r>
              <w:rPr>
                <w:color w:val="000000"/>
                <w:sz w:val="20"/>
                <w:szCs w:val="20"/>
              </w:rPr>
              <w:t>56</w:t>
            </w:r>
          </w:p>
        </w:tc>
        <w:tc>
          <w:tcPr>
            <w:tcW w:w="603" w:type="pct"/>
            <w:tcBorders>
              <w:top w:val="single" w:sz="4" w:space="0" w:color="auto"/>
              <w:left w:val="single" w:sz="4" w:space="0" w:color="auto"/>
              <w:bottom w:val="single" w:sz="4" w:space="0" w:color="auto"/>
              <w:right w:val="single" w:sz="4" w:space="0" w:color="auto"/>
            </w:tcBorders>
            <w:noWrap/>
            <w:hideMark/>
          </w:tcPr>
          <w:p w14:paraId="5158AB6A" w14:textId="3DC160F5" w:rsidR="00E71E7D" w:rsidRDefault="00E71E7D">
            <w:pPr>
              <w:spacing w:after="0"/>
              <w:jc w:val="center"/>
              <w:rPr>
                <w:color w:val="000000"/>
                <w:sz w:val="20"/>
                <w:szCs w:val="20"/>
              </w:rPr>
            </w:pPr>
            <w:r>
              <w:rPr>
                <w:color w:val="000000"/>
                <w:sz w:val="20"/>
                <w:szCs w:val="20"/>
              </w:rPr>
              <w:t>40</w:t>
            </w:r>
          </w:p>
        </w:tc>
        <w:tc>
          <w:tcPr>
            <w:tcW w:w="734" w:type="pct"/>
            <w:tcBorders>
              <w:top w:val="single" w:sz="4" w:space="0" w:color="auto"/>
              <w:left w:val="single" w:sz="4" w:space="0" w:color="auto"/>
              <w:bottom w:val="single" w:sz="4" w:space="0" w:color="auto"/>
              <w:right w:val="single" w:sz="4" w:space="0" w:color="auto"/>
            </w:tcBorders>
            <w:noWrap/>
            <w:hideMark/>
          </w:tcPr>
          <w:p w14:paraId="51B4DA99" w14:textId="22431918" w:rsidR="00E71E7D" w:rsidRDefault="00E71E7D">
            <w:pPr>
              <w:spacing w:after="0"/>
              <w:jc w:val="center"/>
              <w:rPr>
                <w:color w:val="000000"/>
                <w:sz w:val="20"/>
                <w:szCs w:val="20"/>
              </w:rPr>
            </w:pPr>
            <w:r>
              <w:rPr>
                <w:color w:val="000000"/>
                <w:sz w:val="20"/>
                <w:szCs w:val="20"/>
              </w:rPr>
              <w:t>29</w:t>
            </w:r>
          </w:p>
        </w:tc>
        <w:tc>
          <w:tcPr>
            <w:tcW w:w="514" w:type="pct"/>
            <w:tcBorders>
              <w:top w:val="single" w:sz="4" w:space="0" w:color="auto"/>
              <w:left w:val="single" w:sz="4" w:space="0" w:color="auto"/>
              <w:bottom w:val="single" w:sz="4" w:space="0" w:color="auto"/>
              <w:right w:val="single" w:sz="4" w:space="0" w:color="auto"/>
            </w:tcBorders>
            <w:noWrap/>
            <w:hideMark/>
          </w:tcPr>
          <w:p w14:paraId="2232F84D" w14:textId="339CA296" w:rsidR="00E71E7D" w:rsidRDefault="00E71E7D">
            <w:pPr>
              <w:spacing w:after="0"/>
              <w:jc w:val="center"/>
              <w:rPr>
                <w:color w:val="000000"/>
                <w:sz w:val="20"/>
                <w:szCs w:val="20"/>
              </w:rPr>
            </w:pPr>
            <w:r>
              <w:rPr>
                <w:color w:val="000000"/>
                <w:sz w:val="20"/>
                <w:szCs w:val="20"/>
              </w:rPr>
              <w:t>28</w:t>
            </w:r>
          </w:p>
        </w:tc>
        <w:tc>
          <w:tcPr>
            <w:tcW w:w="903" w:type="pct"/>
            <w:tcBorders>
              <w:top w:val="single" w:sz="4" w:space="0" w:color="auto"/>
              <w:left w:val="single" w:sz="4" w:space="0" w:color="auto"/>
              <w:bottom w:val="single" w:sz="4" w:space="0" w:color="auto"/>
              <w:right w:val="single" w:sz="4" w:space="0" w:color="auto"/>
            </w:tcBorders>
            <w:noWrap/>
            <w:hideMark/>
          </w:tcPr>
          <w:p w14:paraId="186C57D9" w14:textId="77777777" w:rsidR="00E71E7D" w:rsidRDefault="00E71E7D">
            <w:pPr>
              <w:spacing w:after="0"/>
              <w:jc w:val="center"/>
              <w:rPr>
                <w:color w:val="000000"/>
                <w:sz w:val="20"/>
                <w:szCs w:val="20"/>
              </w:rPr>
            </w:pPr>
            <w:r>
              <w:rPr>
                <w:color w:val="000000"/>
                <w:sz w:val="20"/>
                <w:szCs w:val="20"/>
              </w:rPr>
              <w:t>81,527</w:t>
            </w:r>
          </w:p>
        </w:tc>
        <w:tc>
          <w:tcPr>
            <w:tcW w:w="517" w:type="pct"/>
            <w:tcBorders>
              <w:top w:val="single" w:sz="4" w:space="0" w:color="auto"/>
              <w:left w:val="single" w:sz="4" w:space="0" w:color="auto"/>
              <w:bottom w:val="single" w:sz="4" w:space="0" w:color="auto"/>
              <w:right w:val="single" w:sz="4" w:space="0" w:color="auto"/>
            </w:tcBorders>
            <w:noWrap/>
            <w:hideMark/>
          </w:tcPr>
          <w:p w14:paraId="0F72EA50" w14:textId="77777777" w:rsidR="00E71E7D" w:rsidRDefault="00E71E7D">
            <w:pPr>
              <w:spacing w:after="0"/>
              <w:jc w:val="center"/>
              <w:rPr>
                <w:color w:val="000000"/>
                <w:sz w:val="20"/>
                <w:szCs w:val="20"/>
              </w:rPr>
            </w:pPr>
            <w:r>
              <w:rPr>
                <w:color w:val="000000"/>
                <w:sz w:val="20"/>
                <w:szCs w:val="20"/>
              </w:rPr>
              <w:t>6.5</w:t>
            </w:r>
          </w:p>
        </w:tc>
        <w:tc>
          <w:tcPr>
            <w:tcW w:w="523" w:type="pct"/>
            <w:tcBorders>
              <w:top w:val="single" w:sz="4" w:space="0" w:color="auto"/>
              <w:left w:val="single" w:sz="4" w:space="0" w:color="auto"/>
              <w:bottom w:val="single" w:sz="4" w:space="0" w:color="auto"/>
              <w:right w:val="single" w:sz="4" w:space="0" w:color="auto"/>
            </w:tcBorders>
            <w:noWrap/>
            <w:hideMark/>
          </w:tcPr>
          <w:p w14:paraId="4693C7AB" w14:textId="77777777" w:rsidR="00E71E7D" w:rsidRDefault="00E71E7D">
            <w:pPr>
              <w:spacing w:after="0"/>
              <w:jc w:val="center"/>
              <w:rPr>
                <w:color w:val="000000"/>
                <w:sz w:val="20"/>
                <w:szCs w:val="20"/>
              </w:rPr>
            </w:pPr>
            <w:r>
              <w:rPr>
                <w:color w:val="000000"/>
                <w:sz w:val="20"/>
                <w:szCs w:val="20"/>
              </w:rPr>
              <w:t>0.12</w:t>
            </w:r>
          </w:p>
        </w:tc>
      </w:tr>
      <w:tr w:rsidR="00E71E7D" w14:paraId="58308F2B" w14:textId="77777777" w:rsidTr="00C34866">
        <w:tc>
          <w:tcPr>
            <w:tcW w:w="65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224265" w14:textId="7552AC1D" w:rsidR="00E71E7D" w:rsidRDefault="00E71E7D">
            <w:pPr>
              <w:spacing w:after="0"/>
              <w:rPr>
                <w:color w:val="000000"/>
                <w:sz w:val="20"/>
                <w:szCs w:val="20"/>
              </w:rPr>
            </w:pPr>
            <w:r>
              <w:rPr>
                <w:color w:val="000000"/>
                <w:sz w:val="20"/>
                <w:szCs w:val="20"/>
              </w:rPr>
              <w:t>Nezih</w:t>
            </w:r>
          </w:p>
        </w:tc>
        <w:tc>
          <w:tcPr>
            <w:tcW w:w="550" w:type="pct"/>
            <w:tcBorders>
              <w:top w:val="single" w:sz="4" w:space="0" w:color="auto"/>
              <w:left w:val="single" w:sz="4" w:space="0" w:color="auto"/>
              <w:bottom w:val="single" w:sz="4" w:space="0" w:color="auto"/>
              <w:right w:val="single" w:sz="4" w:space="0" w:color="auto"/>
            </w:tcBorders>
            <w:noWrap/>
            <w:hideMark/>
          </w:tcPr>
          <w:p w14:paraId="5C59E179" w14:textId="77777777" w:rsidR="00E71E7D" w:rsidRDefault="00E71E7D">
            <w:pPr>
              <w:spacing w:after="0"/>
              <w:jc w:val="center"/>
              <w:rPr>
                <w:color w:val="000000"/>
                <w:sz w:val="20"/>
                <w:szCs w:val="20"/>
              </w:rPr>
            </w:pPr>
            <w:r>
              <w:rPr>
                <w:color w:val="000000"/>
                <w:sz w:val="20"/>
                <w:szCs w:val="20"/>
              </w:rPr>
              <w:t>30</w:t>
            </w:r>
          </w:p>
        </w:tc>
        <w:tc>
          <w:tcPr>
            <w:tcW w:w="603" w:type="pct"/>
            <w:tcBorders>
              <w:top w:val="single" w:sz="4" w:space="0" w:color="auto"/>
              <w:left w:val="single" w:sz="4" w:space="0" w:color="auto"/>
              <w:bottom w:val="single" w:sz="4" w:space="0" w:color="auto"/>
              <w:right w:val="single" w:sz="4" w:space="0" w:color="auto"/>
            </w:tcBorders>
            <w:noWrap/>
            <w:hideMark/>
          </w:tcPr>
          <w:p w14:paraId="7F2BD56A" w14:textId="6E42A004" w:rsidR="00E71E7D" w:rsidRDefault="00E71E7D">
            <w:pPr>
              <w:spacing w:after="0"/>
              <w:jc w:val="center"/>
              <w:rPr>
                <w:color w:val="000000"/>
                <w:sz w:val="20"/>
                <w:szCs w:val="20"/>
              </w:rPr>
            </w:pPr>
            <w:r>
              <w:rPr>
                <w:color w:val="000000"/>
                <w:sz w:val="20"/>
                <w:szCs w:val="20"/>
              </w:rPr>
              <w:t>25</w:t>
            </w:r>
          </w:p>
        </w:tc>
        <w:tc>
          <w:tcPr>
            <w:tcW w:w="734" w:type="pct"/>
            <w:tcBorders>
              <w:top w:val="single" w:sz="4" w:space="0" w:color="auto"/>
              <w:left w:val="single" w:sz="4" w:space="0" w:color="auto"/>
              <w:bottom w:val="single" w:sz="4" w:space="0" w:color="auto"/>
              <w:right w:val="single" w:sz="4" w:space="0" w:color="auto"/>
            </w:tcBorders>
            <w:noWrap/>
            <w:hideMark/>
          </w:tcPr>
          <w:p w14:paraId="4FA74A61" w14:textId="1877FFA3" w:rsidR="00E71E7D" w:rsidRDefault="00E71E7D">
            <w:pPr>
              <w:spacing w:after="0"/>
              <w:jc w:val="center"/>
              <w:rPr>
                <w:color w:val="000000"/>
                <w:sz w:val="20"/>
                <w:szCs w:val="20"/>
              </w:rPr>
            </w:pPr>
            <w:r>
              <w:rPr>
                <w:color w:val="000000"/>
                <w:sz w:val="20"/>
                <w:szCs w:val="20"/>
              </w:rPr>
              <w:t>19</w:t>
            </w:r>
          </w:p>
        </w:tc>
        <w:tc>
          <w:tcPr>
            <w:tcW w:w="514" w:type="pct"/>
            <w:tcBorders>
              <w:top w:val="single" w:sz="4" w:space="0" w:color="auto"/>
              <w:left w:val="single" w:sz="4" w:space="0" w:color="auto"/>
              <w:bottom w:val="single" w:sz="4" w:space="0" w:color="auto"/>
              <w:right w:val="single" w:sz="4" w:space="0" w:color="auto"/>
            </w:tcBorders>
            <w:noWrap/>
            <w:hideMark/>
          </w:tcPr>
          <w:p w14:paraId="5FDD4347" w14:textId="52DBE76A" w:rsidR="00E71E7D" w:rsidRDefault="00E71E7D">
            <w:pPr>
              <w:spacing w:after="0"/>
              <w:jc w:val="center"/>
              <w:rPr>
                <w:color w:val="000000"/>
                <w:sz w:val="20"/>
                <w:szCs w:val="20"/>
              </w:rPr>
            </w:pPr>
            <w:r>
              <w:rPr>
                <w:color w:val="000000"/>
                <w:sz w:val="20"/>
                <w:szCs w:val="20"/>
              </w:rPr>
              <w:t>18</w:t>
            </w:r>
          </w:p>
        </w:tc>
        <w:tc>
          <w:tcPr>
            <w:tcW w:w="903" w:type="pct"/>
            <w:tcBorders>
              <w:top w:val="single" w:sz="4" w:space="0" w:color="auto"/>
              <w:left w:val="single" w:sz="4" w:space="0" w:color="auto"/>
              <w:bottom w:val="single" w:sz="4" w:space="0" w:color="auto"/>
              <w:right w:val="single" w:sz="4" w:space="0" w:color="auto"/>
            </w:tcBorders>
            <w:noWrap/>
            <w:hideMark/>
          </w:tcPr>
          <w:p w14:paraId="466AE50B" w14:textId="77777777" w:rsidR="00E71E7D" w:rsidRDefault="00E71E7D">
            <w:pPr>
              <w:spacing w:after="0"/>
              <w:jc w:val="center"/>
              <w:rPr>
                <w:color w:val="000000"/>
                <w:sz w:val="20"/>
                <w:szCs w:val="20"/>
              </w:rPr>
            </w:pPr>
            <w:r>
              <w:rPr>
                <w:color w:val="000000"/>
                <w:sz w:val="20"/>
                <w:szCs w:val="20"/>
              </w:rPr>
              <w:t>29,279</w:t>
            </w:r>
          </w:p>
        </w:tc>
        <w:tc>
          <w:tcPr>
            <w:tcW w:w="517" w:type="pct"/>
            <w:tcBorders>
              <w:top w:val="single" w:sz="4" w:space="0" w:color="auto"/>
              <w:left w:val="single" w:sz="4" w:space="0" w:color="auto"/>
              <w:bottom w:val="single" w:sz="4" w:space="0" w:color="auto"/>
              <w:right w:val="single" w:sz="4" w:space="0" w:color="auto"/>
            </w:tcBorders>
            <w:noWrap/>
            <w:hideMark/>
          </w:tcPr>
          <w:p w14:paraId="0DE1A034" w14:textId="77777777" w:rsidR="00E71E7D" w:rsidRDefault="00E71E7D">
            <w:pPr>
              <w:spacing w:after="0"/>
              <w:jc w:val="center"/>
              <w:rPr>
                <w:color w:val="000000"/>
                <w:sz w:val="20"/>
                <w:szCs w:val="20"/>
              </w:rPr>
            </w:pPr>
            <w:r>
              <w:rPr>
                <w:color w:val="000000"/>
                <w:sz w:val="20"/>
                <w:szCs w:val="20"/>
              </w:rPr>
              <w:t>7.4</w:t>
            </w:r>
          </w:p>
        </w:tc>
        <w:tc>
          <w:tcPr>
            <w:tcW w:w="523" w:type="pct"/>
            <w:tcBorders>
              <w:top w:val="single" w:sz="4" w:space="0" w:color="auto"/>
              <w:left w:val="single" w:sz="4" w:space="0" w:color="auto"/>
              <w:bottom w:val="single" w:sz="4" w:space="0" w:color="auto"/>
              <w:right w:val="single" w:sz="4" w:space="0" w:color="auto"/>
            </w:tcBorders>
            <w:noWrap/>
            <w:hideMark/>
          </w:tcPr>
          <w:p w14:paraId="23CBB020" w14:textId="77777777" w:rsidR="00E71E7D" w:rsidRDefault="00E71E7D">
            <w:pPr>
              <w:spacing w:after="0"/>
              <w:jc w:val="center"/>
              <w:rPr>
                <w:color w:val="000000"/>
                <w:sz w:val="20"/>
                <w:szCs w:val="20"/>
              </w:rPr>
            </w:pPr>
            <w:r>
              <w:rPr>
                <w:color w:val="000000"/>
                <w:sz w:val="20"/>
                <w:szCs w:val="20"/>
              </w:rPr>
              <w:t>0.14</w:t>
            </w:r>
          </w:p>
        </w:tc>
      </w:tr>
      <w:tr w:rsidR="00E71E7D" w14:paraId="56D3DFD9" w14:textId="77777777" w:rsidTr="00C34866">
        <w:tc>
          <w:tcPr>
            <w:tcW w:w="65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9F152C4" w14:textId="35500EA7" w:rsidR="00E71E7D" w:rsidRDefault="00E71E7D">
            <w:pPr>
              <w:spacing w:after="0"/>
              <w:rPr>
                <w:color w:val="000000"/>
                <w:sz w:val="20"/>
                <w:szCs w:val="20"/>
              </w:rPr>
            </w:pPr>
            <w:r>
              <w:rPr>
                <w:color w:val="000000"/>
                <w:sz w:val="20"/>
                <w:szCs w:val="20"/>
              </w:rPr>
              <w:t>Doga</w:t>
            </w:r>
          </w:p>
        </w:tc>
        <w:tc>
          <w:tcPr>
            <w:tcW w:w="550" w:type="pct"/>
            <w:tcBorders>
              <w:top w:val="single" w:sz="4" w:space="0" w:color="auto"/>
              <w:left w:val="single" w:sz="4" w:space="0" w:color="auto"/>
              <w:bottom w:val="single" w:sz="4" w:space="0" w:color="auto"/>
              <w:right w:val="single" w:sz="4" w:space="0" w:color="auto"/>
            </w:tcBorders>
            <w:noWrap/>
            <w:hideMark/>
          </w:tcPr>
          <w:p w14:paraId="1A01037F" w14:textId="77777777" w:rsidR="00E71E7D" w:rsidRDefault="00E71E7D">
            <w:pPr>
              <w:spacing w:after="0"/>
              <w:jc w:val="center"/>
              <w:rPr>
                <w:color w:val="000000"/>
                <w:sz w:val="20"/>
                <w:szCs w:val="20"/>
              </w:rPr>
            </w:pPr>
            <w:r>
              <w:rPr>
                <w:color w:val="000000"/>
                <w:sz w:val="20"/>
                <w:szCs w:val="20"/>
              </w:rPr>
              <w:t>6.5</w:t>
            </w:r>
          </w:p>
        </w:tc>
        <w:tc>
          <w:tcPr>
            <w:tcW w:w="603" w:type="pct"/>
            <w:tcBorders>
              <w:top w:val="single" w:sz="4" w:space="0" w:color="auto"/>
              <w:left w:val="single" w:sz="4" w:space="0" w:color="auto"/>
              <w:bottom w:val="single" w:sz="4" w:space="0" w:color="auto"/>
              <w:right w:val="single" w:sz="4" w:space="0" w:color="auto"/>
            </w:tcBorders>
            <w:noWrap/>
            <w:hideMark/>
          </w:tcPr>
          <w:p w14:paraId="33EFCDE5" w14:textId="27FA9E2A" w:rsidR="00E71E7D" w:rsidRDefault="00E71E7D">
            <w:pPr>
              <w:spacing w:after="0"/>
              <w:jc w:val="center"/>
              <w:rPr>
                <w:color w:val="000000"/>
                <w:sz w:val="20"/>
                <w:szCs w:val="20"/>
              </w:rPr>
            </w:pPr>
            <w:r>
              <w:rPr>
                <w:color w:val="000000"/>
                <w:sz w:val="20"/>
                <w:szCs w:val="20"/>
              </w:rPr>
              <w:t>14</w:t>
            </w:r>
          </w:p>
        </w:tc>
        <w:tc>
          <w:tcPr>
            <w:tcW w:w="734" w:type="pct"/>
            <w:tcBorders>
              <w:top w:val="single" w:sz="4" w:space="0" w:color="auto"/>
              <w:left w:val="single" w:sz="4" w:space="0" w:color="auto"/>
              <w:bottom w:val="single" w:sz="4" w:space="0" w:color="auto"/>
              <w:right w:val="single" w:sz="4" w:space="0" w:color="auto"/>
            </w:tcBorders>
            <w:noWrap/>
            <w:hideMark/>
          </w:tcPr>
          <w:p w14:paraId="11BA8ADC" w14:textId="647E85ED" w:rsidR="00E71E7D" w:rsidRDefault="00E71E7D">
            <w:pPr>
              <w:spacing w:after="0"/>
              <w:jc w:val="center"/>
              <w:rPr>
                <w:color w:val="000000"/>
                <w:sz w:val="20"/>
                <w:szCs w:val="20"/>
              </w:rPr>
            </w:pPr>
            <w:r>
              <w:rPr>
                <w:color w:val="000000"/>
                <w:sz w:val="20"/>
                <w:szCs w:val="20"/>
              </w:rPr>
              <w:t>8</w:t>
            </w:r>
          </w:p>
        </w:tc>
        <w:tc>
          <w:tcPr>
            <w:tcW w:w="514" w:type="pct"/>
            <w:tcBorders>
              <w:top w:val="single" w:sz="4" w:space="0" w:color="auto"/>
              <w:left w:val="single" w:sz="4" w:space="0" w:color="auto"/>
              <w:bottom w:val="single" w:sz="4" w:space="0" w:color="auto"/>
              <w:right w:val="single" w:sz="4" w:space="0" w:color="auto"/>
            </w:tcBorders>
            <w:noWrap/>
            <w:hideMark/>
          </w:tcPr>
          <w:p w14:paraId="3C6DC408" w14:textId="00997C55" w:rsidR="00E71E7D" w:rsidRDefault="00E71E7D">
            <w:pPr>
              <w:spacing w:after="0"/>
              <w:jc w:val="center"/>
              <w:rPr>
                <w:color w:val="000000"/>
                <w:sz w:val="20"/>
                <w:szCs w:val="20"/>
              </w:rPr>
            </w:pPr>
            <w:r>
              <w:rPr>
                <w:color w:val="000000"/>
                <w:sz w:val="20"/>
                <w:szCs w:val="20"/>
              </w:rPr>
              <w:t>8</w:t>
            </w:r>
          </w:p>
        </w:tc>
        <w:tc>
          <w:tcPr>
            <w:tcW w:w="903" w:type="pct"/>
            <w:tcBorders>
              <w:top w:val="single" w:sz="4" w:space="0" w:color="auto"/>
              <w:left w:val="single" w:sz="4" w:space="0" w:color="auto"/>
              <w:bottom w:val="single" w:sz="4" w:space="0" w:color="auto"/>
              <w:right w:val="single" w:sz="4" w:space="0" w:color="auto"/>
            </w:tcBorders>
            <w:noWrap/>
            <w:hideMark/>
          </w:tcPr>
          <w:p w14:paraId="5A0643E4" w14:textId="77777777" w:rsidR="00E71E7D" w:rsidRDefault="00E71E7D">
            <w:pPr>
              <w:spacing w:after="0"/>
              <w:jc w:val="center"/>
              <w:rPr>
                <w:color w:val="000000"/>
                <w:sz w:val="20"/>
                <w:szCs w:val="20"/>
              </w:rPr>
            </w:pPr>
            <w:r>
              <w:rPr>
                <w:color w:val="000000"/>
                <w:sz w:val="20"/>
                <w:szCs w:val="20"/>
              </w:rPr>
              <w:t>1,058</w:t>
            </w:r>
          </w:p>
        </w:tc>
        <w:tc>
          <w:tcPr>
            <w:tcW w:w="517" w:type="pct"/>
            <w:tcBorders>
              <w:top w:val="single" w:sz="4" w:space="0" w:color="auto"/>
              <w:left w:val="single" w:sz="4" w:space="0" w:color="auto"/>
              <w:bottom w:val="single" w:sz="4" w:space="0" w:color="auto"/>
              <w:right w:val="single" w:sz="4" w:space="0" w:color="auto"/>
            </w:tcBorders>
            <w:noWrap/>
            <w:hideMark/>
          </w:tcPr>
          <w:p w14:paraId="3D676BA1" w14:textId="77777777" w:rsidR="00E71E7D" w:rsidRDefault="00E71E7D">
            <w:pPr>
              <w:spacing w:after="0"/>
              <w:jc w:val="center"/>
              <w:rPr>
                <w:color w:val="000000"/>
                <w:sz w:val="20"/>
                <w:szCs w:val="20"/>
              </w:rPr>
            </w:pPr>
            <w:r>
              <w:rPr>
                <w:color w:val="000000"/>
                <w:sz w:val="20"/>
                <w:szCs w:val="20"/>
              </w:rPr>
              <w:t>9.8</w:t>
            </w:r>
          </w:p>
        </w:tc>
        <w:tc>
          <w:tcPr>
            <w:tcW w:w="523" w:type="pct"/>
            <w:tcBorders>
              <w:top w:val="single" w:sz="4" w:space="0" w:color="auto"/>
              <w:left w:val="single" w:sz="4" w:space="0" w:color="auto"/>
              <w:bottom w:val="single" w:sz="4" w:space="0" w:color="auto"/>
              <w:right w:val="single" w:sz="4" w:space="0" w:color="auto"/>
            </w:tcBorders>
            <w:noWrap/>
            <w:hideMark/>
          </w:tcPr>
          <w:p w14:paraId="4398C53F" w14:textId="77777777" w:rsidR="00E71E7D" w:rsidRDefault="00E71E7D">
            <w:pPr>
              <w:spacing w:after="0"/>
              <w:jc w:val="center"/>
              <w:rPr>
                <w:color w:val="000000"/>
                <w:sz w:val="20"/>
                <w:szCs w:val="20"/>
              </w:rPr>
            </w:pPr>
            <w:r>
              <w:rPr>
                <w:color w:val="000000"/>
                <w:sz w:val="20"/>
                <w:szCs w:val="20"/>
              </w:rPr>
              <w:t>0.20</w:t>
            </w:r>
          </w:p>
        </w:tc>
      </w:tr>
      <w:tr w:rsidR="00C34866" w:rsidRPr="00C34866" w14:paraId="3B832503" w14:textId="77777777" w:rsidTr="00C34866">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C48AF8A" w14:textId="4FEDD479" w:rsidR="00C34866" w:rsidRDefault="00C34866" w:rsidP="00C34866">
            <w:pPr>
              <w:spacing w:before="40" w:after="40"/>
              <w:jc w:val="center"/>
              <w:rPr>
                <w:color w:val="000000"/>
                <w:sz w:val="20"/>
                <w:szCs w:val="20"/>
              </w:rPr>
            </w:pPr>
            <w:r>
              <w:rPr>
                <w:color w:val="000000"/>
                <w:sz w:val="20"/>
                <w:szCs w:val="20"/>
              </w:rPr>
              <w:t>Industrial</w:t>
            </w:r>
          </w:p>
        </w:tc>
      </w:tr>
      <w:tr w:rsidR="00E71E7D" w14:paraId="2A50B6BD" w14:textId="77777777" w:rsidTr="00C34866">
        <w:tc>
          <w:tcPr>
            <w:tcW w:w="65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3F5922" w14:textId="1AE199E0" w:rsidR="00E71E7D" w:rsidRDefault="00E71E7D">
            <w:pPr>
              <w:spacing w:after="0"/>
              <w:rPr>
                <w:color w:val="000000"/>
                <w:sz w:val="20"/>
                <w:szCs w:val="20"/>
              </w:rPr>
            </w:pPr>
            <w:r>
              <w:rPr>
                <w:color w:val="000000"/>
                <w:sz w:val="20"/>
                <w:szCs w:val="20"/>
              </w:rPr>
              <w:t>Aydinlar</w:t>
            </w:r>
          </w:p>
        </w:tc>
        <w:tc>
          <w:tcPr>
            <w:tcW w:w="550" w:type="pct"/>
            <w:tcBorders>
              <w:top w:val="single" w:sz="4" w:space="0" w:color="auto"/>
              <w:left w:val="single" w:sz="4" w:space="0" w:color="auto"/>
              <w:bottom w:val="single" w:sz="4" w:space="0" w:color="auto"/>
              <w:right w:val="single" w:sz="4" w:space="0" w:color="auto"/>
            </w:tcBorders>
            <w:noWrap/>
            <w:hideMark/>
          </w:tcPr>
          <w:p w14:paraId="2E4B23E7" w14:textId="77777777" w:rsidR="00E71E7D" w:rsidRDefault="00E71E7D">
            <w:pPr>
              <w:spacing w:after="0"/>
              <w:jc w:val="center"/>
              <w:rPr>
                <w:color w:val="000000"/>
                <w:sz w:val="20"/>
                <w:szCs w:val="20"/>
              </w:rPr>
            </w:pPr>
            <w:r>
              <w:rPr>
                <w:color w:val="000000"/>
                <w:sz w:val="20"/>
                <w:szCs w:val="20"/>
              </w:rPr>
              <w:t>48</w:t>
            </w:r>
          </w:p>
        </w:tc>
        <w:tc>
          <w:tcPr>
            <w:tcW w:w="603" w:type="pct"/>
            <w:tcBorders>
              <w:top w:val="single" w:sz="4" w:space="0" w:color="auto"/>
              <w:left w:val="single" w:sz="4" w:space="0" w:color="auto"/>
              <w:bottom w:val="single" w:sz="4" w:space="0" w:color="auto"/>
              <w:right w:val="single" w:sz="4" w:space="0" w:color="auto"/>
            </w:tcBorders>
            <w:noWrap/>
            <w:hideMark/>
          </w:tcPr>
          <w:p w14:paraId="13AD1163" w14:textId="6C8C76DB" w:rsidR="00E71E7D" w:rsidRDefault="00E71E7D">
            <w:pPr>
              <w:spacing w:after="0"/>
              <w:jc w:val="center"/>
              <w:rPr>
                <w:color w:val="000000"/>
                <w:sz w:val="20"/>
                <w:szCs w:val="20"/>
              </w:rPr>
            </w:pPr>
            <w:r>
              <w:rPr>
                <w:color w:val="000000"/>
                <w:sz w:val="20"/>
                <w:szCs w:val="20"/>
              </w:rPr>
              <w:t>17</w:t>
            </w:r>
          </w:p>
        </w:tc>
        <w:tc>
          <w:tcPr>
            <w:tcW w:w="734" w:type="pct"/>
            <w:tcBorders>
              <w:top w:val="single" w:sz="4" w:space="0" w:color="auto"/>
              <w:left w:val="single" w:sz="4" w:space="0" w:color="auto"/>
              <w:bottom w:val="single" w:sz="4" w:space="0" w:color="auto"/>
              <w:right w:val="single" w:sz="4" w:space="0" w:color="auto"/>
            </w:tcBorders>
            <w:noWrap/>
            <w:hideMark/>
          </w:tcPr>
          <w:p w14:paraId="7180CCD7" w14:textId="77896A74" w:rsidR="00E71E7D" w:rsidRDefault="00E71E7D">
            <w:pPr>
              <w:spacing w:after="0"/>
              <w:jc w:val="center"/>
              <w:rPr>
                <w:color w:val="000000"/>
                <w:sz w:val="20"/>
                <w:szCs w:val="20"/>
              </w:rPr>
            </w:pPr>
            <w:r>
              <w:rPr>
                <w:color w:val="000000"/>
                <w:sz w:val="20"/>
                <w:szCs w:val="20"/>
              </w:rPr>
              <w:t>5</w:t>
            </w:r>
          </w:p>
        </w:tc>
        <w:tc>
          <w:tcPr>
            <w:tcW w:w="514" w:type="pct"/>
            <w:tcBorders>
              <w:top w:val="single" w:sz="4" w:space="0" w:color="auto"/>
              <w:left w:val="single" w:sz="4" w:space="0" w:color="auto"/>
              <w:bottom w:val="single" w:sz="4" w:space="0" w:color="auto"/>
              <w:right w:val="single" w:sz="4" w:space="0" w:color="auto"/>
            </w:tcBorders>
            <w:noWrap/>
            <w:hideMark/>
          </w:tcPr>
          <w:p w14:paraId="753F580D" w14:textId="23EEC09A" w:rsidR="00E71E7D" w:rsidRDefault="00E71E7D">
            <w:pPr>
              <w:spacing w:after="0"/>
              <w:jc w:val="center"/>
              <w:rPr>
                <w:color w:val="000000"/>
                <w:sz w:val="20"/>
                <w:szCs w:val="20"/>
              </w:rPr>
            </w:pPr>
            <w:r>
              <w:rPr>
                <w:color w:val="000000"/>
                <w:sz w:val="20"/>
                <w:szCs w:val="20"/>
              </w:rPr>
              <w:t>24</w:t>
            </w:r>
          </w:p>
        </w:tc>
        <w:tc>
          <w:tcPr>
            <w:tcW w:w="903" w:type="pct"/>
            <w:tcBorders>
              <w:top w:val="single" w:sz="4" w:space="0" w:color="auto"/>
              <w:left w:val="single" w:sz="4" w:space="0" w:color="auto"/>
              <w:bottom w:val="single" w:sz="4" w:space="0" w:color="auto"/>
              <w:right w:val="single" w:sz="4" w:space="0" w:color="auto"/>
            </w:tcBorders>
            <w:noWrap/>
            <w:hideMark/>
          </w:tcPr>
          <w:p w14:paraId="1A21E5FB" w14:textId="77777777" w:rsidR="00E71E7D" w:rsidRDefault="00E71E7D">
            <w:pPr>
              <w:spacing w:after="0"/>
              <w:jc w:val="center"/>
              <w:rPr>
                <w:color w:val="000000"/>
                <w:sz w:val="20"/>
                <w:szCs w:val="20"/>
              </w:rPr>
            </w:pPr>
            <w:r>
              <w:rPr>
                <w:color w:val="000000"/>
                <w:sz w:val="20"/>
                <w:szCs w:val="20"/>
              </w:rPr>
              <w:t>-5,114</w:t>
            </w:r>
          </w:p>
        </w:tc>
        <w:tc>
          <w:tcPr>
            <w:tcW w:w="517" w:type="pct"/>
            <w:tcBorders>
              <w:top w:val="single" w:sz="4" w:space="0" w:color="auto"/>
              <w:left w:val="single" w:sz="4" w:space="0" w:color="auto"/>
              <w:bottom w:val="single" w:sz="4" w:space="0" w:color="auto"/>
              <w:right w:val="single" w:sz="4" w:space="0" w:color="auto"/>
            </w:tcBorders>
            <w:noWrap/>
            <w:hideMark/>
          </w:tcPr>
          <w:p w14:paraId="2180A062" w14:textId="77777777" w:rsidR="00E71E7D" w:rsidRDefault="00E71E7D">
            <w:pPr>
              <w:spacing w:after="0"/>
              <w:jc w:val="center"/>
              <w:rPr>
                <w:color w:val="000000"/>
                <w:sz w:val="20"/>
                <w:szCs w:val="20"/>
              </w:rPr>
            </w:pPr>
            <w:r>
              <w:rPr>
                <w:color w:val="000000"/>
                <w:sz w:val="20"/>
                <w:szCs w:val="20"/>
              </w:rPr>
              <w:t>9.4</w:t>
            </w:r>
          </w:p>
        </w:tc>
        <w:tc>
          <w:tcPr>
            <w:tcW w:w="523" w:type="pct"/>
            <w:tcBorders>
              <w:top w:val="single" w:sz="4" w:space="0" w:color="auto"/>
              <w:left w:val="single" w:sz="4" w:space="0" w:color="auto"/>
              <w:bottom w:val="single" w:sz="4" w:space="0" w:color="auto"/>
              <w:right w:val="single" w:sz="4" w:space="0" w:color="auto"/>
            </w:tcBorders>
            <w:noWrap/>
            <w:hideMark/>
          </w:tcPr>
          <w:p w14:paraId="5E958D0B" w14:textId="77777777" w:rsidR="00E71E7D" w:rsidRDefault="00E71E7D">
            <w:pPr>
              <w:spacing w:after="0"/>
              <w:jc w:val="center"/>
              <w:rPr>
                <w:color w:val="000000"/>
                <w:sz w:val="20"/>
                <w:szCs w:val="20"/>
              </w:rPr>
            </w:pPr>
            <w:r>
              <w:rPr>
                <w:color w:val="000000"/>
                <w:sz w:val="20"/>
                <w:szCs w:val="20"/>
              </w:rPr>
              <w:t>0.13</w:t>
            </w:r>
          </w:p>
        </w:tc>
      </w:tr>
      <w:tr w:rsidR="00E71E7D" w14:paraId="4A751215" w14:textId="77777777" w:rsidTr="00C34866">
        <w:tc>
          <w:tcPr>
            <w:tcW w:w="65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57F3F08" w14:textId="3A6659CB" w:rsidR="00E71E7D" w:rsidRDefault="00E71E7D">
            <w:pPr>
              <w:spacing w:after="0"/>
              <w:rPr>
                <w:color w:val="000000"/>
                <w:sz w:val="20"/>
                <w:szCs w:val="20"/>
              </w:rPr>
            </w:pPr>
            <w:r>
              <w:rPr>
                <w:color w:val="000000"/>
                <w:sz w:val="20"/>
                <w:szCs w:val="20"/>
              </w:rPr>
              <w:t>Turanlar</w:t>
            </w:r>
          </w:p>
        </w:tc>
        <w:tc>
          <w:tcPr>
            <w:tcW w:w="550" w:type="pct"/>
            <w:tcBorders>
              <w:top w:val="single" w:sz="4" w:space="0" w:color="auto"/>
              <w:left w:val="single" w:sz="4" w:space="0" w:color="auto"/>
              <w:bottom w:val="single" w:sz="4" w:space="0" w:color="auto"/>
              <w:right w:val="single" w:sz="4" w:space="0" w:color="auto"/>
            </w:tcBorders>
            <w:noWrap/>
            <w:hideMark/>
          </w:tcPr>
          <w:p w14:paraId="2DA215F6" w14:textId="77777777" w:rsidR="00E71E7D" w:rsidRDefault="00E71E7D">
            <w:pPr>
              <w:spacing w:after="0"/>
              <w:jc w:val="center"/>
              <w:rPr>
                <w:color w:val="000000"/>
                <w:sz w:val="20"/>
                <w:szCs w:val="20"/>
              </w:rPr>
            </w:pPr>
            <w:r>
              <w:rPr>
                <w:color w:val="000000"/>
                <w:sz w:val="20"/>
                <w:szCs w:val="20"/>
              </w:rPr>
              <w:t>60</w:t>
            </w:r>
          </w:p>
        </w:tc>
        <w:tc>
          <w:tcPr>
            <w:tcW w:w="603" w:type="pct"/>
            <w:tcBorders>
              <w:top w:val="single" w:sz="4" w:space="0" w:color="auto"/>
              <w:left w:val="single" w:sz="4" w:space="0" w:color="auto"/>
              <w:bottom w:val="single" w:sz="4" w:space="0" w:color="auto"/>
              <w:right w:val="single" w:sz="4" w:space="0" w:color="auto"/>
            </w:tcBorders>
            <w:noWrap/>
            <w:hideMark/>
          </w:tcPr>
          <w:p w14:paraId="3E31422D" w14:textId="66A968A5" w:rsidR="00E71E7D" w:rsidRDefault="00E71E7D">
            <w:pPr>
              <w:spacing w:after="0"/>
              <w:jc w:val="center"/>
              <w:rPr>
                <w:color w:val="000000"/>
                <w:sz w:val="20"/>
                <w:szCs w:val="20"/>
              </w:rPr>
            </w:pPr>
            <w:r>
              <w:rPr>
                <w:color w:val="000000"/>
                <w:sz w:val="20"/>
                <w:szCs w:val="20"/>
              </w:rPr>
              <w:t>12</w:t>
            </w:r>
          </w:p>
        </w:tc>
        <w:tc>
          <w:tcPr>
            <w:tcW w:w="734" w:type="pct"/>
            <w:tcBorders>
              <w:top w:val="single" w:sz="4" w:space="0" w:color="auto"/>
              <w:left w:val="single" w:sz="4" w:space="0" w:color="auto"/>
              <w:bottom w:val="single" w:sz="4" w:space="0" w:color="auto"/>
              <w:right w:val="single" w:sz="4" w:space="0" w:color="auto"/>
            </w:tcBorders>
            <w:noWrap/>
            <w:hideMark/>
          </w:tcPr>
          <w:p w14:paraId="02C4A0F4" w14:textId="24976CB2" w:rsidR="00E71E7D" w:rsidRDefault="00E71E7D">
            <w:pPr>
              <w:spacing w:after="0"/>
              <w:jc w:val="center"/>
              <w:rPr>
                <w:color w:val="000000"/>
                <w:sz w:val="20"/>
                <w:szCs w:val="20"/>
              </w:rPr>
            </w:pPr>
            <w:r>
              <w:rPr>
                <w:color w:val="000000"/>
                <w:sz w:val="20"/>
                <w:szCs w:val="20"/>
              </w:rPr>
              <w:t>2</w:t>
            </w:r>
          </w:p>
        </w:tc>
        <w:tc>
          <w:tcPr>
            <w:tcW w:w="514" w:type="pct"/>
            <w:tcBorders>
              <w:top w:val="single" w:sz="4" w:space="0" w:color="auto"/>
              <w:left w:val="single" w:sz="4" w:space="0" w:color="auto"/>
              <w:bottom w:val="single" w:sz="4" w:space="0" w:color="auto"/>
              <w:right w:val="single" w:sz="4" w:space="0" w:color="auto"/>
            </w:tcBorders>
            <w:noWrap/>
            <w:hideMark/>
          </w:tcPr>
          <w:p w14:paraId="4C5F53A2" w14:textId="7E4210A8" w:rsidR="00E71E7D" w:rsidRDefault="00E71E7D">
            <w:pPr>
              <w:spacing w:after="0"/>
              <w:jc w:val="center"/>
              <w:rPr>
                <w:color w:val="000000"/>
                <w:sz w:val="20"/>
                <w:szCs w:val="20"/>
              </w:rPr>
            </w:pPr>
            <w:r>
              <w:rPr>
                <w:color w:val="000000"/>
                <w:sz w:val="20"/>
                <w:szCs w:val="20"/>
              </w:rPr>
              <w:t>11</w:t>
            </w:r>
          </w:p>
        </w:tc>
        <w:tc>
          <w:tcPr>
            <w:tcW w:w="903" w:type="pct"/>
            <w:tcBorders>
              <w:top w:val="single" w:sz="4" w:space="0" w:color="auto"/>
              <w:left w:val="single" w:sz="4" w:space="0" w:color="auto"/>
              <w:bottom w:val="single" w:sz="4" w:space="0" w:color="auto"/>
              <w:right w:val="single" w:sz="4" w:space="0" w:color="auto"/>
            </w:tcBorders>
            <w:noWrap/>
            <w:hideMark/>
          </w:tcPr>
          <w:p w14:paraId="00184107" w14:textId="77777777" w:rsidR="00E71E7D" w:rsidRDefault="00E71E7D">
            <w:pPr>
              <w:spacing w:after="0"/>
              <w:jc w:val="center"/>
              <w:rPr>
                <w:color w:val="000000"/>
                <w:sz w:val="20"/>
                <w:szCs w:val="20"/>
              </w:rPr>
            </w:pPr>
            <w:r>
              <w:rPr>
                <w:color w:val="000000"/>
                <w:sz w:val="20"/>
                <w:szCs w:val="20"/>
              </w:rPr>
              <w:t>-16,192</w:t>
            </w:r>
          </w:p>
        </w:tc>
        <w:tc>
          <w:tcPr>
            <w:tcW w:w="517" w:type="pct"/>
            <w:tcBorders>
              <w:top w:val="single" w:sz="4" w:space="0" w:color="auto"/>
              <w:left w:val="single" w:sz="4" w:space="0" w:color="auto"/>
              <w:bottom w:val="single" w:sz="4" w:space="0" w:color="auto"/>
              <w:right w:val="single" w:sz="4" w:space="0" w:color="auto"/>
            </w:tcBorders>
            <w:noWrap/>
            <w:hideMark/>
          </w:tcPr>
          <w:p w14:paraId="3D83657C" w14:textId="77777777" w:rsidR="00E71E7D" w:rsidRDefault="00E71E7D">
            <w:pPr>
              <w:spacing w:after="0"/>
              <w:jc w:val="center"/>
              <w:rPr>
                <w:color w:val="000000"/>
                <w:sz w:val="20"/>
                <w:szCs w:val="20"/>
              </w:rPr>
            </w:pPr>
            <w:r>
              <w:rPr>
                <w:color w:val="000000"/>
                <w:sz w:val="20"/>
                <w:szCs w:val="20"/>
              </w:rPr>
              <w:t>10.1</w:t>
            </w:r>
          </w:p>
        </w:tc>
        <w:tc>
          <w:tcPr>
            <w:tcW w:w="523" w:type="pct"/>
            <w:tcBorders>
              <w:top w:val="single" w:sz="4" w:space="0" w:color="auto"/>
              <w:left w:val="single" w:sz="4" w:space="0" w:color="auto"/>
              <w:bottom w:val="single" w:sz="4" w:space="0" w:color="auto"/>
              <w:right w:val="single" w:sz="4" w:space="0" w:color="auto"/>
            </w:tcBorders>
            <w:noWrap/>
            <w:hideMark/>
          </w:tcPr>
          <w:p w14:paraId="74D92BDF" w14:textId="77777777" w:rsidR="00E71E7D" w:rsidRDefault="00E71E7D">
            <w:pPr>
              <w:spacing w:after="0"/>
              <w:jc w:val="center"/>
              <w:rPr>
                <w:color w:val="000000"/>
                <w:sz w:val="20"/>
                <w:szCs w:val="20"/>
              </w:rPr>
            </w:pPr>
            <w:r>
              <w:rPr>
                <w:color w:val="000000"/>
                <w:sz w:val="20"/>
                <w:szCs w:val="20"/>
              </w:rPr>
              <w:t>0.15</w:t>
            </w:r>
          </w:p>
        </w:tc>
      </w:tr>
      <w:tr w:rsidR="00E71E7D" w14:paraId="1518D774" w14:textId="77777777" w:rsidTr="00C34866">
        <w:tc>
          <w:tcPr>
            <w:tcW w:w="65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8438414" w14:textId="49007B81" w:rsidR="00E71E7D" w:rsidRDefault="00E71E7D">
            <w:pPr>
              <w:spacing w:after="0"/>
              <w:rPr>
                <w:color w:val="000000"/>
                <w:sz w:val="20"/>
                <w:szCs w:val="20"/>
              </w:rPr>
            </w:pPr>
            <w:r>
              <w:rPr>
                <w:color w:val="000000"/>
                <w:sz w:val="20"/>
                <w:szCs w:val="20"/>
              </w:rPr>
              <w:t>Temsa</w:t>
            </w:r>
          </w:p>
        </w:tc>
        <w:tc>
          <w:tcPr>
            <w:tcW w:w="550" w:type="pct"/>
            <w:tcBorders>
              <w:top w:val="single" w:sz="4" w:space="0" w:color="auto"/>
              <w:left w:val="single" w:sz="4" w:space="0" w:color="auto"/>
              <w:bottom w:val="single" w:sz="4" w:space="0" w:color="auto"/>
              <w:right w:val="single" w:sz="4" w:space="0" w:color="auto"/>
            </w:tcBorders>
            <w:noWrap/>
            <w:hideMark/>
          </w:tcPr>
          <w:p w14:paraId="212E9B94" w14:textId="77777777" w:rsidR="00E71E7D" w:rsidRDefault="00E71E7D">
            <w:pPr>
              <w:spacing w:after="0"/>
              <w:jc w:val="center"/>
              <w:rPr>
                <w:color w:val="000000"/>
                <w:sz w:val="20"/>
                <w:szCs w:val="20"/>
              </w:rPr>
            </w:pPr>
            <w:r>
              <w:rPr>
                <w:color w:val="000000"/>
                <w:sz w:val="20"/>
                <w:szCs w:val="20"/>
              </w:rPr>
              <w:t>100</w:t>
            </w:r>
          </w:p>
        </w:tc>
        <w:tc>
          <w:tcPr>
            <w:tcW w:w="603" w:type="pct"/>
            <w:tcBorders>
              <w:top w:val="single" w:sz="4" w:space="0" w:color="auto"/>
              <w:left w:val="single" w:sz="4" w:space="0" w:color="auto"/>
              <w:bottom w:val="single" w:sz="4" w:space="0" w:color="auto"/>
              <w:right w:val="single" w:sz="4" w:space="0" w:color="auto"/>
            </w:tcBorders>
            <w:noWrap/>
            <w:hideMark/>
          </w:tcPr>
          <w:p w14:paraId="14134BF8" w14:textId="65C26BB2" w:rsidR="00E71E7D" w:rsidRDefault="00E71E7D">
            <w:pPr>
              <w:spacing w:after="0"/>
              <w:jc w:val="center"/>
              <w:rPr>
                <w:color w:val="000000"/>
                <w:sz w:val="20"/>
                <w:szCs w:val="20"/>
              </w:rPr>
            </w:pPr>
            <w:r>
              <w:rPr>
                <w:color w:val="000000"/>
                <w:sz w:val="20"/>
                <w:szCs w:val="20"/>
              </w:rPr>
              <w:t>12</w:t>
            </w:r>
          </w:p>
        </w:tc>
        <w:tc>
          <w:tcPr>
            <w:tcW w:w="734" w:type="pct"/>
            <w:tcBorders>
              <w:top w:val="single" w:sz="4" w:space="0" w:color="auto"/>
              <w:left w:val="single" w:sz="4" w:space="0" w:color="auto"/>
              <w:bottom w:val="single" w:sz="4" w:space="0" w:color="auto"/>
              <w:right w:val="single" w:sz="4" w:space="0" w:color="auto"/>
            </w:tcBorders>
            <w:noWrap/>
            <w:hideMark/>
          </w:tcPr>
          <w:p w14:paraId="43561C58" w14:textId="4C3194B0" w:rsidR="00E71E7D" w:rsidRDefault="00E71E7D">
            <w:pPr>
              <w:spacing w:after="0"/>
              <w:jc w:val="center"/>
              <w:rPr>
                <w:color w:val="000000"/>
                <w:sz w:val="20"/>
                <w:szCs w:val="20"/>
              </w:rPr>
            </w:pPr>
            <w:r>
              <w:rPr>
                <w:color w:val="000000"/>
                <w:sz w:val="20"/>
                <w:szCs w:val="20"/>
              </w:rPr>
              <w:t>2</w:t>
            </w:r>
          </w:p>
        </w:tc>
        <w:tc>
          <w:tcPr>
            <w:tcW w:w="514" w:type="pct"/>
            <w:tcBorders>
              <w:top w:val="single" w:sz="4" w:space="0" w:color="auto"/>
              <w:left w:val="single" w:sz="4" w:space="0" w:color="auto"/>
              <w:bottom w:val="single" w:sz="4" w:space="0" w:color="auto"/>
              <w:right w:val="single" w:sz="4" w:space="0" w:color="auto"/>
            </w:tcBorders>
            <w:noWrap/>
            <w:hideMark/>
          </w:tcPr>
          <w:p w14:paraId="598A3F19" w14:textId="7F1C3F1E" w:rsidR="00E71E7D" w:rsidRDefault="00E71E7D">
            <w:pPr>
              <w:spacing w:after="0"/>
              <w:jc w:val="center"/>
              <w:rPr>
                <w:color w:val="000000"/>
                <w:sz w:val="20"/>
                <w:szCs w:val="20"/>
              </w:rPr>
            </w:pPr>
            <w:r>
              <w:rPr>
                <w:color w:val="000000"/>
                <w:sz w:val="20"/>
                <w:szCs w:val="20"/>
              </w:rPr>
              <w:t>11</w:t>
            </w:r>
          </w:p>
        </w:tc>
        <w:tc>
          <w:tcPr>
            <w:tcW w:w="903" w:type="pct"/>
            <w:tcBorders>
              <w:top w:val="single" w:sz="4" w:space="0" w:color="auto"/>
              <w:left w:val="single" w:sz="4" w:space="0" w:color="auto"/>
              <w:bottom w:val="single" w:sz="4" w:space="0" w:color="auto"/>
              <w:right w:val="single" w:sz="4" w:space="0" w:color="auto"/>
            </w:tcBorders>
            <w:noWrap/>
            <w:hideMark/>
          </w:tcPr>
          <w:p w14:paraId="27A387D6" w14:textId="77777777" w:rsidR="00E71E7D" w:rsidRDefault="00E71E7D">
            <w:pPr>
              <w:spacing w:after="0"/>
              <w:jc w:val="center"/>
              <w:rPr>
                <w:color w:val="000000"/>
                <w:sz w:val="20"/>
                <w:szCs w:val="20"/>
              </w:rPr>
            </w:pPr>
            <w:r>
              <w:rPr>
                <w:color w:val="000000"/>
                <w:sz w:val="20"/>
                <w:szCs w:val="20"/>
              </w:rPr>
              <w:t>-26,284</w:t>
            </w:r>
          </w:p>
        </w:tc>
        <w:tc>
          <w:tcPr>
            <w:tcW w:w="517" w:type="pct"/>
            <w:tcBorders>
              <w:top w:val="single" w:sz="4" w:space="0" w:color="auto"/>
              <w:left w:val="single" w:sz="4" w:space="0" w:color="auto"/>
              <w:bottom w:val="single" w:sz="4" w:space="0" w:color="auto"/>
              <w:right w:val="single" w:sz="4" w:space="0" w:color="auto"/>
            </w:tcBorders>
            <w:noWrap/>
            <w:hideMark/>
          </w:tcPr>
          <w:p w14:paraId="479EE9D8" w14:textId="77777777" w:rsidR="00E71E7D" w:rsidRDefault="00E71E7D">
            <w:pPr>
              <w:spacing w:after="0"/>
              <w:jc w:val="center"/>
              <w:rPr>
                <w:color w:val="000000"/>
                <w:sz w:val="20"/>
                <w:szCs w:val="20"/>
              </w:rPr>
            </w:pPr>
            <w:r>
              <w:rPr>
                <w:color w:val="000000"/>
                <w:sz w:val="20"/>
                <w:szCs w:val="20"/>
              </w:rPr>
              <w:t>10.1</w:t>
            </w:r>
          </w:p>
        </w:tc>
        <w:tc>
          <w:tcPr>
            <w:tcW w:w="523" w:type="pct"/>
            <w:tcBorders>
              <w:top w:val="single" w:sz="4" w:space="0" w:color="auto"/>
              <w:left w:val="single" w:sz="4" w:space="0" w:color="auto"/>
              <w:bottom w:val="single" w:sz="4" w:space="0" w:color="auto"/>
              <w:right w:val="single" w:sz="4" w:space="0" w:color="auto"/>
            </w:tcBorders>
            <w:noWrap/>
            <w:hideMark/>
          </w:tcPr>
          <w:p w14:paraId="367DD9C9" w14:textId="77777777" w:rsidR="00E71E7D" w:rsidRDefault="00E71E7D">
            <w:pPr>
              <w:spacing w:after="0"/>
              <w:jc w:val="center"/>
              <w:rPr>
                <w:color w:val="000000"/>
                <w:sz w:val="20"/>
                <w:szCs w:val="20"/>
              </w:rPr>
            </w:pPr>
            <w:r>
              <w:rPr>
                <w:color w:val="000000"/>
                <w:sz w:val="20"/>
                <w:szCs w:val="20"/>
              </w:rPr>
              <w:t>0.15</w:t>
            </w:r>
          </w:p>
        </w:tc>
      </w:tr>
      <w:tr w:rsidR="00C34866" w:rsidRPr="00C34866" w14:paraId="52019D97" w14:textId="77777777" w:rsidTr="00C34866">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088250A" w14:textId="0254AB3A" w:rsidR="00C34866" w:rsidRDefault="00C34866" w:rsidP="00C34866">
            <w:pPr>
              <w:spacing w:before="40" w:after="40"/>
              <w:jc w:val="center"/>
              <w:rPr>
                <w:color w:val="000000"/>
                <w:sz w:val="20"/>
                <w:szCs w:val="20"/>
              </w:rPr>
            </w:pPr>
            <w:r>
              <w:rPr>
                <w:color w:val="000000"/>
                <w:sz w:val="20"/>
                <w:szCs w:val="20"/>
              </w:rPr>
              <w:t>Commercial</w:t>
            </w:r>
          </w:p>
        </w:tc>
      </w:tr>
      <w:tr w:rsidR="003976EC" w14:paraId="2AE72E08" w14:textId="77777777" w:rsidTr="00C34866">
        <w:tc>
          <w:tcPr>
            <w:tcW w:w="65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4123733" w14:textId="2677C981" w:rsidR="003976EC" w:rsidRDefault="003976EC">
            <w:pPr>
              <w:spacing w:after="0"/>
              <w:rPr>
                <w:color w:val="000000"/>
                <w:sz w:val="20"/>
                <w:szCs w:val="20"/>
              </w:rPr>
            </w:pPr>
            <w:r>
              <w:rPr>
                <w:color w:val="000000"/>
                <w:sz w:val="20"/>
                <w:szCs w:val="20"/>
              </w:rPr>
              <w:t>IBC</w:t>
            </w:r>
          </w:p>
        </w:tc>
        <w:tc>
          <w:tcPr>
            <w:tcW w:w="550" w:type="pct"/>
            <w:tcBorders>
              <w:top w:val="single" w:sz="4" w:space="0" w:color="auto"/>
              <w:left w:val="single" w:sz="4" w:space="0" w:color="auto"/>
              <w:bottom w:val="single" w:sz="4" w:space="0" w:color="auto"/>
              <w:right w:val="single" w:sz="4" w:space="0" w:color="auto"/>
            </w:tcBorders>
            <w:noWrap/>
          </w:tcPr>
          <w:p w14:paraId="49DC6031" w14:textId="3F259A69" w:rsidR="003976EC" w:rsidRDefault="003976EC">
            <w:pPr>
              <w:spacing w:after="0"/>
              <w:jc w:val="center"/>
              <w:rPr>
                <w:color w:val="000000"/>
                <w:sz w:val="20"/>
                <w:szCs w:val="20"/>
              </w:rPr>
            </w:pPr>
            <w:r>
              <w:rPr>
                <w:color w:val="000000"/>
                <w:sz w:val="20"/>
                <w:szCs w:val="20"/>
              </w:rPr>
              <w:t>4</w:t>
            </w:r>
          </w:p>
        </w:tc>
        <w:tc>
          <w:tcPr>
            <w:tcW w:w="603" w:type="pct"/>
            <w:tcBorders>
              <w:top w:val="single" w:sz="4" w:space="0" w:color="auto"/>
              <w:left w:val="single" w:sz="4" w:space="0" w:color="auto"/>
              <w:bottom w:val="single" w:sz="4" w:space="0" w:color="auto"/>
              <w:right w:val="single" w:sz="4" w:space="0" w:color="auto"/>
            </w:tcBorders>
            <w:noWrap/>
          </w:tcPr>
          <w:p w14:paraId="26630847" w14:textId="064C47C3" w:rsidR="003976EC" w:rsidRDefault="003976EC">
            <w:pPr>
              <w:spacing w:after="0"/>
              <w:jc w:val="center"/>
              <w:rPr>
                <w:color w:val="000000"/>
                <w:sz w:val="20"/>
                <w:szCs w:val="20"/>
              </w:rPr>
            </w:pPr>
            <w:r>
              <w:rPr>
                <w:color w:val="000000"/>
                <w:sz w:val="20"/>
                <w:szCs w:val="20"/>
              </w:rPr>
              <w:t>1</w:t>
            </w:r>
          </w:p>
        </w:tc>
        <w:tc>
          <w:tcPr>
            <w:tcW w:w="734" w:type="pct"/>
            <w:tcBorders>
              <w:top w:val="single" w:sz="4" w:space="0" w:color="auto"/>
              <w:left w:val="single" w:sz="4" w:space="0" w:color="auto"/>
              <w:bottom w:val="single" w:sz="4" w:space="0" w:color="auto"/>
              <w:right w:val="single" w:sz="4" w:space="0" w:color="auto"/>
            </w:tcBorders>
            <w:noWrap/>
          </w:tcPr>
          <w:p w14:paraId="4041426A" w14:textId="59379C9F" w:rsidR="003976EC" w:rsidRDefault="003976EC">
            <w:pPr>
              <w:spacing w:after="0"/>
              <w:jc w:val="center"/>
              <w:rPr>
                <w:color w:val="000000"/>
                <w:sz w:val="20"/>
                <w:szCs w:val="20"/>
              </w:rPr>
            </w:pPr>
            <w:r>
              <w:rPr>
                <w:color w:val="000000"/>
                <w:sz w:val="20"/>
                <w:szCs w:val="20"/>
              </w:rPr>
              <w:t>Low</w:t>
            </w:r>
          </w:p>
        </w:tc>
        <w:tc>
          <w:tcPr>
            <w:tcW w:w="514" w:type="pct"/>
            <w:tcBorders>
              <w:top w:val="single" w:sz="4" w:space="0" w:color="auto"/>
              <w:left w:val="single" w:sz="4" w:space="0" w:color="auto"/>
              <w:bottom w:val="single" w:sz="4" w:space="0" w:color="auto"/>
              <w:right w:val="single" w:sz="4" w:space="0" w:color="auto"/>
            </w:tcBorders>
            <w:noWrap/>
          </w:tcPr>
          <w:p w14:paraId="229DC64F" w14:textId="60EBD3F5" w:rsidR="003976EC" w:rsidRDefault="003976EC">
            <w:pPr>
              <w:spacing w:after="0"/>
              <w:jc w:val="center"/>
              <w:rPr>
                <w:color w:val="000000"/>
                <w:sz w:val="20"/>
                <w:szCs w:val="20"/>
              </w:rPr>
            </w:pPr>
            <w:r>
              <w:rPr>
                <w:color w:val="000000"/>
                <w:sz w:val="20"/>
                <w:szCs w:val="20"/>
              </w:rPr>
              <w:t>Low</w:t>
            </w:r>
          </w:p>
        </w:tc>
        <w:tc>
          <w:tcPr>
            <w:tcW w:w="903" w:type="pct"/>
            <w:tcBorders>
              <w:top w:val="single" w:sz="4" w:space="0" w:color="auto"/>
              <w:left w:val="single" w:sz="4" w:space="0" w:color="auto"/>
              <w:bottom w:val="single" w:sz="4" w:space="0" w:color="auto"/>
              <w:right w:val="single" w:sz="4" w:space="0" w:color="auto"/>
            </w:tcBorders>
            <w:noWrap/>
          </w:tcPr>
          <w:p w14:paraId="19CD8A76" w14:textId="62FDAFAB" w:rsidR="003976EC" w:rsidRDefault="003976EC">
            <w:pPr>
              <w:spacing w:after="0"/>
              <w:jc w:val="center"/>
              <w:rPr>
                <w:color w:val="000000"/>
                <w:sz w:val="20"/>
                <w:szCs w:val="20"/>
              </w:rPr>
            </w:pPr>
            <w:r>
              <w:rPr>
                <w:color w:val="000000"/>
                <w:sz w:val="20"/>
                <w:szCs w:val="20"/>
              </w:rPr>
              <w:t>-5,547</w:t>
            </w:r>
          </w:p>
        </w:tc>
        <w:tc>
          <w:tcPr>
            <w:tcW w:w="517" w:type="pct"/>
            <w:tcBorders>
              <w:top w:val="single" w:sz="4" w:space="0" w:color="auto"/>
              <w:left w:val="single" w:sz="4" w:space="0" w:color="auto"/>
              <w:bottom w:val="single" w:sz="4" w:space="0" w:color="auto"/>
              <w:right w:val="single" w:sz="4" w:space="0" w:color="auto"/>
            </w:tcBorders>
            <w:noWrap/>
          </w:tcPr>
          <w:p w14:paraId="7D458876" w14:textId="37CCEDD7" w:rsidR="003976EC" w:rsidRDefault="003976EC">
            <w:pPr>
              <w:spacing w:after="0"/>
              <w:jc w:val="center"/>
              <w:rPr>
                <w:color w:val="000000"/>
                <w:sz w:val="20"/>
                <w:szCs w:val="20"/>
              </w:rPr>
            </w:pPr>
            <w:r>
              <w:rPr>
                <w:color w:val="000000"/>
                <w:sz w:val="20"/>
                <w:szCs w:val="20"/>
              </w:rPr>
              <w:t>13.2</w:t>
            </w:r>
          </w:p>
        </w:tc>
        <w:tc>
          <w:tcPr>
            <w:tcW w:w="523" w:type="pct"/>
            <w:tcBorders>
              <w:top w:val="single" w:sz="4" w:space="0" w:color="auto"/>
              <w:left w:val="single" w:sz="4" w:space="0" w:color="auto"/>
              <w:bottom w:val="single" w:sz="4" w:space="0" w:color="auto"/>
              <w:right w:val="single" w:sz="4" w:space="0" w:color="auto"/>
            </w:tcBorders>
            <w:noWrap/>
          </w:tcPr>
          <w:p w14:paraId="6F910E86" w14:textId="22EC280C" w:rsidR="003976EC" w:rsidRDefault="003976EC">
            <w:pPr>
              <w:spacing w:after="0"/>
              <w:jc w:val="center"/>
              <w:rPr>
                <w:color w:val="000000"/>
                <w:sz w:val="20"/>
                <w:szCs w:val="20"/>
              </w:rPr>
            </w:pPr>
            <w:r>
              <w:rPr>
                <w:color w:val="000000"/>
                <w:sz w:val="20"/>
                <w:szCs w:val="20"/>
              </w:rPr>
              <w:t>0.26</w:t>
            </w:r>
          </w:p>
        </w:tc>
      </w:tr>
      <w:tr w:rsidR="003976EC" w14:paraId="16911275" w14:textId="77777777" w:rsidTr="00C34866">
        <w:tc>
          <w:tcPr>
            <w:tcW w:w="65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1C7A5FA" w14:textId="0788DA5B" w:rsidR="003976EC" w:rsidRDefault="003976EC">
            <w:pPr>
              <w:spacing w:after="0"/>
              <w:rPr>
                <w:color w:val="000000"/>
                <w:sz w:val="20"/>
                <w:szCs w:val="20"/>
              </w:rPr>
            </w:pPr>
            <w:r>
              <w:rPr>
                <w:color w:val="000000"/>
                <w:sz w:val="20"/>
                <w:szCs w:val="20"/>
              </w:rPr>
              <w:t>Muyar</w:t>
            </w:r>
          </w:p>
        </w:tc>
        <w:tc>
          <w:tcPr>
            <w:tcW w:w="550" w:type="pct"/>
            <w:tcBorders>
              <w:top w:val="single" w:sz="4" w:space="0" w:color="auto"/>
              <w:left w:val="single" w:sz="4" w:space="0" w:color="auto"/>
              <w:bottom w:val="single" w:sz="4" w:space="0" w:color="auto"/>
              <w:right w:val="single" w:sz="4" w:space="0" w:color="auto"/>
            </w:tcBorders>
            <w:noWrap/>
          </w:tcPr>
          <w:p w14:paraId="533740FD" w14:textId="1E894569" w:rsidR="003976EC" w:rsidRDefault="003976EC">
            <w:pPr>
              <w:spacing w:after="0"/>
              <w:jc w:val="center"/>
              <w:rPr>
                <w:color w:val="000000"/>
                <w:sz w:val="20"/>
                <w:szCs w:val="20"/>
              </w:rPr>
            </w:pPr>
            <w:r>
              <w:rPr>
                <w:color w:val="000000"/>
                <w:sz w:val="20"/>
                <w:szCs w:val="20"/>
              </w:rPr>
              <w:t>32</w:t>
            </w:r>
          </w:p>
        </w:tc>
        <w:tc>
          <w:tcPr>
            <w:tcW w:w="603" w:type="pct"/>
            <w:tcBorders>
              <w:top w:val="single" w:sz="4" w:space="0" w:color="auto"/>
              <w:left w:val="single" w:sz="4" w:space="0" w:color="auto"/>
              <w:bottom w:val="single" w:sz="4" w:space="0" w:color="auto"/>
              <w:right w:val="single" w:sz="4" w:space="0" w:color="auto"/>
            </w:tcBorders>
            <w:noWrap/>
          </w:tcPr>
          <w:p w14:paraId="09C4FA3D" w14:textId="40C06721" w:rsidR="003976EC" w:rsidRDefault="003976EC">
            <w:pPr>
              <w:spacing w:after="0"/>
              <w:jc w:val="center"/>
              <w:rPr>
                <w:color w:val="000000"/>
                <w:sz w:val="20"/>
                <w:szCs w:val="20"/>
              </w:rPr>
            </w:pPr>
            <w:r>
              <w:rPr>
                <w:color w:val="000000"/>
                <w:sz w:val="20"/>
                <w:szCs w:val="20"/>
              </w:rPr>
              <w:t>24</w:t>
            </w:r>
          </w:p>
        </w:tc>
        <w:tc>
          <w:tcPr>
            <w:tcW w:w="734" w:type="pct"/>
            <w:tcBorders>
              <w:top w:val="single" w:sz="4" w:space="0" w:color="auto"/>
              <w:left w:val="single" w:sz="4" w:space="0" w:color="auto"/>
              <w:bottom w:val="single" w:sz="4" w:space="0" w:color="auto"/>
              <w:right w:val="single" w:sz="4" w:space="0" w:color="auto"/>
            </w:tcBorders>
            <w:noWrap/>
          </w:tcPr>
          <w:p w14:paraId="64C09ED8" w14:textId="6B49670F" w:rsidR="003976EC" w:rsidRDefault="003976EC">
            <w:pPr>
              <w:spacing w:after="0"/>
              <w:jc w:val="center"/>
              <w:rPr>
                <w:color w:val="000000"/>
                <w:sz w:val="20"/>
                <w:szCs w:val="20"/>
              </w:rPr>
            </w:pPr>
            <w:r>
              <w:rPr>
                <w:color w:val="000000"/>
                <w:sz w:val="20"/>
                <w:szCs w:val="20"/>
              </w:rPr>
              <w:t>5</w:t>
            </w:r>
          </w:p>
        </w:tc>
        <w:tc>
          <w:tcPr>
            <w:tcW w:w="514" w:type="pct"/>
            <w:tcBorders>
              <w:top w:val="single" w:sz="4" w:space="0" w:color="auto"/>
              <w:left w:val="single" w:sz="4" w:space="0" w:color="auto"/>
              <w:bottom w:val="single" w:sz="4" w:space="0" w:color="auto"/>
              <w:right w:val="single" w:sz="4" w:space="0" w:color="auto"/>
            </w:tcBorders>
            <w:noWrap/>
          </w:tcPr>
          <w:p w14:paraId="4C9AB682" w14:textId="56B6A9BE" w:rsidR="003976EC" w:rsidRDefault="003976EC">
            <w:pPr>
              <w:spacing w:after="0"/>
              <w:jc w:val="center"/>
              <w:rPr>
                <w:color w:val="000000"/>
                <w:sz w:val="20"/>
                <w:szCs w:val="20"/>
              </w:rPr>
            </w:pPr>
            <w:r>
              <w:rPr>
                <w:color w:val="000000"/>
                <w:sz w:val="20"/>
                <w:szCs w:val="20"/>
              </w:rPr>
              <w:t>9</w:t>
            </w:r>
          </w:p>
        </w:tc>
        <w:tc>
          <w:tcPr>
            <w:tcW w:w="903" w:type="pct"/>
            <w:tcBorders>
              <w:top w:val="single" w:sz="4" w:space="0" w:color="auto"/>
              <w:left w:val="single" w:sz="4" w:space="0" w:color="auto"/>
              <w:bottom w:val="single" w:sz="4" w:space="0" w:color="auto"/>
              <w:right w:val="single" w:sz="4" w:space="0" w:color="auto"/>
            </w:tcBorders>
            <w:noWrap/>
          </w:tcPr>
          <w:p w14:paraId="66588499" w14:textId="098BA98E" w:rsidR="003976EC" w:rsidRDefault="003976EC">
            <w:pPr>
              <w:spacing w:after="0"/>
              <w:jc w:val="center"/>
              <w:rPr>
                <w:color w:val="000000"/>
                <w:sz w:val="20"/>
                <w:szCs w:val="20"/>
              </w:rPr>
            </w:pPr>
            <w:r>
              <w:rPr>
                <w:color w:val="000000"/>
                <w:sz w:val="20"/>
                <w:szCs w:val="20"/>
              </w:rPr>
              <w:t>-2,967</w:t>
            </w:r>
          </w:p>
        </w:tc>
        <w:tc>
          <w:tcPr>
            <w:tcW w:w="517" w:type="pct"/>
            <w:tcBorders>
              <w:top w:val="single" w:sz="4" w:space="0" w:color="auto"/>
              <w:left w:val="single" w:sz="4" w:space="0" w:color="auto"/>
              <w:bottom w:val="single" w:sz="4" w:space="0" w:color="auto"/>
              <w:right w:val="single" w:sz="4" w:space="0" w:color="auto"/>
            </w:tcBorders>
            <w:noWrap/>
          </w:tcPr>
          <w:p w14:paraId="6CE3C695" w14:textId="0484785A" w:rsidR="003976EC" w:rsidRDefault="003976EC">
            <w:pPr>
              <w:spacing w:after="0"/>
              <w:jc w:val="center"/>
              <w:rPr>
                <w:color w:val="000000"/>
                <w:sz w:val="20"/>
                <w:szCs w:val="20"/>
              </w:rPr>
            </w:pPr>
            <w:r>
              <w:rPr>
                <w:color w:val="000000"/>
                <w:sz w:val="20"/>
                <w:szCs w:val="20"/>
              </w:rPr>
              <w:t>8.8</w:t>
            </w:r>
          </w:p>
        </w:tc>
        <w:tc>
          <w:tcPr>
            <w:tcW w:w="523" w:type="pct"/>
            <w:tcBorders>
              <w:top w:val="single" w:sz="4" w:space="0" w:color="auto"/>
              <w:left w:val="single" w:sz="4" w:space="0" w:color="auto"/>
              <w:bottom w:val="single" w:sz="4" w:space="0" w:color="auto"/>
              <w:right w:val="single" w:sz="4" w:space="0" w:color="auto"/>
            </w:tcBorders>
            <w:noWrap/>
          </w:tcPr>
          <w:p w14:paraId="79463CA2" w14:textId="5A1C606E" w:rsidR="003976EC" w:rsidRDefault="003976EC">
            <w:pPr>
              <w:spacing w:after="0"/>
              <w:jc w:val="center"/>
              <w:rPr>
                <w:color w:val="000000"/>
                <w:sz w:val="20"/>
                <w:szCs w:val="20"/>
              </w:rPr>
            </w:pPr>
            <w:r>
              <w:rPr>
                <w:color w:val="000000"/>
                <w:sz w:val="20"/>
                <w:szCs w:val="20"/>
              </w:rPr>
              <w:t>0.16</w:t>
            </w:r>
          </w:p>
        </w:tc>
      </w:tr>
      <w:tr w:rsidR="003976EC" w14:paraId="22EA2774" w14:textId="77777777" w:rsidTr="00C34866">
        <w:tc>
          <w:tcPr>
            <w:tcW w:w="65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60743D9" w14:textId="1D3A5858" w:rsidR="003976EC" w:rsidRDefault="003976EC">
            <w:pPr>
              <w:spacing w:after="0"/>
              <w:rPr>
                <w:color w:val="000000"/>
                <w:sz w:val="20"/>
                <w:szCs w:val="20"/>
              </w:rPr>
            </w:pPr>
            <w:r>
              <w:rPr>
                <w:color w:val="000000"/>
                <w:sz w:val="20"/>
                <w:szCs w:val="20"/>
              </w:rPr>
              <w:t>Batikent</w:t>
            </w:r>
          </w:p>
        </w:tc>
        <w:tc>
          <w:tcPr>
            <w:tcW w:w="550" w:type="pct"/>
            <w:tcBorders>
              <w:top w:val="single" w:sz="4" w:space="0" w:color="auto"/>
              <w:left w:val="single" w:sz="4" w:space="0" w:color="auto"/>
              <w:bottom w:val="single" w:sz="4" w:space="0" w:color="auto"/>
              <w:right w:val="single" w:sz="4" w:space="0" w:color="auto"/>
            </w:tcBorders>
            <w:noWrap/>
          </w:tcPr>
          <w:p w14:paraId="0FC2D418" w14:textId="5B88B063" w:rsidR="003976EC" w:rsidRDefault="003976EC">
            <w:pPr>
              <w:spacing w:after="0"/>
              <w:jc w:val="center"/>
              <w:rPr>
                <w:color w:val="000000"/>
                <w:sz w:val="20"/>
                <w:szCs w:val="20"/>
              </w:rPr>
            </w:pPr>
            <w:r>
              <w:rPr>
                <w:color w:val="000000"/>
                <w:sz w:val="20"/>
                <w:szCs w:val="20"/>
              </w:rPr>
              <w:t>600</w:t>
            </w:r>
          </w:p>
        </w:tc>
        <w:tc>
          <w:tcPr>
            <w:tcW w:w="603" w:type="pct"/>
            <w:tcBorders>
              <w:top w:val="single" w:sz="4" w:space="0" w:color="auto"/>
              <w:left w:val="single" w:sz="4" w:space="0" w:color="auto"/>
              <w:bottom w:val="single" w:sz="4" w:space="0" w:color="auto"/>
              <w:right w:val="single" w:sz="4" w:space="0" w:color="auto"/>
            </w:tcBorders>
            <w:noWrap/>
          </w:tcPr>
          <w:p w14:paraId="404F64BA" w14:textId="75683B9C" w:rsidR="003976EC" w:rsidRDefault="003976EC">
            <w:pPr>
              <w:spacing w:after="0"/>
              <w:jc w:val="center"/>
              <w:rPr>
                <w:color w:val="000000"/>
                <w:sz w:val="20"/>
                <w:szCs w:val="20"/>
              </w:rPr>
            </w:pPr>
            <w:r>
              <w:rPr>
                <w:color w:val="000000"/>
                <w:sz w:val="20"/>
                <w:szCs w:val="20"/>
              </w:rPr>
              <w:t>High</w:t>
            </w:r>
          </w:p>
        </w:tc>
        <w:tc>
          <w:tcPr>
            <w:tcW w:w="734" w:type="pct"/>
            <w:tcBorders>
              <w:top w:val="single" w:sz="4" w:space="0" w:color="auto"/>
              <w:left w:val="single" w:sz="4" w:space="0" w:color="auto"/>
              <w:bottom w:val="single" w:sz="4" w:space="0" w:color="auto"/>
              <w:right w:val="single" w:sz="4" w:space="0" w:color="auto"/>
            </w:tcBorders>
            <w:noWrap/>
          </w:tcPr>
          <w:p w14:paraId="40D7FC67" w14:textId="2A7F282D" w:rsidR="003976EC" w:rsidRDefault="003976EC">
            <w:pPr>
              <w:spacing w:after="0"/>
              <w:jc w:val="center"/>
              <w:rPr>
                <w:color w:val="000000"/>
                <w:sz w:val="20"/>
                <w:szCs w:val="20"/>
              </w:rPr>
            </w:pPr>
            <w:r>
              <w:rPr>
                <w:color w:val="000000"/>
                <w:sz w:val="20"/>
                <w:szCs w:val="20"/>
              </w:rPr>
              <w:t>42</w:t>
            </w:r>
          </w:p>
        </w:tc>
        <w:tc>
          <w:tcPr>
            <w:tcW w:w="514" w:type="pct"/>
            <w:tcBorders>
              <w:top w:val="single" w:sz="4" w:space="0" w:color="auto"/>
              <w:left w:val="single" w:sz="4" w:space="0" w:color="auto"/>
              <w:bottom w:val="single" w:sz="4" w:space="0" w:color="auto"/>
              <w:right w:val="single" w:sz="4" w:space="0" w:color="auto"/>
            </w:tcBorders>
            <w:noWrap/>
          </w:tcPr>
          <w:p w14:paraId="38FAC42D" w14:textId="2144EEF0" w:rsidR="003976EC" w:rsidRDefault="003976EC">
            <w:pPr>
              <w:spacing w:after="0"/>
              <w:jc w:val="center"/>
              <w:rPr>
                <w:color w:val="000000"/>
                <w:sz w:val="20"/>
                <w:szCs w:val="20"/>
              </w:rPr>
            </w:pPr>
            <w:r>
              <w:rPr>
                <w:color w:val="000000"/>
                <w:sz w:val="20"/>
                <w:szCs w:val="20"/>
              </w:rPr>
              <w:t>High</w:t>
            </w:r>
          </w:p>
        </w:tc>
        <w:tc>
          <w:tcPr>
            <w:tcW w:w="903" w:type="pct"/>
            <w:tcBorders>
              <w:top w:val="single" w:sz="4" w:space="0" w:color="auto"/>
              <w:left w:val="single" w:sz="4" w:space="0" w:color="auto"/>
              <w:bottom w:val="single" w:sz="4" w:space="0" w:color="auto"/>
              <w:right w:val="single" w:sz="4" w:space="0" w:color="auto"/>
            </w:tcBorders>
            <w:noWrap/>
          </w:tcPr>
          <w:p w14:paraId="0744B423" w14:textId="53E44EA5" w:rsidR="003976EC" w:rsidRDefault="003976EC">
            <w:pPr>
              <w:spacing w:after="0"/>
              <w:jc w:val="center"/>
              <w:rPr>
                <w:color w:val="000000"/>
                <w:sz w:val="20"/>
                <w:szCs w:val="20"/>
              </w:rPr>
            </w:pPr>
            <w:r>
              <w:rPr>
                <w:color w:val="000000"/>
                <w:sz w:val="20"/>
                <w:szCs w:val="20"/>
              </w:rPr>
              <w:t>394,664</w:t>
            </w:r>
          </w:p>
        </w:tc>
        <w:tc>
          <w:tcPr>
            <w:tcW w:w="517" w:type="pct"/>
            <w:tcBorders>
              <w:top w:val="single" w:sz="4" w:space="0" w:color="auto"/>
              <w:left w:val="single" w:sz="4" w:space="0" w:color="auto"/>
              <w:bottom w:val="single" w:sz="4" w:space="0" w:color="auto"/>
              <w:right w:val="single" w:sz="4" w:space="0" w:color="auto"/>
            </w:tcBorders>
            <w:noWrap/>
          </w:tcPr>
          <w:p w14:paraId="71BF689F" w14:textId="25725704" w:rsidR="003976EC" w:rsidRDefault="003976EC">
            <w:pPr>
              <w:spacing w:after="0"/>
              <w:jc w:val="center"/>
              <w:rPr>
                <w:color w:val="000000"/>
                <w:sz w:val="20"/>
                <w:szCs w:val="20"/>
              </w:rPr>
            </w:pPr>
            <w:r>
              <w:rPr>
                <w:color w:val="000000"/>
                <w:sz w:val="20"/>
                <w:szCs w:val="20"/>
              </w:rPr>
              <w:t>6.3</w:t>
            </w:r>
          </w:p>
        </w:tc>
        <w:tc>
          <w:tcPr>
            <w:tcW w:w="523" w:type="pct"/>
            <w:tcBorders>
              <w:top w:val="single" w:sz="4" w:space="0" w:color="auto"/>
              <w:left w:val="single" w:sz="4" w:space="0" w:color="auto"/>
              <w:bottom w:val="single" w:sz="4" w:space="0" w:color="auto"/>
              <w:right w:val="single" w:sz="4" w:space="0" w:color="auto"/>
            </w:tcBorders>
            <w:noWrap/>
          </w:tcPr>
          <w:p w14:paraId="571D87A8" w14:textId="163E4744" w:rsidR="003976EC" w:rsidRDefault="003976EC">
            <w:pPr>
              <w:spacing w:after="0"/>
              <w:jc w:val="center"/>
              <w:rPr>
                <w:color w:val="000000"/>
                <w:sz w:val="20"/>
                <w:szCs w:val="20"/>
              </w:rPr>
            </w:pPr>
            <w:r>
              <w:rPr>
                <w:color w:val="000000"/>
                <w:sz w:val="20"/>
                <w:szCs w:val="20"/>
              </w:rPr>
              <w:t>0.11</w:t>
            </w:r>
          </w:p>
        </w:tc>
      </w:tr>
      <w:tr w:rsidR="003976EC" w14:paraId="0E290F88" w14:textId="77777777" w:rsidTr="00C34866">
        <w:tc>
          <w:tcPr>
            <w:tcW w:w="65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F836720" w14:textId="05C63A3D" w:rsidR="003976EC" w:rsidRDefault="003976EC">
            <w:pPr>
              <w:spacing w:after="0"/>
              <w:rPr>
                <w:color w:val="000000"/>
                <w:sz w:val="20"/>
                <w:szCs w:val="20"/>
              </w:rPr>
            </w:pPr>
            <w:r>
              <w:rPr>
                <w:color w:val="000000"/>
                <w:sz w:val="20"/>
                <w:szCs w:val="20"/>
              </w:rPr>
              <w:t>Ulusoy</w:t>
            </w:r>
          </w:p>
        </w:tc>
        <w:tc>
          <w:tcPr>
            <w:tcW w:w="550" w:type="pct"/>
            <w:tcBorders>
              <w:top w:val="single" w:sz="4" w:space="0" w:color="auto"/>
              <w:left w:val="single" w:sz="4" w:space="0" w:color="auto"/>
              <w:bottom w:val="single" w:sz="4" w:space="0" w:color="auto"/>
              <w:right w:val="single" w:sz="4" w:space="0" w:color="auto"/>
            </w:tcBorders>
            <w:noWrap/>
          </w:tcPr>
          <w:p w14:paraId="4F182837" w14:textId="34577BD4" w:rsidR="003976EC" w:rsidRDefault="00C34866">
            <w:pPr>
              <w:spacing w:after="0"/>
              <w:jc w:val="center"/>
              <w:rPr>
                <w:color w:val="000000"/>
                <w:sz w:val="20"/>
                <w:szCs w:val="20"/>
              </w:rPr>
            </w:pPr>
            <w:r>
              <w:rPr>
                <w:color w:val="000000"/>
                <w:sz w:val="20"/>
                <w:szCs w:val="20"/>
              </w:rPr>
              <w:t>72</w:t>
            </w:r>
          </w:p>
        </w:tc>
        <w:tc>
          <w:tcPr>
            <w:tcW w:w="603" w:type="pct"/>
            <w:tcBorders>
              <w:top w:val="single" w:sz="4" w:space="0" w:color="auto"/>
              <w:left w:val="single" w:sz="4" w:space="0" w:color="auto"/>
              <w:bottom w:val="single" w:sz="4" w:space="0" w:color="auto"/>
              <w:right w:val="single" w:sz="4" w:space="0" w:color="auto"/>
            </w:tcBorders>
            <w:noWrap/>
          </w:tcPr>
          <w:p w14:paraId="6CCBADE7" w14:textId="25343D6A" w:rsidR="003976EC" w:rsidRDefault="00C34866">
            <w:pPr>
              <w:spacing w:after="0"/>
              <w:jc w:val="center"/>
              <w:rPr>
                <w:color w:val="000000"/>
                <w:sz w:val="20"/>
                <w:szCs w:val="20"/>
              </w:rPr>
            </w:pPr>
            <w:r>
              <w:rPr>
                <w:color w:val="000000"/>
                <w:sz w:val="20"/>
                <w:szCs w:val="20"/>
              </w:rPr>
              <w:t>29</w:t>
            </w:r>
          </w:p>
        </w:tc>
        <w:tc>
          <w:tcPr>
            <w:tcW w:w="734" w:type="pct"/>
            <w:tcBorders>
              <w:top w:val="single" w:sz="4" w:space="0" w:color="auto"/>
              <w:left w:val="single" w:sz="4" w:space="0" w:color="auto"/>
              <w:bottom w:val="single" w:sz="4" w:space="0" w:color="auto"/>
              <w:right w:val="single" w:sz="4" w:space="0" w:color="auto"/>
            </w:tcBorders>
            <w:noWrap/>
          </w:tcPr>
          <w:p w14:paraId="5CDB74A5" w14:textId="790DADBB" w:rsidR="003976EC" w:rsidRDefault="00C34866">
            <w:pPr>
              <w:spacing w:after="0"/>
              <w:jc w:val="center"/>
              <w:rPr>
                <w:color w:val="000000"/>
                <w:sz w:val="20"/>
                <w:szCs w:val="20"/>
              </w:rPr>
            </w:pPr>
            <w:r>
              <w:rPr>
                <w:color w:val="000000"/>
                <w:sz w:val="20"/>
                <w:szCs w:val="20"/>
              </w:rPr>
              <w:t>8</w:t>
            </w:r>
          </w:p>
        </w:tc>
        <w:tc>
          <w:tcPr>
            <w:tcW w:w="514" w:type="pct"/>
            <w:tcBorders>
              <w:top w:val="single" w:sz="4" w:space="0" w:color="auto"/>
              <w:left w:val="single" w:sz="4" w:space="0" w:color="auto"/>
              <w:bottom w:val="single" w:sz="4" w:space="0" w:color="auto"/>
              <w:right w:val="single" w:sz="4" w:space="0" w:color="auto"/>
            </w:tcBorders>
            <w:noWrap/>
          </w:tcPr>
          <w:p w14:paraId="6A16D659" w14:textId="144154C6" w:rsidR="003976EC" w:rsidRDefault="00C34866">
            <w:pPr>
              <w:spacing w:after="0"/>
              <w:jc w:val="center"/>
              <w:rPr>
                <w:color w:val="000000"/>
                <w:sz w:val="20"/>
                <w:szCs w:val="20"/>
              </w:rPr>
            </w:pPr>
            <w:r>
              <w:rPr>
                <w:color w:val="000000"/>
                <w:sz w:val="20"/>
                <w:szCs w:val="20"/>
              </w:rPr>
              <w:t>13</w:t>
            </w:r>
          </w:p>
        </w:tc>
        <w:tc>
          <w:tcPr>
            <w:tcW w:w="903" w:type="pct"/>
            <w:tcBorders>
              <w:top w:val="single" w:sz="4" w:space="0" w:color="auto"/>
              <w:left w:val="single" w:sz="4" w:space="0" w:color="auto"/>
              <w:bottom w:val="single" w:sz="4" w:space="0" w:color="auto"/>
              <w:right w:val="single" w:sz="4" w:space="0" w:color="auto"/>
            </w:tcBorders>
            <w:noWrap/>
          </w:tcPr>
          <w:p w14:paraId="092A1091" w14:textId="27411B25" w:rsidR="003976EC" w:rsidRDefault="00C34866">
            <w:pPr>
              <w:spacing w:after="0"/>
              <w:jc w:val="center"/>
              <w:rPr>
                <w:color w:val="000000"/>
                <w:sz w:val="20"/>
                <w:szCs w:val="20"/>
              </w:rPr>
            </w:pPr>
            <w:r>
              <w:rPr>
                <w:color w:val="000000"/>
                <w:sz w:val="20"/>
                <w:szCs w:val="20"/>
              </w:rPr>
              <w:t>2,081</w:t>
            </w:r>
          </w:p>
        </w:tc>
        <w:tc>
          <w:tcPr>
            <w:tcW w:w="517" w:type="pct"/>
            <w:tcBorders>
              <w:top w:val="single" w:sz="4" w:space="0" w:color="auto"/>
              <w:left w:val="single" w:sz="4" w:space="0" w:color="auto"/>
              <w:bottom w:val="single" w:sz="4" w:space="0" w:color="auto"/>
              <w:right w:val="single" w:sz="4" w:space="0" w:color="auto"/>
            </w:tcBorders>
            <w:noWrap/>
          </w:tcPr>
          <w:p w14:paraId="2DCA444C" w14:textId="1194F1A2" w:rsidR="003976EC" w:rsidRDefault="00C34866">
            <w:pPr>
              <w:spacing w:after="0"/>
              <w:jc w:val="center"/>
              <w:rPr>
                <w:color w:val="000000"/>
                <w:sz w:val="20"/>
                <w:szCs w:val="20"/>
              </w:rPr>
            </w:pPr>
            <w:r>
              <w:rPr>
                <w:color w:val="000000"/>
                <w:sz w:val="20"/>
                <w:szCs w:val="20"/>
              </w:rPr>
              <w:t>8.3</w:t>
            </w:r>
          </w:p>
        </w:tc>
        <w:tc>
          <w:tcPr>
            <w:tcW w:w="523" w:type="pct"/>
            <w:tcBorders>
              <w:top w:val="single" w:sz="4" w:space="0" w:color="auto"/>
              <w:left w:val="single" w:sz="4" w:space="0" w:color="auto"/>
              <w:bottom w:val="single" w:sz="4" w:space="0" w:color="auto"/>
              <w:right w:val="single" w:sz="4" w:space="0" w:color="auto"/>
            </w:tcBorders>
            <w:noWrap/>
          </w:tcPr>
          <w:p w14:paraId="43AAE53C" w14:textId="1D0B76E2" w:rsidR="003976EC" w:rsidRDefault="00C34866">
            <w:pPr>
              <w:spacing w:after="0"/>
              <w:jc w:val="center"/>
              <w:rPr>
                <w:color w:val="000000"/>
                <w:sz w:val="20"/>
                <w:szCs w:val="20"/>
              </w:rPr>
            </w:pPr>
            <w:r>
              <w:rPr>
                <w:color w:val="000000"/>
                <w:sz w:val="20"/>
                <w:szCs w:val="20"/>
              </w:rPr>
              <w:t>0.15</w:t>
            </w:r>
          </w:p>
        </w:tc>
      </w:tr>
      <w:tr w:rsidR="00BA66F2" w14:paraId="2EBF3092" w14:textId="77777777" w:rsidTr="00C34866">
        <w:tc>
          <w:tcPr>
            <w:tcW w:w="65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55C83DE" w14:textId="402F82F5" w:rsidR="00BA66F2" w:rsidRDefault="00C34866">
            <w:pPr>
              <w:spacing w:after="0"/>
              <w:rPr>
                <w:color w:val="000000"/>
                <w:sz w:val="20"/>
                <w:szCs w:val="20"/>
              </w:rPr>
            </w:pPr>
            <w:r>
              <w:rPr>
                <w:color w:val="000000"/>
                <w:sz w:val="20"/>
                <w:szCs w:val="20"/>
              </w:rPr>
              <w:t>Ikizler</w:t>
            </w:r>
          </w:p>
        </w:tc>
        <w:tc>
          <w:tcPr>
            <w:tcW w:w="550" w:type="pct"/>
            <w:tcBorders>
              <w:top w:val="single" w:sz="4" w:space="0" w:color="auto"/>
              <w:left w:val="single" w:sz="4" w:space="0" w:color="auto"/>
              <w:bottom w:val="single" w:sz="4" w:space="0" w:color="auto"/>
              <w:right w:val="single" w:sz="4" w:space="0" w:color="auto"/>
            </w:tcBorders>
            <w:noWrap/>
          </w:tcPr>
          <w:p w14:paraId="193B9280" w14:textId="4C90B4BE" w:rsidR="00BA66F2" w:rsidRDefault="00C34866">
            <w:pPr>
              <w:spacing w:after="0"/>
              <w:jc w:val="center"/>
              <w:rPr>
                <w:color w:val="000000"/>
                <w:sz w:val="20"/>
                <w:szCs w:val="20"/>
              </w:rPr>
            </w:pPr>
            <w:r>
              <w:rPr>
                <w:color w:val="000000"/>
                <w:sz w:val="20"/>
                <w:szCs w:val="20"/>
              </w:rPr>
              <w:t>280</w:t>
            </w:r>
          </w:p>
        </w:tc>
        <w:tc>
          <w:tcPr>
            <w:tcW w:w="603" w:type="pct"/>
            <w:tcBorders>
              <w:top w:val="single" w:sz="4" w:space="0" w:color="auto"/>
              <w:left w:val="single" w:sz="4" w:space="0" w:color="auto"/>
              <w:bottom w:val="single" w:sz="4" w:space="0" w:color="auto"/>
              <w:right w:val="single" w:sz="4" w:space="0" w:color="auto"/>
            </w:tcBorders>
            <w:noWrap/>
          </w:tcPr>
          <w:p w14:paraId="1D6FEA7B" w14:textId="2FE707AC" w:rsidR="00BA66F2" w:rsidRDefault="00C34866">
            <w:pPr>
              <w:spacing w:after="0"/>
              <w:jc w:val="center"/>
              <w:rPr>
                <w:color w:val="000000"/>
                <w:sz w:val="20"/>
                <w:szCs w:val="20"/>
              </w:rPr>
            </w:pPr>
            <w:r>
              <w:rPr>
                <w:color w:val="000000"/>
                <w:sz w:val="20"/>
                <w:szCs w:val="20"/>
              </w:rPr>
              <w:t>High</w:t>
            </w:r>
          </w:p>
        </w:tc>
        <w:tc>
          <w:tcPr>
            <w:tcW w:w="734" w:type="pct"/>
            <w:tcBorders>
              <w:top w:val="single" w:sz="4" w:space="0" w:color="auto"/>
              <w:left w:val="single" w:sz="4" w:space="0" w:color="auto"/>
              <w:bottom w:val="single" w:sz="4" w:space="0" w:color="auto"/>
              <w:right w:val="single" w:sz="4" w:space="0" w:color="auto"/>
            </w:tcBorders>
            <w:noWrap/>
          </w:tcPr>
          <w:p w14:paraId="69832A14" w14:textId="29ED38FE" w:rsidR="00BA66F2" w:rsidRDefault="00C34866">
            <w:pPr>
              <w:spacing w:after="0"/>
              <w:jc w:val="center"/>
              <w:rPr>
                <w:color w:val="000000"/>
                <w:sz w:val="20"/>
                <w:szCs w:val="20"/>
              </w:rPr>
            </w:pPr>
            <w:r>
              <w:rPr>
                <w:color w:val="000000"/>
                <w:sz w:val="20"/>
                <w:szCs w:val="20"/>
              </w:rPr>
              <w:t>23</w:t>
            </w:r>
          </w:p>
        </w:tc>
        <w:tc>
          <w:tcPr>
            <w:tcW w:w="514" w:type="pct"/>
            <w:tcBorders>
              <w:top w:val="single" w:sz="4" w:space="0" w:color="auto"/>
              <w:left w:val="single" w:sz="4" w:space="0" w:color="auto"/>
              <w:bottom w:val="single" w:sz="4" w:space="0" w:color="auto"/>
              <w:right w:val="single" w:sz="4" w:space="0" w:color="auto"/>
            </w:tcBorders>
            <w:noWrap/>
          </w:tcPr>
          <w:p w14:paraId="67F22059" w14:textId="68C4DAB8" w:rsidR="00BA66F2" w:rsidRDefault="00C34866">
            <w:pPr>
              <w:spacing w:after="0"/>
              <w:jc w:val="center"/>
              <w:rPr>
                <w:color w:val="000000"/>
                <w:sz w:val="20"/>
                <w:szCs w:val="20"/>
              </w:rPr>
            </w:pPr>
            <w:r>
              <w:rPr>
                <w:color w:val="000000"/>
                <w:sz w:val="20"/>
                <w:szCs w:val="20"/>
              </w:rPr>
              <w:t>High</w:t>
            </w:r>
          </w:p>
        </w:tc>
        <w:tc>
          <w:tcPr>
            <w:tcW w:w="903" w:type="pct"/>
            <w:tcBorders>
              <w:top w:val="single" w:sz="4" w:space="0" w:color="auto"/>
              <w:left w:val="single" w:sz="4" w:space="0" w:color="auto"/>
              <w:bottom w:val="single" w:sz="4" w:space="0" w:color="auto"/>
              <w:right w:val="single" w:sz="4" w:space="0" w:color="auto"/>
            </w:tcBorders>
            <w:noWrap/>
          </w:tcPr>
          <w:p w14:paraId="4ECFE36D" w14:textId="2C3CEF69" w:rsidR="00BA66F2" w:rsidRDefault="00C34866">
            <w:pPr>
              <w:spacing w:after="0"/>
              <w:jc w:val="center"/>
              <w:rPr>
                <w:color w:val="000000"/>
                <w:sz w:val="20"/>
                <w:szCs w:val="20"/>
              </w:rPr>
            </w:pPr>
            <w:r>
              <w:rPr>
                <w:color w:val="000000"/>
                <w:sz w:val="20"/>
                <w:szCs w:val="20"/>
              </w:rPr>
              <w:t>118,803</w:t>
            </w:r>
          </w:p>
        </w:tc>
        <w:tc>
          <w:tcPr>
            <w:tcW w:w="517" w:type="pct"/>
            <w:tcBorders>
              <w:top w:val="single" w:sz="4" w:space="0" w:color="auto"/>
              <w:left w:val="single" w:sz="4" w:space="0" w:color="auto"/>
              <w:bottom w:val="single" w:sz="4" w:space="0" w:color="auto"/>
              <w:right w:val="single" w:sz="4" w:space="0" w:color="auto"/>
            </w:tcBorders>
            <w:noWrap/>
          </w:tcPr>
          <w:p w14:paraId="1854B86C" w14:textId="572DBF48" w:rsidR="00BA66F2" w:rsidRDefault="00C34866">
            <w:pPr>
              <w:spacing w:after="0"/>
              <w:jc w:val="center"/>
              <w:rPr>
                <w:color w:val="000000"/>
                <w:sz w:val="20"/>
                <w:szCs w:val="20"/>
              </w:rPr>
            </w:pPr>
            <w:r>
              <w:rPr>
                <w:color w:val="000000"/>
                <w:sz w:val="20"/>
                <w:szCs w:val="20"/>
              </w:rPr>
              <w:t>6.9</w:t>
            </w:r>
          </w:p>
        </w:tc>
        <w:tc>
          <w:tcPr>
            <w:tcW w:w="523" w:type="pct"/>
            <w:tcBorders>
              <w:top w:val="single" w:sz="4" w:space="0" w:color="auto"/>
              <w:left w:val="single" w:sz="4" w:space="0" w:color="auto"/>
              <w:bottom w:val="single" w:sz="4" w:space="0" w:color="auto"/>
              <w:right w:val="single" w:sz="4" w:space="0" w:color="auto"/>
            </w:tcBorders>
            <w:noWrap/>
          </w:tcPr>
          <w:p w14:paraId="0533C953" w14:textId="1CF4C47A" w:rsidR="00BA66F2" w:rsidRDefault="00C34866">
            <w:pPr>
              <w:spacing w:after="0"/>
              <w:jc w:val="center"/>
              <w:rPr>
                <w:color w:val="000000"/>
                <w:sz w:val="20"/>
                <w:szCs w:val="20"/>
              </w:rPr>
            </w:pPr>
            <w:r>
              <w:rPr>
                <w:color w:val="000000"/>
                <w:sz w:val="20"/>
                <w:szCs w:val="20"/>
              </w:rPr>
              <w:t>0.12</w:t>
            </w:r>
          </w:p>
        </w:tc>
      </w:tr>
      <w:tr w:rsidR="00C34866" w:rsidRPr="00C34866" w14:paraId="6148ED56" w14:textId="77777777" w:rsidTr="00C34866">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FE00C69" w14:textId="6C77F7A3" w:rsidR="00C34866" w:rsidRDefault="00C34866" w:rsidP="00C34866">
            <w:pPr>
              <w:spacing w:before="40" w:after="40"/>
              <w:jc w:val="center"/>
              <w:rPr>
                <w:color w:val="000000"/>
                <w:sz w:val="20"/>
                <w:szCs w:val="20"/>
              </w:rPr>
            </w:pPr>
            <w:r>
              <w:rPr>
                <w:color w:val="000000"/>
                <w:sz w:val="20"/>
                <w:szCs w:val="20"/>
              </w:rPr>
              <w:t>Public</w:t>
            </w:r>
          </w:p>
        </w:tc>
      </w:tr>
      <w:tr w:rsidR="00C34866" w14:paraId="70235118" w14:textId="77777777" w:rsidTr="00C34866">
        <w:tc>
          <w:tcPr>
            <w:tcW w:w="65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F9E1002" w14:textId="60E665A2" w:rsidR="00C34866" w:rsidRDefault="00C34866">
            <w:pPr>
              <w:spacing w:after="0"/>
              <w:rPr>
                <w:color w:val="000000"/>
                <w:sz w:val="20"/>
                <w:szCs w:val="20"/>
              </w:rPr>
            </w:pPr>
            <w:r>
              <w:rPr>
                <w:color w:val="000000"/>
                <w:sz w:val="20"/>
                <w:szCs w:val="20"/>
              </w:rPr>
              <w:t>DGRE</w:t>
            </w:r>
          </w:p>
        </w:tc>
        <w:tc>
          <w:tcPr>
            <w:tcW w:w="550" w:type="pct"/>
            <w:tcBorders>
              <w:top w:val="single" w:sz="4" w:space="0" w:color="auto"/>
              <w:left w:val="single" w:sz="4" w:space="0" w:color="auto"/>
              <w:bottom w:val="single" w:sz="4" w:space="0" w:color="auto"/>
              <w:right w:val="single" w:sz="4" w:space="0" w:color="auto"/>
            </w:tcBorders>
            <w:noWrap/>
          </w:tcPr>
          <w:p w14:paraId="4DD915A9" w14:textId="29BE90D9" w:rsidR="00C34866" w:rsidRDefault="00C34866">
            <w:pPr>
              <w:spacing w:after="0"/>
              <w:jc w:val="center"/>
              <w:rPr>
                <w:color w:val="000000"/>
                <w:sz w:val="20"/>
                <w:szCs w:val="20"/>
              </w:rPr>
            </w:pPr>
            <w:r>
              <w:rPr>
                <w:color w:val="000000"/>
                <w:sz w:val="20"/>
                <w:szCs w:val="20"/>
              </w:rPr>
              <w:t>192</w:t>
            </w:r>
          </w:p>
        </w:tc>
        <w:tc>
          <w:tcPr>
            <w:tcW w:w="603" w:type="pct"/>
            <w:tcBorders>
              <w:top w:val="single" w:sz="4" w:space="0" w:color="auto"/>
              <w:left w:val="single" w:sz="4" w:space="0" w:color="auto"/>
              <w:bottom w:val="single" w:sz="4" w:space="0" w:color="auto"/>
              <w:right w:val="single" w:sz="4" w:space="0" w:color="auto"/>
            </w:tcBorders>
            <w:noWrap/>
          </w:tcPr>
          <w:p w14:paraId="1C20E025" w14:textId="6280F9EA" w:rsidR="00C34866" w:rsidRDefault="00C34866">
            <w:pPr>
              <w:spacing w:after="0"/>
              <w:jc w:val="center"/>
              <w:rPr>
                <w:color w:val="000000"/>
                <w:sz w:val="20"/>
                <w:szCs w:val="20"/>
              </w:rPr>
            </w:pPr>
            <w:r>
              <w:rPr>
                <w:color w:val="000000"/>
                <w:sz w:val="20"/>
                <w:szCs w:val="20"/>
              </w:rPr>
              <w:t>58</w:t>
            </w:r>
          </w:p>
        </w:tc>
        <w:tc>
          <w:tcPr>
            <w:tcW w:w="734" w:type="pct"/>
            <w:tcBorders>
              <w:top w:val="single" w:sz="4" w:space="0" w:color="auto"/>
              <w:left w:val="single" w:sz="4" w:space="0" w:color="auto"/>
              <w:bottom w:val="single" w:sz="4" w:space="0" w:color="auto"/>
              <w:right w:val="single" w:sz="4" w:space="0" w:color="auto"/>
            </w:tcBorders>
            <w:noWrap/>
          </w:tcPr>
          <w:p w14:paraId="3443A690" w14:textId="4C100D1B" w:rsidR="00C34866" w:rsidRDefault="00C34866">
            <w:pPr>
              <w:spacing w:after="0"/>
              <w:jc w:val="center"/>
              <w:rPr>
                <w:color w:val="000000"/>
                <w:sz w:val="20"/>
                <w:szCs w:val="20"/>
              </w:rPr>
            </w:pPr>
            <w:r>
              <w:rPr>
                <w:color w:val="000000"/>
                <w:sz w:val="20"/>
                <w:szCs w:val="20"/>
              </w:rPr>
              <w:t>14</w:t>
            </w:r>
          </w:p>
        </w:tc>
        <w:tc>
          <w:tcPr>
            <w:tcW w:w="514" w:type="pct"/>
            <w:tcBorders>
              <w:top w:val="single" w:sz="4" w:space="0" w:color="auto"/>
              <w:left w:val="single" w:sz="4" w:space="0" w:color="auto"/>
              <w:bottom w:val="single" w:sz="4" w:space="0" w:color="auto"/>
              <w:right w:val="single" w:sz="4" w:space="0" w:color="auto"/>
            </w:tcBorders>
            <w:noWrap/>
          </w:tcPr>
          <w:p w14:paraId="2259A1DB" w14:textId="53EF59C9" w:rsidR="00C34866" w:rsidRDefault="00C34866">
            <w:pPr>
              <w:spacing w:after="0"/>
              <w:jc w:val="center"/>
              <w:rPr>
                <w:color w:val="000000"/>
                <w:sz w:val="20"/>
                <w:szCs w:val="20"/>
              </w:rPr>
            </w:pPr>
            <w:r>
              <w:rPr>
                <w:color w:val="000000"/>
                <w:sz w:val="20"/>
                <w:szCs w:val="20"/>
              </w:rPr>
              <w:t>26</w:t>
            </w:r>
          </w:p>
        </w:tc>
        <w:tc>
          <w:tcPr>
            <w:tcW w:w="903" w:type="pct"/>
            <w:tcBorders>
              <w:top w:val="single" w:sz="4" w:space="0" w:color="auto"/>
              <w:left w:val="single" w:sz="4" w:space="0" w:color="auto"/>
              <w:bottom w:val="single" w:sz="4" w:space="0" w:color="auto"/>
              <w:right w:val="single" w:sz="4" w:space="0" w:color="auto"/>
            </w:tcBorders>
            <w:noWrap/>
          </w:tcPr>
          <w:p w14:paraId="63A3033B" w14:textId="29378FE8" w:rsidR="00C34866" w:rsidRDefault="00C34866">
            <w:pPr>
              <w:spacing w:after="0"/>
              <w:jc w:val="center"/>
              <w:rPr>
                <w:color w:val="000000"/>
                <w:sz w:val="20"/>
                <w:szCs w:val="20"/>
              </w:rPr>
            </w:pPr>
            <w:r>
              <w:rPr>
                <w:color w:val="000000"/>
                <w:sz w:val="20"/>
                <w:szCs w:val="20"/>
              </w:rPr>
              <w:t>44,779</w:t>
            </w:r>
          </w:p>
        </w:tc>
        <w:tc>
          <w:tcPr>
            <w:tcW w:w="517" w:type="pct"/>
            <w:tcBorders>
              <w:top w:val="single" w:sz="4" w:space="0" w:color="auto"/>
              <w:left w:val="single" w:sz="4" w:space="0" w:color="auto"/>
              <w:bottom w:val="single" w:sz="4" w:space="0" w:color="auto"/>
              <w:right w:val="single" w:sz="4" w:space="0" w:color="auto"/>
            </w:tcBorders>
            <w:noWrap/>
          </w:tcPr>
          <w:p w14:paraId="7FBFE2DE" w14:textId="730BF361" w:rsidR="00C34866" w:rsidRDefault="00C34866">
            <w:pPr>
              <w:spacing w:after="0"/>
              <w:jc w:val="center"/>
              <w:rPr>
                <w:color w:val="000000"/>
                <w:sz w:val="20"/>
                <w:szCs w:val="20"/>
              </w:rPr>
            </w:pPr>
            <w:r>
              <w:rPr>
                <w:color w:val="000000"/>
                <w:sz w:val="20"/>
                <w:szCs w:val="20"/>
              </w:rPr>
              <w:t>7.6</w:t>
            </w:r>
          </w:p>
        </w:tc>
        <w:tc>
          <w:tcPr>
            <w:tcW w:w="523" w:type="pct"/>
            <w:tcBorders>
              <w:top w:val="single" w:sz="4" w:space="0" w:color="auto"/>
              <w:left w:val="single" w:sz="4" w:space="0" w:color="auto"/>
              <w:bottom w:val="single" w:sz="4" w:space="0" w:color="auto"/>
              <w:right w:val="single" w:sz="4" w:space="0" w:color="auto"/>
            </w:tcBorders>
            <w:noWrap/>
          </w:tcPr>
          <w:p w14:paraId="7F6F6930" w14:textId="6E0224ED" w:rsidR="00C34866" w:rsidRDefault="00C34866">
            <w:pPr>
              <w:spacing w:after="0"/>
              <w:jc w:val="center"/>
              <w:rPr>
                <w:color w:val="000000"/>
                <w:sz w:val="20"/>
                <w:szCs w:val="20"/>
              </w:rPr>
            </w:pPr>
            <w:r>
              <w:rPr>
                <w:color w:val="000000"/>
                <w:sz w:val="20"/>
                <w:szCs w:val="20"/>
              </w:rPr>
              <w:t>0.13</w:t>
            </w:r>
          </w:p>
        </w:tc>
      </w:tr>
      <w:tr w:rsidR="00C34866" w14:paraId="693F494D" w14:textId="77777777" w:rsidTr="00C34866">
        <w:tc>
          <w:tcPr>
            <w:tcW w:w="65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49FECCA" w14:textId="3FDECD53" w:rsidR="00C34866" w:rsidRDefault="00C34866">
            <w:pPr>
              <w:spacing w:after="0"/>
              <w:rPr>
                <w:color w:val="000000"/>
                <w:sz w:val="20"/>
                <w:szCs w:val="20"/>
              </w:rPr>
            </w:pPr>
            <w:r>
              <w:rPr>
                <w:color w:val="000000"/>
                <w:sz w:val="20"/>
                <w:szCs w:val="20"/>
              </w:rPr>
              <w:t>Guzel</w:t>
            </w:r>
          </w:p>
        </w:tc>
        <w:tc>
          <w:tcPr>
            <w:tcW w:w="550" w:type="pct"/>
            <w:tcBorders>
              <w:top w:val="single" w:sz="4" w:space="0" w:color="auto"/>
              <w:left w:val="single" w:sz="4" w:space="0" w:color="auto"/>
              <w:bottom w:val="single" w:sz="4" w:space="0" w:color="auto"/>
              <w:right w:val="single" w:sz="4" w:space="0" w:color="auto"/>
            </w:tcBorders>
            <w:noWrap/>
          </w:tcPr>
          <w:p w14:paraId="264BBDC7" w14:textId="595334FC" w:rsidR="00C34866" w:rsidRDefault="00C34866">
            <w:pPr>
              <w:spacing w:after="0"/>
              <w:jc w:val="center"/>
              <w:rPr>
                <w:color w:val="000000"/>
                <w:sz w:val="20"/>
                <w:szCs w:val="20"/>
              </w:rPr>
            </w:pPr>
            <w:r>
              <w:rPr>
                <w:color w:val="000000"/>
                <w:sz w:val="20"/>
                <w:szCs w:val="20"/>
              </w:rPr>
              <w:t>160</w:t>
            </w:r>
          </w:p>
        </w:tc>
        <w:tc>
          <w:tcPr>
            <w:tcW w:w="603" w:type="pct"/>
            <w:tcBorders>
              <w:top w:val="single" w:sz="4" w:space="0" w:color="auto"/>
              <w:left w:val="single" w:sz="4" w:space="0" w:color="auto"/>
              <w:bottom w:val="single" w:sz="4" w:space="0" w:color="auto"/>
              <w:right w:val="single" w:sz="4" w:space="0" w:color="auto"/>
            </w:tcBorders>
            <w:noWrap/>
          </w:tcPr>
          <w:p w14:paraId="42BC3E34" w14:textId="250ED5BF" w:rsidR="00C34866" w:rsidRDefault="00C34866">
            <w:pPr>
              <w:spacing w:after="0"/>
              <w:jc w:val="center"/>
              <w:rPr>
                <w:color w:val="000000"/>
                <w:sz w:val="20"/>
                <w:szCs w:val="20"/>
              </w:rPr>
            </w:pPr>
            <w:r>
              <w:rPr>
                <w:color w:val="000000"/>
                <w:sz w:val="20"/>
                <w:szCs w:val="20"/>
              </w:rPr>
              <w:t>58</w:t>
            </w:r>
          </w:p>
        </w:tc>
        <w:tc>
          <w:tcPr>
            <w:tcW w:w="734" w:type="pct"/>
            <w:tcBorders>
              <w:top w:val="single" w:sz="4" w:space="0" w:color="auto"/>
              <w:left w:val="single" w:sz="4" w:space="0" w:color="auto"/>
              <w:bottom w:val="single" w:sz="4" w:space="0" w:color="auto"/>
              <w:right w:val="single" w:sz="4" w:space="0" w:color="auto"/>
            </w:tcBorders>
            <w:noWrap/>
          </w:tcPr>
          <w:p w14:paraId="4AAB3299" w14:textId="31CE1759" w:rsidR="00C34866" w:rsidRDefault="00C34866">
            <w:pPr>
              <w:spacing w:after="0"/>
              <w:jc w:val="center"/>
              <w:rPr>
                <w:color w:val="000000"/>
                <w:sz w:val="20"/>
                <w:szCs w:val="20"/>
              </w:rPr>
            </w:pPr>
            <w:r>
              <w:rPr>
                <w:color w:val="000000"/>
                <w:sz w:val="20"/>
                <w:szCs w:val="20"/>
              </w:rPr>
              <w:t>14</w:t>
            </w:r>
          </w:p>
        </w:tc>
        <w:tc>
          <w:tcPr>
            <w:tcW w:w="514" w:type="pct"/>
            <w:tcBorders>
              <w:top w:val="single" w:sz="4" w:space="0" w:color="auto"/>
              <w:left w:val="single" w:sz="4" w:space="0" w:color="auto"/>
              <w:bottom w:val="single" w:sz="4" w:space="0" w:color="auto"/>
              <w:right w:val="single" w:sz="4" w:space="0" w:color="auto"/>
            </w:tcBorders>
            <w:noWrap/>
          </w:tcPr>
          <w:p w14:paraId="24C0EC07" w14:textId="535840A7" w:rsidR="00C34866" w:rsidRDefault="00C34866">
            <w:pPr>
              <w:spacing w:after="0"/>
              <w:jc w:val="center"/>
              <w:rPr>
                <w:color w:val="000000"/>
                <w:sz w:val="20"/>
                <w:szCs w:val="20"/>
              </w:rPr>
            </w:pPr>
            <w:r>
              <w:rPr>
                <w:color w:val="000000"/>
                <w:sz w:val="20"/>
                <w:szCs w:val="20"/>
              </w:rPr>
              <w:t>29</w:t>
            </w:r>
          </w:p>
        </w:tc>
        <w:tc>
          <w:tcPr>
            <w:tcW w:w="903" w:type="pct"/>
            <w:tcBorders>
              <w:top w:val="single" w:sz="4" w:space="0" w:color="auto"/>
              <w:left w:val="single" w:sz="4" w:space="0" w:color="auto"/>
              <w:bottom w:val="single" w:sz="4" w:space="0" w:color="auto"/>
              <w:right w:val="single" w:sz="4" w:space="0" w:color="auto"/>
            </w:tcBorders>
            <w:noWrap/>
          </w:tcPr>
          <w:p w14:paraId="182B9738" w14:textId="35A1C7A4" w:rsidR="00C34866" w:rsidRDefault="00C34866">
            <w:pPr>
              <w:spacing w:after="0"/>
              <w:jc w:val="center"/>
              <w:rPr>
                <w:color w:val="000000"/>
                <w:sz w:val="20"/>
                <w:szCs w:val="20"/>
              </w:rPr>
            </w:pPr>
            <w:r>
              <w:rPr>
                <w:color w:val="000000"/>
                <w:sz w:val="20"/>
                <w:szCs w:val="20"/>
              </w:rPr>
              <w:t>37,002</w:t>
            </w:r>
          </w:p>
        </w:tc>
        <w:tc>
          <w:tcPr>
            <w:tcW w:w="517" w:type="pct"/>
            <w:tcBorders>
              <w:top w:val="single" w:sz="4" w:space="0" w:color="auto"/>
              <w:left w:val="single" w:sz="4" w:space="0" w:color="auto"/>
              <w:bottom w:val="single" w:sz="4" w:space="0" w:color="auto"/>
              <w:right w:val="single" w:sz="4" w:space="0" w:color="auto"/>
            </w:tcBorders>
            <w:noWrap/>
          </w:tcPr>
          <w:p w14:paraId="5B550E8B" w14:textId="5A7E9744" w:rsidR="00C34866" w:rsidRDefault="00C34866">
            <w:pPr>
              <w:spacing w:after="0"/>
              <w:jc w:val="center"/>
              <w:rPr>
                <w:color w:val="000000"/>
                <w:sz w:val="20"/>
                <w:szCs w:val="20"/>
              </w:rPr>
            </w:pPr>
            <w:r>
              <w:rPr>
                <w:color w:val="000000"/>
                <w:sz w:val="20"/>
                <w:szCs w:val="20"/>
              </w:rPr>
              <w:t>7.6</w:t>
            </w:r>
          </w:p>
        </w:tc>
        <w:tc>
          <w:tcPr>
            <w:tcW w:w="523" w:type="pct"/>
            <w:tcBorders>
              <w:top w:val="single" w:sz="4" w:space="0" w:color="auto"/>
              <w:left w:val="single" w:sz="4" w:space="0" w:color="auto"/>
              <w:bottom w:val="single" w:sz="4" w:space="0" w:color="auto"/>
              <w:right w:val="single" w:sz="4" w:space="0" w:color="auto"/>
            </w:tcBorders>
            <w:noWrap/>
          </w:tcPr>
          <w:p w14:paraId="691BC41C" w14:textId="502AAD09" w:rsidR="00C34866" w:rsidRDefault="00C34866">
            <w:pPr>
              <w:spacing w:after="0"/>
              <w:jc w:val="center"/>
              <w:rPr>
                <w:color w:val="000000"/>
                <w:sz w:val="20"/>
                <w:szCs w:val="20"/>
              </w:rPr>
            </w:pPr>
            <w:r>
              <w:rPr>
                <w:color w:val="000000"/>
                <w:sz w:val="20"/>
                <w:szCs w:val="20"/>
              </w:rPr>
              <w:t>0.13</w:t>
            </w:r>
          </w:p>
        </w:tc>
      </w:tr>
      <w:tr w:rsidR="00C34866" w14:paraId="1CF17D60" w14:textId="77777777" w:rsidTr="00C34866">
        <w:tc>
          <w:tcPr>
            <w:tcW w:w="65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406AF83" w14:textId="04E106FC" w:rsidR="00C34866" w:rsidRDefault="00C34866">
            <w:pPr>
              <w:spacing w:after="0"/>
              <w:rPr>
                <w:color w:val="000000"/>
                <w:sz w:val="20"/>
                <w:szCs w:val="20"/>
              </w:rPr>
            </w:pPr>
            <w:r>
              <w:rPr>
                <w:color w:val="000000"/>
                <w:sz w:val="20"/>
                <w:szCs w:val="20"/>
              </w:rPr>
              <w:t>EEE</w:t>
            </w:r>
          </w:p>
        </w:tc>
        <w:tc>
          <w:tcPr>
            <w:tcW w:w="550" w:type="pct"/>
            <w:tcBorders>
              <w:top w:val="single" w:sz="4" w:space="0" w:color="auto"/>
              <w:left w:val="single" w:sz="4" w:space="0" w:color="auto"/>
              <w:bottom w:val="single" w:sz="4" w:space="0" w:color="auto"/>
              <w:right w:val="single" w:sz="4" w:space="0" w:color="auto"/>
            </w:tcBorders>
            <w:noWrap/>
          </w:tcPr>
          <w:p w14:paraId="0F87E42C" w14:textId="5EFF7975" w:rsidR="00C34866" w:rsidRDefault="00C34866">
            <w:pPr>
              <w:spacing w:after="0"/>
              <w:jc w:val="center"/>
              <w:rPr>
                <w:color w:val="000000"/>
                <w:sz w:val="20"/>
                <w:szCs w:val="20"/>
              </w:rPr>
            </w:pPr>
            <w:r>
              <w:rPr>
                <w:color w:val="000000"/>
                <w:sz w:val="20"/>
                <w:szCs w:val="20"/>
              </w:rPr>
              <w:t>160</w:t>
            </w:r>
          </w:p>
        </w:tc>
        <w:tc>
          <w:tcPr>
            <w:tcW w:w="603" w:type="pct"/>
            <w:tcBorders>
              <w:top w:val="single" w:sz="4" w:space="0" w:color="auto"/>
              <w:left w:val="single" w:sz="4" w:space="0" w:color="auto"/>
              <w:bottom w:val="single" w:sz="4" w:space="0" w:color="auto"/>
              <w:right w:val="single" w:sz="4" w:space="0" w:color="auto"/>
            </w:tcBorders>
            <w:noWrap/>
          </w:tcPr>
          <w:p w14:paraId="6B492C92" w14:textId="1A804F2F" w:rsidR="00C34866" w:rsidRDefault="00C34866">
            <w:pPr>
              <w:spacing w:after="0"/>
              <w:jc w:val="center"/>
              <w:rPr>
                <w:color w:val="000000"/>
                <w:sz w:val="20"/>
                <w:szCs w:val="20"/>
              </w:rPr>
            </w:pPr>
            <w:r>
              <w:rPr>
                <w:color w:val="000000"/>
                <w:sz w:val="20"/>
                <w:szCs w:val="20"/>
              </w:rPr>
              <w:t>High</w:t>
            </w:r>
          </w:p>
        </w:tc>
        <w:tc>
          <w:tcPr>
            <w:tcW w:w="734" w:type="pct"/>
            <w:tcBorders>
              <w:top w:val="single" w:sz="4" w:space="0" w:color="auto"/>
              <w:left w:val="single" w:sz="4" w:space="0" w:color="auto"/>
              <w:bottom w:val="single" w:sz="4" w:space="0" w:color="auto"/>
              <w:right w:val="single" w:sz="4" w:space="0" w:color="auto"/>
            </w:tcBorders>
            <w:noWrap/>
          </w:tcPr>
          <w:p w14:paraId="713FCCE8" w14:textId="1C2D720C" w:rsidR="00C34866" w:rsidRDefault="00C34866">
            <w:pPr>
              <w:spacing w:after="0"/>
              <w:jc w:val="center"/>
              <w:rPr>
                <w:color w:val="000000"/>
                <w:sz w:val="20"/>
                <w:szCs w:val="20"/>
              </w:rPr>
            </w:pPr>
            <w:r>
              <w:rPr>
                <w:color w:val="000000"/>
                <w:sz w:val="20"/>
                <w:szCs w:val="20"/>
              </w:rPr>
              <w:t>22</w:t>
            </w:r>
          </w:p>
        </w:tc>
        <w:tc>
          <w:tcPr>
            <w:tcW w:w="514" w:type="pct"/>
            <w:tcBorders>
              <w:top w:val="single" w:sz="4" w:space="0" w:color="auto"/>
              <w:left w:val="single" w:sz="4" w:space="0" w:color="auto"/>
              <w:bottom w:val="single" w:sz="4" w:space="0" w:color="auto"/>
              <w:right w:val="single" w:sz="4" w:space="0" w:color="auto"/>
            </w:tcBorders>
            <w:noWrap/>
          </w:tcPr>
          <w:p w14:paraId="37A4C177" w14:textId="68345646" w:rsidR="00C34866" w:rsidRDefault="00C34866">
            <w:pPr>
              <w:spacing w:after="0"/>
              <w:jc w:val="center"/>
              <w:rPr>
                <w:color w:val="000000"/>
                <w:sz w:val="20"/>
                <w:szCs w:val="20"/>
              </w:rPr>
            </w:pPr>
            <w:r>
              <w:rPr>
                <w:color w:val="000000"/>
                <w:sz w:val="20"/>
                <w:szCs w:val="20"/>
              </w:rPr>
              <w:t>High</w:t>
            </w:r>
          </w:p>
        </w:tc>
        <w:tc>
          <w:tcPr>
            <w:tcW w:w="903" w:type="pct"/>
            <w:tcBorders>
              <w:top w:val="single" w:sz="4" w:space="0" w:color="auto"/>
              <w:left w:val="single" w:sz="4" w:space="0" w:color="auto"/>
              <w:bottom w:val="single" w:sz="4" w:space="0" w:color="auto"/>
              <w:right w:val="single" w:sz="4" w:space="0" w:color="auto"/>
            </w:tcBorders>
            <w:noWrap/>
          </w:tcPr>
          <w:p w14:paraId="469EBC56" w14:textId="1B6EB0E1" w:rsidR="00C34866" w:rsidRDefault="00C34866">
            <w:pPr>
              <w:spacing w:after="0"/>
              <w:jc w:val="center"/>
              <w:rPr>
                <w:color w:val="000000"/>
                <w:sz w:val="20"/>
                <w:szCs w:val="20"/>
              </w:rPr>
            </w:pPr>
            <w:r>
              <w:rPr>
                <w:color w:val="000000"/>
                <w:sz w:val="20"/>
                <w:szCs w:val="20"/>
              </w:rPr>
              <w:t>73,785</w:t>
            </w:r>
          </w:p>
        </w:tc>
        <w:tc>
          <w:tcPr>
            <w:tcW w:w="517" w:type="pct"/>
            <w:tcBorders>
              <w:top w:val="single" w:sz="4" w:space="0" w:color="auto"/>
              <w:left w:val="single" w:sz="4" w:space="0" w:color="auto"/>
              <w:bottom w:val="single" w:sz="4" w:space="0" w:color="auto"/>
              <w:right w:val="single" w:sz="4" w:space="0" w:color="auto"/>
            </w:tcBorders>
            <w:noWrap/>
          </w:tcPr>
          <w:p w14:paraId="52ABFB5E" w14:textId="044F6D44" w:rsidR="00C34866" w:rsidRDefault="00C34866">
            <w:pPr>
              <w:spacing w:after="0"/>
              <w:jc w:val="center"/>
              <w:rPr>
                <w:color w:val="000000"/>
                <w:sz w:val="20"/>
                <w:szCs w:val="20"/>
              </w:rPr>
            </w:pPr>
            <w:r>
              <w:rPr>
                <w:color w:val="000000"/>
                <w:sz w:val="20"/>
                <w:szCs w:val="20"/>
              </w:rPr>
              <w:t>7.0</w:t>
            </w:r>
          </w:p>
        </w:tc>
        <w:tc>
          <w:tcPr>
            <w:tcW w:w="523" w:type="pct"/>
            <w:tcBorders>
              <w:top w:val="single" w:sz="4" w:space="0" w:color="auto"/>
              <w:left w:val="single" w:sz="4" w:space="0" w:color="auto"/>
              <w:bottom w:val="single" w:sz="4" w:space="0" w:color="auto"/>
              <w:right w:val="single" w:sz="4" w:space="0" w:color="auto"/>
            </w:tcBorders>
            <w:noWrap/>
          </w:tcPr>
          <w:p w14:paraId="2AD733F8" w14:textId="304A91C6" w:rsidR="00C34866" w:rsidRDefault="00C34866">
            <w:pPr>
              <w:spacing w:after="0"/>
              <w:jc w:val="center"/>
              <w:rPr>
                <w:color w:val="000000"/>
                <w:sz w:val="20"/>
                <w:szCs w:val="20"/>
              </w:rPr>
            </w:pPr>
            <w:r>
              <w:rPr>
                <w:color w:val="000000"/>
                <w:sz w:val="20"/>
                <w:szCs w:val="20"/>
              </w:rPr>
              <w:t>0.12</w:t>
            </w:r>
          </w:p>
        </w:tc>
      </w:tr>
      <w:tr w:rsidR="00C34866" w14:paraId="31B1C6F2" w14:textId="77777777" w:rsidTr="00C34866">
        <w:tc>
          <w:tcPr>
            <w:tcW w:w="65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93E6CD0" w14:textId="042F284C" w:rsidR="00C34866" w:rsidRDefault="00C34866">
            <w:pPr>
              <w:spacing w:after="0"/>
              <w:rPr>
                <w:color w:val="000000"/>
                <w:sz w:val="20"/>
                <w:szCs w:val="20"/>
              </w:rPr>
            </w:pPr>
            <w:r>
              <w:rPr>
                <w:color w:val="000000"/>
                <w:sz w:val="20"/>
                <w:szCs w:val="20"/>
              </w:rPr>
              <w:t>MOH</w:t>
            </w:r>
          </w:p>
        </w:tc>
        <w:tc>
          <w:tcPr>
            <w:tcW w:w="550" w:type="pct"/>
            <w:tcBorders>
              <w:top w:val="single" w:sz="4" w:space="0" w:color="auto"/>
              <w:left w:val="single" w:sz="4" w:space="0" w:color="auto"/>
              <w:bottom w:val="single" w:sz="4" w:space="0" w:color="auto"/>
              <w:right w:val="single" w:sz="4" w:space="0" w:color="auto"/>
            </w:tcBorders>
            <w:noWrap/>
          </w:tcPr>
          <w:p w14:paraId="1AE16465" w14:textId="783CA598" w:rsidR="00C34866" w:rsidRDefault="00C34866">
            <w:pPr>
              <w:spacing w:after="0"/>
              <w:jc w:val="center"/>
              <w:rPr>
                <w:color w:val="000000"/>
                <w:sz w:val="20"/>
                <w:szCs w:val="20"/>
              </w:rPr>
            </w:pPr>
            <w:r>
              <w:rPr>
                <w:color w:val="000000"/>
                <w:sz w:val="20"/>
                <w:szCs w:val="20"/>
              </w:rPr>
              <w:t>40</w:t>
            </w:r>
          </w:p>
        </w:tc>
        <w:tc>
          <w:tcPr>
            <w:tcW w:w="603" w:type="pct"/>
            <w:tcBorders>
              <w:top w:val="single" w:sz="4" w:space="0" w:color="auto"/>
              <w:left w:val="single" w:sz="4" w:space="0" w:color="auto"/>
              <w:bottom w:val="single" w:sz="4" w:space="0" w:color="auto"/>
              <w:right w:val="single" w:sz="4" w:space="0" w:color="auto"/>
            </w:tcBorders>
            <w:noWrap/>
          </w:tcPr>
          <w:p w14:paraId="53D541B2" w14:textId="5733BB61" w:rsidR="00C34866" w:rsidRDefault="00C34866">
            <w:pPr>
              <w:spacing w:after="0"/>
              <w:jc w:val="center"/>
              <w:rPr>
                <w:color w:val="000000"/>
                <w:sz w:val="20"/>
                <w:szCs w:val="20"/>
              </w:rPr>
            </w:pPr>
            <w:r>
              <w:rPr>
                <w:color w:val="000000"/>
                <w:sz w:val="20"/>
                <w:szCs w:val="20"/>
              </w:rPr>
              <w:t>70</w:t>
            </w:r>
          </w:p>
        </w:tc>
        <w:tc>
          <w:tcPr>
            <w:tcW w:w="734" w:type="pct"/>
            <w:tcBorders>
              <w:top w:val="single" w:sz="4" w:space="0" w:color="auto"/>
              <w:left w:val="single" w:sz="4" w:space="0" w:color="auto"/>
              <w:bottom w:val="single" w:sz="4" w:space="0" w:color="auto"/>
              <w:right w:val="single" w:sz="4" w:space="0" w:color="auto"/>
            </w:tcBorders>
            <w:noWrap/>
          </w:tcPr>
          <w:p w14:paraId="37461CAF" w14:textId="2CD83BCA" w:rsidR="00C34866" w:rsidRDefault="00C34866">
            <w:pPr>
              <w:spacing w:after="0"/>
              <w:jc w:val="center"/>
              <w:rPr>
                <w:color w:val="000000"/>
                <w:sz w:val="20"/>
                <w:szCs w:val="20"/>
              </w:rPr>
            </w:pPr>
            <w:r>
              <w:rPr>
                <w:color w:val="000000"/>
                <w:sz w:val="20"/>
                <w:szCs w:val="20"/>
              </w:rPr>
              <w:t>14</w:t>
            </w:r>
          </w:p>
        </w:tc>
        <w:tc>
          <w:tcPr>
            <w:tcW w:w="514" w:type="pct"/>
            <w:tcBorders>
              <w:top w:val="single" w:sz="4" w:space="0" w:color="auto"/>
              <w:left w:val="single" w:sz="4" w:space="0" w:color="auto"/>
              <w:bottom w:val="single" w:sz="4" w:space="0" w:color="auto"/>
              <w:right w:val="single" w:sz="4" w:space="0" w:color="auto"/>
            </w:tcBorders>
            <w:noWrap/>
          </w:tcPr>
          <w:p w14:paraId="17C7494E" w14:textId="6173C785" w:rsidR="00C34866" w:rsidRDefault="00C34866">
            <w:pPr>
              <w:spacing w:after="0"/>
              <w:jc w:val="center"/>
              <w:rPr>
                <w:color w:val="000000"/>
                <w:sz w:val="20"/>
                <w:szCs w:val="20"/>
              </w:rPr>
            </w:pPr>
            <w:r>
              <w:rPr>
                <w:color w:val="000000"/>
                <w:sz w:val="20"/>
                <w:szCs w:val="20"/>
              </w:rPr>
              <w:t>29</w:t>
            </w:r>
          </w:p>
        </w:tc>
        <w:tc>
          <w:tcPr>
            <w:tcW w:w="903" w:type="pct"/>
            <w:tcBorders>
              <w:top w:val="single" w:sz="4" w:space="0" w:color="auto"/>
              <w:left w:val="single" w:sz="4" w:space="0" w:color="auto"/>
              <w:bottom w:val="single" w:sz="4" w:space="0" w:color="auto"/>
              <w:right w:val="single" w:sz="4" w:space="0" w:color="auto"/>
            </w:tcBorders>
            <w:noWrap/>
          </w:tcPr>
          <w:p w14:paraId="5354061C" w14:textId="55F75FCF" w:rsidR="00C34866" w:rsidRDefault="00C34866">
            <w:pPr>
              <w:spacing w:after="0"/>
              <w:jc w:val="center"/>
              <w:rPr>
                <w:color w:val="000000"/>
                <w:sz w:val="20"/>
                <w:szCs w:val="20"/>
              </w:rPr>
            </w:pPr>
            <w:r>
              <w:rPr>
                <w:color w:val="000000"/>
                <w:sz w:val="20"/>
                <w:szCs w:val="20"/>
              </w:rPr>
              <w:t>10,225</w:t>
            </w:r>
          </w:p>
        </w:tc>
        <w:tc>
          <w:tcPr>
            <w:tcW w:w="517" w:type="pct"/>
            <w:tcBorders>
              <w:top w:val="single" w:sz="4" w:space="0" w:color="auto"/>
              <w:left w:val="single" w:sz="4" w:space="0" w:color="auto"/>
              <w:bottom w:val="single" w:sz="4" w:space="0" w:color="auto"/>
              <w:right w:val="single" w:sz="4" w:space="0" w:color="auto"/>
            </w:tcBorders>
            <w:noWrap/>
          </w:tcPr>
          <w:p w14:paraId="597B32AB" w14:textId="3ADC0E38" w:rsidR="00C34866" w:rsidRDefault="00C34866">
            <w:pPr>
              <w:spacing w:after="0"/>
              <w:jc w:val="center"/>
              <w:rPr>
                <w:color w:val="000000"/>
                <w:sz w:val="20"/>
                <w:szCs w:val="20"/>
              </w:rPr>
            </w:pPr>
            <w:r>
              <w:rPr>
                <w:color w:val="000000"/>
                <w:sz w:val="20"/>
                <w:szCs w:val="20"/>
              </w:rPr>
              <w:t>7.6</w:t>
            </w:r>
          </w:p>
        </w:tc>
        <w:tc>
          <w:tcPr>
            <w:tcW w:w="523" w:type="pct"/>
            <w:tcBorders>
              <w:top w:val="single" w:sz="4" w:space="0" w:color="auto"/>
              <w:left w:val="single" w:sz="4" w:space="0" w:color="auto"/>
              <w:bottom w:val="single" w:sz="4" w:space="0" w:color="auto"/>
              <w:right w:val="single" w:sz="4" w:space="0" w:color="auto"/>
            </w:tcBorders>
            <w:noWrap/>
          </w:tcPr>
          <w:p w14:paraId="6653A36F" w14:textId="2262CAAF" w:rsidR="00C34866" w:rsidRDefault="00C34866">
            <w:pPr>
              <w:spacing w:after="0"/>
              <w:jc w:val="center"/>
              <w:rPr>
                <w:color w:val="000000"/>
                <w:sz w:val="20"/>
                <w:szCs w:val="20"/>
              </w:rPr>
            </w:pPr>
            <w:r>
              <w:rPr>
                <w:color w:val="000000"/>
                <w:sz w:val="20"/>
                <w:szCs w:val="20"/>
              </w:rPr>
              <w:t>0.13</w:t>
            </w:r>
          </w:p>
        </w:tc>
      </w:tr>
      <w:tr w:rsidR="00C34866" w14:paraId="4D0979B7" w14:textId="77777777" w:rsidTr="00C34866">
        <w:tc>
          <w:tcPr>
            <w:tcW w:w="65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2F57C17" w14:textId="3CD8D65C" w:rsidR="00C34866" w:rsidRDefault="00C34866">
            <w:pPr>
              <w:spacing w:after="0"/>
              <w:rPr>
                <w:color w:val="000000"/>
                <w:sz w:val="20"/>
                <w:szCs w:val="20"/>
              </w:rPr>
            </w:pPr>
            <w:r>
              <w:rPr>
                <w:color w:val="000000"/>
                <w:sz w:val="20"/>
                <w:szCs w:val="20"/>
              </w:rPr>
              <w:t>Menderes</w:t>
            </w:r>
          </w:p>
        </w:tc>
        <w:tc>
          <w:tcPr>
            <w:tcW w:w="550" w:type="pct"/>
            <w:tcBorders>
              <w:top w:val="single" w:sz="4" w:space="0" w:color="auto"/>
              <w:left w:val="single" w:sz="4" w:space="0" w:color="auto"/>
              <w:bottom w:val="single" w:sz="4" w:space="0" w:color="auto"/>
              <w:right w:val="single" w:sz="4" w:space="0" w:color="auto"/>
            </w:tcBorders>
            <w:noWrap/>
          </w:tcPr>
          <w:p w14:paraId="7EA6684D" w14:textId="33AE4220" w:rsidR="00C34866" w:rsidRDefault="00C34866">
            <w:pPr>
              <w:spacing w:after="0"/>
              <w:jc w:val="center"/>
              <w:rPr>
                <w:color w:val="000000"/>
                <w:sz w:val="20"/>
                <w:szCs w:val="20"/>
              </w:rPr>
            </w:pPr>
            <w:r>
              <w:rPr>
                <w:color w:val="000000"/>
                <w:sz w:val="20"/>
                <w:szCs w:val="20"/>
              </w:rPr>
              <w:t>75</w:t>
            </w:r>
          </w:p>
        </w:tc>
        <w:tc>
          <w:tcPr>
            <w:tcW w:w="603" w:type="pct"/>
            <w:tcBorders>
              <w:top w:val="single" w:sz="4" w:space="0" w:color="auto"/>
              <w:left w:val="single" w:sz="4" w:space="0" w:color="auto"/>
              <w:bottom w:val="single" w:sz="4" w:space="0" w:color="auto"/>
              <w:right w:val="single" w:sz="4" w:space="0" w:color="auto"/>
            </w:tcBorders>
            <w:noWrap/>
          </w:tcPr>
          <w:p w14:paraId="50FC577F" w14:textId="683BF91B" w:rsidR="00C34866" w:rsidRDefault="00C34866">
            <w:pPr>
              <w:spacing w:after="0"/>
              <w:jc w:val="center"/>
              <w:rPr>
                <w:color w:val="000000"/>
                <w:sz w:val="20"/>
                <w:szCs w:val="20"/>
              </w:rPr>
            </w:pPr>
            <w:r>
              <w:rPr>
                <w:color w:val="000000"/>
                <w:sz w:val="20"/>
                <w:szCs w:val="20"/>
              </w:rPr>
              <w:t>70</w:t>
            </w:r>
          </w:p>
        </w:tc>
        <w:tc>
          <w:tcPr>
            <w:tcW w:w="734" w:type="pct"/>
            <w:tcBorders>
              <w:top w:val="single" w:sz="4" w:space="0" w:color="auto"/>
              <w:left w:val="single" w:sz="4" w:space="0" w:color="auto"/>
              <w:bottom w:val="single" w:sz="4" w:space="0" w:color="auto"/>
              <w:right w:val="single" w:sz="4" w:space="0" w:color="auto"/>
            </w:tcBorders>
            <w:noWrap/>
          </w:tcPr>
          <w:p w14:paraId="7BB570FC" w14:textId="1A8A7E5E" w:rsidR="00C34866" w:rsidRDefault="00C34866">
            <w:pPr>
              <w:spacing w:after="0"/>
              <w:jc w:val="center"/>
              <w:rPr>
                <w:color w:val="000000"/>
                <w:sz w:val="20"/>
                <w:szCs w:val="20"/>
              </w:rPr>
            </w:pPr>
            <w:r>
              <w:rPr>
                <w:color w:val="000000"/>
                <w:sz w:val="20"/>
                <w:szCs w:val="20"/>
              </w:rPr>
              <w:t>14</w:t>
            </w:r>
          </w:p>
        </w:tc>
        <w:tc>
          <w:tcPr>
            <w:tcW w:w="514" w:type="pct"/>
            <w:tcBorders>
              <w:top w:val="single" w:sz="4" w:space="0" w:color="auto"/>
              <w:left w:val="single" w:sz="4" w:space="0" w:color="auto"/>
              <w:bottom w:val="single" w:sz="4" w:space="0" w:color="auto"/>
              <w:right w:val="single" w:sz="4" w:space="0" w:color="auto"/>
            </w:tcBorders>
            <w:noWrap/>
          </w:tcPr>
          <w:p w14:paraId="7ABC692E" w14:textId="42021C70" w:rsidR="00C34866" w:rsidRDefault="00C34866">
            <w:pPr>
              <w:spacing w:after="0"/>
              <w:jc w:val="center"/>
              <w:rPr>
                <w:color w:val="000000"/>
                <w:sz w:val="20"/>
                <w:szCs w:val="20"/>
              </w:rPr>
            </w:pPr>
            <w:r>
              <w:rPr>
                <w:color w:val="000000"/>
                <w:sz w:val="20"/>
                <w:szCs w:val="20"/>
              </w:rPr>
              <w:t>32</w:t>
            </w:r>
          </w:p>
        </w:tc>
        <w:tc>
          <w:tcPr>
            <w:tcW w:w="903" w:type="pct"/>
            <w:tcBorders>
              <w:top w:val="single" w:sz="4" w:space="0" w:color="auto"/>
              <w:left w:val="single" w:sz="4" w:space="0" w:color="auto"/>
              <w:bottom w:val="single" w:sz="4" w:space="0" w:color="auto"/>
              <w:right w:val="single" w:sz="4" w:space="0" w:color="auto"/>
            </w:tcBorders>
            <w:noWrap/>
          </w:tcPr>
          <w:p w14:paraId="291C10CF" w14:textId="43EDC311" w:rsidR="00C34866" w:rsidRDefault="00C34866">
            <w:pPr>
              <w:spacing w:after="0"/>
              <w:jc w:val="center"/>
              <w:rPr>
                <w:color w:val="000000"/>
                <w:sz w:val="20"/>
                <w:szCs w:val="20"/>
              </w:rPr>
            </w:pPr>
            <w:r>
              <w:rPr>
                <w:color w:val="000000"/>
                <w:sz w:val="20"/>
                <w:szCs w:val="20"/>
              </w:rPr>
              <w:t>20,817</w:t>
            </w:r>
          </w:p>
        </w:tc>
        <w:tc>
          <w:tcPr>
            <w:tcW w:w="517" w:type="pct"/>
            <w:tcBorders>
              <w:top w:val="single" w:sz="4" w:space="0" w:color="auto"/>
              <w:left w:val="single" w:sz="4" w:space="0" w:color="auto"/>
              <w:bottom w:val="single" w:sz="4" w:space="0" w:color="auto"/>
              <w:right w:val="single" w:sz="4" w:space="0" w:color="auto"/>
            </w:tcBorders>
            <w:noWrap/>
          </w:tcPr>
          <w:p w14:paraId="34BD9BDC" w14:textId="3C2293BB" w:rsidR="00C34866" w:rsidRDefault="00C34866">
            <w:pPr>
              <w:spacing w:after="0"/>
              <w:jc w:val="center"/>
              <w:rPr>
                <w:color w:val="000000"/>
                <w:sz w:val="20"/>
                <w:szCs w:val="20"/>
              </w:rPr>
            </w:pPr>
            <w:r>
              <w:rPr>
                <w:color w:val="000000"/>
                <w:sz w:val="20"/>
                <w:szCs w:val="20"/>
              </w:rPr>
              <w:t>7.6</w:t>
            </w:r>
          </w:p>
        </w:tc>
        <w:tc>
          <w:tcPr>
            <w:tcW w:w="523" w:type="pct"/>
            <w:tcBorders>
              <w:top w:val="single" w:sz="4" w:space="0" w:color="auto"/>
              <w:left w:val="single" w:sz="4" w:space="0" w:color="auto"/>
              <w:bottom w:val="single" w:sz="4" w:space="0" w:color="auto"/>
              <w:right w:val="single" w:sz="4" w:space="0" w:color="auto"/>
            </w:tcBorders>
            <w:noWrap/>
          </w:tcPr>
          <w:p w14:paraId="69110569" w14:textId="230119BA" w:rsidR="00C34866" w:rsidRDefault="00C34866">
            <w:pPr>
              <w:spacing w:after="0"/>
              <w:jc w:val="center"/>
              <w:rPr>
                <w:color w:val="000000"/>
                <w:sz w:val="20"/>
                <w:szCs w:val="20"/>
              </w:rPr>
            </w:pPr>
            <w:r>
              <w:rPr>
                <w:color w:val="000000"/>
                <w:sz w:val="20"/>
                <w:szCs w:val="20"/>
              </w:rPr>
              <w:t>0.13</w:t>
            </w:r>
          </w:p>
        </w:tc>
      </w:tr>
    </w:tbl>
    <w:p w14:paraId="7819C7B3" w14:textId="77777777" w:rsidR="00C34866" w:rsidRDefault="00E71E7D" w:rsidP="00E71E7D">
      <w:pPr>
        <w:spacing w:before="240"/>
        <w:rPr>
          <w:rFonts w:asciiTheme="minorHAnsi" w:hAnsiTheme="minorHAnsi" w:cstheme="minorHAnsi"/>
        </w:rPr>
      </w:pPr>
      <w:r w:rsidRPr="00E71E7D">
        <w:rPr>
          <w:rFonts w:asciiTheme="minorHAnsi" w:hAnsiTheme="minorHAnsi" w:cstheme="minorHAnsi"/>
        </w:rPr>
        <w:t xml:space="preserve">In the residential sector, the projected financial rates of return (FIRR) </w:t>
      </w:r>
      <w:r w:rsidR="00C34866">
        <w:rPr>
          <w:rFonts w:asciiTheme="minorHAnsi" w:hAnsiTheme="minorHAnsi" w:cstheme="minorHAnsi"/>
        </w:rPr>
        <w:t>for</w:t>
      </w:r>
      <w:r w:rsidRPr="00E71E7D">
        <w:rPr>
          <w:rFonts w:asciiTheme="minorHAnsi" w:hAnsiTheme="minorHAnsi" w:cstheme="minorHAnsi"/>
        </w:rPr>
        <w:t xml:space="preserve"> RSPV investments are generally high, largely due to the higher grid-based electricity tariff. The results indicate that the sample projects using a net-metering (or self-consumption) scheme are all financially attractive to these consumers.</w:t>
      </w:r>
    </w:p>
    <w:p w14:paraId="6E567268" w14:textId="2C3A3C10" w:rsidR="00E71E7D" w:rsidRPr="00E71E7D" w:rsidRDefault="00E71E7D" w:rsidP="00C34866">
      <w:pPr>
        <w:spacing w:before="240"/>
        <w:rPr>
          <w:rFonts w:asciiTheme="minorHAnsi" w:hAnsiTheme="minorHAnsi" w:cstheme="minorHAnsi"/>
        </w:rPr>
      </w:pPr>
      <w:r w:rsidRPr="00E71E7D">
        <w:rPr>
          <w:rFonts w:asciiTheme="minorHAnsi" w:hAnsiTheme="minorHAnsi" w:cstheme="minorHAnsi"/>
        </w:rPr>
        <w:t xml:space="preserve">In the industrial sector, the FIRR is relatively low for all industrial buildings, mostly due to the lower industrial tariff. In these cases, a 10-year FiT scheme offers a better return on RSPV investments for these customers. The financial and economic results for the public and commercial sectors show that the size of the RSPV system and availability of solar resources cause differences in the </w:t>
      </w:r>
      <w:r w:rsidR="00E316CF">
        <w:rPr>
          <w:rFonts w:asciiTheme="minorHAnsi" w:hAnsiTheme="minorHAnsi" w:cstheme="minorHAnsi"/>
        </w:rPr>
        <w:t>rates of return</w:t>
      </w:r>
      <w:r w:rsidRPr="00E71E7D">
        <w:rPr>
          <w:rFonts w:asciiTheme="minorHAnsi" w:hAnsiTheme="minorHAnsi" w:cstheme="minorHAnsi"/>
        </w:rPr>
        <w:t>.</w:t>
      </w:r>
    </w:p>
    <w:p w14:paraId="3775811E" w14:textId="557B5C7C" w:rsidR="00E71E7D" w:rsidRPr="00E71E7D" w:rsidRDefault="00E316CF" w:rsidP="00E71E7D">
      <w:pPr>
        <w:spacing w:before="240"/>
        <w:rPr>
          <w:rFonts w:asciiTheme="minorHAnsi" w:hAnsiTheme="minorHAnsi" w:cstheme="minorHAnsi"/>
        </w:rPr>
      </w:pPr>
      <w:r>
        <w:rPr>
          <w:rFonts w:asciiTheme="minorHAnsi" w:hAnsiTheme="minorHAnsi" w:cstheme="minorHAnsi"/>
        </w:rPr>
        <w:t>S</w:t>
      </w:r>
      <w:r w:rsidR="00E71E7D" w:rsidRPr="00E71E7D">
        <w:rPr>
          <w:rFonts w:asciiTheme="minorHAnsi" w:hAnsiTheme="minorHAnsi" w:cstheme="minorHAnsi"/>
        </w:rPr>
        <w:t>ensitivity analys</w:t>
      </w:r>
      <w:r>
        <w:rPr>
          <w:rFonts w:asciiTheme="minorHAnsi" w:hAnsiTheme="minorHAnsi" w:cstheme="minorHAnsi"/>
        </w:rPr>
        <w:t>e</w:t>
      </w:r>
      <w:r w:rsidR="00E71E7D" w:rsidRPr="00E71E7D">
        <w:rPr>
          <w:rFonts w:asciiTheme="minorHAnsi" w:hAnsiTheme="minorHAnsi" w:cstheme="minorHAnsi"/>
        </w:rPr>
        <w:t>s w</w:t>
      </w:r>
      <w:r>
        <w:rPr>
          <w:rFonts w:asciiTheme="minorHAnsi" w:hAnsiTheme="minorHAnsi" w:cstheme="minorHAnsi"/>
        </w:rPr>
        <w:t>ere</w:t>
      </w:r>
      <w:r w:rsidR="00E71E7D" w:rsidRPr="00E71E7D">
        <w:rPr>
          <w:rFonts w:asciiTheme="minorHAnsi" w:hAnsiTheme="minorHAnsi" w:cstheme="minorHAnsi"/>
        </w:rPr>
        <w:t xml:space="preserve"> </w:t>
      </w:r>
      <w:r>
        <w:rPr>
          <w:rFonts w:asciiTheme="minorHAnsi" w:hAnsiTheme="minorHAnsi" w:cstheme="minorHAnsi"/>
        </w:rPr>
        <w:t xml:space="preserve">also </w:t>
      </w:r>
      <w:r w:rsidR="00E71E7D" w:rsidRPr="00E71E7D">
        <w:rPr>
          <w:rFonts w:asciiTheme="minorHAnsi" w:hAnsiTheme="minorHAnsi" w:cstheme="minorHAnsi"/>
        </w:rPr>
        <w:t xml:space="preserve">conducted </w:t>
      </w:r>
      <w:r>
        <w:rPr>
          <w:rFonts w:asciiTheme="minorHAnsi" w:hAnsiTheme="minorHAnsi" w:cstheme="minorHAnsi"/>
        </w:rPr>
        <w:t xml:space="preserve">based on three parameters: (i) adjustments in the solar resources of the site; (ii) changes in the capital costs; and (iii) the use of alternative </w:t>
      </w:r>
      <w:r>
        <w:rPr>
          <w:rFonts w:asciiTheme="minorHAnsi" w:hAnsiTheme="minorHAnsi" w:cstheme="minorHAnsi"/>
        </w:rPr>
        <w:lastRenderedPageBreak/>
        <w:t>b</w:t>
      </w:r>
      <w:r w:rsidR="00E71E7D" w:rsidRPr="00E71E7D">
        <w:rPr>
          <w:rFonts w:asciiTheme="minorHAnsi" w:hAnsiTheme="minorHAnsi" w:cstheme="minorHAnsi"/>
        </w:rPr>
        <w:t>usiness model</w:t>
      </w:r>
      <w:r>
        <w:rPr>
          <w:rFonts w:asciiTheme="minorHAnsi" w:hAnsiTheme="minorHAnsi" w:cstheme="minorHAnsi"/>
        </w:rPr>
        <w:t>s</w:t>
      </w:r>
      <w:r w:rsidR="00E71E7D" w:rsidRPr="00E71E7D">
        <w:rPr>
          <w:rFonts w:asciiTheme="minorHAnsi" w:hAnsiTheme="minorHAnsi" w:cstheme="minorHAnsi"/>
          <w:vertAlign w:val="superscript"/>
        </w:rPr>
        <w:footnoteReference w:id="4"/>
      </w:r>
      <w:r w:rsidR="00E71E7D" w:rsidRPr="00E71E7D">
        <w:rPr>
          <w:rFonts w:asciiTheme="minorHAnsi" w:hAnsiTheme="minorHAnsi" w:cstheme="minorHAnsi"/>
        </w:rPr>
        <w:t>. The findings show</w:t>
      </w:r>
      <w:r>
        <w:rPr>
          <w:rFonts w:asciiTheme="minorHAnsi" w:hAnsiTheme="minorHAnsi" w:cstheme="minorHAnsi"/>
        </w:rPr>
        <w:t>ed</w:t>
      </w:r>
      <w:r w:rsidR="00E71E7D" w:rsidRPr="00E71E7D">
        <w:rPr>
          <w:rFonts w:asciiTheme="minorHAnsi" w:hAnsiTheme="minorHAnsi" w:cstheme="minorHAnsi"/>
        </w:rPr>
        <w:t xml:space="preserve"> that for the residential sector, a 1 kWh/m</w:t>
      </w:r>
      <w:r w:rsidR="00E71E7D" w:rsidRPr="00E71E7D">
        <w:rPr>
          <w:rFonts w:asciiTheme="minorHAnsi" w:hAnsiTheme="minorHAnsi" w:cstheme="minorHAnsi"/>
          <w:vertAlign w:val="superscript"/>
        </w:rPr>
        <w:t>2</w:t>
      </w:r>
      <w:r w:rsidR="00E71E7D" w:rsidRPr="00E71E7D">
        <w:rPr>
          <w:rFonts w:asciiTheme="minorHAnsi" w:hAnsiTheme="minorHAnsi" w:cstheme="minorHAnsi"/>
        </w:rPr>
        <w:t xml:space="preserve">/day reduction in solar resources results in a corresponding reduction in the </w:t>
      </w:r>
      <w:r>
        <w:rPr>
          <w:rFonts w:asciiTheme="minorHAnsi" w:hAnsiTheme="minorHAnsi" w:cstheme="minorHAnsi"/>
        </w:rPr>
        <w:t>F</w:t>
      </w:r>
      <w:r w:rsidR="00E71E7D" w:rsidRPr="00E71E7D">
        <w:rPr>
          <w:rFonts w:asciiTheme="minorHAnsi" w:hAnsiTheme="minorHAnsi" w:cstheme="minorHAnsi"/>
        </w:rPr>
        <w:t>IRR by a</w:t>
      </w:r>
      <w:r>
        <w:rPr>
          <w:rFonts w:asciiTheme="minorHAnsi" w:hAnsiTheme="minorHAnsi" w:cstheme="minorHAnsi"/>
        </w:rPr>
        <w:t>bout</w:t>
      </w:r>
      <w:r w:rsidR="00E71E7D" w:rsidRPr="00E71E7D">
        <w:rPr>
          <w:rFonts w:asciiTheme="minorHAnsi" w:hAnsiTheme="minorHAnsi" w:cstheme="minorHAnsi"/>
        </w:rPr>
        <w:t xml:space="preserve"> 6%. For </w:t>
      </w:r>
      <w:r>
        <w:rPr>
          <w:rFonts w:asciiTheme="minorHAnsi" w:hAnsiTheme="minorHAnsi" w:cstheme="minorHAnsi"/>
        </w:rPr>
        <w:t>industrial consumers, the FIRR</w:t>
      </w:r>
      <w:r w:rsidR="00E71E7D" w:rsidRPr="00E71E7D">
        <w:rPr>
          <w:rFonts w:asciiTheme="minorHAnsi" w:hAnsiTheme="minorHAnsi" w:cstheme="minorHAnsi"/>
        </w:rPr>
        <w:t xml:space="preserve"> change</w:t>
      </w:r>
      <w:r>
        <w:rPr>
          <w:rFonts w:asciiTheme="minorHAnsi" w:hAnsiTheme="minorHAnsi" w:cstheme="minorHAnsi"/>
        </w:rPr>
        <w:t>d</w:t>
      </w:r>
      <w:r w:rsidR="00E71E7D" w:rsidRPr="00E71E7D">
        <w:rPr>
          <w:rFonts w:asciiTheme="minorHAnsi" w:hAnsiTheme="minorHAnsi" w:cstheme="minorHAnsi"/>
        </w:rPr>
        <w:t xml:space="preserve"> by around 10%. The pubic and commercial sectors incur</w:t>
      </w:r>
      <w:r>
        <w:rPr>
          <w:rFonts w:asciiTheme="minorHAnsi" w:hAnsiTheme="minorHAnsi" w:cstheme="minorHAnsi"/>
        </w:rPr>
        <w:t>red</w:t>
      </w:r>
      <w:r w:rsidR="00E71E7D" w:rsidRPr="00E71E7D">
        <w:rPr>
          <w:rFonts w:asciiTheme="minorHAnsi" w:hAnsiTheme="minorHAnsi" w:cstheme="minorHAnsi"/>
        </w:rPr>
        <w:t xml:space="preserve"> an even larger </w:t>
      </w:r>
      <w:r>
        <w:rPr>
          <w:rFonts w:asciiTheme="minorHAnsi" w:hAnsiTheme="minorHAnsi" w:cstheme="minorHAnsi"/>
        </w:rPr>
        <w:t>reduction of</w:t>
      </w:r>
      <w:r w:rsidR="00E71E7D" w:rsidRPr="00E71E7D">
        <w:rPr>
          <w:rFonts w:asciiTheme="minorHAnsi" w:hAnsiTheme="minorHAnsi" w:cstheme="minorHAnsi"/>
        </w:rPr>
        <w:t xml:space="preserve"> roughly 19%. The </w:t>
      </w:r>
      <w:r>
        <w:rPr>
          <w:rFonts w:asciiTheme="minorHAnsi" w:hAnsiTheme="minorHAnsi" w:cstheme="minorHAnsi"/>
        </w:rPr>
        <w:t>F</w:t>
      </w:r>
      <w:r w:rsidR="00E71E7D" w:rsidRPr="00E71E7D">
        <w:rPr>
          <w:rFonts w:asciiTheme="minorHAnsi" w:hAnsiTheme="minorHAnsi" w:cstheme="minorHAnsi"/>
        </w:rPr>
        <w:t xml:space="preserve">IRR for public and commercial consumers </w:t>
      </w:r>
      <w:r>
        <w:rPr>
          <w:rFonts w:asciiTheme="minorHAnsi" w:hAnsiTheme="minorHAnsi" w:cstheme="minorHAnsi"/>
        </w:rPr>
        <w:t>was</w:t>
      </w:r>
      <w:r w:rsidR="00E71E7D" w:rsidRPr="00E71E7D">
        <w:rPr>
          <w:rFonts w:asciiTheme="minorHAnsi" w:hAnsiTheme="minorHAnsi" w:cstheme="minorHAnsi"/>
        </w:rPr>
        <w:t xml:space="preserve"> more sensitive to capital costs than </w:t>
      </w:r>
      <w:r>
        <w:rPr>
          <w:rFonts w:asciiTheme="minorHAnsi" w:hAnsiTheme="minorHAnsi" w:cstheme="minorHAnsi"/>
        </w:rPr>
        <w:t>for</w:t>
      </w:r>
      <w:r w:rsidR="00E71E7D" w:rsidRPr="00E71E7D">
        <w:rPr>
          <w:rFonts w:asciiTheme="minorHAnsi" w:hAnsiTheme="minorHAnsi" w:cstheme="minorHAnsi"/>
        </w:rPr>
        <w:t xml:space="preserve"> residential and industrial consumers. In terms of business models, the RESCO model offer</w:t>
      </w:r>
      <w:r>
        <w:rPr>
          <w:rFonts w:asciiTheme="minorHAnsi" w:hAnsiTheme="minorHAnsi" w:cstheme="minorHAnsi"/>
        </w:rPr>
        <w:t>ed</w:t>
      </w:r>
      <w:r w:rsidR="00E71E7D" w:rsidRPr="00E71E7D">
        <w:rPr>
          <w:rFonts w:asciiTheme="minorHAnsi" w:hAnsiTheme="minorHAnsi" w:cstheme="minorHAnsi"/>
        </w:rPr>
        <w:t xml:space="preserve"> higher returns due to</w:t>
      </w:r>
      <w:r>
        <w:rPr>
          <w:rFonts w:asciiTheme="minorHAnsi" w:hAnsiTheme="minorHAnsi" w:cstheme="minorHAnsi"/>
        </w:rPr>
        <w:t xml:space="preserve"> their</w:t>
      </w:r>
      <w:r w:rsidR="00E71E7D" w:rsidRPr="00E71E7D">
        <w:rPr>
          <w:rFonts w:asciiTheme="minorHAnsi" w:hAnsiTheme="minorHAnsi" w:cstheme="minorHAnsi"/>
        </w:rPr>
        <w:t xml:space="preserve"> lower costs</w:t>
      </w:r>
      <w:r>
        <w:rPr>
          <w:rFonts w:asciiTheme="minorHAnsi" w:hAnsiTheme="minorHAnsi" w:cstheme="minorHAnsi"/>
        </w:rPr>
        <w:t xml:space="preserve"> from economies-of-scale</w:t>
      </w:r>
      <w:r w:rsidR="00E71E7D" w:rsidRPr="00E71E7D">
        <w:rPr>
          <w:rFonts w:asciiTheme="minorHAnsi" w:hAnsiTheme="minorHAnsi" w:cstheme="minorHAnsi"/>
        </w:rPr>
        <w:t xml:space="preserve">. The difference between the </w:t>
      </w:r>
      <w:r>
        <w:rPr>
          <w:rFonts w:asciiTheme="minorHAnsi" w:hAnsiTheme="minorHAnsi" w:cstheme="minorHAnsi"/>
        </w:rPr>
        <w:t>F</w:t>
      </w:r>
      <w:r w:rsidR="00E71E7D" w:rsidRPr="00E71E7D">
        <w:rPr>
          <w:rFonts w:asciiTheme="minorHAnsi" w:hAnsiTheme="minorHAnsi" w:cstheme="minorHAnsi"/>
        </w:rPr>
        <w:t xml:space="preserve">IRR in </w:t>
      </w:r>
      <w:r>
        <w:rPr>
          <w:rFonts w:asciiTheme="minorHAnsi" w:hAnsiTheme="minorHAnsi" w:cstheme="minorHAnsi"/>
        </w:rPr>
        <w:t xml:space="preserve">the </w:t>
      </w:r>
      <w:r w:rsidR="00E71E7D" w:rsidRPr="00E71E7D">
        <w:rPr>
          <w:rFonts w:asciiTheme="minorHAnsi" w:hAnsiTheme="minorHAnsi" w:cstheme="minorHAnsi"/>
        </w:rPr>
        <w:t>RESCO and self-owne</w:t>
      </w:r>
      <w:r>
        <w:rPr>
          <w:rFonts w:asciiTheme="minorHAnsi" w:hAnsiTheme="minorHAnsi" w:cstheme="minorHAnsi"/>
        </w:rPr>
        <w:t>rship</w:t>
      </w:r>
      <w:r w:rsidR="00E71E7D" w:rsidRPr="00E71E7D">
        <w:rPr>
          <w:rFonts w:asciiTheme="minorHAnsi" w:hAnsiTheme="minorHAnsi" w:cstheme="minorHAnsi"/>
        </w:rPr>
        <w:t xml:space="preserve"> </w:t>
      </w:r>
      <w:r>
        <w:rPr>
          <w:rFonts w:asciiTheme="minorHAnsi" w:hAnsiTheme="minorHAnsi" w:cstheme="minorHAnsi"/>
        </w:rPr>
        <w:t xml:space="preserve">business </w:t>
      </w:r>
      <w:r w:rsidR="00E71E7D" w:rsidRPr="00E71E7D">
        <w:rPr>
          <w:rFonts w:asciiTheme="minorHAnsi" w:hAnsiTheme="minorHAnsi" w:cstheme="minorHAnsi"/>
        </w:rPr>
        <w:t xml:space="preserve">models increases as the system size increases. </w:t>
      </w:r>
    </w:p>
    <w:p w14:paraId="0AC6AAB6" w14:textId="77777777" w:rsidR="00E71E7D" w:rsidRPr="00E71E7D" w:rsidRDefault="00E71E7D" w:rsidP="00E71E7D">
      <w:pPr>
        <w:spacing w:before="240"/>
        <w:rPr>
          <w:b/>
          <w:bCs/>
          <w:color w:val="002060"/>
          <w:lang w:val="en-GB"/>
        </w:rPr>
      </w:pPr>
      <w:r>
        <w:rPr>
          <w:b/>
          <w:bCs/>
          <w:color w:val="002060"/>
          <w:lang w:val="en-GB"/>
        </w:rPr>
        <w:t>Barriers to RSPV Development in Turkey</w:t>
      </w:r>
    </w:p>
    <w:p w14:paraId="028FBCDF" w14:textId="77777777" w:rsidR="00E71E7D" w:rsidRPr="00E71E7D" w:rsidRDefault="00E71E7D" w:rsidP="00E71E7D">
      <w:pPr>
        <w:spacing w:after="0"/>
        <w:rPr>
          <w:rFonts w:asciiTheme="minorHAnsi" w:hAnsiTheme="minorHAnsi" w:cstheme="minorHAnsi"/>
        </w:rPr>
      </w:pPr>
      <w:r w:rsidRPr="00E71E7D">
        <w:rPr>
          <w:rFonts w:asciiTheme="minorHAnsi" w:hAnsiTheme="minorHAnsi" w:cstheme="minorHAnsi"/>
        </w:rPr>
        <w:t xml:space="preserve">As part of the assessment, several barriers to achieving the RSPV market potential were identified. They include: </w:t>
      </w:r>
    </w:p>
    <w:p w14:paraId="3743175D" w14:textId="77777777" w:rsidR="00E71E7D" w:rsidRPr="00E71E7D" w:rsidRDefault="00E71E7D" w:rsidP="00E71E7D">
      <w:pPr>
        <w:spacing w:after="0"/>
        <w:rPr>
          <w:rFonts w:asciiTheme="minorHAnsi" w:hAnsiTheme="minorHAnsi" w:cstheme="minorHAnsi"/>
        </w:rPr>
      </w:pPr>
      <w:r w:rsidRPr="00E71E7D">
        <w:rPr>
          <w:rFonts w:asciiTheme="minorHAnsi" w:hAnsiTheme="minorHAnsi" w:cstheme="minorHAnsi"/>
          <w:i/>
          <w:iCs/>
          <w:color w:val="002060"/>
          <w:lang w:val="en-GB"/>
        </w:rPr>
        <w:t>Legal, Regulatory and Procedural</w:t>
      </w:r>
    </w:p>
    <w:p w14:paraId="23E41005" w14:textId="2DD10B68" w:rsidR="00E71E7D" w:rsidRPr="00E71E7D" w:rsidRDefault="00E71E7D" w:rsidP="00D33F4C">
      <w:pPr>
        <w:numPr>
          <w:ilvl w:val="0"/>
          <w:numId w:val="8"/>
        </w:numPr>
        <w:spacing w:before="0" w:after="0"/>
        <w:contextualSpacing/>
        <w:rPr>
          <w:rFonts w:asciiTheme="minorHAnsi" w:hAnsiTheme="minorHAnsi" w:cstheme="minorHAnsi"/>
        </w:rPr>
      </w:pPr>
      <w:r w:rsidRPr="00E71E7D">
        <w:rPr>
          <w:rFonts w:asciiTheme="minorHAnsi" w:hAnsiTheme="minorHAnsi" w:cstheme="minorHAnsi"/>
        </w:rPr>
        <w:t xml:space="preserve">Complex and lengthy licensing/permitting procedures, complex decision-making for </w:t>
      </w:r>
      <w:r w:rsidR="004D7BC6">
        <w:rPr>
          <w:rFonts w:asciiTheme="minorHAnsi" w:hAnsiTheme="minorHAnsi" w:cstheme="minorHAnsi"/>
        </w:rPr>
        <w:t>MABs</w:t>
      </w:r>
      <w:r w:rsidRPr="00E71E7D">
        <w:rPr>
          <w:rFonts w:asciiTheme="minorHAnsi" w:hAnsiTheme="minorHAnsi" w:cstheme="minorHAnsi"/>
        </w:rPr>
        <w:t>, lack of obligations and guidance for D</w:t>
      </w:r>
      <w:r w:rsidR="004D7BC6">
        <w:rPr>
          <w:rFonts w:asciiTheme="minorHAnsi" w:hAnsiTheme="minorHAnsi" w:cstheme="minorHAnsi"/>
        </w:rPr>
        <w:t>iscoms</w:t>
      </w:r>
      <w:r w:rsidRPr="00E71E7D">
        <w:rPr>
          <w:rFonts w:asciiTheme="minorHAnsi" w:hAnsiTheme="minorHAnsi" w:cstheme="minorHAnsi"/>
        </w:rPr>
        <w:t xml:space="preserve"> to connect RSPV</w:t>
      </w:r>
      <w:r w:rsidR="004D7BC6">
        <w:rPr>
          <w:rFonts w:asciiTheme="minorHAnsi" w:hAnsiTheme="minorHAnsi" w:cstheme="minorHAnsi"/>
        </w:rPr>
        <w:t xml:space="preserve"> system</w:t>
      </w:r>
      <w:r w:rsidRPr="00E71E7D">
        <w:rPr>
          <w:rFonts w:asciiTheme="minorHAnsi" w:hAnsiTheme="minorHAnsi" w:cstheme="minorHAnsi"/>
        </w:rPr>
        <w:t>s.</w:t>
      </w:r>
    </w:p>
    <w:p w14:paraId="7F47635C" w14:textId="13935FA2" w:rsidR="00E71E7D" w:rsidRPr="00E71E7D" w:rsidRDefault="00E71E7D" w:rsidP="00D33F4C">
      <w:pPr>
        <w:numPr>
          <w:ilvl w:val="0"/>
          <w:numId w:val="8"/>
        </w:numPr>
        <w:spacing w:before="0" w:after="0"/>
        <w:contextualSpacing/>
        <w:rPr>
          <w:rFonts w:asciiTheme="minorHAnsi" w:hAnsiTheme="minorHAnsi" w:cstheme="minorHAnsi"/>
        </w:rPr>
      </w:pPr>
      <w:r w:rsidRPr="00E71E7D">
        <w:rPr>
          <w:rFonts w:asciiTheme="minorHAnsi" w:hAnsiTheme="minorHAnsi" w:cstheme="minorHAnsi"/>
        </w:rPr>
        <w:t>R</w:t>
      </w:r>
      <w:r w:rsidR="00201CEF">
        <w:rPr>
          <w:rFonts w:asciiTheme="minorHAnsi" w:hAnsiTheme="minorHAnsi" w:cstheme="minorHAnsi"/>
        </w:rPr>
        <w:t>estrictions for re</w:t>
      </w:r>
      <w:r w:rsidRPr="00E71E7D">
        <w:rPr>
          <w:rFonts w:asciiTheme="minorHAnsi" w:hAnsiTheme="minorHAnsi" w:cstheme="minorHAnsi"/>
        </w:rPr>
        <w:t>sident</w:t>
      </w:r>
      <w:r w:rsidR="00201CEF">
        <w:rPr>
          <w:rFonts w:asciiTheme="minorHAnsi" w:hAnsiTheme="minorHAnsi" w:cstheme="minorHAnsi"/>
        </w:rPr>
        <w:t xml:space="preserve">ial consumers to </w:t>
      </w:r>
      <w:r w:rsidR="004D7BC6">
        <w:rPr>
          <w:rFonts w:asciiTheme="minorHAnsi" w:hAnsiTheme="minorHAnsi" w:cstheme="minorHAnsi"/>
        </w:rPr>
        <w:t xml:space="preserve">sell </w:t>
      </w:r>
      <w:r w:rsidRPr="00E71E7D">
        <w:rPr>
          <w:rFonts w:asciiTheme="minorHAnsi" w:hAnsiTheme="minorHAnsi" w:cstheme="minorHAnsi"/>
        </w:rPr>
        <w:t>electricity</w:t>
      </w:r>
      <w:r w:rsidR="004D7BC6">
        <w:rPr>
          <w:rFonts w:asciiTheme="minorHAnsi" w:hAnsiTheme="minorHAnsi" w:cstheme="minorHAnsi"/>
        </w:rPr>
        <w:t xml:space="preserve"> to the grid</w:t>
      </w:r>
      <w:r w:rsidRPr="00E71E7D">
        <w:rPr>
          <w:rFonts w:asciiTheme="minorHAnsi" w:hAnsiTheme="minorHAnsi" w:cstheme="minorHAnsi"/>
        </w:rPr>
        <w:t xml:space="preserve">. </w:t>
      </w:r>
    </w:p>
    <w:p w14:paraId="70BBAE90" w14:textId="6A1E0161" w:rsidR="00E71E7D" w:rsidRPr="00E71E7D" w:rsidRDefault="00201CEF" w:rsidP="00D33F4C">
      <w:pPr>
        <w:numPr>
          <w:ilvl w:val="0"/>
          <w:numId w:val="8"/>
        </w:numPr>
        <w:spacing w:before="0" w:after="0"/>
        <w:contextualSpacing/>
        <w:rPr>
          <w:rFonts w:asciiTheme="minorHAnsi" w:hAnsiTheme="minorHAnsi" w:cstheme="minorHAnsi"/>
        </w:rPr>
      </w:pPr>
      <w:r>
        <w:rPr>
          <w:rFonts w:asciiTheme="minorHAnsi" w:hAnsiTheme="minorHAnsi" w:cstheme="minorHAnsi"/>
        </w:rPr>
        <w:t xml:space="preserve">Lack of </w:t>
      </w:r>
      <w:r w:rsidR="00E71E7D" w:rsidRPr="00E71E7D">
        <w:rPr>
          <w:rFonts w:asciiTheme="minorHAnsi" w:hAnsiTheme="minorHAnsi" w:cstheme="minorHAnsi"/>
        </w:rPr>
        <w:t>RE purchase obligations (RPOs) for D</w:t>
      </w:r>
      <w:r>
        <w:rPr>
          <w:rFonts w:asciiTheme="minorHAnsi" w:hAnsiTheme="minorHAnsi" w:cstheme="minorHAnsi"/>
        </w:rPr>
        <w:t>iscoms</w:t>
      </w:r>
      <w:r w:rsidR="00E71E7D" w:rsidRPr="00E71E7D">
        <w:rPr>
          <w:rFonts w:asciiTheme="minorHAnsi" w:hAnsiTheme="minorHAnsi" w:cstheme="minorHAnsi"/>
        </w:rPr>
        <w:t xml:space="preserve"> and large industries.</w:t>
      </w:r>
    </w:p>
    <w:p w14:paraId="6B24CB1D" w14:textId="77777777" w:rsidR="00E71E7D" w:rsidRPr="00E71E7D" w:rsidRDefault="00E71E7D" w:rsidP="00D33F4C">
      <w:pPr>
        <w:numPr>
          <w:ilvl w:val="0"/>
          <w:numId w:val="8"/>
        </w:numPr>
        <w:spacing w:before="0" w:after="0"/>
        <w:contextualSpacing/>
        <w:rPr>
          <w:rFonts w:asciiTheme="minorHAnsi" w:hAnsiTheme="minorHAnsi" w:cstheme="minorHAnsi"/>
        </w:rPr>
      </w:pPr>
      <w:r w:rsidRPr="00E71E7D">
        <w:rPr>
          <w:rFonts w:asciiTheme="minorHAnsi" w:hAnsiTheme="minorHAnsi" w:cstheme="minorHAnsi"/>
        </w:rPr>
        <w:t>Lengthy and complex processes for obtaining surveillance certificates</w:t>
      </w:r>
      <w:r w:rsidRPr="00E71E7D">
        <w:rPr>
          <w:rFonts w:asciiTheme="minorHAnsi" w:hAnsiTheme="minorHAnsi" w:cstheme="minorHAnsi"/>
          <w:vertAlign w:val="superscript"/>
        </w:rPr>
        <w:footnoteReference w:id="5"/>
      </w:r>
      <w:r w:rsidRPr="00E71E7D">
        <w:rPr>
          <w:rFonts w:asciiTheme="minorHAnsi" w:hAnsiTheme="minorHAnsi" w:cstheme="minorHAnsi"/>
        </w:rPr>
        <w:t xml:space="preserve"> to import solar panels. </w:t>
      </w:r>
    </w:p>
    <w:p w14:paraId="7D90FAA9" w14:textId="4FAF1ED0" w:rsidR="00E71E7D" w:rsidRPr="00E71E7D" w:rsidRDefault="00E71E7D" w:rsidP="00D33F4C">
      <w:pPr>
        <w:numPr>
          <w:ilvl w:val="0"/>
          <w:numId w:val="8"/>
        </w:numPr>
        <w:spacing w:before="0" w:after="0"/>
        <w:contextualSpacing/>
        <w:rPr>
          <w:rFonts w:asciiTheme="minorHAnsi" w:hAnsiTheme="minorHAnsi" w:cstheme="minorHAnsi"/>
        </w:rPr>
      </w:pPr>
      <w:r w:rsidRPr="00E71E7D">
        <w:rPr>
          <w:rFonts w:asciiTheme="minorHAnsi" w:hAnsiTheme="minorHAnsi" w:cstheme="minorHAnsi"/>
        </w:rPr>
        <w:t xml:space="preserve">Lack of awareness of </w:t>
      </w:r>
      <w:r w:rsidR="00201CEF">
        <w:rPr>
          <w:rFonts w:asciiTheme="minorHAnsi" w:hAnsiTheme="minorHAnsi" w:cstheme="minorHAnsi"/>
        </w:rPr>
        <w:t xml:space="preserve">the technical aspects, costs and benefits of </w:t>
      </w:r>
      <w:r w:rsidRPr="00E71E7D">
        <w:rPr>
          <w:rFonts w:asciiTheme="minorHAnsi" w:hAnsiTheme="minorHAnsi" w:cstheme="minorHAnsi"/>
        </w:rPr>
        <w:t>RSPV</w:t>
      </w:r>
      <w:r w:rsidR="00201CEF">
        <w:rPr>
          <w:rFonts w:asciiTheme="minorHAnsi" w:hAnsiTheme="minorHAnsi" w:cstheme="minorHAnsi"/>
        </w:rPr>
        <w:t xml:space="preserve"> systems</w:t>
      </w:r>
      <w:r w:rsidRPr="00E71E7D">
        <w:rPr>
          <w:rFonts w:asciiTheme="minorHAnsi" w:hAnsiTheme="minorHAnsi" w:cstheme="minorHAnsi"/>
        </w:rPr>
        <w:t xml:space="preserve">. </w:t>
      </w:r>
    </w:p>
    <w:p w14:paraId="3DED3196" w14:textId="77777777" w:rsidR="00E71E7D" w:rsidRPr="00E71E7D" w:rsidRDefault="00E71E7D" w:rsidP="00E71E7D">
      <w:pPr>
        <w:spacing w:after="60"/>
        <w:rPr>
          <w:rFonts w:asciiTheme="minorHAnsi" w:hAnsiTheme="minorHAnsi" w:cstheme="minorHAnsi"/>
        </w:rPr>
      </w:pPr>
      <w:r w:rsidRPr="00E71E7D">
        <w:rPr>
          <w:rFonts w:asciiTheme="minorHAnsi" w:hAnsiTheme="minorHAnsi" w:cstheme="minorHAnsi"/>
          <w:i/>
          <w:iCs/>
          <w:color w:val="002060"/>
          <w:lang w:val="en-GB"/>
        </w:rPr>
        <w:t xml:space="preserve">Financial and Tariff </w:t>
      </w:r>
    </w:p>
    <w:p w14:paraId="4F941BA3" w14:textId="2EBEDDB8" w:rsidR="00E71E7D" w:rsidRPr="00E71E7D" w:rsidRDefault="00201CEF" w:rsidP="00D33F4C">
      <w:pPr>
        <w:numPr>
          <w:ilvl w:val="0"/>
          <w:numId w:val="9"/>
        </w:numPr>
        <w:spacing w:before="0" w:after="0"/>
        <w:contextualSpacing/>
        <w:rPr>
          <w:rFonts w:asciiTheme="minorHAnsi" w:hAnsiTheme="minorHAnsi" w:cstheme="minorHAnsi"/>
        </w:rPr>
      </w:pPr>
      <w:r>
        <w:rPr>
          <w:rFonts w:asciiTheme="minorHAnsi" w:hAnsiTheme="minorHAnsi" w:cstheme="minorHAnsi"/>
        </w:rPr>
        <w:t>Short FiT terms (10 years as compared to t</w:t>
      </w:r>
      <w:r w:rsidR="00E71E7D" w:rsidRPr="00E71E7D">
        <w:rPr>
          <w:rFonts w:asciiTheme="minorHAnsi" w:hAnsiTheme="minorHAnsi" w:cstheme="minorHAnsi"/>
        </w:rPr>
        <w:t xml:space="preserve">he typical </w:t>
      </w:r>
      <w:r>
        <w:rPr>
          <w:rFonts w:asciiTheme="minorHAnsi" w:hAnsiTheme="minorHAnsi" w:cstheme="minorHAnsi"/>
        </w:rPr>
        <w:t xml:space="preserve">25-year </w:t>
      </w:r>
      <w:r w:rsidR="00E71E7D" w:rsidRPr="00E71E7D">
        <w:rPr>
          <w:rFonts w:asciiTheme="minorHAnsi" w:hAnsiTheme="minorHAnsi" w:cstheme="minorHAnsi"/>
        </w:rPr>
        <w:t>lifespan of a RSPV system</w:t>
      </w:r>
      <w:r>
        <w:rPr>
          <w:rFonts w:asciiTheme="minorHAnsi" w:hAnsiTheme="minorHAnsi" w:cstheme="minorHAnsi"/>
        </w:rPr>
        <w:t xml:space="preserve">), which </w:t>
      </w:r>
      <w:r w:rsidR="00E71E7D" w:rsidRPr="00E71E7D">
        <w:rPr>
          <w:rFonts w:asciiTheme="minorHAnsi" w:hAnsiTheme="minorHAnsi" w:cstheme="minorHAnsi"/>
        </w:rPr>
        <w:t>creates uncertainty regarding the future revenues and thus profitability of investments.</w:t>
      </w:r>
    </w:p>
    <w:p w14:paraId="7FF51560" w14:textId="32F5F194" w:rsidR="00E71E7D" w:rsidRPr="00E71E7D" w:rsidRDefault="00201CEF" w:rsidP="00D33F4C">
      <w:pPr>
        <w:numPr>
          <w:ilvl w:val="0"/>
          <w:numId w:val="9"/>
        </w:numPr>
        <w:spacing w:before="0" w:after="0"/>
        <w:contextualSpacing/>
        <w:rPr>
          <w:rFonts w:asciiTheme="minorHAnsi" w:hAnsiTheme="minorHAnsi" w:cstheme="minorHAnsi"/>
        </w:rPr>
      </w:pPr>
      <w:r>
        <w:rPr>
          <w:rFonts w:asciiTheme="minorHAnsi" w:hAnsiTheme="minorHAnsi" w:cstheme="minorHAnsi"/>
        </w:rPr>
        <w:t>Limited collateral availability for small consumers</w:t>
      </w:r>
      <w:r w:rsidR="00E71E7D" w:rsidRPr="00E71E7D">
        <w:rPr>
          <w:rFonts w:asciiTheme="minorHAnsi" w:hAnsiTheme="minorHAnsi" w:cstheme="minorHAnsi"/>
        </w:rPr>
        <w:t>.</w:t>
      </w:r>
    </w:p>
    <w:p w14:paraId="784209EB" w14:textId="017DDA2D" w:rsidR="00E71E7D" w:rsidRPr="00E71E7D" w:rsidRDefault="00201CEF" w:rsidP="00D33F4C">
      <w:pPr>
        <w:numPr>
          <w:ilvl w:val="0"/>
          <w:numId w:val="9"/>
        </w:numPr>
        <w:spacing w:before="0" w:after="0"/>
        <w:contextualSpacing/>
        <w:rPr>
          <w:rFonts w:asciiTheme="minorHAnsi" w:hAnsiTheme="minorHAnsi" w:cstheme="minorHAnsi"/>
        </w:rPr>
      </w:pPr>
      <w:r>
        <w:rPr>
          <w:rFonts w:asciiTheme="minorHAnsi" w:hAnsiTheme="minorHAnsi" w:cstheme="minorHAnsi"/>
        </w:rPr>
        <w:t xml:space="preserve">Perceived risks for banks to lend to EPC companies, since </w:t>
      </w:r>
      <w:r w:rsidR="00E71E7D" w:rsidRPr="00E71E7D">
        <w:rPr>
          <w:rFonts w:asciiTheme="minorHAnsi" w:hAnsiTheme="minorHAnsi" w:cstheme="minorHAnsi"/>
        </w:rPr>
        <w:t xml:space="preserve">most are relatively new and have neither </w:t>
      </w:r>
      <w:r>
        <w:rPr>
          <w:rFonts w:asciiTheme="minorHAnsi" w:hAnsiTheme="minorHAnsi" w:cstheme="minorHAnsi"/>
        </w:rPr>
        <w:t xml:space="preserve">sufficient </w:t>
      </w:r>
      <w:r w:rsidR="00E71E7D" w:rsidRPr="00E71E7D">
        <w:rPr>
          <w:rFonts w:asciiTheme="minorHAnsi" w:hAnsiTheme="minorHAnsi" w:cstheme="minorHAnsi"/>
        </w:rPr>
        <w:t>track record</w:t>
      </w:r>
      <w:r>
        <w:rPr>
          <w:rFonts w:asciiTheme="minorHAnsi" w:hAnsiTheme="minorHAnsi" w:cstheme="minorHAnsi"/>
        </w:rPr>
        <w:t>s</w:t>
      </w:r>
      <w:r w:rsidR="00E71E7D" w:rsidRPr="00E71E7D">
        <w:rPr>
          <w:rFonts w:asciiTheme="minorHAnsi" w:hAnsiTheme="minorHAnsi" w:cstheme="minorHAnsi"/>
        </w:rPr>
        <w:t xml:space="preserve"> nor strong balance sheet</w:t>
      </w:r>
      <w:r>
        <w:rPr>
          <w:rFonts w:asciiTheme="minorHAnsi" w:hAnsiTheme="minorHAnsi" w:cstheme="minorHAnsi"/>
        </w:rPr>
        <w:t>s</w:t>
      </w:r>
      <w:r w:rsidR="00E71E7D" w:rsidRPr="00E71E7D">
        <w:rPr>
          <w:rFonts w:asciiTheme="minorHAnsi" w:hAnsiTheme="minorHAnsi" w:cstheme="minorHAnsi"/>
        </w:rPr>
        <w:t>.</w:t>
      </w:r>
    </w:p>
    <w:p w14:paraId="070FA800" w14:textId="7764EC6B" w:rsidR="00E71E7D" w:rsidRPr="00E71E7D" w:rsidRDefault="00E71E7D" w:rsidP="00E71E7D">
      <w:pPr>
        <w:spacing w:after="60"/>
        <w:rPr>
          <w:rFonts w:asciiTheme="minorHAnsi" w:hAnsiTheme="minorHAnsi" w:cstheme="minorHAnsi"/>
        </w:rPr>
      </w:pPr>
      <w:r w:rsidRPr="00E71E7D">
        <w:rPr>
          <w:rFonts w:asciiTheme="minorHAnsi" w:hAnsiTheme="minorHAnsi" w:cstheme="minorHAnsi"/>
          <w:i/>
          <w:iCs/>
          <w:color w:val="002060"/>
          <w:lang w:val="en-GB"/>
        </w:rPr>
        <w:t>Technical</w:t>
      </w:r>
    </w:p>
    <w:p w14:paraId="7EACA990" w14:textId="77777777" w:rsidR="00E71E7D" w:rsidRPr="00E71E7D" w:rsidRDefault="00E71E7D" w:rsidP="00D33F4C">
      <w:pPr>
        <w:numPr>
          <w:ilvl w:val="0"/>
          <w:numId w:val="9"/>
        </w:numPr>
        <w:spacing w:before="0" w:after="0"/>
        <w:contextualSpacing/>
        <w:rPr>
          <w:rFonts w:asciiTheme="minorHAnsi" w:hAnsiTheme="minorHAnsi" w:cstheme="minorHAnsi"/>
        </w:rPr>
      </w:pPr>
      <w:r w:rsidRPr="00E71E7D">
        <w:rPr>
          <w:rFonts w:asciiTheme="minorHAnsi" w:hAnsiTheme="minorHAnsi" w:cstheme="minorHAnsi"/>
        </w:rPr>
        <w:t xml:space="preserve">Lack of skilled technicians, which is a main concern for EPC companies. </w:t>
      </w:r>
    </w:p>
    <w:p w14:paraId="40F207E7" w14:textId="0309C3DD" w:rsidR="00E71E7D" w:rsidRPr="00E71E7D" w:rsidRDefault="00E71E7D" w:rsidP="00D33F4C">
      <w:pPr>
        <w:numPr>
          <w:ilvl w:val="0"/>
          <w:numId w:val="9"/>
        </w:numPr>
        <w:spacing w:before="0" w:after="0"/>
        <w:contextualSpacing/>
        <w:rPr>
          <w:rFonts w:asciiTheme="minorHAnsi" w:hAnsiTheme="minorHAnsi" w:cstheme="minorHAnsi"/>
        </w:rPr>
      </w:pPr>
      <w:r w:rsidRPr="00E71E7D">
        <w:rPr>
          <w:rFonts w:asciiTheme="minorHAnsi" w:hAnsiTheme="minorHAnsi" w:cstheme="minorHAnsi"/>
        </w:rPr>
        <w:t xml:space="preserve">Low availability of quality </w:t>
      </w:r>
      <w:r w:rsidR="00201CEF">
        <w:rPr>
          <w:rFonts w:asciiTheme="minorHAnsi" w:hAnsiTheme="minorHAnsi" w:cstheme="minorHAnsi"/>
        </w:rPr>
        <w:t xml:space="preserve">RSPV system </w:t>
      </w:r>
      <w:r w:rsidRPr="00E71E7D">
        <w:rPr>
          <w:rFonts w:asciiTheme="minorHAnsi" w:hAnsiTheme="minorHAnsi" w:cstheme="minorHAnsi"/>
        </w:rPr>
        <w:t xml:space="preserve">suppliers and installers. </w:t>
      </w:r>
    </w:p>
    <w:p w14:paraId="2025F5DF" w14:textId="6A876406" w:rsidR="00E71E7D" w:rsidRPr="00E71E7D" w:rsidRDefault="00E71E7D" w:rsidP="00D33F4C">
      <w:pPr>
        <w:numPr>
          <w:ilvl w:val="0"/>
          <w:numId w:val="9"/>
        </w:numPr>
        <w:spacing w:before="0" w:after="0"/>
        <w:contextualSpacing/>
        <w:rPr>
          <w:rFonts w:asciiTheme="minorHAnsi" w:hAnsiTheme="minorHAnsi" w:cstheme="minorHAnsi"/>
        </w:rPr>
      </w:pPr>
      <w:r w:rsidRPr="00E71E7D">
        <w:rPr>
          <w:rFonts w:asciiTheme="minorHAnsi" w:hAnsiTheme="minorHAnsi" w:cstheme="minorHAnsi"/>
        </w:rPr>
        <w:t>Non-availability of standards for products, workmanship, grid connection and installation.</w:t>
      </w:r>
    </w:p>
    <w:p w14:paraId="6524CC00" w14:textId="77777777" w:rsidR="00E71E7D" w:rsidRPr="00E71E7D" w:rsidRDefault="00E71E7D" w:rsidP="00E71E7D">
      <w:pPr>
        <w:spacing w:before="240"/>
        <w:rPr>
          <w:b/>
          <w:bCs/>
          <w:color w:val="002060"/>
          <w:lang w:val="en-GB"/>
        </w:rPr>
      </w:pPr>
      <w:r>
        <w:rPr>
          <w:b/>
          <w:bCs/>
          <w:color w:val="002060"/>
          <w:lang w:val="en-GB"/>
        </w:rPr>
        <w:t>Recommendations</w:t>
      </w:r>
    </w:p>
    <w:p w14:paraId="4FB2F696" w14:textId="3E5C9932" w:rsidR="00E71E7D" w:rsidRPr="00E71E7D" w:rsidRDefault="00E71E7D" w:rsidP="00E71E7D">
      <w:pPr>
        <w:spacing w:after="0"/>
        <w:rPr>
          <w:rFonts w:asciiTheme="minorHAnsi" w:hAnsiTheme="minorHAnsi" w:cstheme="minorHAnsi"/>
        </w:rPr>
      </w:pPr>
      <w:r w:rsidRPr="00E71E7D">
        <w:rPr>
          <w:rFonts w:asciiTheme="minorHAnsi" w:hAnsiTheme="minorHAnsi" w:cstheme="minorHAnsi"/>
        </w:rPr>
        <w:t xml:space="preserve">Based on the analyses, the following recommendations are proposed to </w:t>
      </w:r>
      <w:r w:rsidR="00201CEF">
        <w:rPr>
          <w:rFonts w:asciiTheme="minorHAnsi" w:hAnsiTheme="minorHAnsi" w:cstheme="minorHAnsi"/>
        </w:rPr>
        <w:t>develop the RSPV market in Turkey:</w:t>
      </w:r>
    </w:p>
    <w:p w14:paraId="76007096" w14:textId="08451723" w:rsidR="00E71E7D" w:rsidRPr="00D33F4C" w:rsidRDefault="00E71E7D" w:rsidP="00D33F4C">
      <w:pPr>
        <w:pStyle w:val="ListParagraph"/>
        <w:numPr>
          <w:ilvl w:val="0"/>
          <w:numId w:val="10"/>
        </w:numPr>
        <w:spacing w:after="0"/>
        <w:rPr>
          <w:rFonts w:asciiTheme="minorHAnsi" w:hAnsiTheme="minorHAnsi" w:cstheme="minorHAnsi"/>
          <w:lang w:eastAsia="sv-SE"/>
        </w:rPr>
      </w:pPr>
      <w:r w:rsidRPr="00D33F4C">
        <w:rPr>
          <w:rFonts w:asciiTheme="minorHAnsi" w:hAnsiTheme="minorHAnsi" w:cstheme="minorHAnsi"/>
          <w:b/>
          <w:bCs/>
        </w:rPr>
        <w:t>Set Annual Target</w:t>
      </w:r>
      <w:r w:rsidR="00201CEF">
        <w:rPr>
          <w:rFonts w:asciiTheme="minorHAnsi" w:hAnsiTheme="minorHAnsi" w:cstheme="minorHAnsi"/>
          <w:b/>
          <w:bCs/>
        </w:rPr>
        <w:t>s</w:t>
      </w:r>
      <w:r w:rsidRPr="00D33F4C">
        <w:rPr>
          <w:rFonts w:asciiTheme="minorHAnsi" w:hAnsiTheme="minorHAnsi" w:cstheme="minorHAnsi"/>
          <w:b/>
          <w:bCs/>
        </w:rPr>
        <w:t xml:space="preserve"> for RSPV:</w:t>
      </w:r>
      <w:r w:rsidRPr="00201CEF">
        <w:rPr>
          <w:rFonts w:asciiTheme="minorHAnsi" w:hAnsiTheme="minorHAnsi" w:cstheme="minorHAnsi"/>
          <w:bCs/>
        </w:rPr>
        <w:t xml:space="preserve"> </w:t>
      </w:r>
      <w:r w:rsidRPr="00D33F4C">
        <w:rPr>
          <w:rFonts w:asciiTheme="minorHAnsi" w:hAnsiTheme="minorHAnsi" w:cstheme="minorHAnsi"/>
        </w:rPr>
        <w:t xml:space="preserve">MENR should </w:t>
      </w:r>
      <w:r w:rsidR="00201CEF">
        <w:rPr>
          <w:rFonts w:asciiTheme="minorHAnsi" w:hAnsiTheme="minorHAnsi" w:cstheme="minorHAnsi"/>
        </w:rPr>
        <w:t xml:space="preserve">establish and disseminate </w:t>
      </w:r>
      <w:r w:rsidRPr="00D33F4C">
        <w:rPr>
          <w:rFonts w:asciiTheme="minorHAnsi" w:hAnsiTheme="minorHAnsi" w:cstheme="minorHAnsi"/>
          <w:lang w:eastAsia="sv-SE"/>
        </w:rPr>
        <w:t>a target of ‘3.9 GW of RSPV by 2026</w:t>
      </w:r>
      <w:r w:rsidR="00201CEF">
        <w:rPr>
          <w:rFonts w:asciiTheme="minorHAnsi" w:hAnsiTheme="minorHAnsi" w:cstheme="minorHAnsi"/>
          <w:lang w:eastAsia="sv-SE"/>
        </w:rPr>
        <w:t>.</w:t>
      </w:r>
      <w:r w:rsidRPr="00D33F4C">
        <w:rPr>
          <w:rFonts w:asciiTheme="minorHAnsi" w:hAnsiTheme="minorHAnsi" w:cstheme="minorHAnsi"/>
          <w:lang w:eastAsia="sv-SE"/>
        </w:rPr>
        <w:t xml:space="preserve">’ The target should include annual milestones and sub-targets for each market segment. The targets for all three consumer categories should be </w:t>
      </w:r>
      <w:r w:rsidRPr="00D33F4C">
        <w:rPr>
          <w:rFonts w:asciiTheme="minorHAnsi" w:hAnsiTheme="minorHAnsi" w:cstheme="minorHAnsi"/>
          <w:lang w:eastAsia="sv-SE"/>
        </w:rPr>
        <w:lastRenderedPageBreak/>
        <w:t xml:space="preserve">monitored </w:t>
      </w:r>
      <w:r w:rsidR="00932B63">
        <w:rPr>
          <w:rFonts w:asciiTheme="minorHAnsi" w:hAnsiTheme="minorHAnsi" w:cstheme="minorHAnsi"/>
          <w:lang w:eastAsia="sv-SE"/>
        </w:rPr>
        <w:t xml:space="preserve">regularly, i.e., </w:t>
      </w:r>
      <w:r w:rsidRPr="00D33F4C">
        <w:rPr>
          <w:rFonts w:asciiTheme="minorHAnsi" w:hAnsiTheme="minorHAnsi" w:cstheme="minorHAnsi"/>
          <w:lang w:eastAsia="sv-SE"/>
        </w:rPr>
        <w:t xml:space="preserve">on a quarterly basis. </w:t>
      </w:r>
      <w:r w:rsidR="00A61F71" w:rsidRPr="00A61F71">
        <w:rPr>
          <w:rFonts w:asciiTheme="minorHAnsi" w:hAnsiTheme="minorHAnsi" w:cstheme="minorHAnsi"/>
          <w:lang w:eastAsia="sv-SE"/>
        </w:rPr>
        <w:t xml:space="preserve">If a particular segment’s milestone </w:t>
      </w:r>
      <w:r w:rsidR="00A61F71">
        <w:rPr>
          <w:rFonts w:asciiTheme="minorHAnsi" w:hAnsiTheme="minorHAnsi" w:cstheme="minorHAnsi"/>
          <w:lang w:eastAsia="sv-SE"/>
        </w:rPr>
        <w:t>is</w:t>
      </w:r>
      <w:r w:rsidR="00A61F71" w:rsidRPr="00A61F71">
        <w:rPr>
          <w:rFonts w:asciiTheme="minorHAnsi" w:hAnsiTheme="minorHAnsi" w:cstheme="minorHAnsi"/>
          <w:lang w:eastAsia="sv-SE"/>
        </w:rPr>
        <w:t xml:space="preserve"> not achieved, a detailed analysis should be conducted to determine why, and corrective measures developed and implemented.</w:t>
      </w:r>
    </w:p>
    <w:p w14:paraId="664F4460" w14:textId="561496BB" w:rsidR="00A61F71" w:rsidRPr="00A61F71" w:rsidRDefault="00E71E7D" w:rsidP="00CC79A5">
      <w:pPr>
        <w:pStyle w:val="ListParagraph"/>
        <w:keepNext/>
        <w:keepLines/>
        <w:numPr>
          <w:ilvl w:val="0"/>
          <w:numId w:val="10"/>
        </w:numPr>
        <w:spacing w:after="0"/>
        <w:rPr>
          <w:rFonts w:asciiTheme="minorHAnsi" w:hAnsiTheme="minorHAnsi" w:cstheme="minorHAnsi"/>
          <w:lang w:eastAsia="sv-SE"/>
        </w:rPr>
      </w:pPr>
      <w:r w:rsidRPr="00A61F71">
        <w:rPr>
          <w:rFonts w:asciiTheme="minorHAnsi" w:hAnsiTheme="minorHAnsi" w:cstheme="minorHAnsi"/>
          <w:b/>
          <w:bCs/>
        </w:rPr>
        <w:t>Establish a Dedicated, Low-Interest Credit Line through Commercial Banks for RSPV Systems:</w:t>
      </w:r>
      <w:r w:rsidRPr="00A61F71">
        <w:rPr>
          <w:rFonts w:asciiTheme="minorHAnsi" w:eastAsiaTheme="majorEastAsia" w:hAnsiTheme="minorHAnsi" w:cstheme="minorHAnsi"/>
          <w:lang w:eastAsia="sv-SE"/>
        </w:rPr>
        <w:t xml:space="preserve"> </w:t>
      </w:r>
      <w:r w:rsidR="00A61F71" w:rsidRPr="00A61F71">
        <w:rPr>
          <w:rFonts w:asciiTheme="minorHAnsi" w:hAnsiTheme="minorHAnsi" w:cstheme="minorHAnsi"/>
          <w:lang w:eastAsia="sv-SE"/>
        </w:rPr>
        <w:t>MENR should work with local financial institutions to develop dedicated loan products for RSPV systems in each market segment, and with the government and international financial institutions to offer longer-term, low-interest financing</w:t>
      </w:r>
      <w:r w:rsidR="00932B63">
        <w:rPr>
          <w:rFonts w:asciiTheme="minorHAnsi" w:hAnsiTheme="minorHAnsi" w:cstheme="minorHAnsi"/>
          <w:lang w:eastAsia="sv-SE"/>
        </w:rPr>
        <w:t>, at least for the initial 500 MW or so</w:t>
      </w:r>
      <w:r w:rsidR="00A61F71" w:rsidRPr="00A61F71">
        <w:rPr>
          <w:rFonts w:asciiTheme="minorHAnsi" w:hAnsiTheme="minorHAnsi" w:cstheme="minorHAnsi"/>
          <w:lang w:eastAsia="sv-SE"/>
        </w:rPr>
        <w:t xml:space="preserve">. Such a measure would help </w:t>
      </w:r>
      <w:r w:rsidR="00932B63">
        <w:rPr>
          <w:rFonts w:asciiTheme="minorHAnsi" w:hAnsiTheme="minorHAnsi" w:cstheme="minorHAnsi"/>
          <w:lang w:eastAsia="sv-SE"/>
        </w:rPr>
        <w:t xml:space="preserve">stimulate </w:t>
      </w:r>
      <w:r w:rsidR="00A61F71" w:rsidRPr="00A61F71">
        <w:rPr>
          <w:rFonts w:asciiTheme="minorHAnsi" w:hAnsiTheme="minorHAnsi" w:cstheme="minorHAnsi"/>
          <w:lang w:eastAsia="sv-SE"/>
        </w:rPr>
        <w:t xml:space="preserve">the market and </w:t>
      </w:r>
      <w:r w:rsidR="00932B63">
        <w:rPr>
          <w:rFonts w:asciiTheme="minorHAnsi" w:hAnsiTheme="minorHAnsi" w:cstheme="minorHAnsi"/>
          <w:lang w:eastAsia="sv-SE"/>
        </w:rPr>
        <w:t xml:space="preserve">encourage </w:t>
      </w:r>
      <w:r w:rsidR="00A61F71" w:rsidRPr="00A61F71">
        <w:rPr>
          <w:rFonts w:asciiTheme="minorHAnsi" w:hAnsiTheme="minorHAnsi" w:cstheme="minorHAnsi"/>
          <w:lang w:eastAsia="sv-SE"/>
        </w:rPr>
        <w:t>early adopt</w:t>
      </w:r>
      <w:r w:rsidR="00932B63">
        <w:rPr>
          <w:rFonts w:asciiTheme="minorHAnsi" w:hAnsiTheme="minorHAnsi" w:cstheme="minorHAnsi"/>
          <w:lang w:eastAsia="sv-SE"/>
        </w:rPr>
        <w:t>er</w:t>
      </w:r>
      <w:r w:rsidR="00A61F71" w:rsidRPr="00A61F71">
        <w:rPr>
          <w:rFonts w:asciiTheme="minorHAnsi" w:hAnsiTheme="minorHAnsi" w:cstheme="minorHAnsi"/>
          <w:lang w:eastAsia="sv-SE"/>
        </w:rPr>
        <w:t>s. This would be consistent with the experience in other countries as well as market survey results, where 25% of the respondents indicated a preference for low-cost finance as an incentive for RSPV investments. Given that many EPC firms are new or start-up companies with weak balance sheets, some credit enhancement, risk sharing, or payment security mechanisms may also be needed to help them access financing, particularly under the RESCO model.</w:t>
      </w:r>
    </w:p>
    <w:p w14:paraId="6A7F3D55" w14:textId="5B3800BE" w:rsidR="00A61F71" w:rsidRPr="00A41F90" w:rsidRDefault="00E71E7D" w:rsidP="00CC79A5">
      <w:pPr>
        <w:pStyle w:val="ListParagraph"/>
        <w:numPr>
          <w:ilvl w:val="0"/>
          <w:numId w:val="10"/>
        </w:numPr>
        <w:spacing w:after="0"/>
        <w:rPr>
          <w:rFonts w:asciiTheme="minorHAnsi" w:hAnsiTheme="minorHAnsi" w:cstheme="minorHAnsi"/>
          <w:lang w:eastAsia="sv-SE"/>
        </w:rPr>
      </w:pPr>
      <w:r w:rsidRPr="00A41F90">
        <w:rPr>
          <w:rFonts w:asciiTheme="minorHAnsi" w:hAnsiTheme="minorHAnsi" w:cstheme="minorHAnsi"/>
          <w:b/>
          <w:bCs/>
        </w:rPr>
        <w:t>Transition to Net</w:t>
      </w:r>
      <w:r w:rsidR="00932B63">
        <w:rPr>
          <w:rFonts w:asciiTheme="minorHAnsi" w:hAnsiTheme="minorHAnsi" w:cstheme="minorHAnsi"/>
          <w:b/>
          <w:bCs/>
        </w:rPr>
        <w:t xml:space="preserve"> </w:t>
      </w:r>
      <w:r w:rsidRPr="00A41F90">
        <w:rPr>
          <w:rFonts w:asciiTheme="minorHAnsi" w:hAnsiTheme="minorHAnsi" w:cstheme="minorHAnsi"/>
          <w:b/>
          <w:bCs/>
        </w:rPr>
        <w:t>Metering:</w:t>
      </w:r>
      <w:r w:rsidRPr="00A41F90">
        <w:rPr>
          <w:rFonts w:asciiTheme="minorHAnsi" w:hAnsiTheme="minorHAnsi" w:cstheme="minorHAnsi"/>
          <w:bCs/>
        </w:rPr>
        <w:t xml:space="preserve"> </w:t>
      </w:r>
      <w:r w:rsidR="00A61F71" w:rsidRPr="00A41F90">
        <w:rPr>
          <w:rFonts w:asciiTheme="minorHAnsi" w:hAnsiTheme="minorHAnsi" w:cstheme="minorHAnsi"/>
          <w:lang w:eastAsia="sv-SE"/>
        </w:rPr>
        <w:t>Since Turkey will phase out its RE FiT scheme by 2020, MENR should further develop and institutionalize a net-metering scheme for RSPV systems</w:t>
      </w:r>
      <w:r w:rsidR="00A41F90" w:rsidRPr="00A41F90">
        <w:rPr>
          <w:rFonts w:asciiTheme="minorHAnsi" w:hAnsiTheme="minorHAnsi" w:cstheme="minorHAnsi"/>
          <w:lang w:eastAsia="sv-SE"/>
        </w:rPr>
        <w:t xml:space="preserve"> for all consumer classes as soon as possible</w:t>
      </w:r>
      <w:r w:rsidR="00A61F71" w:rsidRPr="00A41F90">
        <w:rPr>
          <w:rFonts w:asciiTheme="minorHAnsi" w:hAnsiTheme="minorHAnsi" w:cstheme="minorHAnsi"/>
          <w:lang w:eastAsia="sv-SE"/>
        </w:rPr>
        <w:t xml:space="preserve">. </w:t>
      </w:r>
      <w:r w:rsidR="00A41F90" w:rsidRPr="00D33F4C">
        <w:rPr>
          <w:rFonts w:asciiTheme="minorHAnsi" w:hAnsiTheme="minorHAnsi" w:cstheme="minorHAnsi"/>
          <w:lang w:eastAsia="sv-SE"/>
        </w:rPr>
        <w:t>A net</w:t>
      </w:r>
      <w:r w:rsidR="00A41F90">
        <w:rPr>
          <w:rFonts w:asciiTheme="minorHAnsi" w:hAnsiTheme="minorHAnsi" w:cstheme="minorHAnsi"/>
          <w:lang w:eastAsia="sv-SE"/>
        </w:rPr>
        <w:t>-</w:t>
      </w:r>
      <w:r w:rsidR="00A41F90" w:rsidRPr="00D33F4C">
        <w:rPr>
          <w:rFonts w:asciiTheme="minorHAnsi" w:hAnsiTheme="minorHAnsi" w:cstheme="minorHAnsi"/>
          <w:lang w:eastAsia="sv-SE"/>
        </w:rPr>
        <w:t>metering scheme will also impose a reduced financial burden on electricity consumers as compared with the current FiT</w:t>
      </w:r>
      <w:r w:rsidR="00A41F90" w:rsidRPr="00A41F90">
        <w:rPr>
          <w:rFonts w:asciiTheme="minorHAnsi" w:hAnsiTheme="minorHAnsi" w:cstheme="minorHAnsi"/>
          <w:lang w:eastAsia="sv-SE"/>
        </w:rPr>
        <w:t xml:space="preserve">. </w:t>
      </w:r>
      <w:r w:rsidR="00A61F71" w:rsidRPr="00A41F90">
        <w:rPr>
          <w:rFonts w:asciiTheme="minorHAnsi" w:hAnsiTheme="minorHAnsi" w:cstheme="minorHAnsi"/>
          <w:lang w:eastAsia="sv-SE"/>
        </w:rPr>
        <w:t>Net</w:t>
      </w:r>
      <w:r w:rsidR="00A41F90" w:rsidRPr="00A41F90">
        <w:rPr>
          <w:rFonts w:asciiTheme="minorHAnsi" w:hAnsiTheme="minorHAnsi" w:cstheme="minorHAnsi"/>
          <w:lang w:eastAsia="sv-SE"/>
        </w:rPr>
        <w:t xml:space="preserve"> </w:t>
      </w:r>
      <w:r w:rsidR="00A61F71" w:rsidRPr="00A41F90">
        <w:rPr>
          <w:rFonts w:asciiTheme="minorHAnsi" w:hAnsiTheme="minorHAnsi" w:cstheme="minorHAnsi"/>
          <w:lang w:eastAsia="sv-SE"/>
        </w:rPr>
        <w:t>metering can also be used for MABs</w:t>
      </w:r>
      <w:r w:rsidR="00A41F90" w:rsidRPr="00A41F90">
        <w:rPr>
          <w:rFonts w:asciiTheme="minorHAnsi" w:hAnsiTheme="minorHAnsi" w:cstheme="minorHAnsi"/>
          <w:lang w:eastAsia="sv-SE"/>
        </w:rPr>
        <w:t xml:space="preserve">—a </w:t>
      </w:r>
      <w:r w:rsidR="00A61F71" w:rsidRPr="00A41F90">
        <w:rPr>
          <w:rFonts w:asciiTheme="minorHAnsi" w:hAnsiTheme="minorHAnsi" w:cstheme="minorHAnsi"/>
          <w:lang w:eastAsia="sv-SE"/>
        </w:rPr>
        <w:t xml:space="preserve">grid-connected RSPV system can allow the benefits (i.e., the RPSV power sold to the grid) to be credited among the residents based on their past average consumption and deducted from their monthly </w:t>
      </w:r>
      <w:r w:rsidR="00932B63">
        <w:rPr>
          <w:rFonts w:asciiTheme="minorHAnsi" w:hAnsiTheme="minorHAnsi" w:cstheme="minorHAnsi"/>
          <w:lang w:eastAsia="sv-SE"/>
        </w:rPr>
        <w:t xml:space="preserve">electricity </w:t>
      </w:r>
      <w:r w:rsidR="00A61F71" w:rsidRPr="00A41F90">
        <w:rPr>
          <w:rFonts w:asciiTheme="minorHAnsi" w:hAnsiTheme="minorHAnsi" w:cstheme="minorHAnsi"/>
          <w:lang w:eastAsia="sv-SE"/>
        </w:rPr>
        <w:t>bill</w:t>
      </w:r>
      <w:r w:rsidR="00932B63">
        <w:rPr>
          <w:rFonts w:asciiTheme="minorHAnsi" w:hAnsiTheme="minorHAnsi" w:cstheme="minorHAnsi"/>
          <w:lang w:eastAsia="sv-SE"/>
        </w:rPr>
        <w:t>,</w:t>
      </w:r>
      <w:r w:rsidR="00A41F90" w:rsidRPr="00A41F90">
        <w:rPr>
          <w:rFonts w:asciiTheme="minorHAnsi" w:hAnsiTheme="minorHAnsi" w:cstheme="minorHAnsi"/>
          <w:lang w:eastAsia="sv-SE"/>
        </w:rPr>
        <w:t xml:space="preserve"> as is common in the </w:t>
      </w:r>
      <w:r w:rsidR="00A61F71" w:rsidRPr="00A41F90">
        <w:rPr>
          <w:rFonts w:asciiTheme="minorHAnsi" w:hAnsiTheme="minorHAnsi" w:cstheme="minorHAnsi"/>
          <w:lang w:eastAsia="sv-SE"/>
        </w:rPr>
        <w:t>United States.</w:t>
      </w:r>
    </w:p>
    <w:p w14:paraId="0EA6715C" w14:textId="56C8636C" w:rsidR="00E71E7D" w:rsidRPr="004F6874" w:rsidRDefault="00E71E7D" w:rsidP="00CC79A5">
      <w:pPr>
        <w:pStyle w:val="ListParagraph"/>
        <w:numPr>
          <w:ilvl w:val="0"/>
          <w:numId w:val="10"/>
        </w:numPr>
        <w:spacing w:after="0"/>
        <w:rPr>
          <w:rFonts w:asciiTheme="minorHAnsi" w:hAnsiTheme="minorHAnsi" w:cstheme="minorHAnsi"/>
          <w:lang w:eastAsia="sv-SE"/>
        </w:rPr>
      </w:pPr>
      <w:r w:rsidRPr="004F6874">
        <w:rPr>
          <w:rFonts w:asciiTheme="minorHAnsi" w:hAnsiTheme="minorHAnsi" w:cstheme="minorHAnsi"/>
          <w:b/>
          <w:bCs/>
        </w:rPr>
        <w:t>Offer Additional Incentives to the Industrial Sector:</w:t>
      </w:r>
      <w:r w:rsidRPr="004F6874">
        <w:rPr>
          <w:rFonts w:asciiTheme="minorHAnsi" w:hAnsiTheme="minorHAnsi" w:cstheme="minorHAnsi"/>
          <w:bCs/>
        </w:rPr>
        <w:t xml:space="preserve"> </w:t>
      </w:r>
      <w:r w:rsidR="004F6874" w:rsidRPr="004F6874">
        <w:rPr>
          <w:rFonts w:asciiTheme="minorHAnsi" w:hAnsiTheme="minorHAnsi" w:cstheme="minorHAnsi"/>
          <w:lang w:eastAsia="sv-SE"/>
        </w:rPr>
        <w:t xml:space="preserve">MENR should consider the development and implementation of additional incentive schemes for the industrial sector, </w:t>
      </w:r>
      <w:r w:rsidR="00932B63">
        <w:rPr>
          <w:rFonts w:asciiTheme="minorHAnsi" w:hAnsiTheme="minorHAnsi" w:cstheme="minorHAnsi"/>
          <w:lang w:eastAsia="sv-SE"/>
        </w:rPr>
        <w:t>given their low</w:t>
      </w:r>
      <w:r w:rsidR="004F6874" w:rsidRPr="004F6874">
        <w:rPr>
          <w:rFonts w:asciiTheme="minorHAnsi" w:hAnsiTheme="minorHAnsi" w:cstheme="minorHAnsi"/>
          <w:lang w:eastAsia="sv-SE"/>
        </w:rPr>
        <w:t xml:space="preserve"> rates of return. </w:t>
      </w:r>
      <w:r w:rsidR="004F6874">
        <w:rPr>
          <w:rFonts w:asciiTheme="minorHAnsi" w:hAnsiTheme="minorHAnsi" w:cstheme="minorHAnsi"/>
          <w:lang w:eastAsia="sv-SE"/>
        </w:rPr>
        <w:t xml:space="preserve">The industrial sector represents about 40% of the total market </w:t>
      </w:r>
      <w:r w:rsidR="004F6874" w:rsidRPr="00932B63">
        <w:rPr>
          <w:rFonts w:asciiTheme="minorHAnsi" w:hAnsiTheme="minorHAnsi" w:cstheme="minorHAnsi"/>
          <w:lang w:eastAsia="sv-SE"/>
        </w:rPr>
        <w:t xml:space="preserve">potential and its </w:t>
      </w:r>
      <w:r w:rsidRPr="004F6874">
        <w:rPr>
          <w:rFonts w:asciiTheme="minorHAnsi" w:hAnsiTheme="minorHAnsi" w:cstheme="minorHAnsi"/>
          <w:lang w:eastAsia="sv-SE"/>
        </w:rPr>
        <w:t>high electricity consumption and better access to financing</w:t>
      </w:r>
      <w:r w:rsidR="004F6874">
        <w:rPr>
          <w:rFonts w:asciiTheme="minorHAnsi" w:hAnsiTheme="minorHAnsi" w:cstheme="minorHAnsi"/>
          <w:lang w:eastAsia="sv-SE"/>
        </w:rPr>
        <w:t xml:space="preserve"> can make RSPV system deployment for these consumers easier. </w:t>
      </w:r>
      <w:r w:rsidR="004F6874" w:rsidRPr="004F6874">
        <w:rPr>
          <w:rFonts w:asciiTheme="minorHAnsi" w:hAnsiTheme="minorHAnsi" w:cstheme="minorHAnsi"/>
          <w:lang w:eastAsia="sv-SE"/>
        </w:rPr>
        <w:t xml:space="preserve">However, the financial analyses showed that the </w:t>
      </w:r>
      <w:r w:rsidRPr="004F6874">
        <w:rPr>
          <w:rFonts w:asciiTheme="minorHAnsi" w:hAnsiTheme="minorHAnsi" w:cstheme="minorHAnsi"/>
          <w:lang w:eastAsia="sv-SE"/>
        </w:rPr>
        <w:t xml:space="preserve">profitability on industrial RSPV systems is low under the net metering scheme, with </w:t>
      </w:r>
      <w:r w:rsidR="004F6874" w:rsidRPr="004F6874">
        <w:rPr>
          <w:rFonts w:asciiTheme="minorHAnsi" w:hAnsiTheme="minorHAnsi" w:cstheme="minorHAnsi"/>
          <w:lang w:eastAsia="sv-SE"/>
        </w:rPr>
        <w:t>F</w:t>
      </w:r>
      <w:r w:rsidRPr="004F6874">
        <w:rPr>
          <w:rFonts w:asciiTheme="minorHAnsi" w:hAnsiTheme="minorHAnsi" w:cstheme="minorHAnsi"/>
          <w:lang w:eastAsia="sv-SE"/>
        </w:rPr>
        <w:t xml:space="preserve">IRRs of 2 to 5%. MENR should develop a program specifically targeting the industrial sector with additional incentives, which may include tax rebates for using electricity generated from RSPV, upfront cash incentives, </w:t>
      </w:r>
      <w:r w:rsidR="004F6874" w:rsidRPr="00DC6CB5">
        <w:rPr>
          <w:rFonts w:asciiTheme="minorHAnsi" w:hAnsiTheme="minorHAnsi" w:cstheme="minorHAnsi"/>
          <w:lang w:eastAsia="sv-SE"/>
        </w:rPr>
        <w:t xml:space="preserve">tax exemptions for imported components, </w:t>
      </w:r>
      <w:r w:rsidR="004F6874">
        <w:rPr>
          <w:rFonts w:asciiTheme="minorHAnsi" w:hAnsiTheme="minorHAnsi" w:cstheme="minorHAnsi"/>
          <w:lang w:eastAsia="sv-SE"/>
        </w:rPr>
        <w:t>a higher tariff</w:t>
      </w:r>
      <w:r w:rsidRPr="004F6874">
        <w:rPr>
          <w:rFonts w:asciiTheme="minorHAnsi" w:hAnsiTheme="minorHAnsi" w:cstheme="minorHAnsi"/>
          <w:lang w:eastAsia="sv-SE"/>
        </w:rPr>
        <w:t xml:space="preserve"> for supplying </w:t>
      </w:r>
      <w:r w:rsidR="004F6874">
        <w:rPr>
          <w:rFonts w:asciiTheme="minorHAnsi" w:hAnsiTheme="minorHAnsi" w:cstheme="minorHAnsi"/>
          <w:lang w:eastAsia="sv-SE"/>
        </w:rPr>
        <w:t xml:space="preserve">excess </w:t>
      </w:r>
      <w:r w:rsidRPr="004F6874">
        <w:rPr>
          <w:rFonts w:asciiTheme="minorHAnsi" w:hAnsiTheme="minorHAnsi" w:cstheme="minorHAnsi"/>
          <w:lang w:eastAsia="sv-SE"/>
        </w:rPr>
        <w:t xml:space="preserve">electricity to the grid, simplified procedures, easy access to information, special connection protocols, etc. </w:t>
      </w:r>
    </w:p>
    <w:p w14:paraId="133B0F44" w14:textId="1754E1AC" w:rsidR="00E71E7D" w:rsidRDefault="00E71E7D" w:rsidP="00D33F4C">
      <w:pPr>
        <w:pStyle w:val="ListParagraph"/>
        <w:numPr>
          <w:ilvl w:val="0"/>
          <w:numId w:val="11"/>
        </w:numPr>
        <w:spacing w:after="0"/>
        <w:rPr>
          <w:rFonts w:asciiTheme="minorHAnsi" w:hAnsiTheme="minorHAnsi" w:cstheme="minorHAnsi"/>
        </w:rPr>
      </w:pPr>
      <w:r w:rsidRPr="00D33F4C">
        <w:rPr>
          <w:rFonts w:asciiTheme="minorHAnsi" w:hAnsiTheme="minorHAnsi" w:cstheme="minorHAnsi"/>
          <w:b/>
          <w:bCs/>
        </w:rPr>
        <w:t>Remove the Surveillance Certificate:</w:t>
      </w:r>
      <w:r w:rsidRPr="00DC6CB5">
        <w:rPr>
          <w:rFonts w:asciiTheme="minorHAnsi" w:hAnsiTheme="minorHAnsi" w:cstheme="minorHAnsi"/>
          <w:bCs/>
        </w:rPr>
        <w:t xml:space="preserve"> </w:t>
      </w:r>
      <w:r w:rsidRPr="00D33F4C">
        <w:rPr>
          <w:rFonts w:asciiTheme="minorHAnsi" w:hAnsiTheme="minorHAnsi" w:cstheme="minorHAnsi"/>
        </w:rPr>
        <w:t xml:space="preserve">The requirement for a surveillance certificate (certificate for imported PV systems issued by the Turkish </w:t>
      </w:r>
      <w:r w:rsidRPr="00D33F4C">
        <w:rPr>
          <w:rFonts w:asciiTheme="minorHAnsi" w:hAnsiTheme="minorHAnsi" w:cstheme="minorHAnsi"/>
          <w:lang w:eastAsia="sv-SE"/>
        </w:rPr>
        <w:t xml:space="preserve">Ministry for Economy) should be waived for RSPV systems. </w:t>
      </w:r>
      <w:r w:rsidR="00DC6CB5" w:rsidRPr="00932B63">
        <w:rPr>
          <w:rFonts w:asciiTheme="minorHAnsi" w:hAnsiTheme="minorHAnsi" w:cstheme="minorHAnsi"/>
          <w:lang w:eastAsia="sv-SE"/>
        </w:rPr>
        <w:t>Under the current regulation, the price can be more than 70% higher than the border price, representing a major barrier.</w:t>
      </w:r>
      <w:r w:rsidR="00DC6CB5" w:rsidRPr="00932B63">
        <w:rPr>
          <w:rFonts w:asciiTheme="minorHAnsi" w:hAnsiTheme="minorHAnsi" w:cstheme="minorHAnsi"/>
          <w:vertAlign w:val="superscript"/>
          <w:lang w:eastAsia="sv-SE"/>
        </w:rPr>
        <w:footnoteReference w:id="6"/>
      </w:r>
      <w:r w:rsidR="00DC6CB5" w:rsidRPr="00932B63">
        <w:rPr>
          <w:rFonts w:asciiTheme="minorHAnsi" w:hAnsiTheme="minorHAnsi" w:cstheme="minorHAnsi"/>
          <w:lang w:eastAsia="sv-SE"/>
        </w:rPr>
        <w:t xml:space="preserve"> It is more efficient to simply remove the import tax on solar PV modules than to provide additional incentive schemes to promote their use. If this is not politically feasible, t</w:t>
      </w:r>
      <w:r w:rsidRPr="00D33F4C">
        <w:rPr>
          <w:rFonts w:asciiTheme="minorHAnsi" w:hAnsiTheme="minorHAnsi" w:cstheme="minorHAnsi"/>
          <w:lang w:eastAsia="sv-SE"/>
        </w:rPr>
        <w:t xml:space="preserve">he application process </w:t>
      </w:r>
      <w:r w:rsidR="00DC6CB5">
        <w:rPr>
          <w:rFonts w:asciiTheme="minorHAnsi" w:hAnsiTheme="minorHAnsi" w:cstheme="minorHAnsi"/>
          <w:lang w:eastAsia="sv-SE"/>
        </w:rPr>
        <w:t>for such certificates s</w:t>
      </w:r>
      <w:r w:rsidRPr="00D33F4C">
        <w:rPr>
          <w:rFonts w:asciiTheme="minorHAnsi" w:hAnsiTheme="minorHAnsi" w:cstheme="minorHAnsi"/>
          <w:lang w:eastAsia="sv-SE"/>
        </w:rPr>
        <w:t xml:space="preserve">hould be simplified to make it easier for </w:t>
      </w:r>
      <w:r w:rsidR="00DC6CB5">
        <w:rPr>
          <w:rFonts w:asciiTheme="minorHAnsi" w:hAnsiTheme="minorHAnsi" w:cstheme="minorHAnsi"/>
          <w:lang w:eastAsia="sv-SE"/>
        </w:rPr>
        <w:t>all</w:t>
      </w:r>
      <w:r w:rsidR="00DC6CB5">
        <w:rPr>
          <w:rFonts w:asciiTheme="minorHAnsi" w:hAnsiTheme="minorHAnsi" w:cstheme="minorHAnsi"/>
        </w:rPr>
        <w:t xml:space="preserve"> consumers</w:t>
      </w:r>
      <w:r w:rsidR="00932B63">
        <w:rPr>
          <w:rFonts w:asciiTheme="minorHAnsi" w:hAnsiTheme="minorHAnsi" w:cstheme="minorHAnsi"/>
        </w:rPr>
        <w:t xml:space="preserve"> to obtain one</w:t>
      </w:r>
      <w:r w:rsidRPr="00D33F4C">
        <w:rPr>
          <w:rFonts w:asciiTheme="minorHAnsi" w:hAnsiTheme="minorHAnsi" w:cstheme="minorHAnsi"/>
        </w:rPr>
        <w:t>.</w:t>
      </w:r>
    </w:p>
    <w:p w14:paraId="53589525" w14:textId="65C1690D" w:rsidR="00CC79A5" w:rsidRPr="00CC79A5" w:rsidRDefault="00E71E7D" w:rsidP="00CC79A5">
      <w:pPr>
        <w:pStyle w:val="ListParagraph"/>
        <w:numPr>
          <w:ilvl w:val="0"/>
          <w:numId w:val="11"/>
        </w:numPr>
        <w:spacing w:after="0"/>
        <w:rPr>
          <w:rFonts w:asciiTheme="minorHAnsi" w:hAnsiTheme="minorHAnsi" w:cstheme="minorHAnsi"/>
          <w:bCs/>
        </w:rPr>
      </w:pPr>
      <w:r w:rsidRPr="00CC79A5">
        <w:rPr>
          <w:rFonts w:asciiTheme="minorHAnsi" w:hAnsiTheme="minorHAnsi" w:cstheme="minorHAnsi"/>
          <w:b/>
          <w:bCs/>
        </w:rPr>
        <w:lastRenderedPageBreak/>
        <w:t xml:space="preserve">Create a </w:t>
      </w:r>
      <w:r w:rsidR="00932B63">
        <w:rPr>
          <w:rFonts w:asciiTheme="minorHAnsi" w:hAnsiTheme="minorHAnsi" w:cstheme="minorHAnsi"/>
          <w:b/>
          <w:bCs/>
        </w:rPr>
        <w:t>S</w:t>
      </w:r>
      <w:r w:rsidRPr="00CC79A5">
        <w:rPr>
          <w:rFonts w:asciiTheme="minorHAnsi" w:hAnsiTheme="minorHAnsi" w:cstheme="minorHAnsi"/>
          <w:b/>
          <w:bCs/>
        </w:rPr>
        <w:t>ingle Window/Online Approval for RSPV Systems</w:t>
      </w:r>
      <w:r w:rsidRPr="00E71E7D">
        <w:rPr>
          <w:b/>
          <w:bCs/>
          <w:vertAlign w:val="superscript"/>
        </w:rPr>
        <w:footnoteReference w:id="7"/>
      </w:r>
      <w:r w:rsidRPr="00CC79A5">
        <w:rPr>
          <w:rFonts w:asciiTheme="minorHAnsi" w:hAnsiTheme="minorHAnsi" w:cstheme="minorHAnsi"/>
          <w:b/>
          <w:bCs/>
        </w:rPr>
        <w:t>:</w:t>
      </w:r>
      <w:r w:rsidRPr="00CC79A5">
        <w:rPr>
          <w:rFonts w:asciiTheme="minorHAnsi" w:hAnsiTheme="minorHAnsi" w:cstheme="minorHAnsi"/>
          <w:bCs/>
        </w:rPr>
        <w:t xml:space="preserve"> MENR should work with EMRA, TEDAS and others to s</w:t>
      </w:r>
      <w:r w:rsidRPr="00CC79A5">
        <w:rPr>
          <w:rFonts w:asciiTheme="minorHAnsi" w:hAnsiTheme="minorHAnsi" w:cstheme="minorHAnsi"/>
        </w:rPr>
        <w:t>implify the permitting and licensing process. Having an online single-window and time bound, integrated permitting and licensing platform, would substantially reduce the transaction costs for new RSPV installations</w:t>
      </w:r>
      <w:r w:rsidR="00CC79A5" w:rsidRPr="00CC79A5">
        <w:rPr>
          <w:rFonts w:asciiTheme="minorHAnsi" w:hAnsiTheme="minorHAnsi" w:cstheme="minorHAnsi"/>
        </w:rPr>
        <w:t xml:space="preserve">, </w:t>
      </w:r>
      <w:r w:rsidR="00B751CE">
        <w:rPr>
          <w:rFonts w:asciiTheme="minorHAnsi" w:hAnsiTheme="minorHAnsi" w:cstheme="minorHAnsi"/>
        </w:rPr>
        <w:t xml:space="preserve">perhaps up to 150 kW, </w:t>
      </w:r>
      <w:r w:rsidR="00CC79A5" w:rsidRPr="00CC79A5">
        <w:rPr>
          <w:rFonts w:asciiTheme="minorHAnsi" w:hAnsiTheme="minorHAnsi" w:cstheme="minorHAnsi"/>
        </w:rPr>
        <w:t xml:space="preserve">as </w:t>
      </w:r>
      <w:r w:rsidR="00CC79A5">
        <w:rPr>
          <w:rFonts w:asciiTheme="minorHAnsi" w:hAnsiTheme="minorHAnsi" w:cstheme="minorHAnsi"/>
        </w:rPr>
        <w:t xml:space="preserve">is now takes roughly 17 months </w:t>
      </w:r>
      <w:r w:rsidR="00B751CE">
        <w:rPr>
          <w:rFonts w:asciiTheme="minorHAnsi" w:hAnsiTheme="minorHAnsi" w:cstheme="minorHAnsi"/>
        </w:rPr>
        <w:t>to</w:t>
      </w:r>
      <w:r w:rsidR="00CC79A5">
        <w:rPr>
          <w:rFonts w:asciiTheme="minorHAnsi" w:hAnsiTheme="minorHAnsi" w:cstheme="minorHAnsi"/>
        </w:rPr>
        <w:t xml:space="preserve"> complete the approval process for both large and small systems</w:t>
      </w:r>
      <w:r w:rsidR="00CC79A5" w:rsidRPr="00CC79A5">
        <w:rPr>
          <w:rFonts w:asciiTheme="minorHAnsi" w:hAnsiTheme="minorHAnsi" w:cstheme="minorHAnsi"/>
          <w:bCs/>
        </w:rPr>
        <w:t xml:space="preserve">. </w:t>
      </w:r>
      <w:r w:rsidR="00B751CE">
        <w:rPr>
          <w:rFonts w:asciiTheme="minorHAnsi" w:hAnsiTheme="minorHAnsi" w:cstheme="minorHAnsi"/>
          <w:bCs/>
        </w:rPr>
        <w:t>A</w:t>
      </w:r>
      <w:r w:rsidR="00CC79A5" w:rsidRPr="00CC79A5">
        <w:rPr>
          <w:rFonts w:asciiTheme="minorHAnsi" w:hAnsiTheme="minorHAnsi" w:cstheme="minorHAnsi"/>
          <w:bCs/>
        </w:rPr>
        <w:t xml:space="preserve"> </w:t>
      </w:r>
      <w:bookmarkStart w:id="2" w:name="_Hlk499644807"/>
      <w:r w:rsidR="00CC79A5" w:rsidRPr="00CC79A5">
        <w:rPr>
          <w:rFonts w:asciiTheme="minorHAnsi" w:hAnsiTheme="minorHAnsi" w:cstheme="minorHAnsi"/>
          <w:bCs/>
        </w:rPr>
        <w:t xml:space="preserve">“single-window” permitting and licensing platform, preferably managed by one centralized organization such as the Discom, can </w:t>
      </w:r>
      <w:r w:rsidR="00B751CE">
        <w:rPr>
          <w:rFonts w:asciiTheme="minorHAnsi" w:hAnsiTheme="minorHAnsi" w:cstheme="minorHAnsi"/>
          <w:bCs/>
        </w:rPr>
        <w:t xml:space="preserve">be developed to </w:t>
      </w:r>
      <w:r w:rsidR="00CC79A5" w:rsidRPr="00CC79A5">
        <w:rPr>
          <w:rFonts w:asciiTheme="minorHAnsi" w:hAnsiTheme="minorHAnsi" w:cstheme="minorHAnsi"/>
          <w:bCs/>
        </w:rPr>
        <w:t xml:space="preserve">ensure a quick and safe permitting process. </w:t>
      </w:r>
      <w:bookmarkEnd w:id="2"/>
      <w:r w:rsidR="00CC79A5" w:rsidRPr="00CC79A5">
        <w:rPr>
          <w:rFonts w:asciiTheme="minorHAnsi" w:hAnsiTheme="minorHAnsi" w:cstheme="minorHAnsi"/>
          <w:bCs/>
        </w:rPr>
        <w:t xml:space="preserve">Under such a system, upon receipt of the installation certificate from an EPC, the Discom </w:t>
      </w:r>
      <w:r w:rsidR="00CC79A5">
        <w:rPr>
          <w:rFonts w:asciiTheme="minorHAnsi" w:hAnsiTheme="minorHAnsi" w:cstheme="minorHAnsi"/>
          <w:bCs/>
        </w:rPr>
        <w:t>w</w:t>
      </w:r>
      <w:r w:rsidR="00CC79A5" w:rsidRPr="00CC79A5">
        <w:rPr>
          <w:rFonts w:asciiTheme="minorHAnsi" w:hAnsiTheme="minorHAnsi" w:cstheme="minorHAnsi"/>
          <w:bCs/>
        </w:rPr>
        <w:t xml:space="preserve">ould visit the </w:t>
      </w:r>
      <w:r w:rsidR="00CC79A5">
        <w:rPr>
          <w:rFonts w:asciiTheme="minorHAnsi" w:hAnsiTheme="minorHAnsi" w:cstheme="minorHAnsi"/>
          <w:bCs/>
        </w:rPr>
        <w:t>site</w:t>
      </w:r>
      <w:r w:rsidR="00CC79A5" w:rsidRPr="00CC79A5">
        <w:rPr>
          <w:rFonts w:asciiTheme="minorHAnsi" w:hAnsiTheme="minorHAnsi" w:cstheme="minorHAnsi"/>
          <w:bCs/>
        </w:rPr>
        <w:t xml:space="preserve">, ensure </w:t>
      </w:r>
      <w:r w:rsidR="00CC79A5">
        <w:rPr>
          <w:rFonts w:asciiTheme="minorHAnsi" w:hAnsiTheme="minorHAnsi" w:cstheme="minorHAnsi"/>
          <w:bCs/>
        </w:rPr>
        <w:t xml:space="preserve">the </w:t>
      </w:r>
      <w:r w:rsidR="00CC79A5" w:rsidRPr="00CC79A5">
        <w:rPr>
          <w:rFonts w:asciiTheme="minorHAnsi" w:hAnsiTheme="minorHAnsi" w:cstheme="minorHAnsi"/>
          <w:bCs/>
        </w:rPr>
        <w:t xml:space="preserve">installation complies with </w:t>
      </w:r>
      <w:r w:rsidR="00CC79A5">
        <w:rPr>
          <w:rFonts w:asciiTheme="minorHAnsi" w:hAnsiTheme="minorHAnsi" w:cstheme="minorHAnsi"/>
          <w:bCs/>
        </w:rPr>
        <w:t xml:space="preserve">the </w:t>
      </w:r>
      <w:r w:rsidR="00CC79A5" w:rsidRPr="00CC79A5">
        <w:rPr>
          <w:rFonts w:asciiTheme="minorHAnsi" w:hAnsiTheme="minorHAnsi" w:cstheme="minorHAnsi"/>
          <w:bCs/>
        </w:rPr>
        <w:t xml:space="preserve">defined protocols and specifications, and connect the </w:t>
      </w:r>
      <w:r w:rsidR="00CC79A5">
        <w:rPr>
          <w:rFonts w:asciiTheme="minorHAnsi" w:hAnsiTheme="minorHAnsi" w:cstheme="minorHAnsi"/>
          <w:bCs/>
        </w:rPr>
        <w:t>system</w:t>
      </w:r>
      <w:r w:rsidR="00CC79A5" w:rsidRPr="00CC79A5">
        <w:rPr>
          <w:rFonts w:asciiTheme="minorHAnsi" w:hAnsiTheme="minorHAnsi" w:cstheme="minorHAnsi"/>
          <w:bCs/>
        </w:rPr>
        <w:t xml:space="preserve"> with the grid within a specified time.</w:t>
      </w:r>
    </w:p>
    <w:p w14:paraId="4ECD6FAF" w14:textId="053BB419" w:rsidR="00E71E7D" w:rsidRDefault="00E71E7D" w:rsidP="00D33F4C">
      <w:pPr>
        <w:pStyle w:val="ListParagraph"/>
        <w:numPr>
          <w:ilvl w:val="0"/>
          <w:numId w:val="11"/>
        </w:numPr>
        <w:spacing w:after="0"/>
        <w:rPr>
          <w:rFonts w:asciiTheme="minorHAnsi" w:hAnsiTheme="minorHAnsi" w:cstheme="minorHAnsi"/>
          <w:lang w:eastAsia="sv-SE"/>
        </w:rPr>
      </w:pPr>
      <w:r w:rsidRPr="00D33F4C">
        <w:rPr>
          <w:rFonts w:asciiTheme="minorHAnsi" w:hAnsiTheme="minorHAnsi" w:cstheme="minorHAnsi"/>
          <w:b/>
          <w:bCs/>
        </w:rPr>
        <w:t>Develop and Implement Capacity Building Programs:</w:t>
      </w:r>
      <w:r w:rsidRPr="00CC79A5">
        <w:rPr>
          <w:rFonts w:asciiTheme="minorHAnsi" w:hAnsiTheme="minorHAnsi" w:cstheme="minorHAnsi"/>
          <w:bCs/>
        </w:rPr>
        <w:t xml:space="preserve"> </w:t>
      </w:r>
      <w:r w:rsidRPr="00D33F4C">
        <w:rPr>
          <w:rFonts w:asciiTheme="minorHAnsi" w:hAnsiTheme="minorHAnsi" w:cstheme="minorHAnsi"/>
          <w:lang w:eastAsia="sv-SE"/>
        </w:rPr>
        <w:t xml:space="preserve">Training </w:t>
      </w:r>
      <w:r w:rsidR="00B751CE">
        <w:rPr>
          <w:rFonts w:asciiTheme="minorHAnsi" w:hAnsiTheme="minorHAnsi" w:cstheme="minorHAnsi"/>
          <w:lang w:eastAsia="sv-SE"/>
        </w:rPr>
        <w:t xml:space="preserve">and capacity building </w:t>
      </w:r>
      <w:r w:rsidRPr="00D33F4C">
        <w:rPr>
          <w:rFonts w:asciiTheme="minorHAnsi" w:hAnsiTheme="minorHAnsi" w:cstheme="minorHAnsi"/>
          <w:lang w:eastAsia="sv-SE"/>
        </w:rPr>
        <w:t xml:space="preserve">programs should be developed </w:t>
      </w:r>
      <w:r w:rsidR="00CC79A5">
        <w:rPr>
          <w:rFonts w:asciiTheme="minorHAnsi" w:hAnsiTheme="minorHAnsi" w:cstheme="minorHAnsi"/>
          <w:lang w:eastAsia="sv-SE"/>
        </w:rPr>
        <w:t xml:space="preserve">by MENR and delivered </w:t>
      </w:r>
      <w:r w:rsidRPr="00D33F4C">
        <w:rPr>
          <w:rFonts w:asciiTheme="minorHAnsi" w:hAnsiTheme="minorHAnsi" w:cstheme="minorHAnsi"/>
          <w:lang w:eastAsia="sv-SE"/>
        </w:rPr>
        <w:t>at all levels: for policy makers</w:t>
      </w:r>
      <w:r w:rsidR="00CC79A5">
        <w:rPr>
          <w:rFonts w:asciiTheme="minorHAnsi" w:hAnsiTheme="minorHAnsi" w:cstheme="minorHAnsi"/>
          <w:lang w:eastAsia="sv-SE"/>
        </w:rPr>
        <w:t xml:space="preserve"> and officials, regulators</w:t>
      </w:r>
      <w:r w:rsidRPr="00D33F4C">
        <w:rPr>
          <w:rFonts w:asciiTheme="minorHAnsi" w:hAnsiTheme="minorHAnsi" w:cstheme="minorHAnsi"/>
          <w:lang w:eastAsia="sv-SE"/>
        </w:rPr>
        <w:t xml:space="preserve">, </w:t>
      </w:r>
      <w:r w:rsidR="00CC79A5">
        <w:rPr>
          <w:rFonts w:asciiTheme="minorHAnsi" w:hAnsiTheme="minorHAnsi" w:cstheme="minorHAnsi"/>
          <w:lang w:eastAsia="sv-SE"/>
        </w:rPr>
        <w:t>prospective/target consumers, banks</w:t>
      </w:r>
      <w:r w:rsidRPr="00D33F4C">
        <w:rPr>
          <w:rFonts w:asciiTheme="minorHAnsi" w:hAnsiTheme="minorHAnsi" w:cstheme="minorHAnsi"/>
          <w:lang w:eastAsia="sv-SE"/>
        </w:rPr>
        <w:t>, D</w:t>
      </w:r>
      <w:r w:rsidR="00CC79A5">
        <w:rPr>
          <w:rFonts w:asciiTheme="minorHAnsi" w:hAnsiTheme="minorHAnsi" w:cstheme="minorHAnsi"/>
          <w:lang w:eastAsia="sv-SE"/>
        </w:rPr>
        <w:t xml:space="preserve">iscoms, </w:t>
      </w:r>
      <w:r w:rsidRPr="00D33F4C">
        <w:rPr>
          <w:rFonts w:asciiTheme="minorHAnsi" w:hAnsiTheme="minorHAnsi" w:cstheme="minorHAnsi"/>
          <w:lang w:eastAsia="sv-SE"/>
        </w:rPr>
        <w:t>EPC</w:t>
      </w:r>
      <w:r w:rsidR="00CC79A5">
        <w:rPr>
          <w:rFonts w:asciiTheme="minorHAnsi" w:hAnsiTheme="minorHAnsi" w:cstheme="minorHAnsi"/>
          <w:lang w:eastAsia="sv-SE"/>
        </w:rPr>
        <w:t xml:space="preserve">s and equipment manufacturers/suppliers. </w:t>
      </w:r>
      <w:r w:rsidRPr="00D33F4C">
        <w:rPr>
          <w:rFonts w:asciiTheme="minorHAnsi" w:hAnsiTheme="minorHAnsi" w:cstheme="minorHAnsi"/>
          <w:lang w:eastAsia="sv-SE"/>
        </w:rPr>
        <w:t xml:space="preserve">In addition, training should be provided to create a large pool of skilled technicians that EPC firms and other relevant players can draw upon. </w:t>
      </w:r>
    </w:p>
    <w:p w14:paraId="1F34CFA2" w14:textId="62919A11" w:rsidR="00E71E7D" w:rsidRDefault="00E71E7D" w:rsidP="00D33F4C">
      <w:pPr>
        <w:pStyle w:val="ListParagraph"/>
        <w:numPr>
          <w:ilvl w:val="0"/>
          <w:numId w:val="11"/>
        </w:numPr>
        <w:spacing w:after="0"/>
        <w:rPr>
          <w:rFonts w:asciiTheme="minorHAnsi" w:hAnsiTheme="minorHAnsi" w:cstheme="minorHAnsi"/>
          <w:lang w:eastAsia="en-US"/>
        </w:rPr>
      </w:pPr>
      <w:r w:rsidRPr="00D33F4C">
        <w:rPr>
          <w:rFonts w:asciiTheme="minorHAnsi" w:hAnsiTheme="minorHAnsi" w:cstheme="minorHAnsi"/>
          <w:b/>
          <w:bCs/>
        </w:rPr>
        <w:t>Conduct Outreach Programs:</w:t>
      </w:r>
      <w:r w:rsidRPr="00CC79A5">
        <w:rPr>
          <w:rFonts w:asciiTheme="minorHAnsi" w:hAnsiTheme="minorHAnsi" w:cstheme="minorHAnsi"/>
          <w:bCs/>
        </w:rPr>
        <w:t xml:space="preserve"> </w:t>
      </w:r>
      <w:r w:rsidR="00CC79A5">
        <w:rPr>
          <w:rFonts w:asciiTheme="minorHAnsi" w:hAnsiTheme="minorHAnsi" w:cstheme="minorHAnsi"/>
          <w:bCs/>
        </w:rPr>
        <w:t>MENR should c</w:t>
      </w:r>
      <w:r w:rsidRPr="00D33F4C">
        <w:rPr>
          <w:rFonts w:asciiTheme="minorHAnsi" w:hAnsiTheme="minorHAnsi" w:cstheme="minorHAnsi"/>
        </w:rPr>
        <w:t>reat</w:t>
      </w:r>
      <w:r w:rsidR="00CC79A5">
        <w:rPr>
          <w:rFonts w:asciiTheme="minorHAnsi" w:hAnsiTheme="minorHAnsi" w:cstheme="minorHAnsi"/>
        </w:rPr>
        <w:t>e</w:t>
      </w:r>
      <w:r w:rsidRPr="00D33F4C">
        <w:rPr>
          <w:rFonts w:asciiTheme="minorHAnsi" w:hAnsiTheme="minorHAnsi" w:cstheme="minorHAnsi"/>
        </w:rPr>
        <w:t xml:space="preserve"> stakeholder awareness of government programs and policies, business models, technical aspects, etc. through targeted outreach programs. </w:t>
      </w:r>
      <w:r w:rsidR="003568F1">
        <w:rPr>
          <w:rFonts w:asciiTheme="minorHAnsi" w:hAnsiTheme="minorHAnsi" w:cstheme="minorHAnsi"/>
        </w:rPr>
        <w:t>The outreach channels should be appropriately developed for each stakeholder group.</w:t>
      </w:r>
    </w:p>
    <w:p w14:paraId="578731B7" w14:textId="1FC20109" w:rsidR="003568F1" w:rsidRPr="003568F1" w:rsidRDefault="00E71E7D" w:rsidP="003568F1">
      <w:pPr>
        <w:pStyle w:val="ListParagraph"/>
        <w:numPr>
          <w:ilvl w:val="0"/>
          <w:numId w:val="11"/>
        </w:numPr>
        <w:spacing w:after="0"/>
        <w:rPr>
          <w:rFonts w:asciiTheme="minorHAnsi" w:hAnsiTheme="minorHAnsi" w:cstheme="minorHAnsi"/>
        </w:rPr>
      </w:pPr>
      <w:r w:rsidRPr="003568F1">
        <w:rPr>
          <w:rFonts w:asciiTheme="minorHAnsi" w:hAnsiTheme="minorHAnsi" w:cstheme="minorHAnsi"/>
          <w:b/>
          <w:bCs/>
        </w:rPr>
        <w:t>Develop Technical Standards</w:t>
      </w:r>
      <w:r w:rsidRPr="003568F1">
        <w:rPr>
          <w:rFonts w:asciiTheme="minorHAnsi" w:hAnsiTheme="minorHAnsi" w:cstheme="minorHAnsi"/>
        </w:rPr>
        <w:t>: Technical standards should be developed for RSPV products, workmanship, grid connections and installations.</w:t>
      </w:r>
      <w:r w:rsidR="003568F1" w:rsidRPr="003568F1">
        <w:rPr>
          <w:rFonts w:asciiTheme="minorHAnsi" w:hAnsiTheme="minorHAnsi" w:cstheme="minorHAnsi"/>
        </w:rPr>
        <w:t xml:space="preserve"> Such standards would </w:t>
      </w:r>
      <w:r w:rsidR="003568F1" w:rsidRPr="00587D81">
        <w:rPr>
          <w:rFonts w:asciiTheme="minorHAnsi" w:hAnsiTheme="minorHAnsi" w:cstheme="minorHAnsi"/>
        </w:rPr>
        <w:t>help lower project development costs while helping to ensure consistent technical quality, safety, reduce perceived technical risks, and facilitate the approvals and further streamlining of construction and environmental permits. These would include standards for: (a) solar panels and modules; (b) solar invertors; (c) installations; (d) grid interconnection; and (e) testing of structural stability of roofs for RSPV installations.</w:t>
      </w:r>
    </w:p>
    <w:p w14:paraId="2C8B6EDE" w14:textId="188FBD84" w:rsidR="00E71E7D" w:rsidRPr="00E71E7D" w:rsidRDefault="00BC5A08" w:rsidP="00E71E7D">
      <w:pPr>
        <w:spacing w:before="240"/>
        <w:rPr>
          <w:b/>
          <w:bCs/>
          <w:color w:val="002060"/>
          <w:lang w:val="en-GB"/>
        </w:rPr>
      </w:pPr>
      <w:r>
        <w:rPr>
          <w:b/>
          <w:bCs/>
          <w:color w:val="002060"/>
          <w:lang w:val="en-GB"/>
        </w:rPr>
        <w:t>Stakeholder Workshop</w:t>
      </w:r>
    </w:p>
    <w:p w14:paraId="73ADD473" w14:textId="5564216D" w:rsidR="00BC5A08" w:rsidRPr="00587D81" w:rsidRDefault="00E71E7D" w:rsidP="00587D81">
      <w:pPr>
        <w:spacing w:after="60"/>
        <w:rPr>
          <w:rFonts w:asciiTheme="minorHAnsi" w:hAnsiTheme="minorHAnsi" w:cstheme="minorHAnsi"/>
        </w:rPr>
      </w:pPr>
      <w:r w:rsidRPr="00587D81">
        <w:rPr>
          <w:rFonts w:asciiTheme="minorHAnsi" w:hAnsiTheme="minorHAnsi" w:cstheme="minorHAnsi"/>
        </w:rPr>
        <w:t>A</w:t>
      </w:r>
      <w:r w:rsidR="00BC5A08" w:rsidRPr="00587D81">
        <w:rPr>
          <w:rFonts w:asciiTheme="minorHAnsi" w:hAnsiTheme="minorHAnsi" w:cstheme="minorHAnsi"/>
        </w:rPr>
        <w:t xml:space="preserve"> stakeholder workshop was held on December 14, 2017 in Ankara. About 80 people attended the event including representatives from MENR, Treasury, EMRA, TEDAS, Discoms, the solar associations, EPC firms, banks, </w:t>
      </w:r>
      <w:r w:rsidR="00587D81" w:rsidRPr="00587D81">
        <w:rPr>
          <w:rFonts w:asciiTheme="minorHAnsi" w:hAnsiTheme="minorHAnsi" w:cstheme="minorHAnsi"/>
        </w:rPr>
        <w:t>the World Bank</w:t>
      </w:r>
      <w:r w:rsidR="00BC5A08" w:rsidRPr="00587D81">
        <w:rPr>
          <w:rFonts w:asciiTheme="minorHAnsi" w:hAnsiTheme="minorHAnsi" w:cstheme="minorHAnsi"/>
        </w:rPr>
        <w:t>, KfW</w:t>
      </w:r>
      <w:r w:rsidR="00587D81" w:rsidRPr="00587D81">
        <w:rPr>
          <w:rFonts w:asciiTheme="minorHAnsi" w:hAnsiTheme="minorHAnsi" w:cstheme="minorHAnsi"/>
        </w:rPr>
        <w:t xml:space="preserve"> and </w:t>
      </w:r>
      <w:r w:rsidR="00BC5A08" w:rsidRPr="00587D81">
        <w:rPr>
          <w:rFonts w:asciiTheme="minorHAnsi" w:hAnsiTheme="minorHAnsi" w:cstheme="minorHAnsi"/>
        </w:rPr>
        <w:t>international experts from Germany, India and the United States.</w:t>
      </w:r>
      <w:r w:rsidR="00587D81" w:rsidRPr="00587D81">
        <w:rPr>
          <w:rFonts w:asciiTheme="minorHAnsi" w:hAnsiTheme="minorHAnsi" w:cstheme="minorHAnsi"/>
        </w:rPr>
        <w:t xml:space="preserve"> Some notable take-aways included:</w:t>
      </w:r>
    </w:p>
    <w:p w14:paraId="0BF367C4" w14:textId="016F7C2D" w:rsidR="00587D81" w:rsidRPr="00587D81" w:rsidRDefault="00587D81" w:rsidP="00587D81">
      <w:pPr>
        <w:pStyle w:val="ListParagraph"/>
        <w:numPr>
          <w:ilvl w:val="0"/>
          <w:numId w:val="16"/>
        </w:numPr>
        <w:spacing w:before="40" w:after="40"/>
        <w:rPr>
          <w:rFonts w:asciiTheme="minorHAnsi" w:hAnsiTheme="minorHAnsi" w:cstheme="minorHAnsi"/>
        </w:rPr>
      </w:pPr>
      <w:r w:rsidRPr="00587D81">
        <w:rPr>
          <w:rFonts w:asciiTheme="minorHAnsi" w:hAnsiTheme="minorHAnsi" w:cstheme="minorHAnsi"/>
        </w:rPr>
        <w:t xml:space="preserve">There was general consensus that the market potential for RSPV in Turkey is substantial. While the government generally found the 3.9 GW estimate to be realistic, the solar industry felt it was </w:t>
      </w:r>
      <w:r w:rsidR="00C9052E">
        <w:rPr>
          <w:rFonts w:asciiTheme="minorHAnsi" w:hAnsiTheme="minorHAnsi" w:cstheme="minorHAnsi"/>
        </w:rPr>
        <w:t>on the low side</w:t>
      </w:r>
      <w:r w:rsidRPr="00587D81">
        <w:rPr>
          <w:rFonts w:asciiTheme="minorHAnsi" w:hAnsiTheme="minorHAnsi" w:cstheme="minorHAnsi"/>
        </w:rPr>
        <w:t>.</w:t>
      </w:r>
    </w:p>
    <w:p w14:paraId="43033C27" w14:textId="218AC232" w:rsidR="00587D81" w:rsidRPr="00587D81" w:rsidRDefault="00587D81" w:rsidP="00587D81">
      <w:pPr>
        <w:pStyle w:val="ListParagraph"/>
        <w:numPr>
          <w:ilvl w:val="0"/>
          <w:numId w:val="16"/>
        </w:numPr>
        <w:spacing w:before="40" w:after="40"/>
        <w:rPr>
          <w:rFonts w:asciiTheme="minorHAnsi" w:hAnsiTheme="minorHAnsi" w:cstheme="minorHAnsi"/>
        </w:rPr>
      </w:pPr>
      <w:r w:rsidRPr="00587D81">
        <w:rPr>
          <w:rFonts w:asciiTheme="minorHAnsi" w:hAnsiTheme="minorHAnsi" w:cstheme="minorHAnsi"/>
        </w:rPr>
        <w:t xml:space="preserve">All participants recognized the tremendous decline in solar costs globally, from about US$4/W to US$0.70-80/W today. Large scale solar auctions have seen even lower prices, with prices around 2 US¢ in Saudi Arabia and Mexico, 4 US¢ in Germany </w:t>
      </w:r>
      <w:r w:rsidRPr="00587D81">
        <w:rPr>
          <w:rFonts w:asciiTheme="minorHAnsi" w:hAnsiTheme="minorHAnsi" w:cstheme="minorHAnsi"/>
        </w:rPr>
        <w:lastRenderedPageBreak/>
        <w:t xml:space="preserve">and less than 7 US¢ for the most recent auction in Turkey. As such, the study was </w:t>
      </w:r>
      <w:r w:rsidR="00C9052E">
        <w:rPr>
          <w:rFonts w:asciiTheme="minorHAnsi" w:hAnsiTheme="minorHAnsi" w:cstheme="minorHAnsi"/>
        </w:rPr>
        <w:t>considered to be</w:t>
      </w:r>
      <w:r w:rsidRPr="00587D81">
        <w:rPr>
          <w:rFonts w:asciiTheme="minorHAnsi" w:hAnsiTheme="minorHAnsi" w:cstheme="minorHAnsi"/>
        </w:rPr>
        <w:t xml:space="preserve"> timely.</w:t>
      </w:r>
    </w:p>
    <w:p w14:paraId="4BCB7926" w14:textId="2251973F" w:rsidR="00587D81" w:rsidRPr="00587D81" w:rsidRDefault="00587D81" w:rsidP="00587D81">
      <w:pPr>
        <w:pStyle w:val="ListParagraph"/>
        <w:numPr>
          <w:ilvl w:val="0"/>
          <w:numId w:val="16"/>
        </w:numPr>
        <w:spacing w:before="40" w:after="40"/>
        <w:rPr>
          <w:rFonts w:asciiTheme="minorHAnsi" w:hAnsiTheme="minorHAnsi" w:cstheme="minorHAnsi"/>
        </w:rPr>
      </w:pPr>
      <w:r w:rsidRPr="00587D81">
        <w:rPr>
          <w:rFonts w:asciiTheme="minorHAnsi" w:hAnsiTheme="minorHAnsi" w:cstheme="minorHAnsi"/>
        </w:rPr>
        <w:t>Most stakeholders agreed that a significant amount of the solar PV potential in Turkey could come from RSPV systems. Benefits would include reduced transmission and distribution system losses, lower prices to consumers, reduced energy imports, environmental benefits and economic development and job creation.</w:t>
      </w:r>
    </w:p>
    <w:p w14:paraId="2F2410E6" w14:textId="7F3EFE57" w:rsidR="00587D81" w:rsidRPr="00C9052E" w:rsidRDefault="00587D81" w:rsidP="000B37FF">
      <w:pPr>
        <w:pStyle w:val="ListParagraph"/>
        <w:numPr>
          <w:ilvl w:val="0"/>
          <w:numId w:val="16"/>
        </w:numPr>
        <w:spacing w:before="40" w:after="40"/>
        <w:rPr>
          <w:rFonts w:asciiTheme="minorHAnsi" w:hAnsiTheme="minorHAnsi" w:cstheme="minorHAnsi"/>
        </w:rPr>
      </w:pPr>
      <w:r w:rsidRPr="00C9052E">
        <w:rPr>
          <w:rFonts w:asciiTheme="minorHAnsi" w:hAnsiTheme="minorHAnsi" w:cstheme="minorHAnsi"/>
        </w:rPr>
        <w:t>Complex licensing and permitting procedures was highlighted as a major constraint today. While most participants agreed on the need to streamline them, concerns were raised that waiving certain steps could create safety and other risk</w:t>
      </w:r>
      <w:r w:rsidR="00C9052E" w:rsidRPr="00C9052E">
        <w:rPr>
          <w:rFonts w:asciiTheme="minorHAnsi" w:hAnsiTheme="minorHAnsi" w:cstheme="minorHAnsi"/>
        </w:rPr>
        <w:t xml:space="preserve">. </w:t>
      </w:r>
      <w:r w:rsidR="00C9052E" w:rsidRPr="00C9052E">
        <w:rPr>
          <w:rFonts w:asciiTheme="minorHAnsi" w:hAnsiTheme="minorHAnsi" w:cstheme="minorHAnsi"/>
        </w:rPr>
        <w:t>Others were not sure how various agencies would be allowed to give up their responsibilities for approvals or delegate them to other entities.</w:t>
      </w:r>
      <w:r w:rsidR="00C9052E" w:rsidRPr="00C9052E">
        <w:rPr>
          <w:rFonts w:asciiTheme="minorHAnsi" w:hAnsiTheme="minorHAnsi" w:cstheme="minorHAnsi"/>
        </w:rPr>
        <w:t xml:space="preserve"> It was agreed this would need more discussion and would</w:t>
      </w:r>
      <w:r w:rsidR="00C9052E">
        <w:rPr>
          <w:rFonts w:asciiTheme="minorHAnsi" w:hAnsiTheme="minorHAnsi" w:cstheme="minorHAnsi"/>
        </w:rPr>
        <w:t xml:space="preserve"> </w:t>
      </w:r>
      <w:r w:rsidR="00C9052E" w:rsidRPr="00C9052E">
        <w:rPr>
          <w:rFonts w:asciiTheme="minorHAnsi" w:hAnsiTheme="minorHAnsi" w:cstheme="minorHAnsi"/>
        </w:rPr>
        <w:t>have to be implem</w:t>
      </w:r>
      <w:r w:rsidR="00C9052E">
        <w:rPr>
          <w:rFonts w:asciiTheme="minorHAnsi" w:hAnsiTheme="minorHAnsi" w:cstheme="minorHAnsi"/>
        </w:rPr>
        <w:t>en</w:t>
      </w:r>
      <w:r w:rsidR="00C9052E" w:rsidRPr="00C9052E">
        <w:rPr>
          <w:rFonts w:asciiTheme="minorHAnsi" w:hAnsiTheme="minorHAnsi" w:cstheme="minorHAnsi"/>
        </w:rPr>
        <w:t xml:space="preserve">ted carefully. </w:t>
      </w:r>
      <w:r w:rsidR="007908A1" w:rsidRPr="00C9052E">
        <w:rPr>
          <w:rFonts w:asciiTheme="minorHAnsi" w:hAnsiTheme="minorHAnsi" w:cstheme="minorHAnsi"/>
        </w:rPr>
        <w:t>MENR and EMRA indicated some steps are already being discussed to shorten the timing for RSPV connections.</w:t>
      </w:r>
    </w:p>
    <w:p w14:paraId="3ACE513F" w14:textId="53D9E0E8" w:rsidR="007908A1" w:rsidRDefault="007908A1" w:rsidP="00587D81">
      <w:pPr>
        <w:pStyle w:val="ListParagraph"/>
        <w:numPr>
          <w:ilvl w:val="0"/>
          <w:numId w:val="16"/>
        </w:numPr>
        <w:spacing w:before="40" w:after="40"/>
        <w:rPr>
          <w:rFonts w:asciiTheme="minorHAnsi" w:hAnsiTheme="minorHAnsi" w:cstheme="minorHAnsi"/>
        </w:rPr>
      </w:pPr>
      <w:r>
        <w:rPr>
          <w:rFonts w:asciiTheme="minorHAnsi" w:hAnsiTheme="minorHAnsi" w:cstheme="minorHAnsi"/>
        </w:rPr>
        <w:t>The private sector noted the need for easier access to affordable financing and other incentives to help stimulate the RSPV market.</w:t>
      </w:r>
    </w:p>
    <w:p w14:paraId="6896175E" w14:textId="1EF8F3D1" w:rsidR="007908A1" w:rsidRDefault="007908A1" w:rsidP="00587D81">
      <w:pPr>
        <w:pStyle w:val="ListParagraph"/>
        <w:numPr>
          <w:ilvl w:val="0"/>
          <w:numId w:val="16"/>
        </w:numPr>
        <w:spacing w:before="40" w:after="40"/>
        <w:rPr>
          <w:rFonts w:asciiTheme="minorHAnsi" w:hAnsiTheme="minorHAnsi" w:cstheme="minorHAnsi"/>
        </w:rPr>
      </w:pPr>
      <w:r>
        <w:rPr>
          <w:rFonts w:asciiTheme="minorHAnsi" w:hAnsiTheme="minorHAnsi" w:cstheme="minorHAnsi"/>
        </w:rPr>
        <w:t>With the phaseout of FiTs, there was general agreement on the need to further develop net metering schemes in Turkey for RSPVs, especially for MABs.</w:t>
      </w:r>
    </w:p>
    <w:p w14:paraId="4FAE4A4E" w14:textId="3DD5946E" w:rsidR="007908A1" w:rsidRPr="00587D81" w:rsidRDefault="007908A1" w:rsidP="00587D81">
      <w:pPr>
        <w:pStyle w:val="ListParagraph"/>
        <w:numPr>
          <w:ilvl w:val="0"/>
          <w:numId w:val="16"/>
        </w:numPr>
        <w:spacing w:before="40" w:after="40"/>
        <w:rPr>
          <w:rFonts w:asciiTheme="minorHAnsi" w:hAnsiTheme="minorHAnsi" w:cstheme="minorHAnsi"/>
        </w:rPr>
      </w:pPr>
      <w:r>
        <w:rPr>
          <w:rFonts w:asciiTheme="minorHAnsi" w:hAnsiTheme="minorHAnsi" w:cstheme="minorHAnsi"/>
        </w:rPr>
        <w:t>There was strong overall support for this initiative</w:t>
      </w:r>
      <w:r w:rsidR="00C9052E">
        <w:rPr>
          <w:rFonts w:asciiTheme="minorHAnsi" w:hAnsiTheme="minorHAnsi" w:cstheme="minorHAnsi"/>
        </w:rPr>
        <w:t>, appreciation for an open consultation with stakeholders,</w:t>
      </w:r>
      <w:r>
        <w:rPr>
          <w:rFonts w:asciiTheme="minorHAnsi" w:hAnsiTheme="minorHAnsi" w:cstheme="minorHAnsi"/>
        </w:rPr>
        <w:t xml:space="preserve"> and </w:t>
      </w:r>
      <w:r w:rsidR="00C9052E">
        <w:rPr>
          <w:rFonts w:asciiTheme="minorHAnsi" w:hAnsiTheme="minorHAnsi" w:cstheme="minorHAnsi"/>
        </w:rPr>
        <w:t xml:space="preserve">strong interest about the timing of </w:t>
      </w:r>
      <w:r>
        <w:rPr>
          <w:rFonts w:asciiTheme="minorHAnsi" w:hAnsiTheme="minorHAnsi" w:cstheme="minorHAnsi"/>
        </w:rPr>
        <w:t>next steps.</w:t>
      </w:r>
    </w:p>
    <w:p w14:paraId="5E5D6984" w14:textId="53734FA6" w:rsidR="00BC5A08" w:rsidRDefault="00BC5A08" w:rsidP="00E71E7D">
      <w:pPr>
        <w:spacing w:after="0"/>
      </w:pPr>
      <w:bookmarkStart w:id="3" w:name="_GoBack"/>
      <w:bookmarkEnd w:id="3"/>
    </w:p>
    <w:sectPr w:rsidR="00BC5A08" w:rsidSect="00E71E7D">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8451E" w14:textId="77777777" w:rsidR="00587D81" w:rsidRDefault="00587D81" w:rsidP="007822AD">
      <w:r>
        <w:separator/>
      </w:r>
    </w:p>
  </w:endnote>
  <w:endnote w:type="continuationSeparator" w:id="0">
    <w:p w14:paraId="22659C1A" w14:textId="77777777" w:rsidR="00587D81" w:rsidRDefault="00587D81" w:rsidP="0078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271012"/>
      <w:docPartObj>
        <w:docPartGallery w:val="Page Numbers (Bottom of Page)"/>
        <w:docPartUnique/>
      </w:docPartObj>
    </w:sdtPr>
    <w:sdtEndPr>
      <w:rPr>
        <w:noProof/>
      </w:rPr>
    </w:sdtEndPr>
    <w:sdtContent>
      <w:p w14:paraId="1DB8E7EF" w14:textId="6E42F235" w:rsidR="00587D81" w:rsidRDefault="00587D81">
        <w:pPr>
          <w:pStyle w:val="Footer"/>
          <w:jc w:val="right"/>
        </w:pPr>
        <w:r>
          <w:fldChar w:fldCharType="begin"/>
        </w:r>
        <w:r>
          <w:instrText xml:space="preserve"> PAGE   \* MERGEFORMAT </w:instrText>
        </w:r>
        <w:r>
          <w:fldChar w:fldCharType="separate"/>
        </w:r>
        <w:r w:rsidR="00C9052E">
          <w:rPr>
            <w:noProof/>
          </w:rPr>
          <w:t>14</w:t>
        </w:r>
        <w:r>
          <w:rPr>
            <w:noProof/>
          </w:rPr>
          <w:fldChar w:fldCharType="end"/>
        </w:r>
      </w:p>
    </w:sdtContent>
  </w:sdt>
  <w:p w14:paraId="607B168E" w14:textId="02284CC1" w:rsidR="00587D81" w:rsidRDefault="00587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38F82" w14:textId="77777777" w:rsidR="00587D81" w:rsidRDefault="00587D81" w:rsidP="007822AD">
      <w:r>
        <w:separator/>
      </w:r>
    </w:p>
  </w:footnote>
  <w:footnote w:type="continuationSeparator" w:id="0">
    <w:p w14:paraId="1AD52161" w14:textId="77777777" w:rsidR="00587D81" w:rsidRDefault="00587D81" w:rsidP="007822AD">
      <w:r>
        <w:continuationSeparator/>
      </w:r>
    </w:p>
  </w:footnote>
  <w:footnote w:id="1">
    <w:p w14:paraId="73E694D2" w14:textId="4F1BAA4E" w:rsidR="00587D81" w:rsidRDefault="00587D81" w:rsidP="00C34866">
      <w:pPr>
        <w:pStyle w:val="FootnoteText"/>
        <w:spacing w:before="0" w:after="0"/>
        <w:rPr>
          <w:rFonts w:eastAsiaTheme="minorHAnsi" w:cstheme="minorBidi"/>
          <w:sz w:val="18"/>
          <w:szCs w:val="18"/>
          <w:lang w:val="en-US"/>
        </w:rPr>
      </w:pPr>
      <w:r>
        <w:rPr>
          <w:rStyle w:val="FootnoteReference"/>
          <w:sz w:val="18"/>
          <w:szCs w:val="18"/>
        </w:rPr>
        <w:footnoteRef/>
      </w:r>
      <w:r>
        <w:rPr>
          <w:sz w:val="18"/>
          <w:szCs w:val="18"/>
        </w:rPr>
        <w:t xml:space="preserve"> The 25% grid renewable energy absorption capacity is based on a study by AF Mercados, Turkey. </w:t>
      </w:r>
    </w:p>
  </w:footnote>
  <w:footnote w:id="2">
    <w:p w14:paraId="11FC1F71" w14:textId="03917270" w:rsidR="00587D81" w:rsidRDefault="00587D81" w:rsidP="00125F40">
      <w:pPr>
        <w:pStyle w:val="FootnoteText"/>
        <w:spacing w:before="0" w:after="0"/>
        <w:jc w:val="left"/>
        <w:rPr>
          <w:sz w:val="18"/>
          <w:szCs w:val="18"/>
        </w:rPr>
      </w:pPr>
      <w:r>
        <w:rPr>
          <w:sz w:val="18"/>
          <w:szCs w:val="18"/>
          <w:vertAlign w:val="superscript"/>
        </w:rPr>
        <w:footnoteRef/>
      </w:r>
      <w:r>
        <w:rPr>
          <w:sz w:val="18"/>
          <w:szCs w:val="18"/>
        </w:rPr>
        <w:t xml:space="preserve"> Net metering is a billing mechanism that credits RSPV system owners on their utility bills for the excess electricity they sell to the grid.</w:t>
      </w:r>
    </w:p>
  </w:footnote>
  <w:footnote w:id="3">
    <w:p w14:paraId="104EE78E" w14:textId="0DFA87D4" w:rsidR="00587D81" w:rsidRDefault="00587D81" w:rsidP="00125F40">
      <w:pPr>
        <w:pStyle w:val="FootnoteText"/>
        <w:spacing w:before="0" w:after="0"/>
        <w:rPr>
          <w:sz w:val="18"/>
          <w:szCs w:val="18"/>
        </w:rPr>
      </w:pPr>
      <w:r>
        <w:rPr>
          <w:sz w:val="18"/>
          <w:szCs w:val="18"/>
          <w:vertAlign w:val="superscript"/>
        </w:rPr>
        <w:footnoteRef/>
      </w:r>
      <w:r>
        <w:rPr>
          <w:sz w:val="18"/>
          <w:szCs w:val="18"/>
        </w:rPr>
        <w:t xml:space="preserve"> Feed-in tariffs are premium rates paid to RE developers for the electricity they sell to the grid.</w:t>
      </w:r>
    </w:p>
  </w:footnote>
  <w:footnote w:id="4">
    <w:p w14:paraId="3E15DA39" w14:textId="2ED3C3E5" w:rsidR="00587D81" w:rsidRDefault="00587D81" w:rsidP="00C34866">
      <w:pPr>
        <w:pStyle w:val="FootnoteText"/>
        <w:spacing w:before="0" w:after="0"/>
        <w:rPr>
          <w:sz w:val="18"/>
          <w:szCs w:val="18"/>
        </w:rPr>
      </w:pPr>
      <w:r>
        <w:rPr>
          <w:rStyle w:val="FootnoteReference"/>
          <w:sz w:val="18"/>
          <w:szCs w:val="18"/>
        </w:rPr>
        <w:footnoteRef/>
      </w:r>
      <w:r>
        <w:rPr>
          <w:sz w:val="18"/>
          <w:szCs w:val="18"/>
        </w:rPr>
        <w:t xml:space="preserve"> For all the base case analyses, the self-ownership business model was used, where the building owner owns the system and sells any excess electricity to the grid. The sensitivity analysis considered a Renewable Energy Service Company (RESCO) model, where a service company finances and owns the systems, generally leases the roof space from the building owner, and sells the electricity generated to the building owner and/or grid.</w:t>
      </w:r>
    </w:p>
  </w:footnote>
  <w:footnote w:id="5">
    <w:p w14:paraId="676199EA" w14:textId="77777777" w:rsidR="00587D81" w:rsidRDefault="00587D81" w:rsidP="00C34866">
      <w:pPr>
        <w:pStyle w:val="FootnoteText"/>
        <w:spacing w:before="0" w:after="0"/>
        <w:rPr>
          <w:sz w:val="18"/>
          <w:szCs w:val="18"/>
        </w:rPr>
      </w:pPr>
      <w:r>
        <w:rPr>
          <w:rStyle w:val="FootnoteReference"/>
          <w:sz w:val="18"/>
          <w:szCs w:val="18"/>
        </w:rPr>
        <w:footnoteRef/>
      </w:r>
      <w:r>
        <w:rPr>
          <w:sz w:val="18"/>
          <w:szCs w:val="18"/>
        </w:rPr>
        <w:t xml:space="preserve"> The surveillance certificate is a certificate for a waiver of duties on imports of materials for RSPV installations.</w:t>
      </w:r>
    </w:p>
  </w:footnote>
  <w:footnote w:id="6">
    <w:p w14:paraId="704E27D8" w14:textId="48033219" w:rsidR="00587D81" w:rsidRPr="00DC6CB5" w:rsidRDefault="00587D81" w:rsidP="00DC6CB5">
      <w:pPr>
        <w:pStyle w:val="FootnoteText"/>
        <w:spacing w:before="0" w:after="0"/>
        <w:rPr>
          <w:sz w:val="18"/>
        </w:rPr>
      </w:pPr>
      <w:r w:rsidRPr="00DC6CB5">
        <w:rPr>
          <w:rStyle w:val="FootnoteReference"/>
          <w:sz w:val="18"/>
        </w:rPr>
        <w:footnoteRef/>
      </w:r>
      <w:r w:rsidRPr="00DC6CB5">
        <w:rPr>
          <w:sz w:val="18"/>
        </w:rPr>
        <w:t xml:space="preserve"> For example, </w:t>
      </w:r>
      <w:r w:rsidRPr="00DC6CB5">
        <w:rPr>
          <w:rFonts w:eastAsia="Verdana"/>
          <w:sz w:val="18"/>
        </w:rPr>
        <w:t>a 300 W PV module with a border price of US$0.4/W costs about US$120. Given that the surface area is around 1.6 m</w:t>
      </w:r>
      <w:r w:rsidRPr="00DC6CB5">
        <w:rPr>
          <w:rFonts w:eastAsia="Verdana"/>
          <w:sz w:val="18"/>
          <w:vertAlign w:val="superscript"/>
        </w:rPr>
        <w:t>2</w:t>
      </w:r>
      <w:r w:rsidRPr="00DC6CB5">
        <w:rPr>
          <w:rFonts w:eastAsia="Verdana"/>
          <w:sz w:val="18"/>
        </w:rPr>
        <w:t>, the surveillance tax would be about US$86.40 (US$300*1.6*18% = US$86.4).</w:t>
      </w:r>
    </w:p>
  </w:footnote>
  <w:footnote w:id="7">
    <w:p w14:paraId="265AA4B7" w14:textId="77777777" w:rsidR="00587D81" w:rsidRDefault="00587D81" w:rsidP="00E71E7D">
      <w:pPr>
        <w:pStyle w:val="FootnoteText"/>
        <w:rPr>
          <w:sz w:val="18"/>
          <w:szCs w:val="18"/>
        </w:rPr>
      </w:pPr>
      <w:r>
        <w:rPr>
          <w:rStyle w:val="FootnoteReference"/>
          <w:sz w:val="18"/>
          <w:szCs w:val="18"/>
        </w:rPr>
        <w:footnoteRef/>
      </w:r>
      <w:r>
        <w:rPr>
          <w:sz w:val="18"/>
          <w:szCs w:val="18"/>
        </w:rPr>
        <w:t xml:space="preserve"> All permits, licenses and approvals such as construction, grid connection, safety, environment, etc. should be provided by making a single application on one platform.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singleLevel"/>
    <w:tmpl w:val="00000018"/>
    <w:name w:val="WW8Num24"/>
    <w:lvl w:ilvl="0">
      <w:numFmt w:val="bullet"/>
      <w:lvlText w:val="-"/>
      <w:lvlJc w:val="left"/>
      <w:pPr>
        <w:tabs>
          <w:tab w:val="num" w:pos="936"/>
        </w:tabs>
        <w:ind w:left="936" w:hanging="360"/>
      </w:pPr>
      <w:rPr>
        <w:rFonts w:ascii="Arial" w:hAnsi="Arial" w:cs="Times New Roman"/>
      </w:rPr>
    </w:lvl>
  </w:abstractNum>
  <w:abstractNum w:abstractNumId="1" w15:restartNumberingAfterBreak="0">
    <w:nsid w:val="10D02A50"/>
    <w:multiLevelType w:val="hybridMultilevel"/>
    <w:tmpl w:val="CECE6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7067CC"/>
    <w:multiLevelType w:val="multilevel"/>
    <w:tmpl w:val="8DF09968"/>
    <w:lvl w:ilvl="0">
      <w:start w:val="1"/>
      <w:numFmt w:val="decimal"/>
      <w:pStyle w:val="Heading1"/>
      <w:lvlText w:val="%1"/>
      <w:lvlJc w:val="left"/>
      <w:pPr>
        <w:tabs>
          <w:tab w:val="num" w:pos="5670"/>
        </w:tabs>
        <w:ind w:left="5670" w:hanging="851"/>
      </w:pPr>
      <w:rPr>
        <w:rFonts w:hint="default"/>
        <w:lang w:val="en-GB"/>
      </w:rPr>
    </w:lvl>
    <w:lvl w:ilvl="1">
      <w:start w:val="1"/>
      <w:numFmt w:val="decimal"/>
      <w:pStyle w:val="Heading2"/>
      <w:lvlText w:val="%1.%2"/>
      <w:lvlJc w:val="left"/>
      <w:pPr>
        <w:tabs>
          <w:tab w:val="num" w:pos="851"/>
        </w:tabs>
        <w:ind w:left="851" w:hanging="851"/>
      </w:pPr>
      <w:rPr>
        <w:rFonts w:hint="default"/>
        <w:lang w:val="en-US"/>
      </w:rPr>
    </w:lvl>
    <w:lvl w:ilvl="2">
      <w:start w:val="1"/>
      <w:numFmt w:val="decimal"/>
      <w:pStyle w:val="Heading3"/>
      <w:lvlText w:val="%1.%2.%3"/>
      <w:lvlJc w:val="left"/>
      <w:pPr>
        <w:tabs>
          <w:tab w:val="num" w:pos="3827"/>
        </w:tabs>
        <w:ind w:left="3827" w:hanging="851"/>
      </w:pPr>
      <w:rPr>
        <w:rFonts w:hint="default"/>
      </w:rPr>
    </w:lvl>
    <w:lvl w:ilvl="3">
      <w:start w:val="1"/>
      <w:numFmt w:val="lowerLetter"/>
      <w:pStyle w:val="Heading4"/>
      <w:lvlText w:val="(%4)"/>
      <w:lvlJc w:val="left"/>
      <w:pPr>
        <w:tabs>
          <w:tab w:val="num" w:pos="0"/>
        </w:tabs>
        <w:ind w:left="0" w:hanging="851"/>
      </w:pPr>
      <w:rPr>
        <w:rFonts w:hint="default"/>
      </w:rPr>
    </w:lvl>
    <w:lvl w:ilvl="4">
      <w:start w:val="1"/>
      <w:numFmt w:val="none"/>
      <w:lvlText w:val=""/>
      <w:lvlJc w:val="left"/>
      <w:pPr>
        <w:tabs>
          <w:tab w:val="num" w:pos="851"/>
        </w:tabs>
        <w:ind w:left="0" w:hanging="851"/>
      </w:pPr>
      <w:rPr>
        <w:rFonts w:hint="default"/>
      </w:rPr>
    </w:lvl>
    <w:lvl w:ilvl="5">
      <w:start w:val="1"/>
      <w:numFmt w:val="none"/>
      <w:lvlText w:val=""/>
      <w:lvlJc w:val="left"/>
      <w:pPr>
        <w:tabs>
          <w:tab w:val="num" w:pos="851"/>
        </w:tabs>
        <w:ind w:left="0" w:hanging="851"/>
      </w:pPr>
      <w:rPr>
        <w:rFonts w:hint="default"/>
      </w:rPr>
    </w:lvl>
    <w:lvl w:ilvl="6">
      <w:start w:val="1"/>
      <w:numFmt w:val="none"/>
      <w:lvlText w:val=""/>
      <w:lvlJc w:val="left"/>
      <w:pPr>
        <w:tabs>
          <w:tab w:val="num" w:pos="851"/>
        </w:tabs>
        <w:ind w:left="0" w:hanging="851"/>
      </w:pPr>
      <w:rPr>
        <w:rFonts w:hint="default"/>
      </w:rPr>
    </w:lvl>
    <w:lvl w:ilvl="7">
      <w:start w:val="1"/>
      <w:numFmt w:val="none"/>
      <w:lvlText w:val=""/>
      <w:lvlJc w:val="left"/>
      <w:pPr>
        <w:tabs>
          <w:tab w:val="num" w:pos="851"/>
        </w:tabs>
        <w:ind w:left="0" w:hanging="851"/>
      </w:pPr>
      <w:rPr>
        <w:rFonts w:hint="default"/>
      </w:rPr>
    </w:lvl>
    <w:lvl w:ilvl="8">
      <w:start w:val="1"/>
      <w:numFmt w:val="none"/>
      <w:lvlText w:val=""/>
      <w:lvlJc w:val="left"/>
      <w:pPr>
        <w:tabs>
          <w:tab w:val="num" w:pos="851"/>
        </w:tabs>
        <w:ind w:left="0" w:hanging="851"/>
      </w:pPr>
      <w:rPr>
        <w:rFonts w:hint="default"/>
      </w:rPr>
    </w:lvl>
  </w:abstractNum>
  <w:abstractNum w:abstractNumId="3" w15:restartNumberingAfterBreak="0">
    <w:nsid w:val="181D3D56"/>
    <w:multiLevelType w:val="hybridMultilevel"/>
    <w:tmpl w:val="95323C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53BD6"/>
    <w:multiLevelType w:val="hybridMultilevel"/>
    <w:tmpl w:val="37C84416"/>
    <w:lvl w:ilvl="0" w:tplc="6028794E">
      <w:start w:val="1"/>
      <w:numFmt w:val="bullet"/>
      <w:lvlText w:val=""/>
      <w:lvlJc w:val="left"/>
      <w:pPr>
        <w:ind w:left="720" w:hanging="360"/>
      </w:pPr>
      <w:rPr>
        <w:rFonts w:ascii="Wingdings" w:hAnsi="Wingdings"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04217"/>
    <w:multiLevelType w:val="hybridMultilevel"/>
    <w:tmpl w:val="56208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3EF395B"/>
    <w:multiLevelType w:val="hybridMultilevel"/>
    <w:tmpl w:val="456CB8EE"/>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start w:val="1"/>
      <w:numFmt w:val="bullet"/>
      <w:lvlText w:val=""/>
      <w:lvlJc w:val="left"/>
      <w:pPr>
        <w:ind w:left="2211" w:hanging="360"/>
      </w:pPr>
      <w:rPr>
        <w:rFonts w:ascii="Wingdings" w:hAnsi="Wingdings" w:hint="default"/>
      </w:rPr>
    </w:lvl>
    <w:lvl w:ilvl="3" w:tplc="04090001">
      <w:start w:val="1"/>
      <w:numFmt w:val="bullet"/>
      <w:lvlText w:val=""/>
      <w:lvlJc w:val="left"/>
      <w:pPr>
        <w:ind w:left="2931" w:hanging="360"/>
      </w:pPr>
      <w:rPr>
        <w:rFonts w:ascii="Symbol" w:hAnsi="Symbol" w:hint="default"/>
      </w:rPr>
    </w:lvl>
    <w:lvl w:ilvl="4" w:tplc="04090003">
      <w:start w:val="1"/>
      <w:numFmt w:val="bullet"/>
      <w:lvlText w:val="o"/>
      <w:lvlJc w:val="left"/>
      <w:pPr>
        <w:ind w:left="3651" w:hanging="360"/>
      </w:pPr>
      <w:rPr>
        <w:rFonts w:ascii="Courier New" w:hAnsi="Courier New" w:cs="Courier New" w:hint="default"/>
      </w:rPr>
    </w:lvl>
    <w:lvl w:ilvl="5" w:tplc="04090005">
      <w:start w:val="1"/>
      <w:numFmt w:val="bullet"/>
      <w:lvlText w:val=""/>
      <w:lvlJc w:val="left"/>
      <w:pPr>
        <w:ind w:left="4371" w:hanging="360"/>
      </w:pPr>
      <w:rPr>
        <w:rFonts w:ascii="Wingdings" w:hAnsi="Wingdings" w:hint="default"/>
      </w:rPr>
    </w:lvl>
    <w:lvl w:ilvl="6" w:tplc="04090001">
      <w:start w:val="1"/>
      <w:numFmt w:val="bullet"/>
      <w:lvlText w:val=""/>
      <w:lvlJc w:val="left"/>
      <w:pPr>
        <w:ind w:left="5091" w:hanging="360"/>
      </w:pPr>
      <w:rPr>
        <w:rFonts w:ascii="Symbol" w:hAnsi="Symbol" w:hint="default"/>
      </w:rPr>
    </w:lvl>
    <w:lvl w:ilvl="7" w:tplc="04090003">
      <w:start w:val="1"/>
      <w:numFmt w:val="bullet"/>
      <w:lvlText w:val="o"/>
      <w:lvlJc w:val="left"/>
      <w:pPr>
        <w:ind w:left="5811" w:hanging="360"/>
      </w:pPr>
      <w:rPr>
        <w:rFonts w:ascii="Courier New" w:hAnsi="Courier New" w:cs="Courier New" w:hint="default"/>
      </w:rPr>
    </w:lvl>
    <w:lvl w:ilvl="8" w:tplc="04090005">
      <w:start w:val="1"/>
      <w:numFmt w:val="bullet"/>
      <w:lvlText w:val=""/>
      <w:lvlJc w:val="left"/>
      <w:pPr>
        <w:ind w:left="6531" w:hanging="360"/>
      </w:pPr>
      <w:rPr>
        <w:rFonts w:ascii="Wingdings" w:hAnsi="Wingdings" w:hint="default"/>
      </w:rPr>
    </w:lvl>
  </w:abstractNum>
  <w:abstractNum w:abstractNumId="7" w15:restartNumberingAfterBreak="0">
    <w:nsid w:val="251D7C47"/>
    <w:multiLevelType w:val="hybridMultilevel"/>
    <w:tmpl w:val="08248A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650ACD"/>
    <w:multiLevelType w:val="hybridMultilevel"/>
    <w:tmpl w:val="F3B865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E7C6AEC"/>
    <w:multiLevelType w:val="hybridMultilevel"/>
    <w:tmpl w:val="74A0B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0EF6390"/>
    <w:multiLevelType w:val="hybridMultilevel"/>
    <w:tmpl w:val="97A4D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3EC7248"/>
    <w:multiLevelType w:val="hybridMultilevel"/>
    <w:tmpl w:val="191ED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48B1F9C"/>
    <w:multiLevelType w:val="multilevel"/>
    <w:tmpl w:val="3B28E308"/>
    <w:lvl w:ilvl="0">
      <w:start w:val="1"/>
      <w:numFmt w:val="decimal"/>
      <w:lvlText w:val="%1."/>
      <w:lvlJc w:val="left"/>
      <w:pPr>
        <w:ind w:left="720" w:hanging="360"/>
      </w:pPr>
    </w:lvl>
    <w:lvl w:ilvl="1">
      <w:start w:val="1"/>
      <w:numFmt w:val="decimal"/>
      <w:isLgl/>
      <w:lvlText w:val="%1.%2"/>
      <w:lvlJc w:val="left"/>
      <w:pPr>
        <w:ind w:left="780" w:hanging="420"/>
      </w:pPr>
      <w:rPr>
        <w:rFonts w:eastAsiaTheme="majorEastAsia" w:cstheme="majorBidi"/>
      </w:rPr>
    </w:lvl>
    <w:lvl w:ilvl="2">
      <w:start w:val="1"/>
      <w:numFmt w:val="decimal"/>
      <w:isLgl/>
      <w:lvlText w:val="%1.%2.%3"/>
      <w:lvlJc w:val="left"/>
      <w:pPr>
        <w:ind w:left="1080" w:hanging="720"/>
      </w:pPr>
      <w:rPr>
        <w:rFonts w:eastAsiaTheme="majorEastAsia" w:cstheme="majorBidi"/>
      </w:rPr>
    </w:lvl>
    <w:lvl w:ilvl="3">
      <w:start w:val="1"/>
      <w:numFmt w:val="decimal"/>
      <w:isLgl/>
      <w:lvlText w:val="%1.%2.%3.%4"/>
      <w:lvlJc w:val="left"/>
      <w:pPr>
        <w:ind w:left="1440" w:hanging="1080"/>
      </w:pPr>
      <w:rPr>
        <w:rFonts w:eastAsiaTheme="majorEastAsia" w:cstheme="majorBidi"/>
      </w:rPr>
    </w:lvl>
    <w:lvl w:ilvl="4">
      <w:start w:val="1"/>
      <w:numFmt w:val="decimal"/>
      <w:isLgl/>
      <w:lvlText w:val="%1.%2.%3.%4.%5"/>
      <w:lvlJc w:val="left"/>
      <w:pPr>
        <w:ind w:left="1440" w:hanging="1080"/>
      </w:pPr>
      <w:rPr>
        <w:rFonts w:eastAsiaTheme="majorEastAsia" w:cstheme="majorBidi"/>
      </w:rPr>
    </w:lvl>
    <w:lvl w:ilvl="5">
      <w:start w:val="1"/>
      <w:numFmt w:val="decimal"/>
      <w:isLgl/>
      <w:lvlText w:val="%1.%2.%3.%4.%5.%6"/>
      <w:lvlJc w:val="left"/>
      <w:pPr>
        <w:ind w:left="1800" w:hanging="1440"/>
      </w:pPr>
      <w:rPr>
        <w:rFonts w:eastAsiaTheme="majorEastAsia" w:cstheme="majorBidi"/>
      </w:rPr>
    </w:lvl>
    <w:lvl w:ilvl="6">
      <w:start w:val="1"/>
      <w:numFmt w:val="decimal"/>
      <w:isLgl/>
      <w:lvlText w:val="%1.%2.%3.%4.%5.%6.%7"/>
      <w:lvlJc w:val="left"/>
      <w:pPr>
        <w:ind w:left="1800" w:hanging="1440"/>
      </w:pPr>
      <w:rPr>
        <w:rFonts w:eastAsiaTheme="majorEastAsia" w:cstheme="majorBidi"/>
      </w:rPr>
    </w:lvl>
    <w:lvl w:ilvl="7">
      <w:start w:val="1"/>
      <w:numFmt w:val="decimal"/>
      <w:isLgl/>
      <w:lvlText w:val="%1.%2.%3.%4.%5.%6.%7.%8"/>
      <w:lvlJc w:val="left"/>
      <w:pPr>
        <w:ind w:left="2160" w:hanging="1800"/>
      </w:pPr>
      <w:rPr>
        <w:rFonts w:eastAsiaTheme="majorEastAsia" w:cstheme="majorBidi"/>
      </w:rPr>
    </w:lvl>
    <w:lvl w:ilvl="8">
      <w:start w:val="1"/>
      <w:numFmt w:val="decimal"/>
      <w:isLgl/>
      <w:lvlText w:val="%1.%2.%3.%4.%5.%6.%7.%8.%9"/>
      <w:lvlJc w:val="left"/>
      <w:pPr>
        <w:ind w:left="2520" w:hanging="2160"/>
      </w:pPr>
      <w:rPr>
        <w:rFonts w:eastAsiaTheme="majorEastAsia" w:cstheme="majorBidi"/>
      </w:rPr>
    </w:lvl>
  </w:abstractNum>
  <w:abstractNum w:abstractNumId="13" w15:restartNumberingAfterBreak="0">
    <w:nsid w:val="5EC14AB3"/>
    <w:multiLevelType w:val="hybridMultilevel"/>
    <w:tmpl w:val="FD60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D51B99"/>
    <w:multiLevelType w:val="hybridMultilevel"/>
    <w:tmpl w:val="EF145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C4C4F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num>
  <w:num w:numId="10">
    <w:abstractNumId w:val="3"/>
  </w:num>
  <w:num w:numId="11">
    <w:abstractNumId w:val="4"/>
  </w:num>
  <w:num w:numId="12">
    <w:abstractNumId w:val="6"/>
  </w:num>
  <w:num w:numId="13">
    <w:abstractNumId w:val="10"/>
  </w:num>
  <w:num w:numId="14">
    <w:abstractNumId w:val="14"/>
    <w:lvlOverride w:ilvl="0"/>
    <w:lvlOverride w:ilvl="1"/>
    <w:lvlOverride w:ilvl="2"/>
    <w:lvlOverride w:ilvl="3"/>
    <w:lvlOverride w:ilvl="4"/>
    <w:lvlOverride w:ilvl="5"/>
    <w:lvlOverride w:ilvl="6"/>
    <w:lvlOverride w:ilvl="7"/>
    <w:lvlOverride w:ilvl="8"/>
  </w:num>
  <w:num w:numId="15">
    <w:abstractNumId w:val="7"/>
  </w:num>
  <w:num w:numId="1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fi-FI" w:vendorID="64" w:dllVersion="0" w:nlCheck="1" w:checkStyle="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440"/>
    <w:rsid w:val="000012D8"/>
    <w:rsid w:val="000034A9"/>
    <w:rsid w:val="000039FF"/>
    <w:rsid w:val="00003E27"/>
    <w:rsid w:val="00005D7B"/>
    <w:rsid w:val="00011DCE"/>
    <w:rsid w:val="00014331"/>
    <w:rsid w:val="00017536"/>
    <w:rsid w:val="00032BE5"/>
    <w:rsid w:val="00033FE1"/>
    <w:rsid w:val="000364B8"/>
    <w:rsid w:val="00036D3A"/>
    <w:rsid w:val="00037F0C"/>
    <w:rsid w:val="00041391"/>
    <w:rsid w:val="000457C1"/>
    <w:rsid w:val="00047B9A"/>
    <w:rsid w:val="0005298F"/>
    <w:rsid w:val="00054B97"/>
    <w:rsid w:val="0005591B"/>
    <w:rsid w:val="000574D0"/>
    <w:rsid w:val="00060171"/>
    <w:rsid w:val="000626E8"/>
    <w:rsid w:val="0006555A"/>
    <w:rsid w:val="0008132E"/>
    <w:rsid w:val="0008203A"/>
    <w:rsid w:val="00083CF4"/>
    <w:rsid w:val="00084A66"/>
    <w:rsid w:val="00085F11"/>
    <w:rsid w:val="00087F84"/>
    <w:rsid w:val="00087FD1"/>
    <w:rsid w:val="00091149"/>
    <w:rsid w:val="00091A4D"/>
    <w:rsid w:val="00091CFB"/>
    <w:rsid w:val="00091F13"/>
    <w:rsid w:val="00097A51"/>
    <w:rsid w:val="000A1B45"/>
    <w:rsid w:val="000A1FD5"/>
    <w:rsid w:val="000A42D6"/>
    <w:rsid w:val="000A4E05"/>
    <w:rsid w:val="000A687D"/>
    <w:rsid w:val="000A6FCA"/>
    <w:rsid w:val="000A782B"/>
    <w:rsid w:val="000B1464"/>
    <w:rsid w:val="000B1FF5"/>
    <w:rsid w:val="000B250A"/>
    <w:rsid w:val="000B409C"/>
    <w:rsid w:val="000B6B72"/>
    <w:rsid w:val="000B7B23"/>
    <w:rsid w:val="000C5AE4"/>
    <w:rsid w:val="000C7B99"/>
    <w:rsid w:val="000D05D9"/>
    <w:rsid w:val="000D2942"/>
    <w:rsid w:val="000D580F"/>
    <w:rsid w:val="000D72F9"/>
    <w:rsid w:val="000E0463"/>
    <w:rsid w:val="000E456D"/>
    <w:rsid w:val="000E4B2C"/>
    <w:rsid w:val="000F2889"/>
    <w:rsid w:val="000F5C88"/>
    <w:rsid w:val="001007E8"/>
    <w:rsid w:val="00101262"/>
    <w:rsid w:val="00101794"/>
    <w:rsid w:val="001053B9"/>
    <w:rsid w:val="00113E77"/>
    <w:rsid w:val="001174D1"/>
    <w:rsid w:val="001216AE"/>
    <w:rsid w:val="00123D6C"/>
    <w:rsid w:val="00123DFE"/>
    <w:rsid w:val="0012531C"/>
    <w:rsid w:val="00125F40"/>
    <w:rsid w:val="00131177"/>
    <w:rsid w:val="00131A13"/>
    <w:rsid w:val="00133263"/>
    <w:rsid w:val="0013348B"/>
    <w:rsid w:val="00134529"/>
    <w:rsid w:val="00136358"/>
    <w:rsid w:val="00140CED"/>
    <w:rsid w:val="00140E12"/>
    <w:rsid w:val="00141675"/>
    <w:rsid w:val="001416A4"/>
    <w:rsid w:val="001416A5"/>
    <w:rsid w:val="00141D93"/>
    <w:rsid w:val="00144B5D"/>
    <w:rsid w:val="00147A40"/>
    <w:rsid w:val="00154E0A"/>
    <w:rsid w:val="00155421"/>
    <w:rsid w:val="00156517"/>
    <w:rsid w:val="00156E61"/>
    <w:rsid w:val="00163CF5"/>
    <w:rsid w:val="001647BC"/>
    <w:rsid w:val="00164897"/>
    <w:rsid w:val="0017510D"/>
    <w:rsid w:val="00177D22"/>
    <w:rsid w:val="0018122F"/>
    <w:rsid w:val="00181F7E"/>
    <w:rsid w:val="00182F81"/>
    <w:rsid w:val="001834B5"/>
    <w:rsid w:val="00184033"/>
    <w:rsid w:val="00186150"/>
    <w:rsid w:val="00190B61"/>
    <w:rsid w:val="00194E66"/>
    <w:rsid w:val="00195F5A"/>
    <w:rsid w:val="00196BE9"/>
    <w:rsid w:val="00197A8F"/>
    <w:rsid w:val="00197D5B"/>
    <w:rsid w:val="001B3EB6"/>
    <w:rsid w:val="001B5348"/>
    <w:rsid w:val="001C1B37"/>
    <w:rsid w:val="001C3D2D"/>
    <w:rsid w:val="001C6F88"/>
    <w:rsid w:val="001D0EC9"/>
    <w:rsid w:val="001D1553"/>
    <w:rsid w:val="001D16B2"/>
    <w:rsid w:val="001D714E"/>
    <w:rsid w:val="001E0B42"/>
    <w:rsid w:val="001E32CE"/>
    <w:rsid w:val="001E3BF5"/>
    <w:rsid w:val="001E58AB"/>
    <w:rsid w:val="001F20FC"/>
    <w:rsid w:val="001F4CA2"/>
    <w:rsid w:val="001F4E1A"/>
    <w:rsid w:val="001F53CD"/>
    <w:rsid w:val="001F6ECA"/>
    <w:rsid w:val="00201CEF"/>
    <w:rsid w:val="0020305D"/>
    <w:rsid w:val="00203923"/>
    <w:rsid w:val="00204B93"/>
    <w:rsid w:val="00205912"/>
    <w:rsid w:val="00205B93"/>
    <w:rsid w:val="00222CD3"/>
    <w:rsid w:val="002266CB"/>
    <w:rsid w:val="0023458C"/>
    <w:rsid w:val="00235613"/>
    <w:rsid w:val="00241087"/>
    <w:rsid w:val="002425E3"/>
    <w:rsid w:val="00243414"/>
    <w:rsid w:val="002437F8"/>
    <w:rsid w:val="002465E6"/>
    <w:rsid w:val="00247172"/>
    <w:rsid w:val="00251B3C"/>
    <w:rsid w:val="00252859"/>
    <w:rsid w:val="00257A62"/>
    <w:rsid w:val="00260F7E"/>
    <w:rsid w:val="0026429C"/>
    <w:rsid w:val="00266151"/>
    <w:rsid w:val="00266689"/>
    <w:rsid w:val="0027163E"/>
    <w:rsid w:val="00273513"/>
    <w:rsid w:val="00274EAD"/>
    <w:rsid w:val="0027715C"/>
    <w:rsid w:val="00280D30"/>
    <w:rsid w:val="0028283B"/>
    <w:rsid w:val="00290763"/>
    <w:rsid w:val="00291FE5"/>
    <w:rsid w:val="0029581F"/>
    <w:rsid w:val="002959B3"/>
    <w:rsid w:val="002970C2"/>
    <w:rsid w:val="002A5155"/>
    <w:rsid w:val="002A6084"/>
    <w:rsid w:val="002A695A"/>
    <w:rsid w:val="002B18FC"/>
    <w:rsid w:val="002B1B85"/>
    <w:rsid w:val="002B1D44"/>
    <w:rsid w:val="002B2F71"/>
    <w:rsid w:val="002B2FA0"/>
    <w:rsid w:val="002B613E"/>
    <w:rsid w:val="002B6C9E"/>
    <w:rsid w:val="002B74BE"/>
    <w:rsid w:val="002B7646"/>
    <w:rsid w:val="002C21EF"/>
    <w:rsid w:val="002C497E"/>
    <w:rsid w:val="002C5618"/>
    <w:rsid w:val="002C63D6"/>
    <w:rsid w:val="002D2245"/>
    <w:rsid w:val="002D22D3"/>
    <w:rsid w:val="002D5D1C"/>
    <w:rsid w:val="002D6203"/>
    <w:rsid w:val="002D6540"/>
    <w:rsid w:val="002E2BA3"/>
    <w:rsid w:val="002E2FD7"/>
    <w:rsid w:val="002E4A27"/>
    <w:rsid w:val="002E5250"/>
    <w:rsid w:val="002E598B"/>
    <w:rsid w:val="002E60E5"/>
    <w:rsid w:val="002E7001"/>
    <w:rsid w:val="002E7CF5"/>
    <w:rsid w:val="002F03C5"/>
    <w:rsid w:val="002F538D"/>
    <w:rsid w:val="002F5525"/>
    <w:rsid w:val="002F74A4"/>
    <w:rsid w:val="00301075"/>
    <w:rsid w:val="00301A59"/>
    <w:rsid w:val="00304E1D"/>
    <w:rsid w:val="003052D7"/>
    <w:rsid w:val="003053F4"/>
    <w:rsid w:val="00305ADD"/>
    <w:rsid w:val="00306AD8"/>
    <w:rsid w:val="00314FD5"/>
    <w:rsid w:val="00316147"/>
    <w:rsid w:val="003175FA"/>
    <w:rsid w:val="003269B3"/>
    <w:rsid w:val="00327035"/>
    <w:rsid w:val="0033071A"/>
    <w:rsid w:val="00334977"/>
    <w:rsid w:val="00336745"/>
    <w:rsid w:val="0034245B"/>
    <w:rsid w:val="0034489A"/>
    <w:rsid w:val="00345BA2"/>
    <w:rsid w:val="003514A6"/>
    <w:rsid w:val="003528BA"/>
    <w:rsid w:val="00354555"/>
    <w:rsid w:val="0035575D"/>
    <w:rsid w:val="003568F1"/>
    <w:rsid w:val="00357410"/>
    <w:rsid w:val="0035753A"/>
    <w:rsid w:val="003619ED"/>
    <w:rsid w:val="00363296"/>
    <w:rsid w:val="003639F1"/>
    <w:rsid w:val="00381FFD"/>
    <w:rsid w:val="003852B2"/>
    <w:rsid w:val="003859EE"/>
    <w:rsid w:val="0038652A"/>
    <w:rsid w:val="0038663E"/>
    <w:rsid w:val="00390B09"/>
    <w:rsid w:val="00392B29"/>
    <w:rsid w:val="003976EC"/>
    <w:rsid w:val="00397AE9"/>
    <w:rsid w:val="003A2CB2"/>
    <w:rsid w:val="003A6564"/>
    <w:rsid w:val="003B3509"/>
    <w:rsid w:val="003B456B"/>
    <w:rsid w:val="003B499C"/>
    <w:rsid w:val="003B4EC0"/>
    <w:rsid w:val="003B6CC5"/>
    <w:rsid w:val="003C3418"/>
    <w:rsid w:val="003C5B24"/>
    <w:rsid w:val="003C68BE"/>
    <w:rsid w:val="003C6929"/>
    <w:rsid w:val="003D6A23"/>
    <w:rsid w:val="003D7A2D"/>
    <w:rsid w:val="003E009B"/>
    <w:rsid w:val="003E2440"/>
    <w:rsid w:val="003E5400"/>
    <w:rsid w:val="003F42F2"/>
    <w:rsid w:val="003F694D"/>
    <w:rsid w:val="003F6B68"/>
    <w:rsid w:val="00401834"/>
    <w:rsid w:val="00403739"/>
    <w:rsid w:val="00403DB5"/>
    <w:rsid w:val="00412541"/>
    <w:rsid w:val="004131EF"/>
    <w:rsid w:val="00413660"/>
    <w:rsid w:val="00414971"/>
    <w:rsid w:val="00426A44"/>
    <w:rsid w:val="00427C14"/>
    <w:rsid w:val="0043010F"/>
    <w:rsid w:val="00430E7D"/>
    <w:rsid w:val="00432C9A"/>
    <w:rsid w:val="00436F7A"/>
    <w:rsid w:val="00437C3C"/>
    <w:rsid w:val="00440C4E"/>
    <w:rsid w:val="00442252"/>
    <w:rsid w:val="00443066"/>
    <w:rsid w:val="00444D61"/>
    <w:rsid w:val="00447094"/>
    <w:rsid w:val="00451833"/>
    <w:rsid w:val="00451EFB"/>
    <w:rsid w:val="00454F11"/>
    <w:rsid w:val="00455787"/>
    <w:rsid w:val="00464727"/>
    <w:rsid w:val="00472AF7"/>
    <w:rsid w:val="00473547"/>
    <w:rsid w:val="0047612E"/>
    <w:rsid w:val="004764EB"/>
    <w:rsid w:val="00476EA6"/>
    <w:rsid w:val="004777D2"/>
    <w:rsid w:val="00480FAF"/>
    <w:rsid w:val="004810A0"/>
    <w:rsid w:val="00481249"/>
    <w:rsid w:val="0048539F"/>
    <w:rsid w:val="004903E6"/>
    <w:rsid w:val="00494591"/>
    <w:rsid w:val="00497649"/>
    <w:rsid w:val="0049784D"/>
    <w:rsid w:val="004A1AF5"/>
    <w:rsid w:val="004A2CD4"/>
    <w:rsid w:val="004A3A45"/>
    <w:rsid w:val="004A6F30"/>
    <w:rsid w:val="004B05F3"/>
    <w:rsid w:val="004B1364"/>
    <w:rsid w:val="004B1A57"/>
    <w:rsid w:val="004B20D2"/>
    <w:rsid w:val="004B5A2A"/>
    <w:rsid w:val="004C13CA"/>
    <w:rsid w:val="004C49D7"/>
    <w:rsid w:val="004C515B"/>
    <w:rsid w:val="004C6F8B"/>
    <w:rsid w:val="004D5FF1"/>
    <w:rsid w:val="004D7BC6"/>
    <w:rsid w:val="004E189F"/>
    <w:rsid w:val="004E2D0D"/>
    <w:rsid w:val="004E47A8"/>
    <w:rsid w:val="004E51C5"/>
    <w:rsid w:val="004E68C6"/>
    <w:rsid w:val="004F0E68"/>
    <w:rsid w:val="004F2A64"/>
    <w:rsid w:val="004F6874"/>
    <w:rsid w:val="004F6CB0"/>
    <w:rsid w:val="004F71E8"/>
    <w:rsid w:val="005004F6"/>
    <w:rsid w:val="00501085"/>
    <w:rsid w:val="00501AE5"/>
    <w:rsid w:val="0050308D"/>
    <w:rsid w:val="00504405"/>
    <w:rsid w:val="0050669D"/>
    <w:rsid w:val="0050725C"/>
    <w:rsid w:val="00507E24"/>
    <w:rsid w:val="00511045"/>
    <w:rsid w:val="00515DA5"/>
    <w:rsid w:val="0051637A"/>
    <w:rsid w:val="005179B0"/>
    <w:rsid w:val="00520712"/>
    <w:rsid w:val="005218C5"/>
    <w:rsid w:val="00522B24"/>
    <w:rsid w:val="00523440"/>
    <w:rsid w:val="0052439A"/>
    <w:rsid w:val="0052589F"/>
    <w:rsid w:val="005269C9"/>
    <w:rsid w:val="00527746"/>
    <w:rsid w:val="00531AE3"/>
    <w:rsid w:val="00532931"/>
    <w:rsid w:val="005330BE"/>
    <w:rsid w:val="00533E23"/>
    <w:rsid w:val="00535DEA"/>
    <w:rsid w:val="00536F10"/>
    <w:rsid w:val="0054470E"/>
    <w:rsid w:val="00550690"/>
    <w:rsid w:val="00550B79"/>
    <w:rsid w:val="0055107B"/>
    <w:rsid w:val="005537B6"/>
    <w:rsid w:val="0055590F"/>
    <w:rsid w:val="005601A3"/>
    <w:rsid w:val="005616E1"/>
    <w:rsid w:val="0056282D"/>
    <w:rsid w:val="00563B64"/>
    <w:rsid w:val="0057246D"/>
    <w:rsid w:val="00573A48"/>
    <w:rsid w:val="00573B41"/>
    <w:rsid w:val="005745E3"/>
    <w:rsid w:val="005800C8"/>
    <w:rsid w:val="005835FB"/>
    <w:rsid w:val="005853BE"/>
    <w:rsid w:val="00586B00"/>
    <w:rsid w:val="00587D81"/>
    <w:rsid w:val="0059142A"/>
    <w:rsid w:val="005925DC"/>
    <w:rsid w:val="005939A7"/>
    <w:rsid w:val="00596758"/>
    <w:rsid w:val="005A0896"/>
    <w:rsid w:val="005A2B7E"/>
    <w:rsid w:val="005A5CA8"/>
    <w:rsid w:val="005B0043"/>
    <w:rsid w:val="005B0115"/>
    <w:rsid w:val="005B25A0"/>
    <w:rsid w:val="005B4163"/>
    <w:rsid w:val="005B70D4"/>
    <w:rsid w:val="005C0245"/>
    <w:rsid w:val="005C0F1E"/>
    <w:rsid w:val="005C111B"/>
    <w:rsid w:val="005C1827"/>
    <w:rsid w:val="005C2350"/>
    <w:rsid w:val="005C797E"/>
    <w:rsid w:val="005D465D"/>
    <w:rsid w:val="005E1944"/>
    <w:rsid w:val="005E536B"/>
    <w:rsid w:val="005E565C"/>
    <w:rsid w:val="005F0525"/>
    <w:rsid w:val="005F482C"/>
    <w:rsid w:val="005F70B3"/>
    <w:rsid w:val="00614533"/>
    <w:rsid w:val="00615D2A"/>
    <w:rsid w:val="00615D63"/>
    <w:rsid w:val="00616612"/>
    <w:rsid w:val="00631932"/>
    <w:rsid w:val="00637FAD"/>
    <w:rsid w:val="00641A56"/>
    <w:rsid w:val="00641C85"/>
    <w:rsid w:val="00645A12"/>
    <w:rsid w:val="006505C5"/>
    <w:rsid w:val="00651FF8"/>
    <w:rsid w:val="0065441F"/>
    <w:rsid w:val="006616E1"/>
    <w:rsid w:val="006650C2"/>
    <w:rsid w:val="00665186"/>
    <w:rsid w:val="00665C7E"/>
    <w:rsid w:val="00665F4F"/>
    <w:rsid w:val="00666132"/>
    <w:rsid w:val="0066746F"/>
    <w:rsid w:val="006678EE"/>
    <w:rsid w:val="00671202"/>
    <w:rsid w:val="0067178D"/>
    <w:rsid w:val="006727C9"/>
    <w:rsid w:val="00672A45"/>
    <w:rsid w:val="00676AAC"/>
    <w:rsid w:val="00677C96"/>
    <w:rsid w:val="00680913"/>
    <w:rsid w:val="00680932"/>
    <w:rsid w:val="00681CA1"/>
    <w:rsid w:val="006823B4"/>
    <w:rsid w:val="00682B9A"/>
    <w:rsid w:val="0068340A"/>
    <w:rsid w:val="00691A65"/>
    <w:rsid w:val="0069268B"/>
    <w:rsid w:val="006946BB"/>
    <w:rsid w:val="006949DA"/>
    <w:rsid w:val="00696818"/>
    <w:rsid w:val="006A1FAC"/>
    <w:rsid w:val="006A6D45"/>
    <w:rsid w:val="006A7943"/>
    <w:rsid w:val="006B3DD6"/>
    <w:rsid w:val="006B4D3D"/>
    <w:rsid w:val="006C0E86"/>
    <w:rsid w:val="006C1F5A"/>
    <w:rsid w:val="006C43C6"/>
    <w:rsid w:val="006C6190"/>
    <w:rsid w:val="006D1D5B"/>
    <w:rsid w:val="006D2702"/>
    <w:rsid w:val="006D3186"/>
    <w:rsid w:val="006D7912"/>
    <w:rsid w:val="006E77D2"/>
    <w:rsid w:val="006E7A5C"/>
    <w:rsid w:val="006F3205"/>
    <w:rsid w:val="006F406C"/>
    <w:rsid w:val="007004EF"/>
    <w:rsid w:val="00701BD9"/>
    <w:rsid w:val="007046CF"/>
    <w:rsid w:val="0070502B"/>
    <w:rsid w:val="00706A80"/>
    <w:rsid w:val="00716FF9"/>
    <w:rsid w:val="0072013F"/>
    <w:rsid w:val="0072123E"/>
    <w:rsid w:val="0072227B"/>
    <w:rsid w:val="00722E1D"/>
    <w:rsid w:val="00726A07"/>
    <w:rsid w:val="007324E4"/>
    <w:rsid w:val="00733561"/>
    <w:rsid w:val="0074257D"/>
    <w:rsid w:val="00743AB2"/>
    <w:rsid w:val="007466CB"/>
    <w:rsid w:val="00747AFC"/>
    <w:rsid w:val="0075062C"/>
    <w:rsid w:val="00751307"/>
    <w:rsid w:val="007542B1"/>
    <w:rsid w:val="0075668B"/>
    <w:rsid w:val="00757154"/>
    <w:rsid w:val="00760812"/>
    <w:rsid w:val="00765FDA"/>
    <w:rsid w:val="00770345"/>
    <w:rsid w:val="00772A60"/>
    <w:rsid w:val="007731A3"/>
    <w:rsid w:val="00773EB5"/>
    <w:rsid w:val="00774B3D"/>
    <w:rsid w:val="00775648"/>
    <w:rsid w:val="00776100"/>
    <w:rsid w:val="00776FBC"/>
    <w:rsid w:val="007775D1"/>
    <w:rsid w:val="00781E9F"/>
    <w:rsid w:val="007822AD"/>
    <w:rsid w:val="00783401"/>
    <w:rsid w:val="00787D6A"/>
    <w:rsid w:val="007908A1"/>
    <w:rsid w:val="00792E9D"/>
    <w:rsid w:val="0079354A"/>
    <w:rsid w:val="007A1109"/>
    <w:rsid w:val="007A29F3"/>
    <w:rsid w:val="007A47DC"/>
    <w:rsid w:val="007B32AE"/>
    <w:rsid w:val="007B73F3"/>
    <w:rsid w:val="007C2CFB"/>
    <w:rsid w:val="007C2D4F"/>
    <w:rsid w:val="007D0D39"/>
    <w:rsid w:val="007D2950"/>
    <w:rsid w:val="007D2CBF"/>
    <w:rsid w:val="007D2D05"/>
    <w:rsid w:val="007D34BD"/>
    <w:rsid w:val="007D42E4"/>
    <w:rsid w:val="007D5F55"/>
    <w:rsid w:val="007D6A6B"/>
    <w:rsid w:val="007E57B3"/>
    <w:rsid w:val="007F3858"/>
    <w:rsid w:val="007F61AD"/>
    <w:rsid w:val="007F6912"/>
    <w:rsid w:val="007F6F45"/>
    <w:rsid w:val="008010F0"/>
    <w:rsid w:val="00802239"/>
    <w:rsid w:val="0080295F"/>
    <w:rsid w:val="00802A48"/>
    <w:rsid w:val="0080364B"/>
    <w:rsid w:val="00803A62"/>
    <w:rsid w:val="0080682C"/>
    <w:rsid w:val="00807887"/>
    <w:rsid w:val="00811D6E"/>
    <w:rsid w:val="00813CEE"/>
    <w:rsid w:val="008158B2"/>
    <w:rsid w:val="00815E65"/>
    <w:rsid w:val="00816BFE"/>
    <w:rsid w:val="00816CF0"/>
    <w:rsid w:val="00817EB7"/>
    <w:rsid w:val="00821DF9"/>
    <w:rsid w:val="00824CCD"/>
    <w:rsid w:val="00826005"/>
    <w:rsid w:val="008278C9"/>
    <w:rsid w:val="008307A6"/>
    <w:rsid w:val="00832FF9"/>
    <w:rsid w:val="00837646"/>
    <w:rsid w:val="008415C9"/>
    <w:rsid w:val="00844718"/>
    <w:rsid w:val="008452A6"/>
    <w:rsid w:val="00852A68"/>
    <w:rsid w:val="00852B8A"/>
    <w:rsid w:val="008553FB"/>
    <w:rsid w:val="0085680D"/>
    <w:rsid w:val="00864BF6"/>
    <w:rsid w:val="00864CA8"/>
    <w:rsid w:val="00864F65"/>
    <w:rsid w:val="00865153"/>
    <w:rsid w:val="00870167"/>
    <w:rsid w:val="00870A7B"/>
    <w:rsid w:val="008713BD"/>
    <w:rsid w:val="00875AFD"/>
    <w:rsid w:val="00880392"/>
    <w:rsid w:val="00882C51"/>
    <w:rsid w:val="00885495"/>
    <w:rsid w:val="008858B2"/>
    <w:rsid w:val="0089137E"/>
    <w:rsid w:val="008921B0"/>
    <w:rsid w:val="008960AC"/>
    <w:rsid w:val="008A327E"/>
    <w:rsid w:val="008A558D"/>
    <w:rsid w:val="008A6098"/>
    <w:rsid w:val="008B48AC"/>
    <w:rsid w:val="008C0AB6"/>
    <w:rsid w:val="008C4CD7"/>
    <w:rsid w:val="008D2D29"/>
    <w:rsid w:val="008D4258"/>
    <w:rsid w:val="008D6AD7"/>
    <w:rsid w:val="008D74C2"/>
    <w:rsid w:val="008E08CF"/>
    <w:rsid w:val="008E0DB1"/>
    <w:rsid w:val="008E1BCF"/>
    <w:rsid w:val="008E43C3"/>
    <w:rsid w:val="008E59A2"/>
    <w:rsid w:val="008E5DA1"/>
    <w:rsid w:val="008E7314"/>
    <w:rsid w:val="008E7E20"/>
    <w:rsid w:val="008F0CA5"/>
    <w:rsid w:val="008F1751"/>
    <w:rsid w:val="008F7C4A"/>
    <w:rsid w:val="009020BA"/>
    <w:rsid w:val="00902B0A"/>
    <w:rsid w:val="009079E0"/>
    <w:rsid w:val="00912467"/>
    <w:rsid w:val="0091504B"/>
    <w:rsid w:val="00917B0A"/>
    <w:rsid w:val="009221C2"/>
    <w:rsid w:val="009226E6"/>
    <w:rsid w:val="009232AB"/>
    <w:rsid w:val="00926C5C"/>
    <w:rsid w:val="009274BF"/>
    <w:rsid w:val="00932336"/>
    <w:rsid w:val="00932B63"/>
    <w:rsid w:val="00933F42"/>
    <w:rsid w:val="00935F91"/>
    <w:rsid w:val="00940EB4"/>
    <w:rsid w:val="0094259E"/>
    <w:rsid w:val="009443C7"/>
    <w:rsid w:val="00950189"/>
    <w:rsid w:val="00951D7F"/>
    <w:rsid w:val="009570F1"/>
    <w:rsid w:val="0096120B"/>
    <w:rsid w:val="009616B0"/>
    <w:rsid w:val="0096201F"/>
    <w:rsid w:val="0096237D"/>
    <w:rsid w:val="00967A78"/>
    <w:rsid w:val="0097498A"/>
    <w:rsid w:val="00974B66"/>
    <w:rsid w:val="00981205"/>
    <w:rsid w:val="0098239A"/>
    <w:rsid w:val="009844BB"/>
    <w:rsid w:val="00985A7F"/>
    <w:rsid w:val="00985F33"/>
    <w:rsid w:val="00990FE6"/>
    <w:rsid w:val="0099345F"/>
    <w:rsid w:val="00997E0C"/>
    <w:rsid w:val="009A3CA7"/>
    <w:rsid w:val="009A3FD4"/>
    <w:rsid w:val="009A52ED"/>
    <w:rsid w:val="009A58B5"/>
    <w:rsid w:val="009B33CE"/>
    <w:rsid w:val="009C1851"/>
    <w:rsid w:val="009C6864"/>
    <w:rsid w:val="009D2D86"/>
    <w:rsid w:val="009D3090"/>
    <w:rsid w:val="009D3A00"/>
    <w:rsid w:val="009D7B34"/>
    <w:rsid w:val="009E093E"/>
    <w:rsid w:val="009E595D"/>
    <w:rsid w:val="009E6633"/>
    <w:rsid w:val="009F34D8"/>
    <w:rsid w:val="009F61A7"/>
    <w:rsid w:val="009F6479"/>
    <w:rsid w:val="00A03F81"/>
    <w:rsid w:val="00A04420"/>
    <w:rsid w:val="00A04904"/>
    <w:rsid w:val="00A06031"/>
    <w:rsid w:val="00A112EB"/>
    <w:rsid w:val="00A1198A"/>
    <w:rsid w:val="00A1347F"/>
    <w:rsid w:val="00A161FF"/>
    <w:rsid w:val="00A16C4B"/>
    <w:rsid w:val="00A22E0E"/>
    <w:rsid w:val="00A23AFA"/>
    <w:rsid w:val="00A24043"/>
    <w:rsid w:val="00A248C7"/>
    <w:rsid w:val="00A26142"/>
    <w:rsid w:val="00A27B8C"/>
    <w:rsid w:val="00A32464"/>
    <w:rsid w:val="00A32D5E"/>
    <w:rsid w:val="00A34C93"/>
    <w:rsid w:val="00A41F90"/>
    <w:rsid w:val="00A4295A"/>
    <w:rsid w:val="00A42D03"/>
    <w:rsid w:val="00A443A3"/>
    <w:rsid w:val="00A44BDB"/>
    <w:rsid w:val="00A47DDF"/>
    <w:rsid w:val="00A50093"/>
    <w:rsid w:val="00A52397"/>
    <w:rsid w:val="00A54CBF"/>
    <w:rsid w:val="00A552A9"/>
    <w:rsid w:val="00A61F71"/>
    <w:rsid w:val="00A6293E"/>
    <w:rsid w:val="00A6397F"/>
    <w:rsid w:val="00A64055"/>
    <w:rsid w:val="00A64944"/>
    <w:rsid w:val="00A66390"/>
    <w:rsid w:val="00A72EFD"/>
    <w:rsid w:val="00A733B2"/>
    <w:rsid w:val="00A74ED2"/>
    <w:rsid w:val="00A8126C"/>
    <w:rsid w:val="00A83E03"/>
    <w:rsid w:val="00A876AE"/>
    <w:rsid w:val="00A8786E"/>
    <w:rsid w:val="00A913EC"/>
    <w:rsid w:val="00A915A6"/>
    <w:rsid w:val="00A932CC"/>
    <w:rsid w:val="00A958E7"/>
    <w:rsid w:val="00A96118"/>
    <w:rsid w:val="00A966AF"/>
    <w:rsid w:val="00A97E13"/>
    <w:rsid w:val="00AA02A8"/>
    <w:rsid w:val="00AA17F1"/>
    <w:rsid w:val="00AA2981"/>
    <w:rsid w:val="00AA708D"/>
    <w:rsid w:val="00AB00DC"/>
    <w:rsid w:val="00AB1FC8"/>
    <w:rsid w:val="00AB2A5A"/>
    <w:rsid w:val="00AB3754"/>
    <w:rsid w:val="00AB3C22"/>
    <w:rsid w:val="00AB5CFB"/>
    <w:rsid w:val="00AB6F1E"/>
    <w:rsid w:val="00AC5048"/>
    <w:rsid w:val="00AD0A18"/>
    <w:rsid w:val="00AD47FB"/>
    <w:rsid w:val="00AD4ED7"/>
    <w:rsid w:val="00AE079D"/>
    <w:rsid w:val="00AE11AF"/>
    <w:rsid w:val="00AE199C"/>
    <w:rsid w:val="00AE1DAC"/>
    <w:rsid w:val="00AE5EDC"/>
    <w:rsid w:val="00AE630B"/>
    <w:rsid w:val="00AF217F"/>
    <w:rsid w:val="00AF2A3C"/>
    <w:rsid w:val="00AF65AF"/>
    <w:rsid w:val="00B032B2"/>
    <w:rsid w:val="00B0392C"/>
    <w:rsid w:val="00B03E9A"/>
    <w:rsid w:val="00B0413D"/>
    <w:rsid w:val="00B07AFC"/>
    <w:rsid w:val="00B24D45"/>
    <w:rsid w:val="00B375B5"/>
    <w:rsid w:val="00B41295"/>
    <w:rsid w:val="00B42047"/>
    <w:rsid w:val="00B43450"/>
    <w:rsid w:val="00B471D6"/>
    <w:rsid w:val="00B4756E"/>
    <w:rsid w:val="00B478B7"/>
    <w:rsid w:val="00B51A27"/>
    <w:rsid w:val="00B529E0"/>
    <w:rsid w:val="00B5315C"/>
    <w:rsid w:val="00B5501D"/>
    <w:rsid w:val="00B55D11"/>
    <w:rsid w:val="00B55FA8"/>
    <w:rsid w:val="00B55FE9"/>
    <w:rsid w:val="00B5777A"/>
    <w:rsid w:val="00B600E3"/>
    <w:rsid w:val="00B607D2"/>
    <w:rsid w:val="00B62DB6"/>
    <w:rsid w:val="00B6593C"/>
    <w:rsid w:val="00B66361"/>
    <w:rsid w:val="00B704BB"/>
    <w:rsid w:val="00B751CE"/>
    <w:rsid w:val="00B7658B"/>
    <w:rsid w:val="00B76B20"/>
    <w:rsid w:val="00B82208"/>
    <w:rsid w:val="00B85162"/>
    <w:rsid w:val="00B8668F"/>
    <w:rsid w:val="00B8669D"/>
    <w:rsid w:val="00B912EB"/>
    <w:rsid w:val="00B915B4"/>
    <w:rsid w:val="00B91BBE"/>
    <w:rsid w:val="00B94B48"/>
    <w:rsid w:val="00BA10A8"/>
    <w:rsid w:val="00BA15C3"/>
    <w:rsid w:val="00BA19B1"/>
    <w:rsid w:val="00BA1BD7"/>
    <w:rsid w:val="00BA4374"/>
    <w:rsid w:val="00BA5138"/>
    <w:rsid w:val="00BA6343"/>
    <w:rsid w:val="00BA66F2"/>
    <w:rsid w:val="00BB2C23"/>
    <w:rsid w:val="00BB417E"/>
    <w:rsid w:val="00BB5595"/>
    <w:rsid w:val="00BB56E4"/>
    <w:rsid w:val="00BB770A"/>
    <w:rsid w:val="00BC0723"/>
    <w:rsid w:val="00BC3218"/>
    <w:rsid w:val="00BC5A08"/>
    <w:rsid w:val="00BD04BA"/>
    <w:rsid w:val="00BD37CA"/>
    <w:rsid w:val="00BD594C"/>
    <w:rsid w:val="00BE120C"/>
    <w:rsid w:val="00BE28C0"/>
    <w:rsid w:val="00BE345A"/>
    <w:rsid w:val="00BE56DB"/>
    <w:rsid w:val="00BE6D72"/>
    <w:rsid w:val="00BF1A09"/>
    <w:rsid w:val="00BF2E60"/>
    <w:rsid w:val="00BF48BC"/>
    <w:rsid w:val="00BF4A5E"/>
    <w:rsid w:val="00C03AEB"/>
    <w:rsid w:val="00C06E61"/>
    <w:rsid w:val="00C1067A"/>
    <w:rsid w:val="00C12A6C"/>
    <w:rsid w:val="00C1532C"/>
    <w:rsid w:val="00C17074"/>
    <w:rsid w:val="00C2284C"/>
    <w:rsid w:val="00C23499"/>
    <w:rsid w:val="00C2397C"/>
    <w:rsid w:val="00C242D5"/>
    <w:rsid w:val="00C24F76"/>
    <w:rsid w:val="00C26EC7"/>
    <w:rsid w:val="00C34866"/>
    <w:rsid w:val="00C34A4D"/>
    <w:rsid w:val="00C35A34"/>
    <w:rsid w:val="00C41AED"/>
    <w:rsid w:val="00C51E02"/>
    <w:rsid w:val="00C61AA4"/>
    <w:rsid w:val="00C61CB3"/>
    <w:rsid w:val="00C7031A"/>
    <w:rsid w:val="00C7251F"/>
    <w:rsid w:val="00C743BB"/>
    <w:rsid w:val="00C76CCE"/>
    <w:rsid w:val="00C77BA8"/>
    <w:rsid w:val="00C80BCA"/>
    <w:rsid w:val="00C82C50"/>
    <w:rsid w:val="00C82EA1"/>
    <w:rsid w:val="00C85F62"/>
    <w:rsid w:val="00C9052E"/>
    <w:rsid w:val="00C92F93"/>
    <w:rsid w:val="00C946F9"/>
    <w:rsid w:val="00C9511C"/>
    <w:rsid w:val="00C9759D"/>
    <w:rsid w:val="00CA36A8"/>
    <w:rsid w:val="00CA5A13"/>
    <w:rsid w:val="00CB5595"/>
    <w:rsid w:val="00CB6CB1"/>
    <w:rsid w:val="00CC35EF"/>
    <w:rsid w:val="00CC4266"/>
    <w:rsid w:val="00CC79A5"/>
    <w:rsid w:val="00CC7F7A"/>
    <w:rsid w:val="00CD14CA"/>
    <w:rsid w:val="00CE1E07"/>
    <w:rsid w:val="00CE2890"/>
    <w:rsid w:val="00CE771F"/>
    <w:rsid w:val="00CF0F57"/>
    <w:rsid w:val="00CF1CB3"/>
    <w:rsid w:val="00CF5438"/>
    <w:rsid w:val="00CF6878"/>
    <w:rsid w:val="00CF7FF3"/>
    <w:rsid w:val="00D03E8E"/>
    <w:rsid w:val="00D13FB8"/>
    <w:rsid w:val="00D141C1"/>
    <w:rsid w:val="00D16A01"/>
    <w:rsid w:val="00D22143"/>
    <w:rsid w:val="00D2672E"/>
    <w:rsid w:val="00D27FED"/>
    <w:rsid w:val="00D310AA"/>
    <w:rsid w:val="00D3226F"/>
    <w:rsid w:val="00D33F4C"/>
    <w:rsid w:val="00D33FF6"/>
    <w:rsid w:val="00D364CC"/>
    <w:rsid w:val="00D3659A"/>
    <w:rsid w:val="00D40828"/>
    <w:rsid w:val="00D42B12"/>
    <w:rsid w:val="00D4577A"/>
    <w:rsid w:val="00D50510"/>
    <w:rsid w:val="00D50F74"/>
    <w:rsid w:val="00D5451C"/>
    <w:rsid w:val="00D56ADD"/>
    <w:rsid w:val="00D62260"/>
    <w:rsid w:val="00D659DD"/>
    <w:rsid w:val="00D673DC"/>
    <w:rsid w:val="00D70452"/>
    <w:rsid w:val="00D74DA8"/>
    <w:rsid w:val="00D75437"/>
    <w:rsid w:val="00D76B7A"/>
    <w:rsid w:val="00D81BF7"/>
    <w:rsid w:val="00D82DB4"/>
    <w:rsid w:val="00D83433"/>
    <w:rsid w:val="00D83B96"/>
    <w:rsid w:val="00D8639B"/>
    <w:rsid w:val="00D86583"/>
    <w:rsid w:val="00D86940"/>
    <w:rsid w:val="00D875AA"/>
    <w:rsid w:val="00D900CF"/>
    <w:rsid w:val="00D914DF"/>
    <w:rsid w:val="00D95AB1"/>
    <w:rsid w:val="00D975DE"/>
    <w:rsid w:val="00D97F2C"/>
    <w:rsid w:val="00DA2791"/>
    <w:rsid w:val="00DA662F"/>
    <w:rsid w:val="00DA7310"/>
    <w:rsid w:val="00DB45F2"/>
    <w:rsid w:val="00DB55C3"/>
    <w:rsid w:val="00DB5FEA"/>
    <w:rsid w:val="00DC6CB5"/>
    <w:rsid w:val="00DC70B1"/>
    <w:rsid w:val="00DD75C7"/>
    <w:rsid w:val="00DE5023"/>
    <w:rsid w:val="00DE5775"/>
    <w:rsid w:val="00DE5F51"/>
    <w:rsid w:val="00DE6D37"/>
    <w:rsid w:val="00DF3EF0"/>
    <w:rsid w:val="00DF5535"/>
    <w:rsid w:val="00DF5538"/>
    <w:rsid w:val="00DF59C5"/>
    <w:rsid w:val="00E03732"/>
    <w:rsid w:val="00E1016E"/>
    <w:rsid w:val="00E11CB0"/>
    <w:rsid w:val="00E12B9E"/>
    <w:rsid w:val="00E142B3"/>
    <w:rsid w:val="00E1737E"/>
    <w:rsid w:val="00E17A9A"/>
    <w:rsid w:val="00E20785"/>
    <w:rsid w:val="00E22A00"/>
    <w:rsid w:val="00E30C65"/>
    <w:rsid w:val="00E316CF"/>
    <w:rsid w:val="00E32A81"/>
    <w:rsid w:val="00E35D95"/>
    <w:rsid w:val="00E37D0C"/>
    <w:rsid w:val="00E42B7A"/>
    <w:rsid w:val="00E43CB3"/>
    <w:rsid w:val="00E63533"/>
    <w:rsid w:val="00E71E7D"/>
    <w:rsid w:val="00E72BD2"/>
    <w:rsid w:val="00E758EF"/>
    <w:rsid w:val="00E77A19"/>
    <w:rsid w:val="00E820F6"/>
    <w:rsid w:val="00E825B3"/>
    <w:rsid w:val="00E82DF4"/>
    <w:rsid w:val="00E846F7"/>
    <w:rsid w:val="00E87812"/>
    <w:rsid w:val="00E91F7E"/>
    <w:rsid w:val="00E91FAA"/>
    <w:rsid w:val="00E966EC"/>
    <w:rsid w:val="00E96B0A"/>
    <w:rsid w:val="00E97F7F"/>
    <w:rsid w:val="00EA1396"/>
    <w:rsid w:val="00EA2482"/>
    <w:rsid w:val="00EA69D9"/>
    <w:rsid w:val="00EB162C"/>
    <w:rsid w:val="00EB2761"/>
    <w:rsid w:val="00EB2A2C"/>
    <w:rsid w:val="00EB5E65"/>
    <w:rsid w:val="00EC2F02"/>
    <w:rsid w:val="00EC318A"/>
    <w:rsid w:val="00EC460E"/>
    <w:rsid w:val="00EC46A5"/>
    <w:rsid w:val="00ED2286"/>
    <w:rsid w:val="00ED4633"/>
    <w:rsid w:val="00ED53D3"/>
    <w:rsid w:val="00ED7EE1"/>
    <w:rsid w:val="00EE72AE"/>
    <w:rsid w:val="00EF1798"/>
    <w:rsid w:val="00EF2261"/>
    <w:rsid w:val="00EF37E6"/>
    <w:rsid w:val="00EF3CA2"/>
    <w:rsid w:val="00EF68BE"/>
    <w:rsid w:val="00F00693"/>
    <w:rsid w:val="00F1493C"/>
    <w:rsid w:val="00F15B70"/>
    <w:rsid w:val="00F16BE2"/>
    <w:rsid w:val="00F2154A"/>
    <w:rsid w:val="00F21C48"/>
    <w:rsid w:val="00F25E76"/>
    <w:rsid w:val="00F30597"/>
    <w:rsid w:val="00F33BA2"/>
    <w:rsid w:val="00F35E71"/>
    <w:rsid w:val="00F418EB"/>
    <w:rsid w:val="00F429C2"/>
    <w:rsid w:val="00F43BB6"/>
    <w:rsid w:val="00F44963"/>
    <w:rsid w:val="00F50175"/>
    <w:rsid w:val="00F5221D"/>
    <w:rsid w:val="00F549D7"/>
    <w:rsid w:val="00F54BFA"/>
    <w:rsid w:val="00F6053E"/>
    <w:rsid w:val="00F61A16"/>
    <w:rsid w:val="00F62C7E"/>
    <w:rsid w:val="00F63E77"/>
    <w:rsid w:val="00F716B8"/>
    <w:rsid w:val="00F738DE"/>
    <w:rsid w:val="00F74589"/>
    <w:rsid w:val="00F75887"/>
    <w:rsid w:val="00F76CD3"/>
    <w:rsid w:val="00F7779F"/>
    <w:rsid w:val="00F80926"/>
    <w:rsid w:val="00F82640"/>
    <w:rsid w:val="00F82960"/>
    <w:rsid w:val="00F8308D"/>
    <w:rsid w:val="00F8353C"/>
    <w:rsid w:val="00F874A5"/>
    <w:rsid w:val="00F87ECF"/>
    <w:rsid w:val="00F93FFA"/>
    <w:rsid w:val="00F9481B"/>
    <w:rsid w:val="00F9727A"/>
    <w:rsid w:val="00FA0C0A"/>
    <w:rsid w:val="00FA23FE"/>
    <w:rsid w:val="00FB153F"/>
    <w:rsid w:val="00FB1ADD"/>
    <w:rsid w:val="00FB3957"/>
    <w:rsid w:val="00FB7117"/>
    <w:rsid w:val="00FC12A0"/>
    <w:rsid w:val="00FC273A"/>
    <w:rsid w:val="00FC64D7"/>
    <w:rsid w:val="00FC7AFF"/>
    <w:rsid w:val="00FD5578"/>
    <w:rsid w:val="00FD7D60"/>
    <w:rsid w:val="00FE02C0"/>
    <w:rsid w:val="00FE0720"/>
    <w:rsid w:val="00FE1D4F"/>
    <w:rsid w:val="00FE7572"/>
    <w:rsid w:val="00FF5B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CC9110"/>
  <w15:docId w15:val="{DA31AAF7-8CB6-4D74-B5B8-EB5CCA30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93C"/>
    <w:pPr>
      <w:spacing w:before="120" w:after="120" w:line="240" w:lineRule="auto"/>
    </w:pPr>
    <w:rPr>
      <w:rFonts w:ascii="Times New Roman" w:eastAsia="Times New Roman" w:hAnsi="Times New Roman" w:cs="Times New Roman"/>
      <w:sz w:val="24"/>
      <w:szCs w:val="24"/>
      <w:lang w:val="en-US" w:eastAsia="fi-FI"/>
    </w:rPr>
  </w:style>
  <w:style w:type="paragraph" w:styleId="Heading1">
    <w:name w:val="heading 1"/>
    <w:basedOn w:val="Normal"/>
    <w:next w:val="Normal"/>
    <w:link w:val="Heading1Char"/>
    <w:qFormat/>
    <w:rsid w:val="00314FD5"/>
    <w:pPr>
      <w:numPr>
        <w:numId w:val="1"/>
      </w:numPr>
      <w:spacing w:before="480"/>
      <w:ind w:left="1361"/>
      <w:jc w:val="both"/>
      <w:outlineLvl w:val="0"/>
    </w:pPr>
    <w:rPr>
      <w:rFonts w:ascii="Arial" w:hAnsi="Arial"/>
      <w:b/>
      <w:bCs/>
      <w:color w:val="008CCC"/>
      <w:sz w:val="28"/>
      <w:u w:val="single"/>
    </w:rPr>
  </w:style>
  <w:style w:type="paragraph" w:styleId="Heading2">
    <w:name w:val="heading 2"/>
    <w:basedOn w:val="Normal"/>
    <w:next w:val="Normal"/>
    <w:link w:val="Heading2Char"/>
    <w:qFormat/>
    <w:rsid w:val="00AE199C"/>
    <w:pPr>
      <w:numPr>
        <w:ilvl w:val="1"/>
        <w:numId w:val="1"/>
      </w:numPr>
      <w:spacing w:before="240"/>
      <w:jc w:val="both"/>
      <w:outlineLvl w:val="1"/>
    </w:pPr>
    <w:rPr>
      <w:rFonts w:ascii="Arial" w:hAnsi="Arial"/>
      <w:b/>
      <w:bCs/>
      <w:szCs w:val="28"/>
      <w:lang w:val="en-GB"/>
    </w:rPr>
  </w:style>
  <w:style w:type="paragraph" w:styleId="Heading3">
    <w:name w:val="heading 3"/>
    <w:basedOn w:val="Normal"/>
    <w:next w:val="Normal"/>
    <w:link w:val="Heading3Char"/>
    <w:qFormat/>
    <w:rsid w:val="00314FD5"/>
    <w:pPr>
      <w:numPr>
        <w:ilvl w:val="2"/>
        <w:numId w:val="1"/>
      </w:numPr>
      <w:ind w:left="1531"/>
      <w:jc w:val="both"/>
      <w:outlineLvl w:val="2"/>
    </w:pPr>
    <w:rPr>
      <w:rFonts w:ascii="Arial" w:hAnsi="Arial"/>
      <w:b/>
      <w:bCs/>
      <w:i/>
      <w:szCs w:val="26"/>
      <w:lang w:val="en-GB"/>
    </w:rPr>
  </w:style>
  <w:style w:type="paragraph" w:styleId="Heading4">
    <w:name w:val="heading 4"/>
    <w:basedOn w:val="Normal"/>
    <w:next w:val="Normal"/>
    <w:link w:val="Heading4Char"/>
    <w:qFormat/>
    <w:rsid w:val="00775648"/>
    <w:pPr>
      <w:numPr>
        <w:ilvl w:val="3"/>
        <w:numId w:val="1"/>
      </w:numPr>
      <w:jc w:val="both"/>
      <w:outlineLvl w:val="3"/>
    </w:pPr>
    <w:rPr>
      <w:rFonts w:ascii="Arial" w:hAnsi="Arial"/>
      <w:bCs/>
      <w:u w:val="single"/>
      <w:lang w:val="en-GB"/>
    </w:rPr>
  </w:style>
  <w:style w:type="paragraph" w:styleId="Heading5">
    <w:name w:val="heading 5"/>
    <w:basedOn w:val="Normal"/>
    <w:next w:val="Normal"/>
    <w:link w:val="Heading5Char"/>
    <w:uiPriority w:val="9"/>
    <w:unhideWhenUsed/>
    <w:qFormat/>
    <w:rsid w:val="00802A4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Styles para,List Paragraph (numbered (a)),Párrafo de lista,Bullet,Number Bullets,List Paragraph in table,Şekil,Resume Title,Citation List,Bullets1,heading 4,Lettre d'introduction,Paragrafo elenco,1st level - Bullet List Paragraph"/>
    <w:basedOn w:val="Normal"/>
    <w:link w:val="ListParagraphChar"/>
    <w:uiPriority w:val="34"/>
    <w:qFormat/>
    <w:rsid w:val="006E77D2"/>
    <w:pPr>
      <w:ind w:left="720"/>
    </w:pPr>
    <w:rPr>
      <w:rFonts w:eastAsiaTheme="minorHAnsi" w:cstheme="minorBidi"/>
    </w:rPr>
  </w:style>
  <w:style w:type="table" w:styleId="TableGrid">
    <w:name w:val="Table Grid"/>
    <w:basedOn w:val="TableNormal"/>
    <w:uiPriority w:val="39"/>
    <w:unhideWhenUsed/>
    <w:rsid w:val="00F54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qFormat/>
    <w:rsid w:val="00775648"/>
    <w:pPr>
      <w:suppressAutoHyphens/>
      <w:spacing w:before="240"/>
      <w:jc w:val="center"/>
    </w:pPr>
    <w:rPr>
      <w:rFonts w:ascii="Arial" w:hAnsi="Arial"/>
      <w:b/>
      <w:bCs/>
      <w:i/>
      <w:iCs/>
      <w:sz w:val="20"/>
    </w:rPr>
  </w:style>
  <w:style w:type="character" w:customStyle="1" w:styleId="CaptionChar">
    <w:name w:val="Caption Char"/>
    <w:basedOn w:val="DefaultParagraphFont"/>
    <w:link w:val="Caption"/>
    <w:rsid w:val="00775648"/>
    <w:rPr>
      <w:rFonts w:ascii="Arial" w:eastAsia="Times New Roman" w:hAnsi="Arial" w:cs="Times New Roman"/>
      <w:b/>
      <w:bCs/>
      <w:i/>
      <w:iCs/>
      <w:sz w:val="20"/>
      <w:lang w:val="en-US"/>
    </w:rPr>
  </w:style>
  <w:style w:type="paragraph" w:styleId="FootnoteText">
    <w:name w:val="footnote text"/>
    <w:aliases w:val="Geneva 9,Font: Geneva 9,Boston 10,f,ADB,Footnote Text Char Char,Char,Char Char Char Char,Char Char Char Char Char Char,Fußnotentextf,single space,Fußnote,E Fußn,-E Fußn,DTE-Voetnoottekst,DTE-Voetnoottekst Char,ft,footnote text,fn,footn"/>
    <w:basedOn w:val="Normal"/>
    <w:link w:val="FootnoteTextChar"/>
    <w:uiPriority w:val="99"/>
    <w:unhideWhenUsed/>
    <w:qFormat/>
    <w:rsid w:val="00775648"/>
    <w:pPr>
      <w:jc w:val="both"/>
    </w:pPr>
    <w:rPr>
      <w:rFonts w:ascii="Arial" w:hAnsi="Arial"/>
      <w:szCs w:val="20"/>
      <w:lang w:val="en-GB"/>
    </w:rPr>
  </w:style>
  <w:style w:type="character" w:customStyle="1" w:styleId="FootnoteTextChar">
    <w:name w:val="Footnote Text Char"/>
    <w:aliases w:val="Geneva 9 Char,Font: Geneva 9 Char,Boston 10 Char,f Char,ADB Char,Footnote Text Char Char Char,Char Char,Char Char Char Char Char,Char Char Char Char Char Char Char,Fußnotentextf Char,single space Char,Fußnote Char,E Fußn Char,ft Char"/>
    <w:basedOn w:val="DefaultParagraphFont"/>
    <w:link w:val="FootnoteText"/>
    <w:uiPriority w:val="99"/>
    <w:rsid w:val="00775648"/>
    <w:rPr>
      <w:rFonts w:ascii="Arial" w:eastAsia="Times New Roman" w:hAnsi="Arial" w:cs="Times New Roman"/>
      <w:szCs w:val="20"/>
      <w:lang w:val="en-GB"/>
    </w:rPr>
  </w:style>
  <w:style w:type="paragraph" w:styleId="BalloonText">
    <w:name w:val="Balloon Text"/>
    <w:basedOn w:val="Normal"/>
    <w:link w:val="BalloonTextChar"/>
    <w:uiPriority w:val="99"/>
    <w:semiHidden/>
    <w:unhideWhenUsed/>
    <w:rsid w:val="00775648"/>
    <w:rPr>
      <w:rFonts w:ascii="Tahoma" w:hAnsi="Tahoma" w:cs="Tahoma"/>
      <w:sz w:val="16"/>
      <w:szCs w:val="16"/>
    </w:rPr>
  </w:style>
  <w:style w:type="character" w:customStyle="1" w:styleId="BalloonTextChar">
    <w:name w:val="Balloon Text Char"/>
    <w:basedOn w:val="DefaultParagraphFont"/>
    <w:link w:val="BalloonText"/>
    <w:uiPriority w:val="99"/>
    <w:semiHidden/>
    <w:rsid w:val="00775648"/>
    <w:rPr>
      <w:rFonts w:ascii="Tahoma" w:eastAsia="Times New Roman" w:hAnsi="Tahoma" w:cs="Tahoma"/>
      <w:sz w:val="16"/>
      <w:szCs w:val="16"/>
      <w:lang w:val="en-US"/>
    </w:rPr>
  </w:style>
  <w:style w:type="character" w:customStyle="1" w:styleId="Heading1Char">
    <w:name w:val="Heading 1 Char"/>
    <w:basedOn w:val="DefaultParagraphFont"/>
    <w:link w:val="Heading1"/>
    <w:rsid w:val="00314FD5"/>
    <w:rPr>
      <w:rFonts w:ascii="Arial" w:eastAsia="Times New Roman" w:hAnsi="Arial" w:cs="Times New Roman"/>
      <w:b/>
      <w:bCs/>
      <w:color w:val="008CCC"/>
      <w:sz w:val="28"/>
      <w:szCs w:val="24"/>
      <w:u w:val="single"/>
      <w:lang w:val="en-US" w:eastAsia="fi-FI"/>
    </w:rPr>
  </w:style>
  <w:style w:type="character" w:customStyle="1" w:styleId="Heading2Char">
    <w:name w:val="Heading 2 Char"/>
    <w:basedOn w:val="DefaultParagraphFont"/>
    <w:link w:val="Heading2"/>
    <w:rsid w:val="00AE199C"/>
    <w:rPr>
      <w:rFonts w:ascii="Arial" w:eastAsia="Times New Roman" w:hAnsi="Arial" w:cs="Times New Roman"/>
      <w:b/>
      <w:bCs/>
      <w:sz w:val="24"/>
      <w:szCs w:val="28"/>
      <w:lang w:val="en-GB" w:eastAsia="fi-FI"/>
    </w:rPr>
  </w:style>
  <w:style w:type="character" w:customStyle="1" w:styleId="Heading3Char">
    <w:name w:val="Heading 3 Char"/>
    <w:basedOn w:val="DefaultParagraphFont"/>
    <w:link w:val="Heading3"/>
    <w:rsid w:val="00314FD5"/>
    <w:rPr>
      <w:rFonts w:ascii="Arial" w:eastAsia="Times New Roman" w:hAnsi="Arial" w:cs="Times New Roman"/>
      <w:b/>
      <w:bCs/>
      <w:i/>
      <w:sz w:val="24"/>
      <w:szCs w:val="26"/>
      <w:lang w:val="en-GB" w:eastAsia="fi-FI"/>
    </w:rPr>
  </w:style>
  <w:style w:type="character" w:customStyle="1" w:styleId="Heading4Char">
    <w:name w:val="Heading 4 Char"/>
    <w:basedOn w:val="DefaultParagraphFont"/>
    <w:link w:val="Heading4"/>
    <w:rsid w:val="00775648"/>
    <w:rPr>
      <w:rFonts w:ascii="Arial" w:eastAsia="Times New Roman" w:hAnsi="Arial" w:cs="Times New Roman"/>
      <w:bCs/>
      <w:sz w:val="24"/>
      <w:szCs w:val="24"/>
      <w:u w:val="single"/>
      <w:lang w:val="en-GB" w:eastAsia="fi-FI"/>
    </w:rPr>
  </w:style>
  <w:style w:type="character" w:customStyle="1" w:styleId="FootnoteCharacters">
    <w:name w:val="Footnote Characters"/>
    <w:basedOn w:val="DefaultParagraphFont"/>
    <w:rsid w:val="007822AD"/>
    <w:rPr>
      <w:rFonts w:ascii="Arial" w:eastAsia="MS Mincho" w:hAnsi="Arial"/>
      <w:b/>
      <w:bCs/>
      <w:i/>
      <w:iCs/>
      <w:kern w:val="1"/>
      <w:sz w:val="24"/>
      <w:szCs w:val="24"/>
      <w:bdr w:val="none" w:sz="0" w:space="0" w:color="auto"/>
      <w:shd w:val="clear" w:color="auto" w:fill="auto"/>
      <w:vertAlign w:val="superscript"/>
      <w:lang w:val="en-GB" w:eastAsia="ar-SA" w:bidi="ar-SA"/>
    </w:rPr>
  </w:style>
  <w:style w:type="character" w:customStyle="1" w:styleId="StylePatternClearBrightGreen">
    <w:name w:val="Style Pattern: Clear (Bright Green)"/>
    <w:basedOn w:val="DefaultParagraphFont"/>
    <w:rsid w:val="007822AD"/>
    <w:rPr>
      <w:u w:color="FFFFFF"/>
      <w:bdr w:val="none" w:sz="0" w:space="0" w:color="auto"/>
      <w:shd w:val="clear" w:color="auto" w:fill="auto"/>
    </w:rPr>
  </w:style>
  <w:style w:type="character" w:customStyle="1" w:styleId="StylePatternClearBrightGreen2">
    <w:name w:val="Style Pattern: Clear (Bright Green)2"/>
    <w:basedOn w:val="DefaultParagraphFont"/>
    <w:rsid w:val="007822AD"/>
    <w:rPr>
      <w:bdr w:val="none" w:sz="0" w:space="0" w:color="auto"/>
      <w:shd w:val="clear" w:color="auto" w:fill="auto"/>
    </w:rPr>
  </w:style>
  <w:style w:type="paragraph" w:styleId="TOCHeading">
    <w:name w:val="TOC Heading"/>
    <w:basedOn w:val="Heading1"/>
    <w:next w:val="Normal"/>
    <w:uiPriority w:val="39"/>
    <w:unhideWhenUsed/>
    <w:qFormat/>
    <w:rsid w:val="00ED2286"/>
    <w:pPr>
      <w:keepNext/>
      <w:keepLines/>
      <w:numPr>
        <w:numId w:val="0"/>
      </w:numPr>
      <w:spacing w:after="0" w:line="276" w:lineRule="auto"/>
      <w:jc w:val="left"/>
      <w:outlineLvl w:val="9"/>
    </w:pPr>
    <w:rPr>
      <w:rFonts w:asciiTheme="majorHAnsi" w:eastAsiaTheme="majorEastAsia" w:hAnsiTheme="majorHAnsi" w:cstheme="majorBidi"/>
      <w:color w:val="365F91" w:themeColor="accent1" w:themeShade="BF"/>
      <w:szCs w:val="28"/>
      <w:u w:val="none"/>
    </w:rPr>
  </w:style>
  <w:style w:type="paragraph" w:styleId="TOC1">
    <w:name w:val="toc 1"/>
    <w:basedOn w:val="Normal"/>
    <w:next w:val="Normal"/>
    <w:autoRedefine/>
    <w:uiPriority w:val="39"/>
    <w:unhideWhenUsed/>
    <w:rsid w:val="00ED2286"/>
    <w:pPr>
      <w:spacing w:after="100"/>
    </w:pPr>
  </w:style>
  <w:style w:type="paragraph" w:styleId="TOC2">
    <w:name w:val="toc 2"/>
    <w:basedOn w:val="Normal"/>
    <w:next w:val="Normal"/>
    <w:autoRedefine/>
    <w:uiPriority w:val="39"/>
    <w:unhideWhenUsed/>
    <w:rsid w:val="00ED2286"/>
    <w:pPr>
      <w:spacing w:after="100"/>
      <w:ind w:left="220"/>
    </w:pPr>
  </w:style>
  <w:style w:type="character" w:styleId="Hyperlink">
    <w:name w:val="Hyperlink"/>
    <w:basedOn w:val="DefaultParagraphFont"/>
    <w:uiPriority w:val="99"/>
    <w:unhideWhenUsed/>
    <w:rsid w:val="00ED2286"/>
    <w:rPr>
      <w:color w:val="0000FF" w:themeColor="hyperlink"/>
      <w:u w:val="single"/>
    </w:rPr>
  </w:style>
  <w:style w:type="character" w:styleId="FootnoteReference">
    <w:name w:val="footnote reference"/>
    <w:aliases w:val="16 Point,Superscript 6 Point,BVI fnr,BVI fnr Car Car,BVI fnr Car,BVI fnr Car Car Car Car,BVI fnr Car Car Car Car Char Char,BVI fnr Car Car Car Car Char Char Char Char Char,BVI fnr Car Car Car Car Char,BVI fnr Carácter,ftref,12 p...,fr"/>
    <w:basedOn w:val="DefaultParagraphFont"/>
    <w:link w:val="Char2"/>
    <w:uiPriority w:val="99"/>
    <w:unhideWhenUsed/>
    <w:rsid w:val="004F6CB0"/>
    <w:rPr>
      <w:vertAlign w:val="superscript"/>
    </w:rPr>
  </w:style>
  <w:style w:type="paragraph" w:customStyle="1" w:styleId="HeadingGeneral">
    <w:name w:val="Heading General"/>
    <w:basedOn w:val="Normal"/>
    <w:next w:val="Normal"/>
    <w:rsid w:val="00205B93"/>
    <w:pPr>
      <w:keepLines/>
      <w:spacing w:after="2300" w:line="200" w:lineRule="exact"/>
    </w:pPr>
    <w:rPr>
      <w:rFonts w:ascii="Tahoma" w:hAnsi="Tahoma"/>
      <w:color w:val="998F86"/>
      <w:sz w:val="18"/>
      <w:szCs w:val="36"/>
      <w:lang w:val="fr-BE"/>
    </w:rPr>
  </w:style>
  <w:style w:type="paragraph" w:styleId="TOC3">
    <w:name w:val="toc 3"/>
    <w:basedOn w:val="Normal"/>
    <w:next w:val="Normal"/>
    <w:autoRedefine/>
    <w:uiPriority w:val="39"/>
    <w:unhideWhenUsed/>
    <w:rsid w:val="008A558D"/>
    <w:pPr>
      <w:spacing w:after="100"/>
      <w:ind w:left="440"/>
    </w:pPr>
  </w:style>
  <w:style w:type="character" w:styleId="CommentReference">
    <w:name w:val="annotation reference"/>
    <w:basedOn w:val="DefaultParagraphFont"/>
    <w:uiPriority w:val="99"/>
    <w:semiHidden/>
    <w:unhideWhenUsed/>
    <w:rsid w:val="003C3418"/>
    <w:rPr>
      <w:sz w:val="16"/>
      <w:szCs w:val="16"/>
    </w:rPr>
  </w:style>
  <w:style w:type="paragraph" w:styleId="CommentText">
    <w:name w:val="annotation text"/>
    <w:basedOn w:val="Normal"/>
    <w:link w:val="CommentTextChar"/>
    <w:uiPriority w:val="99"/>
    <w:unhideWhenUsed/>
    <w:rsid w:val="003C3418"/>
    <w:rPr>
      <w:sz w:val="20"/>
      <w:szCs w:val="20"/>
    </w:rPr>
  </w:style>
  <w:style w:type="character" w:customStyle="1" w:styleId="CommentTextChar">
    <w:name w:val="Comment Text Char"/>
    <w:basedOn w:val="DefaultParagraphFont"/>
    <w:link w:val="CommentText"/>
    <w:uiPriority w:val="99"/>
    <w:rsid w:val="003C3418"/>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C3418"/>
    <w:rPr>
      <w:b/>
      <w:bCs/>
    </w:rPr>
  </w:style>
  <w:style w:type="character" w:customStyle="1" w:styleId="CommentSubjectChar">
    <w:name w:val="Comment Subject Char"/>
    <w:basedOn w:val="CommentTextChar"/>
    <w:link w:val="CommentSubject"/>
    <w:uiPriority w:val="99"/>
    <w:semiHidden/>
    <w:rsid w:val="003C3418"/>
    <w:rPr>
      <w:rFonts w:ascii="Calibri" w:eastAsia="Times New Roman" w:hAnsi="Calibri" w:cs="Times New Roman"/>
      <w:b/>
      <w:bCs/>
      <w:sz w:val="20"/>
      <w:szCs w:val="20"/>
      <w:lang w:val="en-US"/>
    </w:rPr>
  </w:style>
  <w:style w:type="character" w:customStyle="1" w:styleId="FontStyle25">
    <w:name w:val="Font Style25"/>
    <w:basedOn w:val="DefaultParagraphFont"/>
    <w:rsid w:val="00E03732"/>
    <w:rPr>
      <w:rFonts w:ascii="Arial" w:hAnsi="Arial" w:cs="Arial"/>
      <w:sz w:val="14"/>
      <w:szCs w:val="14"/>
    </w:rPr>
  </w:style>
  <w:style w:type="paragraph" w:customStyle="1" w:styleId="Tablecontent">
    <w:name w:val="Table content"/>
    <w:basedOn w:val="Normal"/>
    <w:qFormat/>
    <w:rsid w:val="00E03732"/>
    <w:pPr>
      <w:autoSpaceDE w:val="0"/>
      <w:autoSpaceDN w:val="0"/>
      <w:adjustRightInd w:val="0"/>
      <w:jc w:val="center"/>
    </w:pPr>
    <w:rPr>
      <w:rFonts w:ascii="Arial" w:eastAsiaTheme="minorHAnsi" w:hAnsi="Arial" w:cs="Calibri"/>
      <w:color w:val="000000"/>
      <w:sz w:val="20"/>
    </w:rPr>
  </w:style>
  <w:style w:type="paragraph" w:styleId="TableofAuthorities">
    <w:name w:val="table of authorities"/>
    <w:aliases w:val="Table of Tables"/>
    <w:basedOn w:val="Normal"/>
    <w:next w:val="Normal"/>
    <w:uiPriority w:val="99"/>
    <w:unhideWhenUsed/>
    <w:rsid w:val="00E03732"/>
    <w:pPr>
      <w:jc w:val="center"/>
    </w:pPr>
    <w:rPr>
      <w:rFonts w:ascii="Arial" w:eastAsiaTheme="minorHAnsi" w:hAnsi="Arial" w:cstheme="minorBidi"/>
      <w:sz w:val="20"/>
    </w:rPr>
  </w:style>
  <w:style w:type="character" w:customStyle="1" w:styleId="ListParagraphChar">
    <w:name w:val="List Paragraph Char"/>
    <w:aliases w:val="Bullet Styles para Char,List Paragraph (numbered (a)) Char,Párrafo de lista Char,Bullet Char,Number Bullets Char,List Paragraph in table Char,Şekil Char,Resume Title Char,Citation List Char,Bullets1 Char,heading 4 Char"/>
    <w:basedOn w:val="DefaultParagraphFont"/>
    <w:link w:val="ListParagraph"/>
    <w:uiPriority w:val="34"/>
    <w:locked/>
    <w:rsid w:val="006E77D2"/>
    <w:rPr>
      <w:rFonts w:ascii="Times New Roman" w:hAnsi="Times New Roman"/>
      <w:sz w:val="24"/>
    </w:rPr>
  </w:style>
  <w:style w:type="character" w:styleId="Strong">
    <w:name w:val="Strong"/>
    <w:basedOn w:val="DefaultParagraphFont"/>
    <w:uiPriority w:val="22"/>
    <w:qFormat/>
    <w:rsid w:val="00B478B7"/>
    <w:rPr>
      <w:b/>
      <w:bCs/>
    </w:rPr>
  </w:style>
  <w:style w:type="character" w:customStyle="1" w:styleId="Mention1">
    <w:name w:val="Mention1"/>
    <w:basedOn w:val="DefaultParagraphFont"/>
    <w:uiPriority w:val="99"/>
    <w:semiHidden/>
    <w:unhideWhenUsed/>
    <w:rsid w:val="00AD0A18"/>
    <w:rPr>
      <w:color w:val="2B579A"/>
      <w:shd w:val="clear" w:color="auto" w:fill="E6E6E6"/>
    </w:rPr>
  </w:style>
  <w:style w:type="character" w:customStyle="1" w:styleId="Heading5Char">
    <w:name w:val="Heading 5 Char"/>
    <w:basedOn w:val="DefaultParagraphFont"/>
    <w:link w:val="Heading5"/>
    <w:uiPriority w:val="9"/>
    <w:rsid w:val="00802A48"/>
    <w:rPr>
      <w:rFonts w:asciiTheme="majorHAnsi" w:eastAsiaTheme="majorEastAsia" w:hAnsiTheme="majorHAnsi" w:cstheme="majorBidi"/>
      <w:color w:val="365F91" w:themeColor="accent1" w:themeShade="BF"/>
      <w:sz w:val="24"/>
      <w:szCs w:val="24"/>
      <w:lang w:eastAsia="fi-FI"/>
    </w:rPr>
  </w:style>
  <w:style w:type="paragraph" w:customStyle="1" w:styleId="Normal0">
    <w:name w:val="Normal_0"/>
    <w:qFormat/>
    <w:rsid w:val="00F1493C"/>
    <w:pPr>
      <w:spacing w:after="160" w:line="256" w:lineRule="auto"/>
    </w:pPr>
    <w:rPr>
      <w:rFonts w:ascii="Calibri" w:eastAsia="Calibri" w:hAnsi="Calibri" w:cs="Times New Roman"/>
      <w:lang w:val="en-US"/>
    </w:rPr>
  </w:style>
  <w:style w:type="paragraph" w:customStyle="1" w:styleId="Normal00">
    <w:name w:val="Normal_0_0"/>
    <w:qFormat/>
    <w:rsid w:val="00F1493C"/>
    <w:pPr>
      <w:spacing w:after="160" w:line="256" w:lineRule="auto"/>
    </w:pPr>
    <w:rPr>
      <w:rFonts w:ascii="Calibri" w:eastAsia="Calibri" w:hAnsi="Calibri" w:cs="Times New Roman"/>
      <w:lang w:val="en-US"/>
    </w:rPr>
  </w:style>
  <w:style w:type="paragraph" w:styleId="Revision">
    <w:name w:val="Revision"/>
    <w:hidden/>
    <w:uiPriority w:val="99"/>
    <w:semiHidden/>
    <w:rsid w:val="000034A9"/>
    <w:pPr>
      <w:spacing w:after="0" w:line="240" w:lineRule="auto"/>
    </w:pPr>
    <w:rPr>
      <w:rFonts w:ascii="Times New Roman" w:eastAsia="Times New Roman" w:hAnsi="Times New Roman" w:cs="Times New Roman"/>
      <w:sz w:val="24"/>
      <w:szCs w:val="24"/>
      <w:lang w:eastAsia="fi-FI"/>
    </w:rPr>
  </w:style>
  <w:style w:type="paragraph" w:styleId="Header">
    <w:name w:val="header"/>
    <w:basedOn w:val="Normal"/>
    <w:link w:val="HeaderChar"/>
    <w:uiPriority w:val="99"/>
    <w:unhideWhenUsed/>
    <w:rsid w:val="008B48AC"/>
    <w:pPr>
      <w:tabs>
        <w:tab w:val="center" w:pos="4680"/>
        <w:tab w:val="right" w:pos="9360"/>
      </w:tabs>
      <w:spacing w:before="0" w:after="0"/>
    </w:pPr>
  </w:style>
  <w:style w:type="character" w:customStyle="1" w:styleId="HeaderChar">
    <w:name w:val="Header Char"/>
    <w:basedOn w:val="DefaultParagraphFont"/>
    <w:link w:val="Header"/>
    <w:uiPriority w:val="99"/>
    <w:rsid w:val="008B48AC"/>
    <w:rPr>
      <w:rFonts w:ascii="Times New Roman" w:eastAsia="Times New Roman" w:hAnsi="Times New Roman" w:cs="Times New Roman"/>
      <w:sz w:val="24"/>
      <w:szCs w:val="24"/>
      <w:lang w:eastAsia="fi-FI"/>
    </w:rPr>
  </w:style>
  <w:style w:type="paragraph" w:styleId="Footer">
    <w:name w:val="footer"/>
    <w:basedOn w:val="Normal"/>
    <w:link w:val="FooterChar"/>
    <w:uiPriority w:val="99"/>
    <w:unhideWhenUsed/>
    <w:rsid w:val="008B48AC"/>
    <w:pPr>
      <w:tabs>
        <w:tab w:val="center" w:pos="4680"/>
        <w:tab w:val="right" w:pos="9360"/>
      </w:tabs>
      <w:spacing w:before="0" w:after="0"/>
    </w:pPr>
  </w:style>
  <w:style w:type="character" w:customStyle="1" w:styleId="FooterChar">
    <w:name w:val="Footer Char"/>
    <w:basedOn w:val="DefaultParagraphFont"/>
    <w:link w:val="Footer"/>
    <w:uiPriority w:val="99"/>
    <w:rsid w:val="008B48AC"/>
    <w:rPr>
      <w:rFonts w:ascii="Times New Roman" w:eastAsia="Times New Roman" w:hAnsi="Times New Roman" w:cs="Times New Roman"/>
      <w:sz w:val="24"/>
      <w:szCs w:val="24"/>
      <w:lang w:eastAsia="fi-FI"/>
    </w:rPr>
  </w:style>
  <w:style w:type="paragraph" w:styleId="Title">
    <w:name w:val="Title"/>
    <w:basedOn w:val="Normal"/>
    <w:link w:val="TitleChar"/>
    <w:qFormat/>
    <w:rsid w:val="00A958E7"/>
    <w:pPr>
      <w:widowControl w:val="0"/>
      <w:jc w:val="center"/>
    </w:pPr>
    <w:rPr>
      <w:b/>
      <w:i/>
      <w:snapToGrid w:val="0"/>
      <w:szCs w:val="20"/>
      <w:lang w:eastAsia="en-US"/>
    </w:rPr>
  </w:style>
  <w:style w:type="character" w:customStyle="1" w:styleId="TitleChar">
    <w:name w:val="Title Char"/>
    <w:basedOn w:val="DefaultParagraphFont"/>
    <w:link w:val="Title"/>
    <w:rsid w:val="00A958E7"/>
    <w:rPr>
      <w:rFonts w:ascii="Times New Roman" w:eastAsia="Times New Roman" w:hAnsi="Times New Roman" w:cs="Times New Roman"/>
      <w:b/>
      <w:i/>
      <w:snapToGrid w:val="0"/>
      <w:sz w:val="24"/>
      <w:szCs w:val="20"/>
      <w:lang w:val="en-US"/>
    </w:rPr>
  </w:style>
  <w:style w:type="character" w:customStyle="1" w:styleId="font171">
    <w:name w:val="font171"/>
    <w:basedOn w:val="DefaultParagraphFont"/>
    <w:rsid w:val="00413660"/>
    <w:rPr>
      <w:rFonts w:ascii="Arial" w:hAnsi="Arial" w:cs="Arial" w:hint="default"/>
      <w:b w:val="0"/>
      <w:bCs w:val="0"/>
      <w:i w:val="0"/>
      <w:iCs w:val="0"/>
      <w:strike w:val="0"/>
      <w:dstrike w:val="0"/>
      <w:color w:val="auto"/>
      <w:sz w:val="22"/>
      <w:szCs w:val="22"/>
      <w:u w:val="none"/>
      <w:effect w:val="none"/>
    </w:rPr>
  </w:style>
  <w:style w:type="character" w:customStyle="1" w:styleId="font141">
    <w:name w:val="font141"/>
    <w:basedOn w:val="DefaultParagraphFont"/>
    <w:rsid w:val="00413660"/>
    <w:rPr>
      <w:rFonts w:ascii="Arial" w:hAnsi="Arial" w:cs="Arial" w:hint="default"/>
      <w:b w:val="0"/>
      <w:bCs w:val="0"/>
      <w:i w:val="0"/>
      <w:iCs w:val="0"/>
      <w:strike w:val="0"/>
      <w:dstrike w:val="0"/>
      <w:color w:val="auto"/>
      <w:sz w:val="22"/>
      <w:szCs w:val="22"/>
      <w:u w:val="none"/>
      <w:effect w:val="none"/>
    </w:rPr>
  </w:style>
  <w:style w:type="paragraph" w:styleId="NormalWeb">
    <w:name w:val="Normal (Web)"/>
    <w:basedOn w:val="Normal"/>
    <w:uiPriority w:val="99"/>
    <w:semiHidden/>
    <w:unhideWhenUsed/>
    <w:rsid w:val="004F0E68"/>
    <w:pPr>
      <w:spacing w:before="100" w:beforeAutospacing="1" w:after="100" w:afterAutospacing="1"/>
    </w:pPr>
    <w:rPr>
      <w:lang w:val="fi-FI"/>
    </w:rPr>
  </w:style>
  <w:style w:type="character" w:styleId="PlaceholderText">
    <w:name w:val="Placeholder Text"/>
    <w:basedOn w:val="DefaultParagraphFont"/>
    <w:uiPriority w:val="99"/>
    <w:semiHidden/>
    <w:rsid w:val="000A1B45"/>
    <w:rPr>
      <w:color w:val="808080"/>
    </w:rPr>
  </w:style>
  <w:style w:type="table" w:customStyle="1" w:styleId="TableGrid1111">
    <w:name w:val="Table Grid1111"/>
    <w:basedOn w:val="TableNormal"/>
    <w:uiPriority w:val="39"/>
    <w:rsid w:val="00E71E7D"/>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E71E7D"/>
    <w:pPr>
      <w:spacing w:before="0" w:after="160" w:line="240" w:lineRule="exact"/>
    </w:pPr>
    <w:rPr>
      <w:rFonts w:asciiTheme="minorHAnsi" w:eastAsiaTheme="minorHAnsi" w:hAnsiTheme="minorHAnsi" w:cstheme="minorBidi"/>
      <w:sz w:val="22"/>
      <w:szCs w:val="22"/>
      <w:vertAlign w:val="superscript"/>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7541">
      <w:bodyDiv w:val="1"/>
      <w:marLeft w:val="0"/>
      <w:marRight w:val="0"/>
      <w:marTop w:val="0"/>
      <w:marBottom w:val="0"/>
      <w:divBdr>
        <w:top w:val="none" w:sz="0" w:space="0" w:color="auto"/>
        <w:left w:val="none" w:sz="0" w:space="0" w:color="auto"/>
        <w:bottom w:val="none" w:sz="0" w:space="0" w:color="auto"/>
        <w:right w:val="none" w:sz="0" w:space="0" w:color="auto"/>
      </w:divBdr>
    </w:div>
    <w:div w:id="45687524">
      <w:bodyDiv w:val="1"/>
      <w:marLeft w:val="0"/>
      <w:marRight w:val="0"/>
      <w:marTop w:val="0"/>
      <w:marBottom w:val="0"/>
      <w:divBdr>
        <w:top w:val="none" w:sz="0" w:space="0" w:color="auto"/>
        <w:left w:val="none" w:sz="0" w:space="0" w:color="auto"/>
        <w:bottom w:val="none" w:sz="0" w:space="0" w:color="auto"/>
        <w:right w:val="none" w:sz="0" w:space="0" w:color="auto"/>
      </w:divBdr>
    </w:div>
    <w:div w:id="68430019">
      <w:bodyDiv w:val="1"/>
      <w:marLeft w:val="0"/>
      <w:marRight w:val="0"/>
      <w:marTop w:val="0"/>
      <w:marBottom w:val="0"/>
      <w:divBdr>
        <w:top w:val="none" w:sz="0" w:space="0" w:color="auto"/>
        <w:left w:val="none" w:sz="0" w:space="0" w:color="auto"/>
        <w:bottom w:val="none" w:sz="0" w:space="0" w:color="auto"/>
        <w:right w:val="none" w:sz="0" w:space="0" w:color="auto"/>
      </w:divBdr>
    </w:div>
    <w:div w:id="74280428">
      <w:bodyDiv w:val="1"/>
      <w:marLeft w:val="0"/>
      <w:marRight w:val="0"/>
      <w:marTop w:val="0"/>
      <w:marBottom w:val="0"/>
      <w:divBdr>
        <w:top w:val="none" w:sz="0" w:space="0" w:color="auto"/>
        <w:left w:val="none" w:sz="0" w:space="0" w:color="auto"/>
        <w:bottom w:val="none" w:sz="0" w:space="0" w:color="auto"/>
        <w:right w:val="none" w:sz="0" w:space="0" w:color="auto"/>
      </w:divBdr>
    </w:div>
    <w:div w:id="90325540">
      <w:bodyDiv w:val="1"/>
      <w:marLeft w:val="0"/>
      <w:marRight w:val="0"/>
      <w:marTop w:val="0"/>
      <w:marBottom w:val="0"/>
      <w:divBdr>
        <w:top w:val="none" w:sz="0" w:space="0" w:color="auto"/>
        <w:left w:val="none" w:sz="0" w:space="0" w:color="auto"/>
        <w:bottom w:val="none" w:sz="0" w:space="0" w:color="auto"/>
        <w:right w:val="none" w:sz="0" w:space="0" w:color="auto"/>
      </w:divBdr>
    </w:div>
    <w:div w:id="107117856">
      <w:bodyDiv w:val="1"/>
      <w:marLeft w:val="0"/>
      <w:marRight w:val="0"/>
      <w:marTop w:val="0"/>
      <w:marBottom w:val="0"/>
      <w:divBdr>
        <w:top w:val="none" w:sz="0" w:space="0" w:color="auto"/>
        <w:left w:val="none" w:sz="0" w:space="0" w:color="auto"/>
        <w:bottom w:val="none" w:sz="0" w:space="0" w:color="auto"/>
        <w:right w:val="none" w:sz="0" w:space="0" w:color="auto"/>
      </w:divBdr>
    </w:div>
    <w:div w:id="113446417">
      <w:bodyDiv w:val="1"/>
      <w:marLeft w:val="0"/>
      <w:marRight w:val="0"/>
      <w:marTop w:val="0"/>
      <w:marBottom w:val="0"/>
      <w:divBdr>
        <w:top w:val="none" w:sz="0" w:space="0" w:color="auto"/>
        <w:left w:val="none" w:sz="0" w:space="0" w:color="auto"/>
        <w:bottom w:val="none" w:sz="0" w:space="0" w:color="auto"/>
        <w:right w:val="none" w:sz="0" w:space="0" w:color="auto"/>
      </w:divBdr>
    </w:div>
    <w:div w:id="135221375">
      <w:bodyDiv w:val="1"/>
      <w:marLeft w:val="0"/>
      <w:marRight w:val="0"/>
      <w:marTop w:val="0"/>
      <w:marBottom w:val="0"/>
      <w:divBdr>
        <w:top w:val="none" w:sz="0" w:space="0" w:color="auto"/>
        <w:left w:val="none" w:sz="0" w:space="0" w:color="auto"/>
        <w:bottom w:val="none" w:sz="0" w:space="0" w:color="auto"/>
        <w:right w:val="none" w:sz="0" w:space="0" w:color="auto"/>
      </w:divBdr>
    </w:div>
    <w:div w:id="188956865">
      <w:bodyDiv w:val="1"/>
      <w:marLeft w:val="0"/>
      <w:marRight w:val="0"/>
      <w:marTop w:val="0"/>
      <w:marBottom w:val="0"/>
      <w:divBdr>
        <w:top w:val="none" w:sz="0" w:space="0" w:color="auto"/>
        <w:left w:val="none" w:sz="0" w:space="0" w:color="auto"/>
        <w:bottom w:val="none" w:sz="0" w:space="0" w:color="auto"/>
        <w:right w:val="none" w:sz="0" w:space="0" w:color="auto"/>
      </w:divBdr>
    </w:div>
    <w:div w:id="258293169">
      <w:bodyDiv w:val="1"/>
      <w:marLeft w:val="0"/>
      <w:marRight w:val="0"/>
      <w:marTop w:val="0"/>
      <w:marBottom w:val="0"/>
      <w:divBdr>
        <w:top w:val="none" w:sz="0" w:space="0" w:color="auto"/>
        <w:left w:val="none" w:sz="0" w:space="0" w:color="auto"/>
        <w:bottom w:val="none" w:sz="0" w:space="0" w:color="auto"/>
        <w:right w:val="none" w:sz="0" w:space="0" w:color="auto"/>
      </w:divBdr>
    </w:div>
    <w:div w:id="268271196">
      <w:bodyDiv w:val="1"/>
      <w:marLeft w:val="0"/>
      <w:marRight w:val="0"/>
      <w:marTop w:val="0"/>
      <w:marBottom w:val="0"/>
      <w:divBdr>
        <w:top w:val="none" w:sz="0" w:space="0" w:color="auto"/>
        <w:left w:val="none" w:sz="0" w:space="0" w:color="auto"/>
        <w:bottom w:val="none" w:sz="0" w:space="0" w:color="auto"/>
        <w:right w:val="none" w:sz="0" w:space="0" w:color="auto"/>
      </w:divBdr>
    </w:div>
    <w:div w:id="282154558">
      <w:bodyDiv w:val="1"/>
      <w:marLeft w:val="0"/>
      <w:marRight w:val="0"/>
      <w:marTop w:val="0"/>
      <w:marBottom w:val="0"/>
      <w:divBdr>
        <w:top w:val="none" w:sz="0" w:space="0" w:color="auto"/>
        <w:left w:val="none" w:sz="0" w:space="0" w:color="auto"/>
        <w:bottom w:val="none" w:sz="0" w:space="0" w:color="auto"/>
        <w:right w:val="none" w:sz="0" w:space="0" w:color="auto"/>
      </w:divBdr>
    </w:div>
    <w:div w:id="293755654">
      <w:bodyDiv w:val="1"/>
      <w:marLeft w:val="0"/>
      <w:marRight w:val="0"/>
      <w:marTop w:val="0"/>
      <w:marBottom w:val="0"/>
      <w:divBdr>
        <w:top w:val="none" w:sz="0" w:space="0" w:color="auto"/>
        <w:left w:val="none" w:sz="0" w:space="0" w:color="auto"/>
        <w:bottom w:val="none" w:sz="0" w:space="0" w:color="auto"/>
        <w:right w:val="none" w:sz="0" w:space="0" w:color="auto"/>
      </w:divBdr>
    </w:div>
    <w:div w:id="325326328">
      <w:bodyDiv w:val="1"/>
      <w:marLeft w:val="0"/>
      <w:marRight w:val="0"/>
      <w:marTop w:val="0"/>
      <w:marBottom w:val="0"/>
      <w:divBdr>
        <w:top w:val="none" w:sz="0" w:space="0" w:color="auto"/>
        <w:left w:val="none" w:sz="0" w:space="0" w:color="auto"/>
        <w:bottom w:val="none" w:sz="0" w:space="0" w:color="auto"/>
        <w:right w:val="none" w:sz="0" w:space="0" w:color="auto"/>
      </w:divBdr>
    </w:div>
    <w:div w:id="334965728">
      <w:bodyDiv w:val="1"/>
      <w:marLeft w:val="0"/>
      <w:marRight w:val="0"/>
      <w:marTop w:val="0"/>
      <w:marBottom w:val="0"/>
      <w:divBdr>
        <w:top w:val="none" w:sz="0" w:space="0" w:color="auto"/>
        <w:left w:val="none" w:sz="0" w:space="0" w:color="auto"/>
        <w:bottom w:val="none" w:sz="0" w:space="0" w:color="auto"/>
        <w:right w:val="none" w:sz="0" w:space="0" w:color="auto"/>
      </w:divBdr>
    </w:div>
    <w:div w:id="360788847">
      <w:bodyDiv w:val="1"/>
      <w:marLeft w:val="0"/>
      <w:marRight w:val="0"/>
      <w:marTop w:val="0"/>
      <w:marBottom w:val="0"/>
      <w:divBdr>
        <w:top w:val="none" w:sz="0" w:space="0" w:color="auto"/>
        <w:left w:val="none" w:sz="0" w:space="0" w:color="auto"/>
        <w:bottom w:val="none" w:sz="0" w:space="0" w:color="auto"/>
        <w:right w:val="none" w:sz="0" w:space="0" w:color="auto"/>
      </w:divBdr>
    </w:div>
    <w:div w:id="370419405">
      <w:bodyDiv w:val="1"/>
      <w:marLeft w:val="0"/>
      <w:marRight w:val="0"/>
      <w:marTop w:val="0"/>
      <w:marBottom w:val="0"/>
      <w:divBdr>
        <w:top w:val="none" w:sz="0" w:space="0" w:color="auto"/>
        <w:left w:val="none" w:sz="0" w:space="0" w:color="auto"/>
        <w:bottom w:val="none" w:sz="0" w:space="0" w:color="auto"/>
        <w:right w:val="none" w:sz="0" w:space="0" w:color="auto"/>
      </w:divBdr>
    </w:div>
    <w:div w:id="378552925">
      <w:bodyDiv w:val="1"/>
      <w:marLeft w:val="0"/>
      <w:marRight w:val="0"/>
      <w:marTop w:val="0"/>
      <w:marBottom w:val="0"/>
      <w:divBdr>
        <w:top w:val="none" w:sz="0" w:space="0" w:color="auto"/>
        <w:left w:val="none" w:sz="0" w:space="0" w:color="auto"/>
        <w:bottom w:val="none" w:sz="0" w:space="0" w:color="auto"/>
        <w:right w:val="none" w:sz="0" w:space="0" w:color="auto"/>
      </w:divBdr>
    </w:div>
    <w:div w:id="429467683">
      <w:bodyDiv w:val="1"/>
      <w:marLeft w:val="0"/>
      <w:marRight w:val="0"/>
      <w:marTop w:val="0"/>
      <w:marBottom w:val="0"/>
      <w:divBdr>
        <w:top w:val="none" w:sz="0" w:space="0" w:color="auto"/>
        <w:left w:val="none" w:sz="0" w:space="0" w:color="auto"/>
        <w:bottom w:val="none" w:sz="0" w:space="0" w:color="auto"/>
        <w:right w:val="none" w:sz="0" w:space="0" w:color="auto"/>
      </w:divBdr>
    </w:div>
    <w:div w:id="430588234">
      <w:bodyDiv w:val="1"/>
      <w:marLeft w:val="0"/>
      <w:marRight w:val="0"/>
      <w:marTop w:val="0"/>
      <w:marBottom w:val="0"/>
      <w:divBdr>
        <w:top w:val="none" w:sz="0" w:space="0" w:color="auto"/>
        <w:left w:val="none" w:sz="0" w:space="0" w:color="auto"/>
        <w:bottom w:val="none" w:sz="0" w:space="0" w:color="auto"/>
        <w:right w:val="none" w:sz="0" w:space="0" w:color="auto"/>
      </w:divBdr>
    </w:div>
    <w:div w:id="433356378">
      <w:bodyDiv w:val="1"/>
      <w:marLeft w:val="0"/>
      <w:marRight w:val="0"/>
      <w:marTop w:val="0"/>
      <w:marBottom w:val="0"/>
      <w:divBdr>
        <w:top w:val="none" w:sz="0" w:space="0" w:color="auto"/>
        <w:left w:val="none" w:sz="0" w:space="0" w:color="auto"/>
        <w:bottom w:val="none" w:sz="0" w:space="0" w:color="auto"/>
        <w:right w:val="none" w:sz="0" w:space="0" w:color="auto"/>
      </w:divBdr>
    </w:div>
    <w:div w:id="456946425">
      <w:bodyDiv w:val="1"/>
      <w:marLeft w:val="0"/>
      <w:marRight w:val="0"/>
      <w:marTop w:val="0"/>
      <w:marBottom w:val="0"/>
      <w:divBdr>
        <w:top w:val="none" w:sz="0" w:space="0" w:color="auto"/>
        <w:left w:val="none" w:sz="0" w:space="0" w:color="auto"/>
        <w:bottom w:val="none" w:sz="0" w:space="0" w:color="auto"/>
        <w:right w:val="none" w:sz="0" w:space="0" w:color="auto"/>
      </w:divBdr>
    </w:div>
    <w:div w:id="486358588">
      <w:bodyDiv w:val="1"/>
      <w:marLeft w:val="0"/>
      <w:marRight w:val="0"/>
      <w:marTop w:val="0"/>
      <w:marBottom w:val="0"/>
      <w:divBdr>
        <w:top w:val="none" w:sz="0" w:space="0" w:color="auto"/>
        <w:left w:val="none" w:sz="0" w:space="0" w:color="auto"/>
        <w:bottom w:val="none" w:sz="0" w:space="0" w:color="auto"/>
        <w:right w:val="none" w:sz="0" w:space="0" w:color="auto"/>
      </w:divBdr>
    </w:div>
    <w:div w:id="546648282">
      <w:bodyDiv w:val="1"/>
      <w:marLeft w:val="0"/>
      <w:marRight w:val="0"/>
      <w:marTop w:val="0"/>
      <w:marBottom w:val="0"/>
      <w:divBdr>
        <w:top w:val="none" w:sz="0" w:space="0" w:color="auto"/>
        <w:left w:val="none" w:sz="0" w:space="0" w:color="auto"/>
        <w:bottom w:val="none" w:sz="0" w:space="0" w:color="auto"/>
        <w:right w:val="none" w:sz="0" w:space="0" w:color="auto"/>
      </w:divBdr>
    </w:div>
    <w:div w:id="560023947">
      <w:bodyDiv w:val="1"/>
      <w:marLeft w:val="0"/>
      <w:marRight w:val="0"/>
      <w:marTop w:val="0"/>
      <w:marBottom w:val="0"/>
      <w:divBdr>
        <w:top w:val="none" w:sz="0" w:space="0" w:color="auto"/>
        <w:left w:val="none" w:sz="0" w:space="0" w:color="auto"/>
        <w:bottom w:val="none" w:sz="0" w:space="0" w:color="auto"/>
        <w:right w:val="none" w:sz="0" w:space="0" w:color="auto"/>
      </w:divBdr>
    </w:div>
    <w:div w:id="569190063">
      <w:bodyDiv w:val="1"/>
      <w:marLeft w:val="0"/>
      <w:marRight w:val="0"/>
      <w:marTop w:val="0"/>
      <w:marBottom w:val="0"/>
      <w:divBdr>
        <w:top w:val="none" w:sz="0" w:space="0" w:color="auto"/>
        <w:left w:val="none" w:sz="0" w:space="0" w:color="auto"/>
        <w:bottom w:val="none" w:sz="0" w:space="0" w:color="auto"/>
        <w:right w:val="none" w:sz="0" w:space="0" w:color="auto"/>
      </w:divBdr>
    </w:div>
    <w:div w:id="569464827">
      <w:bodyDiv w:val="1"/>
      <w:marLeft w:val="0"/>
      <w:marRight w:val="0"/>
      <w:marTop w:val="0"/>
      <w:marBottom w:val="0"/>
      <w:divBdr>
        <w:top w:val="none" w:sz="0" w:space="0" w:color="auto"/>
        <w:left w:val="none" w:sz="0" w:space="0" w:color="auto"/>
        <w:bottom w:val="none" w:sz="0" w:space="0" w:color="auto"/>
        <w:right w:val="none" w:sz="0" w:space="0" w:color="auto"/>
      </w:divBdr>
    </w:div>
    <w:div w:id="570382710">
      <w:bodyDiv w:val="1"/>
      <w:marLeft w:val="0"/>
      <w:marRight w:val="0"/>
      <w:marTop w:val="0"/>
      <w:marBottom w:val="0"/>
      <w:divBdr>
        <w:top w:val="none" w:sz="0" w:space="0" w:color="auto"/>
        <w:left w:val="none" w:sz="0" w:space="0" w:color="auto"/>
        <w:bottom w:val="none" w:sz="0" w:space="0" w:color="auto"/>
        <w:right w:val="none" w:sz="0" w:space="0" w:color="auto"/>
      </w:divBdr>
    </w:div>
    <w:div w:id="588579825">
      <w:bodyDiv w:val="1"/>
      <w:marLeft w:val="0"/>
      <w:marRight w:val="0"/>
      <w:marTop w:val="0"/>
      <w:marBottom w:val="0"/>
      <w:divBdr>
        <w:top w:val="none" w:sz="0" w:space="0" w:color="auto"/>
        <w:left w:val="none" w:sz="0" w:space="0" w:color="auto"/>
        <w:bottom w:val="none" w:sz="0" w:space="0" w:color="auto"/>
        <w:right w:val="none" w:sz="0" w:space="0" w:color="auto"/>
      </w:divBdr>
    </w:div>
    <w:div w:id="598413684">
      <w:bodyDiv w:val="1"/>
      <w:marLeft w:val="0"/>
      <w:marRight w:val="0"/>
      <w:marTop w:val="0"/>
      <w:marBottom w:val="0"/>
      <w:divBdr>
        <w:top w:val="none" w:sz="0" w:space="0" w:color="auto"/>
        <w:left w:val="none" w:sz="0" w:space="0" w:color="auto"/>
        <w:bottom w:val="none" w:sz="0" w:space="0" w:color="auto"/>
        <w:right w:val="none" w:sz="0" w:space="0" w:color="auto"/>
      </w:divBdr>
    </w:div>
    <w:div w:id="599458611">
      <w:bodyDiv w:val="1"/>
      <w:marLeft w:val="0"/>
      <w:marRight w:val="0"/>
      <w:marTop w:val="0"/>
      <w:marBottom w:val="0"/>
      <w:divBdr>
        <w:top w:val="none" w:sz="0" w:space="0" w:color="auto"/>
        <w:left w:val="none" w:sz="0" w:space="0" w:color="auto"/>
        <w:bottom w:val="none" w:sz="0" w:space="0" w:color="auto"/>
        <w:right w:val="none" w:sz="0" w:space="0" w:color="auto"/>
      </w:divBdr>
    </w:div>
    <w:div w:id="664549288">
      <w:bodyDiv w:val="1"/>
      <w:marLeft w:val="0"/>
      <w:marRight w:val="0"/>
      <w:marTop w:val="0"/>
      <w:marBottom w:val="0"/>
      <w:divBdr>
        <w:top w:val="none" w:sz="0" w:space="0" w:color="auto"/>
        <w:left w:val="none" w:sz="0" w:space="0" w:color="auto"/>
        <w:bottom w:val="none" w:sz="0" w:space="0" w:color="auto"/>
        <w:right w:val="none" w:sz="0" w:space="0" w:color="auto"/>
      </w:divBdr>
    </w:div>
    <w:div w:id="750010416">
      <w:bodyDiv w:val="1"/>
      <w:marLeft w:val="0"/>
      <w:marRight w:val="0"/>
      <w:marTop w:val="0"/>
      <w:marBottom w:val="0"/>
      <w:divBdr>
        <w:top w:val="none" w:sz="0" w:space="0" w:color="auto"/>
        <w:left w:val="none" w:sz="0" w:space="0" w:color="auto"/>
        <w:bottom w:val="none" w:sz="0" w:space="0" w:color="auto"/>
        <w:right w:val="none" w:sz="0" w:space="0" w:color="auto"/>
      </w:divBdr>
    </w:div>
    <w:div w:id="779616447">
      <w:bodyDiv w:val="1"/>
      <w:marLeft w:val="0"/>
      <w:marRight w:val="0"/>
      <w:marTop w:val="0"/>
      <w:marBottom w:val="0"/>
      <w:divBdr>
        <w:top w:val="none" w:sz="0" w:space="0" w:color="auto"/>
        <w:left w:val="none" w:sz="0" w:space="0" w:color="auto"/>
        <w:bottom w:val="none" w:sz="0" w:space="0" w:color="auto"/>
        <w:right w:val="none" w:sz="0" w:space="0" w:color="auto"/>
      </w:divBdr>
    </w:div>
    <w:div w:id="779909415">
      <w:bodyDiv w:val="1"/>
      <w:marLeft w:val="0"/>
      <w:marRight w:val="0"/>
      <w:marTop w:val="0"/>
      <w:marBottom w:val="0"/>
      <w:divBdr>
        <w:top w:val="none" w:sz="0" w:space="0" w:color="auto"/>
        <w:left w:val="none" w:sz="0" w:space="0" w:color="auto"/>
        <w:bottom w:val="none" w:sz="0" w:space="0" w:color="auto"/>
        <w:right w:val="none" w:sz="0" w:space="0" w:color="auto"/>
      </w:divBdr>
    </w:div>
    <w:div w:id="784349818">
      <w:bodyDiv w:val="1"/>
      <w:marLeft w:val="0"/>
      <w:marRight w:val="0"/>
      <w:marTop w:val="0"/>
      <w:marBottom w:val="0"/>
      <w:divBdr>
        <w:top w:val="none" w:sz="0" w:space="0" w:color="auto"/>
        <w:left w:val="none" w:sz="0" w:space="0" w:color="auto"/>
        <w:bottom w:val="none" w:sz="0" w:space="0" w:color="auto"/>
        <w:right w:val="none" w:sz="0" w:space="0" w:color="auto"/>
      </w:divBdr>
    </w:div>
    <w:div w:id="789470751">
      <w:bodyDiv w:val="1"/>
      <w:marLeft w:val="0"/>
      <w:marRight w:val="0"/>
      <w:marTop w:val="0"/>
      <w:marBottom w:val="0"/>
      <w:divBdr>
        <w:top w:val="none" w:sz="0" w:space="0" w:color="auto"/>
        <w:left w:val="none" w:sz="0" w:space="0" w:color="auto"/>
        <w:bottom w:val="none" w:sz="0" w:space="0" w:color="auto"/>
        <w:right w:val="none" w:sz="0" w:space="0" w:color="auto"/>
      </w:divBdr>
    </w:div>
    <w:div w:id="815604413">
      <w:bodyDiv w:val="1"/>
      <w:marLeft w:val="0"/>
      <w:marRight w:val="0"/>
      <w:marTop w:val="0"/>
      <w:marBottom w:val="0"/>
      <w:divBdr>
        <w:top w:val="none" w:sz="0" w:space="0" w:color="auto"/>
        <w:left w:val="none" w:sz="0" w:space="0" w:color="auto"/>
        <w:bottom w:val="none" w:sz="0" w:space="0" w:color="auto"/>
        <w:right w:val="none" w:sz="0" w:space="0" w:color="auto"/>
      </w:divBdr>
    </w:div>
    <w:div w:id="821048000">
      <w:bodyDiv w:val="1"/>
      <w:marLeft w:val="0"/>
      <w:marRight w:val="0"/>
      <w:marTop w:val="0"/>
      <w:marBottom w:val="0"/>
      <w:divBdr>
        <w:top w:val="none" w:sz="0" w:space="0" w:color="auto"/>
        <w:left w:val="none" w:sz="0" w:space="0" w:color="auto"/>
        <w:bottom w:val="none" w:sz="0" w:space="0" w:color="auto"/>
        <w:right w:val="none" w:sz="0" w:space="0" w:color="auto"/>
      </w:divBdr>
    </w:div>
    <w:div w:id="829055839">
      <w:bodyDiv w:val="1"/>
      <w:marLeft w:val="0"/>
      <w:marRight w:val="0"/>
      <w:marTop w:val="0"/>
      <w:marBottom w:val="0"/>
      <w:divBdr>
        <w:top w:val="none" w:sz="0" w:space="0" w:color="auto"/>
        <w:left w:val="none" w:sz="0" w:space="0" w:color="auto"/>
        <w:bottom w:val="none" w:sz="0" w:space="0" w:color="auto"/>
        <w:right w:val="none" w:sz="0" w:space="0" w:color="auto"/>
      </w:divBdr>
    </w:div>
    <w:div w:id="888152396">
      <w:bodyDiv w:val="1"/>
      <w:marLeft w:val="0"/>
      <w:marRight w:val="0"/>
      <w:marTop w:val="0"/>
      <w:marBottom w:val="0"/>
      <w:divBdr>
        <w:top w:val="none" w:sz="0" w:space="0" w:color="auto"/>
        <w:left w:val="none" w:sz="0" w:space="0" w:color="auto"/>
        <w:bottom w:val="none" w:sz="0" w:space="0" w:color="auto"/>
        <w:right w:val="none" w:sz="0" w:space="0" w:color="auto"/>
      </w:divBdr>
    </w:div>
    <w:div w:id="895120142">
      <w:bodyDiv w:val="1"/>
      <w:marLeft w:val="0"/>
      <w:marRight w:val="0"/>
      <w:marTop w:val="0"/>
      <w:marBottom w:val="0"/>
      <w:divBdr>
        <w:top w:val="none" w:sz="0" w:space="0" w:color="auto"/>
        <w:left w:val="none" w:sz="0" w:space="0" w:color="auto"/>
        <w:bottom w:val="none" w:sz="0" w:space="0" w:color="auto"/>
        <w:right w:val="none" w:sz="0" w:space="0" w:color="auto"/>
      </w:divBdr>
    </w:div>
    <w:div w:id="940837266">
      <w:bodyDiv w:val="1"/>
      <w:marLeft w:val="0"/>
      <w:marRight w:val="0"/>
      <w:marTop w:val="0"/>
      <w:marBottom w:val="0"/>
      <w:divBdr>
        <w:top w:val="none" w:sz="0" w:space="0" w:color="auto"/>
        <w:left w:val="none" w:sz="0" w:space="0" w:color="auto"/>
        <w:bottom w:val="none" w:sz="0" w:space="0" w:color="auto"/>
        <w:right w:val="none" w:sz="0" w:space="0" w:color="auto"/>
      </w:divBdr>
    </w:div>
    <w:div w:id="942304158">
      <w:bodyDiv w:val="1"/>
      <w:marLeft w:val="0"/>
      <w:marRight w:val="0"/>
      <w:marTop w:val="0"/>
      <w:marBottom w:val="0"/>
      <w:divBdr>
        <w:top w:val="none" w:sz="0" w:space="0" w:color="auto"/>
        <w:left w:val="none" w:sz="0" w:space="0" w:color="auto"/>
        <w:bottom w:val="none" w:sz="0" w:space="0" w:color="auto"/>
        <w:right w:val="none" w:sz="0" w:space="0" w:color="auto"/>
      </w:divBdr>
    </w:div>
    <w:div w:id="956179103">
      <w:bodyDiv w:val="1"/>
      <w:marLeft w:val="0"/>
      <w:marRight w:val="0"/>
      <w:marTop w:val="0"/>
      <w:marBottom w:val="0"/>
      <w:divBdr>
        <w:top w:val="none" w:sz="0" w:space="0" w:color="auto"/>
        <w:left w:val="none" w:sz="0" w:space="0" w:color="auto"/>
        <w:bottom w:val="none" w:sz="0" w:space="0" w:color="auto"/>
        <w:right w:val="none" w:sz="0" w:space="0" w:color="auto"/>
      </w:divBdr>
    </w:div>
    <w:div w:id="971903827">
      <w:bodyDiv w:val="1"/>
      <w:marLeft w:val="0"/>
      <w:marRight w:val="0"/>
      <w:marTop w:val="0"/>
      <w:marBottom w:val="0"/>
      <w:divBdr>
        <w:top w:val="none" w:sz="0" w:space="0" w:color="auto"/>
        <w:left w:val="none" w:sz="0" w:space="0" w:color="auto"/>
        <w:bottom w:val="none" w:sz="0" w:space="0" w:color="auto"/>
        <w:right w:val="none" w:sz="0" w:space="0" w:color="auto"/>
      </w:divBdr>
    </w:div>
    <w:div w:id="992758306">
      <w:bodyDiv w:val="1"/>
      <w:marLeft w:val="0"/>
      <w:marRight w:val="0"/>
      <w:marTop w:val="0"/>
      <w:marBottom w:val="0"/>
      <w:divBdr>
        <w:top w:val="none" w:sz="0" w:space="0" w:color="auto"/>
        <w:left w:val="none" w:sz="0" w:space="0" w:color="auto"/>
        <w:bottom w:val="none" w:sz="0" w:space="0" w:color="auto"/>
        <w:right w:val="none" w:sz="0" w:space="0" w:color="auto"/>
      </w:divBdr>
    </w:div>
    <w:div w:id="996223384">
      <w:bodyDiv w:val="1"/>
      <w:marLeft w:val="0"/>
      <w:marRight w:val="0"/>
      <w:marTop w:val="0"/>
      <w:marBottom w:val="0"/>
      <w:divBdr>
        <w:top w:val="none" w:sz="0" w:space="0" w:color="auto"/>
        <w:left w:val="none" w:sz="0" w:space="0" w:color="auto"/>
        <w:bottom w:val="none" w:sz="0" w:space="0" w:color="auto"/>
        <w:right w:val="none" w:sz="0" w:space="0" w:color="auto"/>
      </w:divBdr>
    </w:div>
    <w:div w:id="998070099">
      <w:bodyDiv w:val="1"/>
      <w:marLeft w:val="0"/>
      <w:marRight w:val="0"/>
      <w:marTop w:val="0"/>
      <w:marBottom w:val="0"/>
      <w:divBdr>
        <w:top w:val="none" w:sz="0" w:space="0" w:color="auto"/>
        <w:left w:val="none" w:sz="0" w:space="0" w:color="auto"/>
        <w:bottom w:val="none" w:sz="0" w:space="0" w:color="auto"/>
        <w:right w:val="none" w:sz="0" w:space="0" w:color="auto"/>
      </w:divBdr>
    </w:div>
    <w:div w:id="1009526453">
      <w:bodyDiv w:val="1"/>
      <w:marLeft w:val="0"/>
      <w:marRight w:val="0"/>
      <w:marTop w:val="0"/>
      <w:marBottom w:val="0"/>
      <w:divBdr>
        <w:top w:val="none" w:sz="0" w:space="0" w:color="auto"/>
        <w:left w:val="none" w:sz="0" w:space="0" w:color="auto"/>
        <w:bottom w:val="none" w:sz="0" w:space="0" w:color="auto"/>
        <w:right w:val="none" w:sz="0" w:space="0" w:color="auto"/>
      </w:divBdr>
    </w:div>
    <w:div w:id="1014191527">
      <w:bodyDiv w:val="1"/>
      <w:marLeft w:val="0"/>
      <w:marRight w:val="0"/>
      <w:marTop w:val="0"/>
      <w:marBottom w:val="0"/>
      <w:divBdr>
        <w:top w:val="none" w:sz="0" w:space="0" w:color="auto"/>
        <w:left w:val="none" w:sz="0" w:space="0" w:color="auto"/>
        <w:bottom w:val="none" w:sz="0" w:space="0" w:color="auto"/>
        <w:right w:val="none" w:sz="0" w:space="0" w:color="auto"/>
      </w:divBdr>
    </w:div>
    <w:div w:id="1039167993">
      <w:bodyDiv w:val="1"/>
      <w:marLeft w:val="0"/>
      <w:marRight w:val="0"/>
      <w:marTop w:val="0"/>
      <w:marBottom w:val="0"/>
      <w:divBdr>
        <w:top w:val="none" w:sz="0" w:space="0" w:color="auto"/>
        <w:left w:val="none" w:sz="0" w:space="0" w:color="auto"/>
        <w:bottom w:val="none" w:sz="0" w:space="0" w:color="auto"/>
        <w:right w:val="none" w:sz="0" w:space="0" w:color="auto"/>
      </w:divBdr>
    </w:div>
    <w:div w:id="1083339440">
      <w:bodyDiv w:val="1"/>
      <w:marLeft w:val="0"/>
      <w:marRight w:val="0"/>
      <w:marTop w:val="0"/>
      <w:marBottom w:val="0"/>
      <w:divBdr>
        <w:top w:val="none" w:sz="0" w:space="0" w:color="auto"/>
        <w:left w:val="none" w:sz="0" w:space="0" w:color="auto"/>
        <w:bottom w:val="none" w:sz="0" w:space="0" w:color="auto"/>
        <w:right w:val="none" w:sz="0" w:space="0" w:color="auto"/>
      </w:divBdr>
    </w:div>
    <w:div w:id="1101098301">
      <w:bodyDiv w:val="1"/>
      <w:marLeft w:val="0"/>
      <w:marRight w:val="0"/>
      <w:marTop w:val="0"/>
      <w:marBottom w:val="0"/>
      <w:divBdr>
        <w:top w:val="none" w:sz="0" w:space="0" w:color="auto"/>
        <w:left w:val="none" w:sz="0" w:space="0" w:color="auto"/>
        <w:bottom w:val="none" w:sz="0" w:space="0" w:color="auto"/>
        <w:right w:val="none" w:sz="0" w:space="0" w:color="auto"/>
      </w:divBdr>
    </w:div>
    <w:div w:id="1101492940">
      <w:bodyDiv w:val="1"/>
      <w:marLeft w:val="0"/>
      <w:marRight w:val="0"/>
      <w:marTop w:val="0"/>
      <w:marBottom w:val="0"/>
      <w:divBdr>
        <w:top w:val="none" w:sz="0" w:space="0" w:color="auto"/>
        <w:left w:val="none" w:sz="0" w:space="0" w:color="auto"/>
        <w:bottom w:val="none" w:sz="0" w:space="0" w:color="auto"/>
        <w:right w:val="none" w:sz="0" w:space="0" w:color="auto"/>
      </w:divBdr>
    </w:div>
    <w:div w:id="1163352032">
      <w:bodyDiv w:val="1"/>
      <w:marLeft w:val="0"/>
      <w:marRight w:val="0"/>
      <w:marTop w:val="0"/>
      <w:marBottom w:val="0"/>
      <w:divBdr>
        <w:top w:val="none" w:sz="0" w:space="0" w:color="auto"/>
        <w:left w:val="none" w:sz="0" w:space="0" w:color="auto"/>
        <w:bottom w:val="none" w:sz="0" w:space="0" w:color="auto"/>
        <w:right w:val="none" w:sz="0" w:space="0" w:color="auto"/>
      </w:divBdr>
    </w:div>
    <w:div w:id="1184128871">
      <w:bodyDiv w:val="1"/>
      <w:marLeft w:val="0"/>
      <w:marRight w:val="0"/>
      <w:marTop w:val="0"/>
      <w:marBottom w:val="0"/>
      <w:divBdr>
        <w:top w:val="none" w:sz="0" w:space="0" w:color="auto"/>
        <w:left w:val="none" w:sz="0" w:space="0" w:color="auto"/>
        <w:bottom w:val="none" w:sz="0" w:space="0" w:color="auto"/>
        <w:right w:val="none" w:sz="0" w:space="0" w:color="auto"/>
      </w:divBdr>
    </w:div>
    <w:div w:id="1187064271">
      <w:bodyDiv w:val="1"/>
      <w:marLeft w:val="0"/>
      <w:marRight w:val="0"/>
      <w:marTop w:val="0"/>
      <w:marBottom w:val="0"/>
      <w:divBdr>
        <w:top w:val="none" w:sz="0" w:space="0" w:color="auto"/>
        <w:left w:val="none" w:sz="0" w:space="0" w:color="auto"/>
        <w:bottom w:val="none" w:sz="0" w:space="0" w:color="auto"/>
        <w:right w:val="none" w:sz="0" w:space="0" w:color="auto"/>
      </w:divBdr>
    </w:div>
    <w:div w:id="1198423735">
      <w:bodyDiv w:val="1"/>
      <w:marLeft w:val="0"/>
      <w:marRight w:val="0"/>
      <w:marTop w:val="0"/>
      <w:marBottom w:val="0"/>
      <w:divBdr>
        <w:top w:val="none" w:sz="0" w:space="0" w:color="auto"/>
        <w:left w:val="none" w:sz="0" w:space="0" w:color="auto"/>
        <w:bottom w:val="none" w:sz="0" w:space="0" w:color="auto"/>
        <w:right w:val="none" w:sz="0" w:space="0" w:color="auto"/>
      </w:divBdr>
    </w:div>
    <w:div w:id="1206257058">
      <w:bodyDiv w:val="1"/>
      <w:marLeft w:val="0"/>
      <w:marRight w:val="0"/>
      <w:marTop w:val="0"/>
      <w:marBottom w:val="0"/>
      <w:divBdr>
        <w:top w:val="none" w:sz="0" w:space="0" w:color="auto"/>
        <w:left w:val="none" w:sz="0" w:space="0" w:color="auto"/>
        <w:bottom w:val="none" w:sz="0" w:space="0" w:color="auto"/>
        <w:right w:val="none" w:sz="0" w:space="0" w:color="auto"/>
      </w:divBdr>
    </w:div>
    <w:div w:id="1211839136">
      <w:bodyDiv w:val="1"/>
      <w:marLeft w:val="0"/>
      <w:marRight w:val="0"/>
      <w:marTop w:val="0"/>
      <w:marBottom w:val="0"/>
      <w:divBdr>
        <w:top w:val="none" w:sz="0" w:space="0" w:color="auto"/>
        <w:left w:val="none" w:sz="0" w:space="0" w:color="auto"/>
        <w:bottom w:val="none" w:sz="0" w:space="0" w:color="auto"/>
        <w:right w:val="none" w:sz="0" w:space="0" w:color="auto"/>
      </w:divBdr>
    </w:div>
    <w:div w:id="1268195942">
      <w:bodyDiv w:val="1"/>
      <w:marLeft w:val="0"/>
      <w:marRight w:val="0"/>
      <w:marTop w:val="0"/>
      <w:marBottom w:val="0"/>
      <w:divBdr>
        <w:top w:val="none" w:sz="0" w:space="0" w:color="auto"/>
        <w:left w:val="none" w:sz="0" w:space="0" w:color="auto"/>
        <w:bottom w:val="none" w:sz="0" w:space="0" w:color="auto"/>
        <w:right w:val="none" w:sz="0" w:space="0" w:color="auto"/>
      </w:divBdr>
    </w:div>
    <w:div w:id="1307583527">
      <w:bodyDiv w:val="1"/>
      <w:marLeft w:val="0"/>
      <w:marRight w:val="0"/>
      <w:marTop w:val="0"/>
      <w:marBottom w:val="0"/>
      <w:divBdr>
        <w:top w:val="none" w:sz="0" w:space="0" w:color="auto"/>
        <w:left w:val="none" w:sz="0" w:space="0" w:color="auto"/>
        <w:bottom w:val="none" w:sz="0" w:space="0" w:color="auto"/>
        <w:right w:val="none" w:sz="0" w:space="0" w:color="auto"/>
      </w:divBdr>
    </w:div>
    <w:div w:id="1311397126">
      <w:bodyDiv w:val="1"/>
      <w:marLeft w:val="0"/>
      <w:marRight w:val="0"/>
      <w:marTop w:val="0"/>
      <w:marBottom w:val="0"/>
      <w:divBdr>
        <w:top w:val="none" w:sz="0" w:space="0" w:color="auto"/>
        <w:left w:val="none" w:sz="0" w:space="0" w:color="auto"/>
        <w:bottom w:val="none" w:sz="0" w:space="0" w:color="auto"/>
        <w:right w:val="none" w:sz="0" w:space="0" w:color="auto"/>
      </w:divBdr>
    </w:div>
    <w:div w:id="1322612492">
      <w:bodyDiv w:val="1"/>
      <w:marLeft w:val="0"/>
      <w:marRight w:val="0"/>
      <w:marTop w:val="0"/>
      <w:marBottom w:val="0"/>
      <w:divBdr>
        <w:top w:val="none" w:sz="0" w:space="0" w:color="auto"/>
        <w:left w:val="none" w:sz="0" w:space="0" w:color="auto"/>
        <w:bottom w:val="none" w:sz="0" w:space="0" w:color="auto"/>
        <w:right w:val="none" w:sz="0" w:space="0" w:color="auto"/>
      </w:divBdr>
    </w:div>
    <w:div w:id="1346639940">
      <w:bodyDiv w:val="1"/>
      <w:marLeft w:val="0"/>
      <w:marRight w:val="0"/>
      <w:marTop w:val="0"/>
      <w:marBottom w:val="0"/>
      <w:divBdr>
        <w:top w:val="none" w:sz="0" w:space="0" w:color="auto"/>
        <w:left w:val="none" w:sz="0" w:space="0" w:color="auto"/>
        <w:bottom w:val="none" w:sz="0" w:space="0" w:color="auto"/>
        <w:right w:val="none" w:sz="0" w:space="0" w:color="auto"/>
      </w:divBdr>
    </w:div>
    <w:div w:id="1385329854">
      <w:bodyDiv w:val="1"/>
      <w:marLeft w:val="0"/>
      <w:marRight w:val="0"/>
      <w:marTop w:val="0"/>
      <w:marBottom w:val="0"/>
      <w:divBdr>
        <w:top w:val="none" w:sz="0" w:space="0" w:color="auto"/>
        <w:left w:val="none" w:sz="0" w:space="0" w:color="auto"/>
        <w:bottom w:val="none" w:sz="0" w:space="0" w:color="auto"/>
        <w:right w:val="none" w:sz="0" w:space="0" w:color="auto"/>
      </w:divBdr>
    </w:div>
    <w:div w:id="1396661753">
      <w:bodyDiv w:val="1"/>
      <w:marLeft w:val="0"/>
      <w:marRight w:val="0"/>
      <w:marTop w:val="0"/>
      <w:marBottom w:val="0"/>
      <w:divBdr>
        <w:top w:val="none" w:sz="0" w:space="0" w:color="auto"/>
        <w:left w:val="none" w:sz="0" w:space="0" w:color="auto"/>
        <w:bottom w:val="none" w:sz="0" w:space="0" w:color="auto"/>
        <w:right w:val="none" w:sz="0" w:space="0" w:color="auto"/>
      </w:divBdr>
    </w:div>
    <w:div w:id="1418861887">
      <w:bodyDiv w:val="1"/>
      <w:marLeft w:val="0"/>
      <w:marRight w:val="0"/>
      <w:marTop w:val="0"/>
      <w:marBottom w:val="0"/>
      <w:divBdr>
        <w:top w:val="none" w:sz="0" w:space="0" w:color="auto"/>
        <w:left w:val="none" w:sz="0" w:space="0" w:color="auto"/>
        <w:bottom w:val="none" w:sz="0" w:space="0" w:color="auto"/>
        <w:right w:val="none" w:sz="0" w:space="0" w:color="auto"/>
      </w:divBdr>
    </w:div>
    <w:div w:id="1422026341">
      <w:bodyDiv w:val="1"/>
      <w:marLeft w:val="0"/>
      <w:marRight w:val="0"/>
      <w:marTop w:val="0"/>
      <w:marBottom w:val="0"/>
      <w:divBdr>
        <w:top w:val="none" w:sz="0" w:space="0" w:color="auto"/>
        <w:left w:val="none" w:sz="0" w:space="0" w:color="auto"/>
        <w:bottom w:val="none" w:sz="0" w:space="0" w:color="auto"/>
        <w:right w:val="none" w:sz="0" w:space="0" w:color="auto"/>
      </w:divBdr>
    </w:div>
    <w:div w:id="1502162480">
      <w:bodyDiv w:val="1"/>
      <w:marLeft w:val="0"/>
      <w:marRight w:val="0"/>
      <w:marTop w:val="0"/>
      <w:marBottom w:val="0"/>
      <w:divBdr>
        <w:top w:val="none" w:sz="0" w:space="0" w:color="auto"/>
        <w:left w:val="none" w:sz="0" w:space="0" w:color="auto"/>
        <w:bottom w:val="none" w:sz="0" w:space="0" w:color="auto"/>
        <w:right w:val="none" w:sz="0" w:space="0" w:color="auto"/>
      </w:divBdr>
    </w:div>
    <w:div w:id="1505046927">
      <w:bodyDiv w:val="1"/>
      <w:marLeft w:val="0"/>
      <w:marRight w:val="0"/>
      <w:marTop w:val="0"/>
      <w:marBottom w:val="0"/>
      <w:divBdr>
        <w:top w:val="none" w:sz="0" w:space="0" w:color="auto"/>
        <w:left w:val="none" w:sz="0" w:space="0" w:color="auto"/>
        <w:bottom w:val="none" w:sz="0" w:space="0" w:color="auto"/>
        <w:right w:val="none" w:sz="0" w:space="0" w:color="auto"/>
      </w:divBdr>
    </w:div>
    <w:div w:id="1507013877">
      <w:bodyDiv w:val="1"/>
      <w:marLeft w:val="0"/>
      <w:marRight w:val="0"/>
      <w:marTop w:val="0"/>
      <w:marBottom w:val="0"/>
      <w:divBdr>
        <w:top w:val="none" w:sz="0" w:space="0" w:color="auto"/>
        <w:left w:val="none" w:sz="0" w:space="0" w:color="auto"/>
        <w:bottom w:val="none" w:sz="0" w:space="0" w:color="auto"/>
        <w:right w:val="none" w:sz="0" w:space="0" w:color="auto"/>
      </w:divBdr>
    </w:div>
    <w:div w:id="1545487421">
      <w:bodyDiv w:val="1"/>
      <w:marLeft w:val="0"/>
      <w:marRight w:val="0"/>
      <w:marTop w:val="0"/>
      <w:marBottom w:val="0"/>
      <w:divBdr>
        <w:top w:val="none" w:sz="0" w:space="0" w:color="auto"/>
        <w:left w:val="none" w:sz="0" w:space="0" w:color="auto"/>
        <w:bottom w:val="none" w:sz="0" w:space="0" w:color="auto"/>
        <w:right w:val="none" w:sz="0" w:space="0" w:color="auto"/>
      </w:divBdr>
    </w:div>
    <w:div w:id="1554196371">
      <w:bodyDiv w:val="1"/>
      <w:marLeft w:val="0"/>
      <w:marRight w:val="0"/>
      <w:marTop w:val="0"/>
      <w:marBottom w:val="0"/>
      <w:divBdr>
        <w:top w:val="none" w:sz="0" w:space="0" w:color="auto"/>
        <w:left w:val="none" w:sz="0" w:space="0" w:color="auto"/>
        <w:bottom w:val="none" w:sz="0" w:space="0" w:color="auto"/>
        <w:right w:val="none" w:sz="0" w:space="0" w:color="auto"/>
      </w:divBdr>
    </w:div>
    <w:div w:id="1554923739">
      <w:bodyDiv w:val="1"/>
      <w:marLeft w:val="0"/>
      <w:marRight w:val="0"/>
      <w:marTop w:val="0"/>
      <w:marBottom w:val="0"/>
      <w:divBdr>
        <w:top w:val="none" w:sz="0" w:space="0" w:color="auto"/>
        <w:left w:val="none" w:sz="0" w:space="0" w:color="auto"/>
        <w:bottom w:val="none" w:sz="0" w:space="0" w:color="auto"/>
        <w:right w:val="none" w:sz="0" w:space="0" w:color="auto"/>
      </w:divBdr>
    </w:div>
    <w:div w:id="1573809026">
      <w:bodyDiv w:val="1"/>
      <w:marLeft w:val="0"/>
      <w:marRight w:val="0"/>
      <w:marTop w:val="0"/>
      <w:marBottom w:val="0"/>
      <w:divBdr>
        <w:top w:val="none" w:sz="0" w:space="0" w:color="auto"/>
        <w:left w:val="none" w:sz="0" w:space="0" w:color="auto"/>
        <w:bottom w:val="none" w:sz="0" w:space="0" w:color="auto"/>
        <w:right w:val="none" w:sz="0" w:space="0" w:color="auto"/>
      </w:divBdr>
    </w:div>
    <w:div w:id="1586527963">
      <w:bodyDiv w:val="1"/>
      <w:marLeft w:val="0"/>
      <w:marRight w:val="0"/>
      <w:marTop w:val="0"/>
      <w:marBottom w:val="0"/>
      <w:divBdr>
        <w:top w:val="none" w:sz="0" w:space="0" w:color="auto"/>
        <w:left w:val="none" w:sz="0" w:space="0" w:color="auto"/>
        <w:bottom w:val="none" w:sz="0" w:space="0" w:color="auto"/>
        <w:right w:val="none" w:sz="0" w:space="0" w:color="auto"/>
      </w:divBdr>
    </w:div>
    <w:div w:id="1607271315">
      <w:bodyDiv w:val="1"/>
      <w:marLeft w:val="0"/>
      <w:marRight w:val="0"/>
      <w:marTop w:val="0"/>
      <w:marBottom w:val="0"/>
      <w:divBdr>
        <w:top w:val="none" w:sz="0" w:space="0" w:color="auto"/>
        <w:left w:val="none" w:sz="0" w:space="0" w:color="auto"/>
        <w:bottom w:val="none" w:sz="0" w:space="0" w:color="auto"/>
        <w:right w:val="none" w:sz="0" w:space="0" w:color="auto"/>
      </w:divBdr>
      <w:divsChild>
        <w:div w:id="674303494">
          <w:marLeft w:val="446"/>
          <w:marRight w:val="0"/>
          <w:marTop w:val="0"/>
          <w:marBottom w:val="0"/>
          <w:divBdr>
            <w:top w:val="none" w:sz="0" w:space="0" w:color="auto"/>
            <w:left w:val="none" w:sz="0" w:space="0" w:color="auto"/>
            <w:bottom w:val="none" w:sz="0" w:space="0" w:color="auto"/>
            <w:right w:val="none" w:sz="0" w:space="0" w:color="auto"/>
          </w:divBdr>
        </w:div>
        <w:div w:id="177354682">
          <w:marLeft w:val="446"/>
          <w:marRight w:val="0"/>
          <w:marTop w:val="0"/>
          <w:marBottom w:val="0"/>
          <w:divBdr>
            <w:top w:val="none" w:sz="0" w:space="0" w:color="auto"/>
            <w:left w:val="none" w:sz="0" w:space="0" w:color="auto"/>
            <w:bottom w:val="none" w:sz="0" w:space="0" w:color="auto"/>
            <w:right w:val="none" w:sz="0" w:space="0" w:color="auto"/>
          </w:divBdr>
        </w:div>
        <w:div w:id="1051882803">
          <w:marLeft w:val="446"/>
          <w:marRight w:val="0"/>
          <w:marTop w:val="0"/>
          <w:marBottom w:val="0"/>
          <w:divBdr>
            <w:top w:val="none" w:sz="0" w:space="0" w:color="auto"/>
            <w:left w:val="none" w:sz="0" w:space="0" w:color="auto"/>
            <w:bottom w:val="none" w:sz="0" w:space="0" w:color="auto"/>
            <w:right w:val="none" w:sz="0" w:space="0" w:color="auto"/>
          </w:divBdr>
        </w:div>
        <w:div w:id="392970530">
          <w:marLeft w:val="446"/>
          <w:marRight w:val="0"/>
          <w:marTop w:val="0"/>
          <w:marBottom w:val="0"/>
          <w:divBdr>
            <w:top w:val="none" w:sz="0" w:space="0" w:color="auto"/>
            <w:left w:val="none" w:sz="0" w:space="0" w:color="auto"/>
            <w:bottom w:val="none" w:sz="0" w:space="0" w:color="auto"/>
            <w:right w:val="none" w:sz="0" w:space="0" w:color="auto"/>
          </w:divBdr>
        </w:div>
      </w:divsChild>
    </w:div>
    <w:div w:id="1629824055">
      <w:bodyDiv w:val="1"/>
      <w:marLeft w:val="0"/>
      <w:marRight w:val="0"/>
      <w:marTop w:val="0"/>
      <w:marBottom w:val="0"/>
      <w:divBdr>
        <w:top w:val="none" w:sz="0" w:space="0" w:color="auto"/>
        <w:left w:val="none" w:sz="0" w:space="0" w:color="auto"/>
        <w:bottom w:val="none" w:sz="0" w:space="0" w:color="auto"/>
        <w:right w:val="none" w:sz="0" w:space="0" w:color="auto"/>
      </w:divBdr>
    </w:div>
    <w:div w:id="1629974746">
      <w:bodyDiv w:val="1"/>
      <w:marLeft w:val="0"/>
      <w:marRight w:val="0"/>
      <w:marTop w:val="0"/>
      <w:marBottom w:val="0"/>
      <w:divBdr>
        <w:top w:val="none" w:sz="0" w:space="0" w:color="auto"/>
        <w:left w:val="none" w:sz="0" w:space="0" w:color="auto"/>
        <w:bottom w:val="none" w:sz="0" w:space="0" w:color="auto"/>
        <w:right w:val="none" w:sz="0" w:space="0" w:color="auto"/>
      </w:divBdr>
    </w:div>
    <w:div w:id="1636108649">
      <w:bodyDiv w:val="1"/>
      <w:marLeft w:val="0"/>
      <w:marRight w:val="0"/>
      <w:marTop w:val="0"/>
      <w:marBottom w:val="0"/>
      <w:divBdr>
        <w:top w:val="none" w:sz="0" w:space="0" w:color="auto"/>
        <w:left w:val="none" w:sz="0" w:space="0" w:color="auto"/>
        <w:bottom w:val="none" w:sz="0" w:space="0" w:color="auto"/>
        <w:right w:val="none" w:sz="0" w:space="0" w:color="auto"/>
      </w:divBdr>
    </w:div>
    <w:div w:id="1667054539">
      <w:bodyDiv w:val="1"/>
      <w:marLeft w:val="0"/>
      <w:marRight w:val="0"/>
      <w:marTop w:val="0"/>
      <w:marBottom w:val="0"/>
      <w:divBdr>
        <w:top w:val="none" w:sz="0" w:space="0" w:color="auto"/>
        <w:left w:val="none" w:sz="0" w:space="0" w:color="auto"/>
        <w:bottom w:val="none" w:sz="0" w:space="0" w:color="auto"/>
        <w:right w:val="none" w:sz="0" w:space="0" w:color="auto"/>
      </w:divBdr>
    </w:div>
    <w:div w:id="1672102526">
      <w:bodyDiv w:val="1"/>
      <w:marLeft w:val="0"/>
      <w:marRight w:val="0"/>
      <w:marTop w:val="0"/>
      <w:marBottom w:val="0"/>
      <w:divBdr>
        <w:top w:val="none" w:sz="0" w:space="0" w:color="auto"/>
        <w:left w:val="none" w:sz="0" w:space="0" w:color="auto"/>
        <w:bottom w:val="none" w:sz="0" w:space="0" w:color="auto"/>
        <w:right w:val="none" w:sz="0" w:space="0" w:color="auto"/>
      </w:divBdr>
    </w:div>
    <w:div w:id="1698508447">
      <w:bodyDiv w:val="1"/>
      <w:marLeft w:val="0"/>
      <w:marRight w:val="0"/>
      <w:marTop w:val="0"/>
      <w:marBottom w:val="0"/>
      <w:divBdr>
        <w:top w:val="none" w:sz="0" w:space="0" w:color="auto"/>
        <w:left w:val="none" w:sz="0" w:space="0" w:color="auto"/>
        <w:bottom w:val="none" w:sz="0" w:space="0" w:color="auto"/>
        <w:right w:val="none" w:sz="0" w:space="0" w:color="auto"/>
      </w:divBdr>
    </w:div>
    <w:div w:id="1719434467">
      <w:bodyDiv w:val="1"/>
      <w:marLeft w:val="0"/>
      <w:marRight w:val="0"/>
      <w:marTop w:val="0"/>
      <w:marBottom w:val="0"/>
      <w:divBdr>
        <w:top w:val="none" w:sz="0" w:space="0" w:color="auto"/>
        <w:left w:val="none" w:sz="0" w:space="0" w:color="auto"/>
        <w:bottom w:val="none" w:sz="0" w:space="0" w:color="auto"/>
        <w:right w:val="none" w:sz="0" w:space="0" w:color="auto"/>
      </w:divBdr>
    </w:div>
    <w:div w:id="1734497901">
      <w:bodyDiv w:val="1"/>
      <w:marLeft w:val="0"/>
      <w:marRight w:val="0"/>
      <w:marTop w:val="0"/>
      <w:marBottom w:val="0"/>
      <w:divBdr>
        <w:top w:val="none" w:sz="0" w:space="0" w:color="auto"/>
        <w:left w:val="none" w:sz="0" w:space="0" w:color="auto"/>
        <w:bottom w:val="none" w:sz="0" w:space="0" w:color="auto"/>
        <w:right w:val="none" w:sz="0" w:space="0" w:color="auto"/>
      </w:divBdr>
    </w:div>
    <w:div w:id="1796022787">
      <w:bodyDiv w:val="1"/>
      <w:marLeft w:val="0"/>
      <w:marRight w:val="0"/>
      <w:marTop w:val="0"/>
      <w:marBottom w:val="0"/>
      <w:divBdr>
        <w:top w:val="none" w:sz="0" w:space="0" w:color="auto"/>
        <w:left w:val="none" w:sz="0" w:space="0" w:color="auto"/>
        <w:bottom w:val="none" w:sz="0" w:space="0" w:color="auto"/>
        <w:right w:val="none" w:sz="0" w:space="0" w:color="auto"/>
      </w:divBdr>
    </w:div>
    <w:div w:id="1818255549">
      <w:bodyDiv w:val="1"/>
      <w:marLeft w:val="0"/>
      <w:marRight w:val="0"/>
      <w:marTop w:val="0"/>
      <w:marBottom w:val="0"/>
      <w:divBdr>
        <w:top w:val="none" w:sz="0" w:space="0" w:color="auto"/>
        <w:left w:val="none" w:sz="0" w:space="0" w:color="auto"/>
        <w:bottom w:val="none" w:sz="0" w:space="0" w:color="auto"/>
        <w:right w:val="none" w:sz="0" w:space="0" w:color="auto"/>
      </w:divBdr>
    </w:div>
    <w:div w:id="1838379032">
      <w:bodyDiv w:val="1"/>
      <w:marLeft w:val="0"/>
      <w:marRight w:val="0"/>
      <w:marTop w:val="0"/>
      <w:marBottom w:val="0"/>
      <w:divBdr>
        <w:top w:val="none" w:sz="0" w:space="0" w:color="auto"/>
        <w:left w:val="none" w:sz="0" w:space="0" w:color="auto"/>
        <w:bottom w:val="none" w:sz="0" w:space="0" w:color="auto"/>
        <w:right w:val="none" w:sz="0" w:space="0" w:color="auto"/>
      </w:divBdr>
    </w:div>
    <w:div w:id="1863014747">
      <w:bodyDiv w:val="1"/>
      <w:marLeft w:val="0"/>
      <w:marRight w:val="0"/>
      <w:marTop w:val="0"/>
      <w:marBottom w:val="0"/>
      <w:divBdr>
        <w:top w:val="none" w:sz="0" w:space="0" w:color="auto"/>
        <w:left w:val="none" w:sz="0" w:space="0" w:color="auto"/>
        <w:bottom w:val="none" w:sz="0" w:space="0" w:color="auto"/>
        <w:right w:val="none" w:sz="0" w:space="0" w:color="auto"/>
      </w:divBdr>
    </w:div>
    <w:div w:id="1896813996">
      <w:bodyDiv w:val="1"/>
      <w:marLeft w:val="0"/>
      <w:marRight w:val="0"/>
      <w:marTop w:val="0"/>
      <w:marBottom w:val="0"/>
      <w:divBdr>
        <w:top w:val="none" w:sz="0" w:space="0" w:color="auto"/>
        <w:left w:val="none" w:sz="0" w:space="0" w:color="auto"/>
        <w:bottom w:val="none" w:sz="0" w:space="0" w:color="auto"/>
        <w:right w:val="none" w:sz="0" w:space="0" w:color="auto"/>
      </w:divBdr>
    </w:div>
    <w:div w:id="1898736989">
      <w:bodyDiv w:val="1"/>
      <w:marLeft w:val="0"/>
      <w:marRight w:val="0"/>
      <w:marTop w:val="0"/>
      <w:marBottom w:val="0"/>
      <w:divBdr>
        <w:top w:val="none" w:sz="0" w:space="0" w:color="auto"/>
        <w:left w:val="none" w:sz="0" w:space="0" w:color="auto"/>
        <w:bottom w:val="none" w:sz="0" w:space="0" w:color="auto"/>
        <w:right w:val="none" w:sz="0" w:space="0" w:color="auto"/>
      </w:divBdr>
    </w:div>
    <w:div w:id="1902597633">
      <w:bodyDiv w:val="1"/>
      <w:marLeft w:val="0"/>
      <w:marRight w:val="0"/>
      <w:marTop w:val="0"/>
      <w:marBottom w:val="0"/>
      <w:divBdr>
        <w:top w:val="none" w:sz="0" w:space="0" w:color="auto"/>
        <w:left w:val="none" w:sz="0" w:space="0" w:color="auto"/>
        <w:bottom w:val="none" w:sz="0" w:space="0" w:color="auto"/>
        <w:right w:val="none" w:sz="0" w:space="0" w:color="auto"/>
      </w:divBdr>
    </w:div>
    <w:div w:id="1915507197">
      <w:bodyDiv w:val="1"/>
      <w:marLeft w:val="0"/>
      <w:marRight w:val="0"/>
      <w:marTop w:val="0"/>
      <w:marBottom w:val="0"/>
      <w:divBdr>
        <w:top w:val="none" w:sz="0" w:space="0" w:color="auto"/>
        <w:left w:val="none" w:sz="0" w:space="0" w:color="auto"/>
        <w:bottom w:val="none" w:sz="0" w:space="0" w:color="auto"/>
        <w:right w:val="none" w:sz="0" w:space="0" w:color="auto"/>
      </w:divBdr>
    </w:div>
    <w:div w:id="1942910526">
      <w:bodyDiv w:val="1"/>
      <w:marLeft w:val="0"/>
      <w:marRight w:val="0"/>
      <w:marTop w:val="0"/>
      <w:marBottom w:val="0"/>
      <w:divBdr>
        <w:top w:val="none" w:sz="0" w:space="0" w:color="auto"/>
        <w:left w:val="none" w:sz="0" w:space="0" w:color="auto"/>
        <w:bottom w:val="none" w:sz="0" w:space="0" w:color="auto"/>
        <w:right w:val="none" w:sz="0" w:space="0" w:color="auto"/>
      </w:divBdr>
    </w:div>
    <w:div w:id="1956133832">
      <w:bodyDiv w:val="1"/>
      <w:marLeft w:val="0"/>
      <w:marRight w:val="0"/>
      <w:marTop w:val="0"/>
      <w:marBottom w:val="0"/>
      <w:divBdr>
        <w:top w:val="none" w:sz="0" w:space="0" w:color="auto"/>
        <w:left w:val="none" w:sz="0" w:space="0" w:color="auto"/>
        <w:bottom w:val="none" w:sz="0" w:space="0" w:color="auto"/>
        <w:right w:val="none" w:sz="0" w:space="0" w:color="auto"/>
      </w:divBdr>
    </w:div>
    <w:div w:id="1964924269">
      <w:bodyDiv w:val="1"/>
      <w:marLeft w:val="0"/>
      <w:marRight w:val="0"/>
      <w:marTop w:val="0"/>
      <w:marBottom w:val="0"/>
      <w:divBdr>
        <w:top w:val="none" w:sz="0" w:space="0" w:color="auto"/>
        <w:left w:val="none" w:sz="0" w:space="0" w:color="auto"/>
        <w:bottom w:val="none" w:sz="0" w:space="0" w:color="auto"/>
        <w:right w:val="none" w:sz="0" w:space="0" w:color="auto"/>
      </w:divBdr>
    </w:div>
    <w:div w:id="2017533941">
      <w:bodyDiv w:val="1"/>
      <w:marLeft w:val="0"/>
      <w:marRight w:val="0"/>
      <w:marTop w:val="0"/>
      <w:marBottom w:val="0"/>
      <w:divBdr>
        <w:top w:val="none" w:sz="0" w:space="0" w:color="auto"/>
        <w:left w:val="none" w:sz="0" w:space="0" w:color="auto"/>
        <w:bottom w:val="none" w:sz="0" w:space="0" w:color="auto"/>
        <w:right w:val="none" w:sz="0" w:space="0" w:color="auto"/>
      </w:divBdr>
    </w:div>
    <w:div w:id="2112167195">
      <w:bodyDiv w:val="1"/>
      <w:marLeft w:val="0"/>
      <w:marRight w:val="0"/>
      <w:marTop w:val="0"/>
      <w:marBottom w:val="0"/>
      <w:divBdr>
        <w:top w:val="none" w:sz="0" w:space="0" w:color="auto"/>
        <w:left w:val="none" w:sz="0" w:space="0" w:color="auto"/>
        <w:bottom w:val="none" w:sz="0" w:space="0" w:color="auto"/>
        <w:right w:val="none" w:sz="0" w:space="0" w:color="auto"/>
      </w:divBdr>
    </w:div>
    <w:div w:id="2119061895">
      <w:bodyDiv w:val="1"/>
      <w:marLeft w:val="0"/>
      <w:marRight w:val="0"/>
      <w:marTop w:val="0"/>
      <w:marBottom w:val="0"/>
      <w:divBdr>
        <w:top w:val="none" w:sz="0" w:space="0" w:color="auto"/>
        <w:left w:val="none" w:sz="0" w:space="0" w:color="auto"/>
        <w:bottom w:val="none" w:sz="0" w:space="0" w:color="auto"/>
        <w:right w:val="none" w:sz="0" w:space="0" w:color="auto"/>
      </w:divBdr>
    </w:div>
    <w:div w:id="2138178086">
      <w:bodyDiv w:val="1"/>
      <w:marLeft w:val="0"/>
      <w:marRight w:val="0"/>
      <w:marTop w:val="0"/>
      <w:marBottom w:val="0"/>
      <w:divBdr>
        <w:top w:val="none" w:sz="0" w:space="0" w:color="auto"/>
        <w:left w:val="none" w:sz="0" w:space="0" w:color="auto"/>
        <w:bottom w:val="none" w:sz="0" w:space="0" w:color="auto"/>
        <w:right w:val="none" w:sz="0" w:space="0" w:color="auto"/>
      </w:divBdr>
    </w:div>
    <w:div w:id="21424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 Curve'!$F$3:$F$12</c:f>
              <c:numCache>
                <c:formatCode>General</c:formatCode>
                <c:ptCount val="10"/>
                <c:pt idx="0">
                  <c:v>2017</c:v>
                </c:pt>
                <c:pt idx="1">
                  <c:v>2018</c:v>
                </c:pt>
                <c:pt idx="2">
                  <c:v>2019</c:v>
                </c:pt>
                <c:pt idx="3">
                  <c:v>2020</c:v>
                </c:pt>
                <c:pt idx="4">
                  <c:v>2021</c:v>
                </c:pt>
                <c:pt idx="5">
                  <c:v>2022</c:v>
                </c:pt>
                <c:pt idx="6">
                  <c:v>2023</c:v>
                </c:pt>
                <c:pt idx="7">
                  <c:v>2024</c:v>
                </c:pt>
                <c:pt idx="8">
                  <c:v>2025</c:v>
                </c:pt>
                <c:pt idx="9">
                  <c:v>2026</c:v>
                </c:pt>
              </c:numCache>
            </c:numRef>
          </c:cat>
          <c:val>
            <c:numRef>
              <c:f>'S Curve'!$B$3:$B$12</c:f>
              <c:numCache>
                <c:formatCode>_(* #,##0_);_(* \(#,##0\);_(* "-"??_);_(@_)</c:formatCode>
                <c:ptCount val="10"/>
                <c:pt idx="0" formatCode="General">
                  <c:v>200</c:v>
                </c:pt>
                <c:pt idx="1">
                  <c:v>431.17271455638655</c:v>
                </c:pt>
                <c:pt idx="2">
                  <c:v>866.26349852139651</c:v>
                </c:pt>
                <c:pt idx="3">
                  <c:v>1542.7176168719648</c:v>
                </c:pt>
                <c:pt idx="4">
                  <c:v>2335.0511059216301</c:v>
                </c:pt>
                <c:pt idx="5">
                  <c:v>3005.8894329473874</c:v>
                </c:pt>
                <c:pt idx="6">
                  <c:v>3434.6640114478591</c:v>
                </c:pt>
                <c:pt idx="7">
                  <c:v>3661.6260971440315</c:v>
                </c:pt>
                <c:pt idx="8">
                  <c:v>3769.8739204796561</c:v>
                </c:pt>
                <c:pt idx="9">
                  <c:v>3818.9319830791619</c:v>
                </c:pt>
              </c:numCache>
            </c:numRef>
          </c:val>
          <c:smooth val="0"/>
          <c:extLst>
            <c:ext xmlns:c16="http://schemas.microsoft.com/office/drawing/2014/chart" uri="{C3380CC4-5D6E-409C-BE32-E72D297353CC}">
              <c16:uniqueId val="{00000000-B743-4381-950C-15BECD989382}"/>
            </c:ext>
          </c:extLst>
        </c:ser>
        <c:dLbls>
          <c:showLegendKey val="0"/>
          <c:showVal val="0"/>
          <c:showCatName val="0"/>
          <c:showSerName val="0"/>
          <c:showPercent val="0"/>
          <c:showBubbleSize val="0"/>
        </c:dLbls>
        <c:marker val="1"/>
        <c:smooth val="0"/>
        <c:axId val="292865736"/>
        <c:axId val="292865344"/>
      </c:lineChart>
      <c:catAx>
        <c:axId val="2928657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865344"/>
        <c:crosses val="autoZero"/>
        <c:auto val="1"/>
        <c:lblAlgn val="ctr"/>
        <c:lblOffset val="100"/>
        <c:noMultiLvlLbl val="0"/>
      </c:catAx>
      <c:valAx>
        <c:axId val="29286534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Annual</a:t>
                </a:r>
                <a:r>
                  <a:rPr lang="en-US" baseline="0"/>
                  <a:t> </a:t>
                </a:r>
                <a:r>
                  <a:rPr lang="en-US"/>
                  <a:t>RSPV Penetration - MW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865736"/>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Text" lastClr="000000">
          <a:lumMod val="50000"/>
          <a:lumOff val="50000"/>
        </a:sys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Order xmlns="b99a068c-3844-4a16-badd-77233eea0529" xsi:nil="true"/>
    <DocStatus xmlns="b99a068c-3844-4a16-badd-77233eea0529" xsi:nil="true"/>
    <DocAuthors xmlns="b99a068c-3844-4a16-badd-77233eea0529">000104243:Jas Singh:jsingh3@worldbank.org;</DocAuthors>
    <RefreshDate xmlns="b99a068c-3844-4a16-badd-77233eea0529" xsi:nil="true"/>
    <Abstract xmlns="b99a068c-3844-4a16-badd-77233eea0529" xsi:nil="true"/>
    <Authors xmlns="b99a068c-3844-4a16-badd-77233eea0529">
      <UserInfo>
        <DisplayName>i:0#.w|wb\wb104243</DisplayName>
        <AccountId>5299</AccountId>
        <AccountType/>
      </UserInfo>
      <UserInfo>
        <DisplayName/>
        <AccountId xsi:nil="true"/>
        <AccountType/>
      </UserInfo>
    </Authors>
    <SequenceNum xmlns="b99a068c-3844-4a16-badd-77233eea0529" xsi:nil="true"/>
    <Cordis_x0020_ID xmlns="b99a068c-3844-4a16-badd-77233eea0529" xsi:nil="true"/>
    <Stage xmlns="b99a068c-3844-4a16-badd-77233eea0529">IMP</Stage>
    <PolicyExceptions xmlns="b99a068c-3844-4a16-badd-77233eea0529" xsi:nil="true"/>
    <IsHidden xmlns="b99a068c-3844-4a16-badd-77233eea0529">false</IsHidden>
    <IsTemplate xmlns="b99a068c-3844-4a16-badd-77233eea0529">false</IsTemplate>
    <WBDocType xmlns="b99a068c-3844-4a16-badd-77233eea0529">Report</WBDocType>
    <DisclosedVersion xmlns="b99a068c-3844-4a16-badd-77233eea0529" xsi:nil="true"/>
    <SecurityClassification xmlns="b99a068c-3844-4a16-badd-77233eea0529">Public</SecurityClassification>
    <DeliverableID xmlns="b99a068c-3844-4a16-badd-77233eea0529">DLV0176122</DeliverableID>
    <IsMandatory xmlns="b99a068c-3844-4a16-badd-77233eea0529">false</IsMandatory>
    <DocumentAction xmlns="b99a068c-3844-4a16-badd-77233eea0529" xsi:nil="true"/>
    <ProjectID xmlns="b99a068c-3844-4a16-badd-77233eea0529">P162236</ProjectID>
    <AttachmentType xmlns="b99a068c-3844-4a16-badd-77233eea0529" xsi:nil="true"/>
    <LockStatus xmlns="b99a068c-3844-4a16-badd-77233eea0529" xsi:nil="true"/>
    <TemplateDocVersion xmlns="b99a068c-3844-4a16-badd-77233eea0529" xsi:nil="true"/>
    <DependentDoc xmlns="b99a068c-3844-4a16-badd-77233eea0529" xsi:nil="true"/>
    <ApprovedVersion xmlns="b99a068c-3844-4a16-badd-77233eea0529" xsi:nil="true"/>
    <DocumentType xmlns="b99a068c-3844-4a16-badd-77233eea0529" xsi:nil="true"/>
    <Task_x0020_ID xmlns="b99a068c-3844-4a16-badd-77233eea0529" xsi:nil="true"/>
    <Package xmlns="b99a068c-3844-4a16-badd-77233eea0529">true</Package>
    <SAPStage xmlns="b99a068c-3844-4a16-badd-77233eea0529" xsi:nil="true"/>
    <HasUserUploaded xmlns="b99a068c-3844-4a16-badd-77233eea0529">true</HasUserUploaded>
    <DocumentDate xmlns="b99a068c-3844-4a16-badd-77233eea0529">2018-02-16T05:00:00+00:00</DocumentDate>
  </documentManagement>
</p:properties>
</file>

<file path=customXml/item4.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BF03930D6F2D4748834710E8DA8BC1EA" ma:contentTypeVersion="51" ma:contentTypeDescription="" ma:contentTypeScope="" ma:versionID="3a04747ecfe721e9e43d56e2c13f4174">
  <xsd:schema xmlns:xsd="http://www.w3.org/2001/XMLSchema" xmlns:xs="http://www.w3.org/2001/XMLSchema" xmlns:p="http://schemas.microsoft.com/office/2006/metadata/properties" xmlns:ns2="b99a068c-3844-4a16-badd-77233eea0529" targetNamespace="http://schemas.microsoft.com/office/2006/metadata/properties" ma:root="true" ma:fieldsID="76a2592a923c31c4dcb92e9e37026133"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D0A96BFA-6E28-4ED6-B287-09D82D8CBA22}"/>
</file>

<file path=customXml/itemProps2.xml><?xml version="1.0" encoding="utf-8"?>
<ds:datastoreItem xmlns:ds="http://schemas.openxmlformats.org/officeDocument/2006/customXml" ds:itemID="{4BEB9827-102B-468A-8571-86CA9D228B82}"/>
</file>

<file path=customXml/itemProps3.xml><?xml version="1.0" encoding="utf-8"?>
<ds:datastoreItem xmlns:ds="http://schemas.openxmlformats.org/officeDocument/2006/customXml" ds:itemID="{C82D1256-EFD6-43D6-906C-8CED4E804379}"/>
</file>

<file path=customXml/itemProps4.xml><?xml version="1.0" encoding="utf-8"?>
<ds:datastoreItem xmlns:ds="http://schemas.openxmlformats.org/officeDocument/2006/customXml" ds:itemID="{A90744E0-DED2-43C1-8AEC-FE7B33220196}"/>
</file>

<file path=customXml/itemProps5.xml><?xml version="1.0" encoding="utf-8"?>
<ds:datastoreItem xmlns:ds="http://schemas.openxmlformats.org/officeDocument/2006/customXml" ds:itemID="{C3AADDED-3356-45EE-967D-F56369F4B971}"/>
</file>

<file path=docProps/app.xml><?xml version="1.0" encoding="utf-8"?>
<Properties xmlns="http://schemas.openxmlformats.org/officeDocument/2006/extended-properties" xmlns:vt="http://schemas.openxmlformats.org/officeDocument/2006/docPropsVTypes">
  <Template>Normal.dotm</Template>
  <TotalTime>349</TotalTime>
  <Pages>14</Pages>
  <Words>4405</Words>
  <Characters>25109</Characters>
  <Application>Microsoft Office Word</Application>
  <DocSecurity>0</DocSecurity>
  <Lines>209</Lines>
  <Paragraphs>58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Kosovo District Heating Sector Assessment</vt:lpstr>
      <vt:lpstr>Kosovo District Heating Sector Assessment</vt:lpstr>
    </vt:vector>
  </TitlesOfParts>
  <Company/>
  <LinksUpToDate>false</LinksUpToDate>
  <CharactersWithSpaces>29456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 Rooftop Solar Output P162236</dc:title>
  <dc:subject/>
  <dc:creator>Arto Nuorkivi</dc:creator>
  <cp:keywords/>
  <dc:description/>
  <cp:lastModifiedBy>Jas Singh</cp:lastModifiedBy>
  <cp:revision>16</cp:revision>
  <cp:lastPrinted>2017-05-10T09:32:00Z</cp:lastPrinted>
  <dcterms:created xsi:type="dcterms:W3CDTF">2018-02-15T22:23:00Z</dcterms:created>
  <dcterms:modified xsi:type="dcterms:W3CDTF">2018-02-16T23:38:00Z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0x01010054E0FEF4951F9D49A6F48A35419983C700BF03930D6F2D4748834710E8DA8BC1EA</vt:lpwstr>
  </property>
  <property fmtid="{D5CDD505-2E9C-101B-9397-08002B2CF9AE}" pid="3" name="RatedBy">
    <vt:lpwstr/>
  </property>
  <property fmtid="{D5CDD505-2E9C-101B-9397-08002B2CF9AE}" pid="4" name="LikedBy">
    <vt:lpwstr/>
  </property>
</Properties>
</file>