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910CB0">
      <w:pPr>
        <w:jc w:val="center"/>
        <w:rPr>
          <w:b/>
          <w:bCs/>
        </w:rPr>
      </w:pPr>
      <w:r>
        <w:rPr>
          <w:b/>
          <w:bCs/>
        </w:rPr>
        <w:t xml:space="preserve">APPRAISAL </w:t>
      </w:r>
      <w:r w:rsidR="00A126FA">
        <w:rPr>
          <w:b/>
          <w:bCs/>
        </w:rPr>
        <w:t>STAGE</w:t>
      </w:r>
    </w:p>
    <w:p w:rsidR="00283684" w:rsidRDefault="00910CB0" w:rsidP="00C67E15">
      <w:pPr>
        <w:jc w:val="right"/>
      </w:pPr>
      <w:r>
        <w:t xml:space="preserve">February </w:t>
      </w:r>
      <w:r w:rsidR="0012759B">
        <w:t xml:space="preserve">7, </w:t>
      </w:r>
      <w:r>
        <w:t>2014</w:t>
      </w:r>
    </w:p>
    <w:p w:rsidR="001D607D" w:rsidRDefault="004D759E" w:rsidP="001D607D">
      <w:pPr>
        <w:ind w:right="720"/>
        <w:jc w:val="right"/>
      </w:pPr>
      <w:r>
        <w:t xml:space="preserve">  Report No.: </w:t>
      </w:r>
      <w:r w:rsidR="009727B3">
        <w:t>85375</w:t>
      </w:r>
      <w:bookmarkStart w:id="0" w:name="_GoBack"/>
      <w:bookmarkEnd w:id="0"/>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1" w:name="PROJECTNAME"/>
            <w:r>
              <w:t>BR Amazonas DPL</w:t>
            </w:r>
            <w:bookmarkEnd w:id="1"/>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2" w:name="REGION"/>
            <w:r>
              <w:t>LATIN AMERICA AND CARIBBEAN</w:t>
            </w:r>
            <w:bookmarkEnd w:id="2"/>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3" w:name="COUNTRY"/>
            <w:r>
              <w:t>Brazil</w:t>
            </w:r>
            <w:bookmarkEnd w:id="3"/>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4" w:name="SECTOR"/>
            <w:r>
              <w:t>General public administration sector (50%)</w:t>
            </w:r>
            <w:proofErr w:type="gramStart"/>
            <w:r>
              <w:t>;Sub</w:t>
            </w:r>
            <w:proofErr w:type="gramEnd"/>
            <w:r>
              <w:t>-national government administration (50%)</w:t>
            </w:r>
            <w:bookmarkEnd w:id="4"/>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5" w:name="PROJECTCODE"/>
            <w:r>
              <w:t>P147979</w:t>
            </w:r>
            <w:bookmarkEnd w:id="5"/>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6" w:name="INSTR_NAME"/>
            <w:r>
              <w:t>Development Policy Lending</w:t>
            </w:r>
            <w:bookmarkEnd w:id="6"/>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B36657" w:rsidP="00C30792">
            <w:bookmarkStart w:id="7" w:name="BORROWERNAME"/>
            <w:r>
              <w:t>STATE OF AMAZONAS</w:t>
            </w:r>
            <w:bookmarkEnd w:id="7"/>
          </w:p>
        </w:tc>
      </w:tr>
      <w:tr w:rsidR="001D607D" w:rsidTr="00C30792">
        <w:trPr>
          <w:trHeight w:val="140"/>
        </w:trPr>
        <w:tc>
          <w:tcPr>
            <w:tcW w:w="3420" w:type="dxa"/>
            <w:tcBorders>
              <w:top w:val="single" w:sz="4" w:space="0" w:color="auto"/>
              <w:left w:val="single" w:sz="4" w:space="0" w:color="auto"/>
              <w:bottom w:val="nil"/>
              <w:right w:val="single" w:sz="4" w:space="0" w:color="auto"/>
            </w:tcBorders>
          </w:tcPr>
          <w:p w:rsidR="001D607D" w:rsidRDefault="001D607D" w:rsidP="00C30792">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670BC6" w:rsidP="00C30792">
            <w:bookmarkStart w:id="8" w:name="IMPLEMENTINGAGENCY"/>
            <w:bookmarkEnd w:id="8"/>
            <w:r>
              <w:t>Secretar</w:t>
            </w:r>
            <w:r w:rsidR="0012759B">
              <w:t>iat of Finance (SEFAZ), State of Amazonas</w:t>
            </w:r>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9B5F1A" w:rsidP="00C30792">
            <w:bookmarkStart w:id="9" w:name="DATEPREPARED"/>
            <w:r>
              <w:t>February 7, 2014</w:t>
            </w:r>
            <w:bookmarkEnd w:id="9"/>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910CB0" w:rsidP="00C30792">
            <w:bookmarkStart w:id="10" w:name="APPRAISALDATE"/>
            <w:bookmarkEnd w:id="10"/>
            <w:r>
              <w:t>February 24, 2014</w:t>
            </w:r>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910CB0" w:rsidP="00C30792">
            <w:r>
              <w:t>April 22, 2014</w:t>
            </w:r>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RDefault="001D607D" w:rsidP="00C30792">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662F90" w:rsidRDefault="00662F90" w:rsidP="00C30792">
            <w:r>
              <w:t>TBD</w:t>
            </w:r>
          </w:p>
        </w:tc>
      </w:tr>
      <w:tr w:rsidR="001D607D" w:rsidTr="00C30792">
        <w:tc>
          <w:tcPr>
            <w:tcW w:w="3420" w:type="dxa"/>
            <w:tcBorders>
              <w:top w:val="single" w:sz="4" w:space="0" w:color="auto"/>
              <w:left w:val="single" w:sz="4" w:space="0" w:color="auto"/>
              <w:bottom w:val="single" w:sz="4" w:space="0" w:color="auto"/>
              <w:right w:val="single" w:sz="4" w:space="0" w:color="auto"/>
            </w:tcBorders>
          </w:tcPr>
          <w:p w:rsidR="001D607D" w:rsidDel="00AD4588" w:rsidRDefault="001D607D" w:rsidP="00C30792">
            <w:pPr>
              <w:rPr>
                <w:b/>
                <w:bCs/>
              </w:rPr>
            </w:pPr>
            <w:r>
              <w:rPr>
                <w:b/>
                <w:bCs/>
              </w:rPr>
              <w:t xml:space="preserve">Other Decision </w:t>
            </w:r>
            <w:r w:rsidRPr="00577870">
              <w:rPr>
                <w:i/>
                <w:u w:val="single"/>
              </w:rPr>
              <w:t>{</w:t>
            </w:r>
            <w:r>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rsidR="001D607D" w:rsidRPr="00577870" w:rsidRDefault="00662F90" w:rsidP="00C30792">
            <w:r>
              <w:t>TBD</w:t>
            </w:r>
          </w:p>
        </w:tc>
      </w:tr>
    </w:tbl>
    <w:p w:rsidR="00671A99" w:rsidRDefault="00671A99" w:rsidP="00A126FA"/>
    <w:p w:rsidR="00671A99" w:rsidRPr="00671A99" w:rsidRDefault="00671A99" w:rsidP="00B5039C">
      <w:pPr>
        <w:numPr>
          <w:ilvl w:val="0"/>
          <w:numId w:val="24"/>
        </w:numPr>
        <w:rPr>
          <w:b/>
          <w:i/>
        </w:rPr>
      </w:pPr>
      <w:r w:rsidRPr="00671A99">
        <w:rPr>
          <w:b/>
          <w:sz w:val="23"/>
          <w:szCs w:val="23"/>
        </w:rPr>
        <w:t xml:space="preserve">Key development issues and rationale for Bank involvement </w:t>
      </w:r>
    </w:p>
    <w:p w:rsidR="008856F5" w:rsidRDefault="007B4178" w:rsidP="00B5039C">
      <w:pPr>
        <w:pStyle w:val="AmazoniansText"/>
        <w:numPr>
          <w:ilvl w:val="0"/>
          <w:numId w:val="0"/>
        </w:numPr>
        <w:spacing w:line="240" w:lineRule="auto"/>
      </w:pPr>
      <w:r>
        <w:t>T</w:t>
      </w:r>
      <w:r w:rsidR="00A90F74">
        <w:t xml:space="preserve">he State of </w:t>
      </w:r>
      <w:r w:rsidR="00A90F74" w:rsidRPr="00361E4C">
        <w:t>Amazonas is sparsely populated with only 3.6 million inhabitants, and has the second lowest population density in the world, only higher than that of Mongolia.</w:t>
      </w:r>
      <w:r w:rsidR="00A90F74" w:rsidRPr="0084651B">
        <w:t xml:space="preserve"> Amazonas’s GDP </w:t>
      </w:r>
      <w:proofErr w:type="spellStart"/>
      <w:r w:rsidR="00A90F74" w:rsidRPr="0084651B">
        <w:t>tot</w:t>
      </w:r>
      <w:r>
        <w:t>aled</w:t>
      </w:r>
      <w:proofErr w:type="spellEnd"/>
      <w:r>
        <w:t xml:space="preserve"> R$59.8 billion in 2010 (US$</w:t>
      </w:r>
      <w:r w:rsidR="00A90F74" w:rsidRPr="0084651B">
        <w:t>34 billion), which represents 1.6 percent of the country’s GDP. Per capit</w:t>
      </w:r>
      <w:r w:rsidR="00852C50">
        <w:t>a GDP was R$17,158 in 2010 (US$</w:t>
      </w:r>
      <w:r w:rsidR="00A90F74" w:rsidRPr="0084651B">
        <w:t>8,500), which is equivalent to 87 percent of the national average.</w:t>
      </w:r>
      <w:r w:rsidR="00A90F74">
        <w:t xml:space="preserve"> </w:t>
      </w:r>
      <w:r w:rsidR="00A90F74" w:rsidRPr="00A90F74">
        <w:t>With 41.7 percent of the population living un</w:t>
      </w:r>
      <w:r>
        <w:t>der the poverty line (under US$</w:t>
      </w:r>
      <w:r w:rsidR="00A90F74" w:rsidRPr="00A90F74">
        <w:t>4 PPP/day) and 24.5 percen</w:t>
      </w:r>
      <w:r>
        <w:t>t in extreme poverty (under US$</w:t>
      </w:r>
      <w:r w:rsidR="00A90F74" w:rsidRPr="00A90F74">
        <w:t>2.50 PPP/day), the incidence of poverty in Amazonas continues to be a pervasive problem.</w:t>
      </w:r>
      <w:r>
        <w:t xml:space="preserve"> Currently, the State registers</w:t>
      </w:r>
      <w:r w:rsidR="00A90F74" w:rsidRPr="00361E4C">
        <w:t xml:space="preserve"> the fourth highest poverty rate in Brazil and the hig</w:t>
      </w:r>
      <w:r w:rsidR="00852C50">
        <w:t>hest in the N</w:t>
      </w:r>
      <w:r>
        <w:t>orthern region. Poverty reduction has</w:t>
      </w:r>
      <w:r w:rsidR="00A90F74" w:rsidRPr="00361E4C">
        <w:t xml:space="preserve"> been </w:t>
      </w:r>
      <w:r>
        <w:t>achieved in recent years, although the reduction has been less</w:t>
      </w:r>
      <w:r w:rsidR="00A37EAB">
        <w:t xml:space="preserve"> pronounced</w:t>
      </w:r>
      <w:r w:rsidR="00A90F74" w:rsidRPr="00361E4C">
        <w:t xml:space="preserve"> than </w:t>
      </w:r>
      <w:r w:rsidR="00A37EAB">
        <w:t xml:space="preserve">in </w:t>
      </w:r>
      <w:r w:rsidR="00A90F74" w:rsidRPr="00361E4C">
        <w:t>the rest of the country. Whereas poverty in Brazil has fallen steadily from 41 percent in 2004 to 25 percent in 2011, poverty in Amazonas has declined from 55 percent to 41 percent.</w:t>
      </w:r>
      <w:r w:rsidR="00A90F74">
        <w:t xml:space="preserve"> </w:t>
      </w:r>
      <w:r w:rsidR="00852C50">
        <w:t xml:space="preserve">Crime and violence is also a growing challenge. </w:t>
      </w:r>
      <w:r w:rsidR="00A90F74" w:rsidRPr="0084651B">
        <w:rPr>
          <w:lang w:val="en"/>
        </w:rPr>
        <w:t>While states such as São Paulo reduced their homicide rate by almost 70 percent between 2000 and 2010, in the North homicide rates doubled over the same period. In</w:t>
      </w:r>
      <w:r w:rsidR="00A90F74" w:rsidRPr="0002069A">
        <w:rPr>
          <w:lang w:val="en"/>
        </w:rPr>
        <w:t xml:space="preserve"> Amazonas alone the rise reached 54.6 percent, from 19.8 per 100,000 inhabitants, in 2000, to 30.6, in 2010. </w:t>
      </w:r>
      <w:r w:rsidR="00501CC4">
        <w:rPr>
          <w:lang w:val="en"/>
        </w:rPr>
        <w:t xml:space="preserve">In the capital city, Manaus, the homicide rate reached 56.2 per 100,000 inhabitants in 2011. </w:t>
      </w:r>
      <w:r w:rsidR="003F5D39">
        <w:rPr>
          <w:lang w:val="en"/>
        </w:rPr>
        <w:t>Rate</w:t>
      </w:r>
      <w:r w:rsidR="00BD5A42">
        <w:rPr>
          <w:lang w:val="en"/>
        </w:rPr>
        <w:t>s of gender-based violence</w:t>
      </w:r>
      <w:r w:rsidR="003F5D39">
        <w:rPr>
          <w:lang w:val="en"/>
        </w:rPr>
        <w:t xml:space="preserve"> have also risen alarmingly. In 2010, the female homicide rate in Manaus, 11.5 murders per 100</w:t>
      </w:r>
      <w:proofErr w:type="gramStart"/>
      <w:r w:rsidR="003F5D39">
        <w:rPr>
          <w:lang w:val="en"/>
        </w:rPr>
        <w:t>,00</w:t>
      </w:r>
      <w:proofErr w:type="gramEnd"/>
      <w:r w:rsidR="003F5D39">
        <w:rPr>
          <w:lang w:val="en"/>
        </w:rPr>
        <w:t xml:space="preserve">, was the third highest in Brazil. </w:t>
      </w:r>
      <w:r w:rsidR="00A90F74" w:rsidRPr="0002069A">
        <w:rPr>
          <w:lang w:val="en"/>
        </w:rPr>
        <w:t>In 2011, the State also presented the second highest robbery rate in the country, reaching 1,038 per 100,</w:t>
      </w:r>
      <w:r w:rsidR="00A90F74" w:rsidRPr="0055518D">
        <w:rPr>
          <w:lang w:val="en"/>
        </w:rPr>
        <w:t>000 inhabitants.</w:t>
      </w:r>
      <w:r w:rsidR="00A90F74" w:rsidRPr="0055518D">
        <w:t xml:space="preserve"> </w:t>
      </w:r>
    </w:p>
    <w:p w:rsidR="00A90F74" w:rsidRPr="00361E4C" w:rsidRDefault="00A90F74" w:rsidP="00B5039C">
      <w:pPr>
        <w:pStyle w:val="AmazoniansText"/>
        <w:numPr>
          <w:ilvl w:val="0"/>
          <w:numId w:val="0"/>
        </w:numPr>
        <w:spacing w:line="240" w:lineRule="auto"/>
        <w:rPr>
          <w:lang w:val="en"/>
        </w:rPr>
      </w:pPr>
      <w:r w:rsidRPr="00A90F74">
        <w:t>Due to its</w:t>
      </w:r>
      <w:r w:rsidR="007B4178">
        <w:rPr>
          <w:lang w:val="en"/>
        </w:rPr>
        <w:t xml:space="preserve"> poor</w:t>
      </w:r>
      <w:r w:rsidRPr="00A90F74">
        <w:rPr>
          <w:lang w:val="en"/>
        </w:rPr>
        <w:t xml:space="preserve"> social indicators, elevated crime rate, and vast territory, the </w:t>
      </w:r>
      <w:r w:rsidR="00B67B93">
        <w:rPr>
          <w:lang w:val="en"/>
        </w:rPr>
        <w:t>S</w:t>
      </w:r>
      <w:r w:rsidRPr="00A90F74">
        <w:rPr>
          <w:lang w:val="en"/>
        </w:rPr>
        <w:t>tate has been investing more than the national average in social sectors since 2000, 2.8 percent of GDP compared to 1.1 percent respectively.</w:t>
      </w:r>
      <w:r w:rsidRPr="009F42DB">
        <w:rPr>
          <w:lang w:val="en"/>
        </w:rPr>
        <w:t xml:space="preserve"> Among Amazonas’s primary budget expenditures is </w:t>
      </w:r>
      <w:r>
        <w:rPr>
          <w:lang w:val="en"/>
        </w:rPr>
        <w:t>citizen security</w:t>
      </w:r>
      <w:r w:rsidRPr="009F42DB">
        <w:rPr>
          <w:lang w:val="en"/>
        </w:rPr>
        <w:t>, which</w:t>
      </w:r>
      <w:r w:rsidR="007B4178">
        <w:rPr>
          <w:lang w:val="en"/>
        </w:rPr>
        <w:t xml:space="preserve"> accounts for 9 percent of total expenditure and</w:t>
      </w:r>
      <w:r w:rsidRPr="009F42DB">
        <w:rPr>
          <w:lang w:val="en"/>
        </w:rPr>
        <w:t xml:space="preserve"> has been increasing </w:t>
      </w:r>
      <w:r w:rsidRPr="009F42DB">
        <w:rPr>
          <w:lang w:val="en"/>
        </w:rPr>
        <w:lastRenderedPageBreak/>
        <w:t xml:space="preserve">rapidly in recent years. </w:t>
      </w:r>
      <w:r w:rsidRPr="00361E4C">
        <w:t xml:space="preserve">Between </w:t>
      </w:r>
      <w:r w:rsidR="008F6B28">
        <w:t>2010 and 2012, expenditures on</w:t>
      </w:r>
      <w:r w:rsidRPr="00361E4C">
        <w:t xml:space="preserve"> citizen security increased by 31.8 percent in real terms,</w:t>
      </w:r>
      <w:r w:rsidRPr="00634F1C">
        <w:t xml:space="preserve"> </w:t>
      </w:r>
      <w:r w:rsidRPr="00361E4C">
        <w:t>compared to an increase of 8.6 percent in education and a 1.8 percent drop in health.</w:t>
      </w:r>
      <w:r w:rsidRPr="009F42DB">
        <w:rPr>
          <w:lang w:val="en"/>
        </w:rPr>
        <w:t xml:space="preserve"> This significant increase in sector expenditures is explained mainly by the </w:t>
      </w:r>
      <w:r w:rsidR="00002F29">
        <w:rPr>
          <w:lang w:val="en"/>
        </w:rPr>
        <w:t xml:space="preserve"> Government’s</w:t>
      </w:r>
      <w:r w:rsidRPr="009F42DB">
        <w:rPr>
          <w:lang w:val="en"/>
        </w:rPr>
        <w:t xml:space="preserve"> efforts to respond to r</w:t>
      </w:r>
      <w:r w:rsidR="008856F5">
        <w:rPr>
          <w:lang w:val="en"/>
        </w:rPr>
        <w:t>ising levels crime and violence</w:t>
      </w:r>
      <w:r w:rsidR="00002F29">
        <w:rPr>
          <w:lang w:val="en"/>
        </w:rPr>
        <w:t xml:space="preserve"> through</w:t>
      </w:r>
      <w:r w:rsidRPr="0002069A">
        <w:t xml:space="preserve"> </w:t>
      </w:r>
      <w:r w:rsidR="00002F29">
        <w:t xml:space="preserve">the establishment </w:t>
      </w:r>
      <w:r w:rsidRPr="0002069A">
        <w:t xml:space="preserve">of </w:t>
      </w:r>
      <w:r w:rsidR="00002F29">
        <w:t>Integrated Police Delegations (</w:t>
      </w:r>
      <w:proofErr w:type="spellStart"/>
      <w:r w:rsidR="00002F29" w:rsidRPr="00002F29">
        <w:rPr>
          <w:i/>
        </w:rPr>
        <w:t>Delegacias</w:t>
      </w:r>
      <w:proofErr w:type="spellEnd"/>
      <w:r w:rsidR="00002F29" w:rsidRPr="00002F29">
        <w:rPr>
          <w:i/>
        </w:rPr>
        <w:t xml:space="preserve"> de </w:t>
      </w:r>
      <w:proofErr w:type="spellStart"/>
      <w:r w:rsidR="00002F29" w:rsidRPr="00002F29">
        <w:rPr>
          <w:i/>
        </w:rPr>
        <w:t>Polícia</w:t>
      </w:r>
      <w:proofErr w:type="spellEnd"/>
      <w:r w:rsidR="00002F29" w:rsidRPr="00002F29">
        <w:rPr>
          <w:i/>
        </w:rPr>
        <w:t xml:space="preserve"> </w:t>
      </w:r>
      <w:proofErr w:type="spellStart"/>
      <w:r w:rsidR="00002F29" w:rsidRPr="00002F29">
        <w:rPr>
          <w:i/>
        </w:rPr>
        <w:t>Integrada</w:t>
      </w:r>
      <w:proofErr w:type="spellEnd"/>
      <w:r w:rsidR="00002F29">
        <w:t xml:space="preserve"> – DIPs)</w:t>
      </w:r>
      <w:r w:rsidRPr="009F42DB">
        <w:rPr>
          <w:color w:val="000000"/>
        </w:rPr>
        <w:t xml:space="preserve"> </w:t>
      </w:r>
      <w:r w:rsidR="00002F29">
        <w:rPr>
          <w:color w:val="000000"/>
        </w:rPr>
        <w:t xml:space="preserve">of </w:t>
      </w:r>
      <w:r w:rsidRPr="009F42DB">
        <w:rPr>
          <w:color w:val="000000"/>
        </w:rPr>
        <w:t>the civil and military police.</w:t>
      </w:r>
      <w:r w:rsidRPr="00361E4C">
        <w:rPr>
          <w:color w:val="000000"/>
        </w:rPr>
        <w:t xml:space="preserve"> </w:t>
      </w:r>
      <w:r w:rsidRPr="009F42DB">
        <w:rPr>
          <w:lang w:val="en"/>
        </w:rPr>
        <w:t>This trend towards increasing expenditure in this sector is estimated to continue for at least the next two years</w:t>
      </w:r>
      <w:r w:rsidR="00637605">
        <w:rPr>
          <w:lang w:val="en"/>
        </w:rPr>
        <w:t>, with new hires, training and increase in wages, which depart from a significant low base</w:t>
      </w:r>
      <w:r w:rsidRPr="009F42DB">
        <w:rPr>
          <w:lang w:val="en"/>
        </w:rPr>
        <w:t xml:space="preserve">. </w:t>
      </w:r>
    </w:p>
    <w:p w:rsidR="00320F7D" w:rsidRDefault="00320F7D" w:rsidP="00B5039C">
      <w:pPr>
        <w:jc w:val="both"/>
      </w:pPr>
    </w:p>
    <w:p w:rsidR="00915DAE" w:rsidRPr="00E57B3E" w:rsidRDefault="00A90F74" w:rsidP="00FA439B">
      <w:pPr>
        <w:pStyle w:val="AmazoniansText"/>
        <w:numPr>
          <w:ilvl w:val="0"/>
          <w:numId w:val="0"/>
        </w:numPr>
        <w:spacing w:line="240" w:lineRule="auto"/>
        <w:rPr>
          <w:lang w:val="en-US"/>
        </w:rPr>
      </w:pPr>
      <w:r w:rsidRPr="00361E4C">
        <w:t xml:space="preserve">In this context, one of the State’s main challenges is </w:t>
      </w:r>
      <w:r w:rsidR="004E4AF6">
        <w:t>to more efficiently manage the State’s financial resources and to promote service deliver</w:t>
      </w:r>
      <w:r w:rsidR="0057187E">
        <w:t>y.</w:t>
      </w:r>
      <w:r w:rsidR="004E4AF6">
        <w:t xml:space="preserve"> </w:t>
      </w:r>
      <w:r w:rsidR="00637605">
        <w:t xml:space="preserve">To meet these challenges, the </w:t>
      </w:r>
      <w:proofErr w:type="spellStart"/>
      <w:r w:rsidR="00637605">
        <w:t>GoAM</w:t>
      </w:r>
      <w:proofErr w:type="spellEnd"/>
      <w:r w:rsidR="00637605">
        <w:t xml:space="preserve"> has identified a number of deficiencies in tax and financial administration, and in the management of the citizen security sector, which limit its fiscal capacity and service delivery efficiency. This operation supports specific measures to tackle these deficiencies. Support for the citizen security sector is important both because of the priority given by the </w:t>
      </w:r>
      <w:proofErr w:type="spellStart"/>
      <w:r w:rsidR="00637605">
        <w:t>GoAM</w:t>
      </w:r>
      <w:proofErr w:type="spellEnd"/>
      <w:r w:rsidR="00637605">
        <w:t xml:space="preserve"> to improve service delivery in this area - reduction of crime and violence, including gender-based violence, is fundamental for citizen welfare and economic growth - and the risk that the expansion of this sector could inhibit service delivery in other sectors if resources are not used more efficiently. </w:t>
      </w:r>
    </w:p>
    <w:p w:rsidR="00852C50" w:rsidRPr="00852C50" w:rsidRDefault="00852C50" w:rsidP="00B5039C">
      <w:pPr>
        <w:rPr>
          <w:b/>
        </w:rPr>
      </w:pPr>
    </w:p>
    <w:p w:rsidR="003103C4" w:rsidRDefault="003103C4" w:rsidP="00B5039C">
      <w:pPr>
        <w:numPr>
          <w:ilvl w:val="0"/>
          <w:numId w:val="24"/>
        </w:numPr>
        <w:rPr>
          <w:b/>
        </w:rPr>
      </w:pPr>
      <w:r w:rsidRPr="008D1059">
        <w:rPr>
          <w:b/>
        </w:rPr>
        <w:t>Proposed</w:t>
      </w:r>
      <w:r>
        <w:rPr>
          <w:b/>
        </w:rPr>
        <w:t xml:space="preserve"> O</w:t>
      </w:r>
      <w:r w:rsidRPr="008D1059">
        <w:rPr>
          <w:b/>
        </w:rPr>
        <w:t>bjective(s)</w:t>
      </w:r>
    </w:p>
    <w:p w:rsidR="001E455A" w:rsidRPr="0012759B" w:rsidRDefault="000B5BBC" w:rsidP="00B5039C">
      <w:pPr>
        <w:jc w:val="both"/>
        <w:rPr>
          <w:lang w:val="en-GB"/>
        </w:rPr>
      </w:pPr>
      <w:r>
        <w:rPr>
          <w:lang w:val="en-GB"/>
        </w:rPr>
        <w:t>The Policy</w:t>
      </w:r>
      <w:r w:rsidR="007B7EFB" w:rsidRPr="00361E4C">
        <w:rPr>
          <w:lang w:val="en-GB"/>
        </w:rPr>
        <w:t xml:space="preserve"> Development Objective (PDO) of this proposed operation is to </w:t>
      </w:r>
      <w:r w:rsidR="007513C2">
        <w:rPr>
          <w:lang w:val="en-GB"/>
        </w:rPr>
        <w:t xml:space="preserve">assist the Government of Amazonas </w:t>
      </w:r>
      <w:r w:rsidR="00DD1AE1">
        <w:t xml:space="preserve">to </w:t>
      </w:r>
      <w:proofErr w:type="spellStart"/>
      <w:r w:rsidR="00DD1AE1">
        <w:t>i</w:t>
      </w:r>
      <w:proofErr w:type="spellEnd"/>
      <w:r w:rsidR="00DD1AE1">
        <w:t xml:space="preserve">) </w:t>
      </w:r>
      <w:r w:rsidR="00DD1AE1" w:rsidRPr="000C245C">
        <w:t>improve tax administration</w:t>
      </w:r>
      <w:r w:rsidR="00DD1AE1">
        <w:t xml:space="preserve"> and</w:t>
      </w:r>
      <w:r w:rsidR="00DD1AE1" w:rsidRPr="000C245C">
        <w:t xml:space="preserve"> procurement</w:t>
      </w:r>
      <w:r w:rsidR="00DD1AE1">
        <w:t xml:space="preserve"> procedures</w:t>
      </w:r>
      <w:r w:rsidR="00DD1AE1" w:rsidRPr="000C245C">
        <w:t xml:space="preserve"> and (ii) </w:t>
      </w:r>
      <w:r w:rsidR="00DD1AE1">
        <w:t xml:space="preserve">to strengthen the delivery of citizen security services and women’s access to justice and social services. </w:t>
      </w:r>
      <w:r w:rsidR="00944F8A">
        <w:t>In order to achieve this, the loan will help the State devise and put into practice policies, procedures and tools</w:t>
      </w:r>
      <w:r w:rsidR="00063BEA">
        <w:t xml:space="preserve"> to</w:t>
      </w:r>
      <w:r w:rsidR="00944F8A">
        <w:t xml:space="preserve"> improve </w:t>
      </w:r>
      <w:r w:rsidR="00CB6800">
        <w:t xml:space="preserve">public sector </w:t>
      </w:r>
      <w:r w:rsidR="00944F8A">
        <w:t xml:space="preserve">performance in </w:t>
      </w:r>
      <w:r w:rsidR="001E455A">
        <w:t>these areas</w:t>
      </w:r>
      <w:r w:rsidR="00944F8A">
        <w:t xml:space="preserve">. </w:t>
      </w:r>
      <w:r w:rsidR="001E455A" w:rsidRPr="00361E4C">
        <w:rPr>
          <w:lang w:val="en-GB"/>
        </w:rPr>
        <w:t>The policy areas covered by th</w:t>
      </w:r>
      <w:r w:rsidR="001E455A">
        <w:rPr>
          <w:lang w:val="en-GB"/>
        </w:rPr>
        <w:t>is operation aim to support the State’s</w:t>
      </w:r>
      <w:r w:rsidR="001E455A" w:rsidRPr="00361E4C">
        <w:rPr>
          <w:lang w:val="en-GB"/>
        </w:rPr>
        <w:t xml:space="preserve"> </w:t>
      </w:r>
      <w:r w:rsidR="007B7EFB">
        <w:rPr>
          <w:lang w:val="en-GB"/>
        </w:rPr>
        <w:t xml:space="preserve">own </w:t>
      </w:r>
      <w:r w:rsidR="001E455A" w:rsidRPr="00361E4C">
        <w:rPr>
          <w:lang w:val="en-GB"/>
        </w:rPr>
        <w:t>goals in the areas of</w:t>
      </w:r>
      <w:r w:rsidR="008F6B28">
        <w:rPr>
          <w:lang w:val="en-GB"/>
        </w:rPr>
        <w:t xml:space="preserve"> public sector management; t</w:t>
      </w:r>
      <w:r w:rsidR="001E455A">
        <w:rPr>
          <w:lang w:val="en-GB"/>
        </w:rPr>
        <w:t>herefore,</w:t>
      </w:r>
      <w:r w:rsidR="001E455A" w:rsidRPr="00361E4C">
        <w:rPr>
          <w:lang w:val="en-GB"/>
        </w:rPr>
        <w:t xml:space="preserve"> </w:t>
      </w:r>
      <w:r w:rsidR="001E455A">
        <w:t>t</w:t>
      </w:r>
      <w:r w:rsidR="00944F8A">
        <w:t>he PDO is</w:t>
      </w:r>
      <w:r w:rsidR="00944F8A" w:rsidRPr="00361E4C">
        <w:t xml:space="preserve"> fully aligned with the Government</w:t>
      </w:r>
      <w:r w:rsidR="007B7EFB">
        <w:t>’s longer-term development objectives</w:t>
      </w:r>
      <w:r w:rsidR="00944F8A">
        <w:t>.</w:t>
      </w:r>
      <w:r w:rsidR="007B7EFB">
        <w:t xml:space="preserve"> </w:t>
      </w:r>
      <w:r w:rsidR="001E455A" w:rsidRPr="00361E4C">
        <w:rPr>
          <w:lang w:val="en-GB"/>
        </w:rPr>
        <w:t>Furthermore, the proposed operation also supports other programs under implemen</w:t>
      </w:r>
      <w:r w:rsidR="001E455A">
        <w:rPr>
          <w:lang w:val="en-GB"/>
        </w:rPr>
        <w:t>tation or preparation by the State</w:t>
      </w:r>
      <w:r w:rsidR="001E455A" w:rsidRPr="00361E4C">
        <w:rPr>
          <w:lang w:val="en-GB"/>
        </w:rPr>
        <w:t xml:space="preserve"> aimed at improving its fiscal position and the quality of</w:t>
      </w:r>
      <w:r w:rsidR="00CB6800">
        <w:rPr>
          <w:lang w:val="en-GB"/>
        </w:rPr>
        <w:t xml:space="preserve"> public sector management</w:t>
      </w:r>
      <w:r w:rsidR="001E455A" w:rsidRPr="00361E4C">
        <w:rPr>
          <w:lang w:val="en-GB"/>
        </w:rPr>
        <w:t xml:space="preserve">. </w:t>
      </w:r>
      <w:r w:rsidR="001E455A" w:rsidRPr="0012759B">
        <w:rPr>
          <w:lang w:val="en-GB"/>
        </w:rPr>
        <w:t xml:space="preserve">For instance, the </w:t>
      </w:r>
      <w:r w:rsidR="0012759B" w:rsidRPr="0012759B">
        <w:rPr>
          <w:lang w:val="en-GB"/>
        </w:rPr>
        <w:t xml:space="preserve">IADB-supported </w:t>
      </w:r>
      <w:r w:rsidR="001E455A" w:rsidRPr="0012759B">
        <w:rPr>
          <w:lang w:val="en-GB"/>
        </w:rPr>
        <w:t>Program of Consolidation of Fiscal Equilibrium for Social and Economic Development in the State of Amazonas (</w:t>
      </w:r>
      <w:proofErr w:type="spellStart"/>
      <w:r w:rsidR="001E455A" w:rsidRPr="0012759B">
        <w:rPr>
          <w:i/>
          <w:lang w:val="en-GB"/>
        </w:rPr>
        <w:t>Programa</w:t>
      </w:r>
      <w:proofErr w:type="spellEnd"/>
      <w:r w:rsidR="001E455A" w:rsidRPr="0012759B">
        <w:rPr>
          <w:i/>
          <w:lang w:val="en-GB"/>
        </w:rPr>
        <w:t xml:space="preserve"> de </w:t>
      </w:r>
      <w:proofErr w:type="spellStart"/>
      <w:r w:rsidR="001E455A" w:rsidRPr="0012759B">
        <w:rPr>
          <w:i/>
          <w:lang w:val="en-GB"/>
        </w:rPr>
        <w:t>Consolidação</w:t>
      </w:r>
      <w:proofErr w:type="spellEnd"/>
      <w:r w:rsidR="001E455A" w:rsidRPr="0012759B">
        <w:rPr>
          <w:i/>
          <w:lang w:val="en-GB"/>
        </w:rPr>
        <w:t xml:space="preserve"> do </w:t>
      </w:r>
      <w:proofErr w:type="spellStart"/>
      <w:r w:rsidR="001E455A" w:rsidRPr="0012759B">
        <w:rPr>
          <w:i/>
          <w:lang w:val="en-GB"/>
        </w:rPr>
        <w:t>Equilíbrio</w:t>
      </w:r>
      <w:proofErr w:type="spellEnd"/>
      <w:r w:rsidR="001E455A" w:rsidRPr="0012759B">
        <w:rPr>
          <w:i/>
          <w:lang w:val="en-GB"/>
        </w:rPr>
        <w:t xml:space="preserve"> Fiscal para o </w:t>
      </w:r>
      <w:proofErr w:type="spellStart"/>
      <w:r w:rsidR="001E455A" w:rsidRPr="0012759B">
        <w:rPr>
          <w:i/>
          <w:lang w:val="en-GB"/>
        </w:rPr>
        <w:t>Desenvolvimento</w:t>
      </w:r>
      <w:proofErr w:type="spellEnd"/>
      <w:r w:rsidR="001E455A" w:rsidRPr="0012759B">
        <w:rPr>
          <w:i/>
          <w:lang w:val="en-GB"/>
        </w:rPr>
        <w:t xml:space="preserve"> </w:t>
      </w:r>
      <w:proofErr w:type="spellStart"/>
      <w:r w:rsidR="001E455A" w:rsidRPr="0012759B">
        <w:rPr>
          <w:i/>
          <w:lang w:val="en-GB"/>
        </w:rPr>
        <w:t>Econômico</w:t>
      </w:r>
      <w:proofErr w:type="spellEnd"/>
      <w:r w:rsidR="001E455A" w:rsidRPr="0012759B">
        <w:rPr>
          <w:i/>
          <w:lang w:val="en-GB"/>
        </w:rPr>
        <w:t xml:space="preserve"> e Social do Estado do Amazonas - </w:t>
      </w:r>
      <w:proofErr w:type="spellStart"/>
      <w:r w:rsidR="001E455A" w:rsidRPr="0012759B">
        <w:rPr>
          <w:lang w:val="en-GB"/>
        </w:rPr>
        <w:t>Proconfins</w:t>
      </w:r>
      <w:proofErr w:type="spellEnd"/>
      <w:r w:rsidR="001E455A" w:rsidRPr="0012759B">
        <w:rPr>
          <w:lang w:val="en-GB"/>
        </w:rPr>
        <w:t>) from  SEFAZ.</w:t>
      </w:r>
    </w:p>
    <w:p w:rsidR="001E455A" w:rsidRPr="0012759B" w:rsidRDefault="001E455A" w:rsidP="00B5039C">
      <w:pPr>
        <w:jc w:val="both"/>
        <w:rPr>
          <w:lang w:val="en-GB"/>
        </w:rPr>
      </w:pPr>
    </w:p>
    <w:p w:rsidR="00E30681" w:rsidRPr="0012759B" w:rsidRDefault="001E455A" w:rsidP="00B5039C">
      <w:pPr>
        <w:jc w:val="both"/>
      </w:pPr>
      <w:r w:rsidRPr="0012759B">
        <w:t xml:space="preserve">The expected result from this operation is an improvement in </w:t>
      </w:r>
      <w:r w:rsidR="00CF75FA">
        <w:t>public sector management and performance</w:t>
      </w:r>
      <w:r w:rsidR="004E2855">
        <w:t xml:space="preserve"> through increased</w:t>
      </w:r>
      <w:r w:rsidR="00246B6A" w:rsidRPr="0012759B">
        <w:t xml:space="preserve"> efficiency. These efficiency gains will be</w:t>
      </w:r>
      <w:r w:rsidR="00D13CEB" w:rsidRPr="0012759B">
        <w:t xml:space="preserve"> </w:t>
      </w:r>
      <w:r w:rsidR="0012759B" w:rsidRPr="0012759B">
        <w:t>perceived</w:t>
      </w:r>
      <w:r w:rsidR="00D13CEB" w:rsidRPr="0012759B">
        <w:t xml:space="preserve"> </w:t>
      </w:r>
      <w:r w:rsidRPr="0012759B">
        <w:t>thr</w:t>
      </w:r>
      <w:r w:rsidR="00E30681" w:rsidRPr="0012759B">
        <w:t>ough</w:t>
      </w:r>
      <w:r w:rsidR="000C6565">
        <w:t xml:space="preserve"> </w:t>
      </w:r>
      <w:r w:rsidR="00211478">
        <w:t xml:space="preserve">several channels such as </w:t>
      </w:r>
      <w:r w:rsidR="00E30681" w:rsidRPr="0012759B">
        <w:t>increased tax</w:t>
      </w:r>
      <w:r w:rsidR="000C6565">
        <w:t xml:space="preserve"> compliance</w:t>
      </w:r>
      <w:r w:rsidR="00E30681" w:rsidRPr="0012759B">
        <w:t>,</w:t>
      </w:r>
      <w:r w:rsidR="00D13CEB" w:rsidRPr="0012759B">
        <w:t xml:space="preserve"> </w:t>
      </w:r>
      <w:r w:rsidR="009935FA">
        <w:t>streamlined</w:t>
      </w:r>
      <w:r w:rsidR="00D13CEB" w:rsidRPr="0012759B">
        <w:t xml:space="preserve"> procedures, </w:t>
      </w:r>
      <w:r w:rsidRPr="0012759B">
        <w:t>policies</w:t>
      </w:r>
      <w:r w:rsidR="00D13CEB" w:rsidRPr="0012759B">
        <w:t xml:space="preserve"> and systems</w:t>
      </w:r>
      <w:r w:rsidRPr="0012759B">
        <w:t xml:space="preserve"> </w:t>
      </w:r>
      <w:r w:rsidR="008E424A">
        <w:t xml:space="preserve">for procurement and financial management </w:t>
      </w:r>
      <w:r w:rsidRPr="0012759B">
        <w:t xml:space="preserve">resulting in public sector savings, and through </w:t>
      </w:r>
      <w:r w:rsidR="008E424A">
        <w:t>the implementation of a results-based management approach</w:t>
      </w:r>
      <w:r w:rsidR="002A380C">
        <w:t xml:space="preserve">, </w:t>
      </w:r>
      <w:r w:rsidR="000C6565">
        <w:t>and greater coordination in the citizen security sector</w:t>
      </w:r>
      <w:r w:rsidR="002A380C">
        <w:t>, inclu</w:t>
      </w:r>
      <w:r w:rsidR="00AE5D05">
        <w:t>ding agencies specialized in gender-based violence</w:t>
      </w:r>
      <w:r w:rsidR="002A380C">
        <w:t xml:space="preserve"> issues,</w:t>
      </w:r>
      <w:r w:rsidRPr="0012759B">
        <w:t xml:space="preserve"> which </w:t>
      </w:r>
      <w:r w:rsidR="00E30681" w:rsidRPr="0012759B">
        <w:t xml:space="preserve">would </w:t>
      </w:r>
      <w:r w:rsidR="000C6565">
        <w:t>lead to a</w:t>
      </w:r>
      <w:r w:rsidRPr="0012759B">
        <w:t xml:space="preserve"> more optimal allocation of resources. </w:t>
      </w:r>
      <w:r w:rsidR="008E424A">
        <w:t>Given the breadth of these reforms</w:t>
      </w:r>
      <w:r w:rsidR="007B7EFB">
        <w:t xml:space="preserve">, </w:t>
      </w:r>
      <w:r w:rsidR="007B7EFB" w:rsidRPr="0012759B">
        <w:t>t</w:t>
      </w:r>
      <w:r w:rsidR="00D13CEB" w:rsidRPr="0012759B">
        <w:t>hese measures would benefit all state citizens, but in particular</w:t>
      </w:r>
      <w:r w:rsidR="00E30681" w:rsidRPr="0012759B">
        <w:t xml:space="preserve"> those in vulnerable group</w:t>
      </w:r>
      <w:r w:rsidR="000C6565">
        <w:t>s</w:t>
      </w:r>
      <w:r w:rsidR="007D448E" w:rsidRPr="0012759B">
        <w:t xml:space="preserve"> who are more dependent on government services</w:t>
      </w:r>
      <w:r w:rsidR="00D13CEB" w:rsidRPr="0012759B">
        <w:t xml:space="preserve">. </w:t>
      </w:r>
    </w:p>
    <w:p w:rsidR="00670BC6" w:rsidRDefault="00670BC6" w:rsidP="00B5039C">
      <w:pPr>
        <w:jc w:val="both"/>
      </w:pPr>
    </w:p>
    <w:p w:rsidR="001E455A" w:rsidRPr="0012759B" w:rsidRDefault="00D13CEB" w:rsidP="00B5039C">
      <w:pPr>
        <w:jc w:val="both"/>
      </w:pPr>
      <w:r w:rsidRPr="0012759B">
        <w:lastRenderedPageBreak/>
        <w:t>From the tax administration</w:t>
      </w:r>
      <w:r w:rsidR="00F66FA2">
        <w:t>, financial management and procurement</w:t>
      </w:r>
      <w:r w:rsidRPr="0012759B">
        <w:t xml:space="preserve"> pillar</w:t>
      </w:r>
      <w:r w:rsidR="009E469A">
        <w:t>,</w:t>
      </w:r>
      <w:r w:rsidR="00F66FA2">
        <w:t xml:space="preserve"> several results are</w:t>
      </w:r>
      <w:r w:rsidRPr="0012759B">
        <w:t xml:space="preserve"> expected</w:t>
      </w:r>
      <w:r w:rsidR="00F66FA2">
        <w:t>. In the area of the tax administration</w:t>
      </w:r>
      <w:r w:rsidRPr="0012759B">
        <w:t xml:space="preserve"> results are intended to increase </w:t>
      </w:r>
      <w:r w:rsidR="007D448E" w:rsidRPr="0012759B">
        <w:t xml:space="preserve">sales tax compliance through the modernization of the </w:t>
      </w:r>
      <w:r w:rsidR="00670BC6">
        <w:t>fiscal receipt system</w:t>
      </w:r>
      <w:r w:rsidR="007D448E" w:rsidRPr="0012759B">
        <w:t xml:space="preserve">, which will formalize many smaller </w:t>
      </w:r>
      <w:r w:rsidR="00885F83" w:rsidRPr="0012759B">
        <w:t xml:space="preserve">retailers. </w:t>
      </w:r>
      <w:r w:rsidR="007B1FBB">
        <w:t>In</w:t>
      </w:r>
      <w:r w:rsidR="00885F83" w:rsidRPr="0012759B">
        <w:t xml:space="preserve"> the </w:t>
      </w:r>
      <w:r w:rsidR="00F66FA2">
        <w:t xml:space="preserve">areas of </w:t>
      </w:r>
      <w:r w:rsidR="00885F83" w:rsidRPr="0012759B">
        <w:t>financial management</w:t>
      </w:r>
      <w:r w:rsidR="00A23F3C">
        <w:t xml:space="preserve"> and procur</w:t>
      </w:r>
      <w:r w:rsidR="007B1FBB">
        <w:t>e</w:t>
      </w:r>
      <w:r w:rsidR="00A23F3C">
        <w:t>ment</w:t>
      </w:r>
      <w:r w:rsidR="00885F83" w:rsidRPr="0012759B">
        <w:t xml:space="preserve">, the expected results are reductions in </w:t>
      </w:r>
      <w:r w:rsidR="007B1FBB">
        <w:t xml:space="preserve">the </w:t>
      </w:r>
      <w:r w:rsidR="00885F83" w:rsidRPr="0012759B">
        <w:t>cost of sele</w:t>
      </w:r>
      <w:r w:rsidR="007B7EFB" w:rsidRPr="0012759B">
        <w:t>cted out-sourced services through</w:t>
      </w:r>
      <w:r w:rsidR="00885F83" w:rsidRPr="0012759B">
        <w:t xml:space="preserve"> the implementation of a contract management system and Price </w:t>
      </w:r>
      <w:r w:rsidR="0012759B" w:rsidRPr="0012759B">
        <w:t>Registry</w:t>
      </w:r>
      <w:r w:rsidR="009935FA">
        <w:t>,</w:t>
      </w:r>
      <w:r w:rsidR="00885F83" w:rsidRPr="0012759B">
        <w:t xml:space="preserve"> standardization o</w:t>
      </w:r>
      <w:r w:rsidR="007B7EFB" w:rsidRPr="0012759B">
        <w:t>f service specifications</w:t>
      </w:r>
      <w:r w:rsidR="00A23F3C">
        <w:t>, and improvements in planning and execution of public private partnerships (PPP)</w:t>
      </w:r>
      <w:r w:rsidR="00885F83" w:rsidRPr="0012759B">
        <w:t xml:space="preserve">. On the citizen security pillar, the expected results include improved police </w:t>
      </w:r>
      <w:r w:rsidR="0012759B" w:rsidRPr="0012759B">
        <w:t>performance</w:t>
      </w:r>
      <w:r w:rsidR="00885F83" w:rsidRPr="0012759B">
        <w:t xml:space="preserve">, more efficient allocation of resources, and increased citizen participation. </w:t>
      </w:r>
      <w:r w:rsidR="00F66FA2">
        <w:t>Within this second pillar there is specia</w:t>
      </w:r>
      <w:r w:rsidR="00AE5D05">
        <w:t>l focus given to the area of gender-based violence</w:t>
      </w:r>
      <w:r w:rsidR="00F66FA2">
        <w:t xml:space="preserve">, </w:t>
      </w:r>
      <w:r w:rsidR="00274697">
        <w:t>whose results target increasing awareness</w:t>
      </w:r>
      <w:r w:rsidR="00AE5D05">
        <w:t xml:space="preserve"> of gender-based violence</w:t>
      </w:r>
      <w:r w:rsidR="00274697">
        <w:t xml:space="preserve"> issues in society and improving access to justice and social services by women. </w:t>
      </w:r>
      <w:r w:rsidR="00885F83" w:rsidRPr="0012759B">
        <w:t>The direct beneficiaries of this last pillar will be citizens who live in areas most affected by crime and violence</w:t>
      </w:r>
      <w:r w:rsidR="007B7EFB" w:rsidRPr="0012759B">
        <w:t xml:space="preserve"> in</w:t>
      </w:r>
      <w:r w:rsidR="00885F83" w:rsidRPr="0012759B">
        <w:t xml:space="preserve"> the State. </w:t>
      </w:r>
    </w:p>
    <w:p w:rsidR="00A126FA" w:rsidRDefault="00A126FA" w:rsidP="00B5039C">
      <w:pPr>
        <w:rPr>
          <w:sz w:val="22"/>
          <w:szCs w:val="22"/>
        </w:rPr>
      </w:pPr>
    </w:p>
    <w:p w:rsidR="00A126FA" w:rsidRDefault="00A126FA" w:rsidP="00B5039C">
      <w:pPr>
        <w:numPr>
          <w:ilvl w:val="0"/>
          <w:numId w:val="24"/>
        </w:numPr>
        <w:jc w:val="both"/>
        <w:rPr>
          <w:b/>
        </w:rPr>
      </w:pPr>
      <w:r w:rsidRPr="005B0352">
        <w:rPr>
          <w:b/>
        </w:rPr>
        <w:t>Preliminary Description</w:t>
      </w:r>
    </w:p>
    <w:p w:rsidR="00FF23CF" w:rsidRDefault="00586ACB" w:rsidP="00B5039C">
      <w:pPr>
        <w:jc w:val="both"/>
      </w:pPr>
      <w:r>
        <w:t>This proposed operation is a single tranche Development Policy Loan in the amount of US$216 million to t</w:t>
      </w:r>
      <w:r w:rsidR="00E30681">
        <w:t xml:space="preserve">he Brazilian State of Amazonas, to be carried out in </w:t>
      </w:r>
      <w:r w:rsidR="00685CE0">
        <w:t>partnership</w:t>
      </w:r>
      <w:r w:rsidR="007B1FBB">
        <w:t xml:space="preserve"> </w:t>
      </w:r>
      <w:r w:rsidR="00E30681">
        <w:t>with the Inter-American Development Bank</w:t>
      </w:r>
      <w:r w:rsidR="00685CE0">
        <w:t xml:space="preserve"> and supports the program of the Government of Amazonas in areas of public sector management</w:t>
      </w:r>
      <w:r w:rsidR="00E30681">
        <w:t xml:space="preserve">. </w:t>
      </w:r>
      <w:r>
        <w:t xml:space="preserve">The operation is structured around </w:t>
      </w:r>
      <w:r w:rsidR="00274697">
        <w:t>two</w:t>
      </w:r>
      <w:r>
        <w:t xml:space="preserve"> pillars: a tax administration, financial management </w:t>
      </w:r>
      <w:r w:rsidR="00685CE0">
        <w:t xml:space="preserve">and procurement </w:t>
      </w:r>
      <w:r>
        <w:t>pillar, and a citizen security pillar</w:t>
      </w:r>
      <w:r w:rsidR="00AE5D05">
        <w:t xml:space="preserve"> with a focus on gender-based violence</w:t>
      </w:r>
      <w:r>
        <w:t>.</w:t>
      </w:r>
    </w:p>
    <w:p w:rsidR="00586ACB" w:rsidRDefault="00586ACB" w:rsidP="00B5039C">
      <w:pPr>
        <w:jc w:val="both"/>
      </w:pPr>
    </w:p>
    <w:p w:rsidR="00EF02D9" w:rsidRDefault="00586ACB" w:rsidP="00B5039C">
      <w:pPr>
        <w:jc w:val="both"/>
      </w:pPr>
      <w:proofErr w:type="gramStart"/>
      <w:r w:rsidRPr="0012759B">
        <w:rPr>
          <w:b/>
          <w:spacing w:val="-4"/>
        </w:rPr>
        <w:t xml:space="preserve">Pillar I. </w:t>
      </w:r>
      <w:r w:rsidRPr="00361E4C">
        <w:rPr>
          <w:b/>
          <w:spacing w:val="-4"/>
        </w:rPr>
        <w:t>Tax Administration</w:t>
      </w:r>
      <w:r w:rsidR="00AE5D05">
        <w:rPr>
          <w:b/>
          <w:spacing w:val="-4"/>
        </w:rPr>
        <w:t xml:space="preserve"> Financial Management and Procurement</w:t>
      </w:r>
      <w:r w:rsidRPr="00361E4C">
        <w:rPr>
          <w:b/>
          <w:spacing w:val="-4"/>
        </w:rPr>
        <w:t>.</w:t>
      </w:r>
      <w:proofErr w:type="gramEnd"/>
      <w:r w:rsidRPr="0012759B">
        <w:rPr>
          <w:b/>
          <w:spacing w:val="-4"/>
        </w:rPr>
        <w:t xml:space="preserve"> </w:t>
      </w:r>
      <w:r w:rsidRPr="00361E4C">
        <w:t>The</w:t>
      </w:r>
      <w:r w:rsidR="00AE5D05">
        <w:t>re are two</w:t>
      </w:r>
      <w:r w:rsidRPr="00361E4C">
        <w:t xml:space="preserve"> main objective of this first pillar</w:t>
      </w:r>
      <w:r w:rsidR="00AE5D05">
        <w:t>: (</w:t>
      </w:r>
      <w:proofErr w:type="spellStart"/>
      <w:r w:rsidR="00AE5D05">
        <w:t>i</w:t>
      </w:r>
      <w:proofErr w:type="spellEnd"/>
      <w:proofErr w:type="gramStart"/>
      <w:r w:rsidR="00AE5D05">
        <w:t>)</w:t>
      </w:r>
      <w:r w:rsidRPr="00361E4C">
        <w:t xml:space="preserve">  to</w:t>
      </w:r>
      <w:proofErr w:type="gramEnd"/>
      <w:r w:rsidRPr="00361E4C">
        <w:t xml:space="preserve">  </w:t>
      </w:r>
      <w:r w:rsidR="00C30792">
        <w:t>moderniz</w:t>
      </w:r>
      <w:r w:rsidR="006174A9">
        <w:t>e tax administration, increase sales tax compliance</w:t>
      </w:r>
      <w:r w:rsidR="00C30792">
        <w:t xml:space="preserve"> and </w:t>
      </w:r>
      <w:r w:rsidR="006174A9">
        <w:t xml:space="preserve">improve </w:t>
      </w:r>
      <w:r w:rsidRPr="00361E4C">
        <w:t xml:space="preserve"> the taxpayer </w:t>
      </w:r>
      <w:r w:rsidR="00C30792">
        <w:t>data</w:t>
      </w:r>
      <w:r w:rsidRPr="00361E4C">
        <w:t>base</w:t>
      </w:r>
      <w:r w:rsidR="006174A9">
        <w:t>; and (ii) streamline public financial management and procurement procedures to generate savings, enhance transparency, and increase efficiencies</w:t>
      </w:r>
      <w:r w:rsidRPr="00361E4C">
        <w:t xml:space="preserve">. </w:t>
      </w:r>
    </w:p>
    <w:p w:rsidR="00EF02D9" w:rsidRDefault="00EF02D9" w:rsidP="00B5039C">
      <w:pPr>
        <w:jc w:val="both"/>
      </w:pPr>
    </w:p>
    <w:p w:rsidR="00586ACB" w:rsidRDefault="00586ACB" w:rsidP="00B5039C">
      <w:pPr>
        <w:jc w:val="both"/>
      </w:pPr>
      <w:r w:rsidRPr="00E42FBB">
        <w:t xml:space="preserve">Amazonas suffers from </w:t>
      </w:r>
      <w:r w:rsidR="00C30792">
        <w:t xml:space="preserve">low sales tax </w:t>
      </w:r>
      <w:r w:rsidR="009935FA">
        <w:t>collection rates</w:t>
      </w:r>
      <w:r w:rsidRPr="00E42FBB">
        <w:t>.</w:t>
      </w:r>
      <w:r w:rsidR="00E42FBB" w:rsidRPr="0012759B">
        <w:rPr>
          <w:b/>
          <w:lang w:eastAsia="ar-SA"/>
        </w:rPr>
        <w:t xml:space="preserve"> </w:t>
      </w:r>
      <w:r w:rsidR="007B1FBB">
        <w:rPr>
          <w:lang w:eastAsia="ar-SA"/>
        </w:rPr>
        <w:t xml:space="preserve">As such, </w:t>
      </w:r>
      <w:r w:rsidR="009935FA">
        <w:rPr>
          <w:lang w:eastAsia="ar-SA"/>
        </w:rPr>
        <w:t>t</w:t>
      </w:r>
      <w:r w:rsidR="00E42FBB" w:rsidRPr="0012759B">
        <w:rPr>
          <w:lang w:eastAsia="ar-SA"/>
        </w:rPr>
        <w:t>he</w:t>
      </w:r>
      <w:r w:rsidR="00E42FBB" w:rsidRPr="0012759B">
        <w:rPr>
          <w:b/>
          <w:lang w:eastAsia="ar-SA"/>
        </w:rPr>
        <w:t xml:space="preserve"> </w:t>
      </w:r>
      <w:r w:rsidR="00246B6A">
        <w:t>Governme</w:t>
      </w:r>
      <w:r w:rsidR="00E42FBB">
        <w:t>nt of Amazonas</w:t>
      </w:r>
      <w:r w:rsidR="00E42FBB" w:rsidRPr="00361E4C">
        <w:t xml:space="preserve"> has sought innovative solutions to strengthen</w:t>
      </w:r>
      <w:r w:rsidR="00341B02">
        <w:t xml:space="preserve"> </w:t>
      </w:r>
      <w:r w:rsidR="00E30681">
        <w:t>tax administration, such as the</w:t>
      </w:r>
      <w:r w:rsidR="00A12F6E">
        <w:t xml:space="preserve"> implementation of the</w:t>
      </w:r>
      <w:r w:rsidR="00E30681">
        <w:t xml:space="preserve"> 2013</w:t>
      </w:r>
      <w:r w:rsidR="00E42FBB" w:rsidRPr="00361E4C">
        <w:t xml:space="preserve"> pilot of the Consumer Electronic Fiscal Note (</w:t>
      </w:r>
      <w:r w:rsidR="00E42FBB" w:rsidRPr="00361E4C">
        <w:rPr>
          <w:i/>
        </w:rPr>
        <w:t>Nota Fiscal</w:t>
      </w:r>
      <w:r w:rsidR="00670BC6">
        <w:rPr>
          <w:i/>
        </w:rPr>
        <w:t xml:space="preserve"> do </w:t>
      </w:r>
      <w:proofErr w:type="spellStart"/>
      <w:r w:rsidR="00670BC6">
        <w:rPr>
          <w:i/>
        </w:rPr>
        <w:t>Consumidor</w:t>
      </w:r>
      <w:proofErr w:type="spellEnd"/>
      <w:r w:rsidR="00E42FBB" w:rsidRPr="00361E4C">
        <w:rPr>
          <w:i/>
        </w:rPr>
        <w:t xml:space="preserve"> Electroni</w:t>
      </w:r>
      <w:r w:rsidR="00670BC6">
        <w:rPr>
          <w:i/>
        </w:rPr>
        <w:t xml:space="preserve">ca </w:t>
      </w:r>
      <w:r w:rsidR="00E42FBB" w:rsidRPr="00361E4C">
        <w:rPr>
          <w:i/>
        </w:rPr>
        <w:t xml:space="preserve">- </w:t>
      </w:r>
      <w:r w:rsidR="00E42FBB">
        <w:t>NFC-e)</w:t>
      </w:r>
      <w:r w:rsidR="00E42FBB" w:rsidRPr="00361E4C">
        <w:t xml:space="preserve">. </w:t>
      </w:r>
      <w:r w:rsidR="004C6B9B">
        <w:t>The NFC-e, a</w:t>
      </w:r>
      <w:r w:rsidR="00FA22C2">
        <w:t xml:space="preserve"> free system for retailers,</w:t>
      </w:r>
      <w:r w:rsidR="004C6B9B">
        <w:t xml:space="preserve"> create</w:t>
      </w:r>
      <w:r w:rsidR="00FA22C2">
        <w:t>s</w:t>
      </w:r>
      <w:r w:rsidR="004C6B9B">
        <w:t xml:space="preserve"> an electronic file</w:t>
      </w:r>
      <w:r w:rsidR="00A12F6E">
        <w:t xml:space="preserve"> at the time of purchase</w:t>
      </w:r>
      <w:r w:rsidR="004C6B9B">
        <w:t xml:space="preserve"> </w:t>
      </w:r>
      <w:r w:rsidR="00FA22C2">
        <w:t>with the invoice information and send</w:t>
      </w:r>
      <w:r w:rsidR="00855A00">
        <w:t>s</w:t>
      </w:r>
      <w:r w:rsidR="00A12F6E">
        <w:t xml:space="preserve"> it</w:t>
      </w:r>
      <w:r w:rsidR="00FA22C2">
        <w:t xml:space="preserve"> to SEFAZ, which then</w:t>
      </w:r>
      <w:r w:rsidR="004C6B9B">
        <w:t xml:space="preserve"> validate</w:t>
      </w:r>
      <w:r w:rsidR="00FA22C2">
        <w:t>s</w:t>
      </w:r>
      <w:r w:rsidR="004C6B9B">
        <w:t xml:space="preserve"> the information</w:t>
      </w:r>
      <w:r w:rsidR="00025A63">
        <w:t xml:space="preserve"> against </w:t>
      </w:r>
      <w:r w:rsidR="004C6B9B">
        <w:t xml:space="preserve">the taxpayer database. </w:t>
      </w:r>
      <w:r w:rsidR="00025A63">
        <w:t>Once this information i</w:t>
      </w:r>
      <w:r w:rsidR="00855A00">
        <w:t>s validated, the invoice is</w:t>
      </w:r>
      <w:r w:rsidR="00025A63">
        <w:t xml:space="preserve"> issued to the consumer. </w:t>
      </w:r>
      <w:r w:rsidR="00E42FBB" w:rsidRPr="00361E4C">
        <w:t>The system’s rollout across the whole State will substitute the previous system involving paper receipts</w:t>
      </w:r>
      <w:r w:rsidR="00FA22C2">
        <w:t xml:space="preserve">, reduce </w:t>
      </w:r>
      <w:r w:rsidR="000D0513">
        <w:t>the cost of compliance for retailers,</w:t>
      </w:r>
      <w:r w:rsidR="00E42FBB" w:rsidRPr="00361E4C">
        <w:t xml:space="preserve"> </w:t>
      </w:r>
      <w:r w:rsidR="00CB22DC">
        <w:t>decrease</w:t>
      </w:r>
      <w:r w:rsidR="00855A00">
        <w:t xml:space="preserve"> the demand </w:t>
      </w:r>
      <w:r w:rsidR="003426F5">
        <w:t>for in-depth audits by increasing the availability of real-time and reliable information on collection, and elevate the risk of non-compliance</w:t>
      </w:r>
      <w:r w:rsidR="009935FA">
        <w:t>.</w:t>
      </w:r>
      <w:r w:rsidR="00E30681">
        <w:t xml:space="preserve"> </w:t>
      </w:r>
      <w:r w:rsidR="009935FA">
        <w:t>This, in turn,</w:t>
      </w:r>
      <w:r w:rsidR="00CB22DC">
        <w:t xml:space="preserve"> is estimated </w:t>
      </w:r>
      <w:r w:rsidR="009935FA">
        <w:t>to increase</w:t>
      </w:r>
      <w:r w:rsidR="00341B02">
        <w:t xml:space="preserve"> </w:t>
      </w:r>
      <w:r w:rsidR="00025A63">
        <w:t xml:space="preserve">tax compliance and </w:t>
      </w:r>
      <w:r w:rsidR="003426F5">
        <w:t>improve</w:t>
      </w:r>
      <w:r w:rsidR="00FA22C2">
        <w:t xml:space="preserve"> </w:t>
      </w:r>
      <w:r w:rsidR="00341B02">
        <w:t xml:space="preserve">taxpayer </w:t>
      </w:r>
      <w:r w:rsidR="00025A63">
        <w:t>data</w:t>
      </w:r>
      <w:r w:rsidR="00341B02">
        <w:t>base</w:t>
      </w:r>
      <w:r w:rsidR="00E42FBB" w:rsidRPr="00361E4C">
        <w:t xml:space="preserve">. </w:t>
      </w:r>
      <w:r w:rsidR="003426F5">
        <w:t xml:space="preserve">The State has planned for a gradual deployment of the NFC-e, starting with voluntary membership in July 2013 and moving to obligatory compliance for retailors by 2015. </w:t>
      </w:r>
      <w:r w:rsidR="00246B6A" w:rsidRPr="00361E4C">
        <w:t xml:space="preserve">This </w:t>
      </w:r>
      <w:r w:rsidR="00246B6A">
        <w:t xml:space="preserve">pillar directly supports the implementation of this system. </w:t>
      </w:r>
      <w:r w:rsidRPr="00361E4C">
        <w:t>A continuation of this reform involves instituting i</w:t>
      </w:r>
      <w:r w:rsidR="00E30681">
        <w:t>ncentives for consumers to comply with sales tax obligations</w:t>
      </w:r>
      <w:r w:rsidRPr="00361E4C">
        <w:t xml:space="preserve">. </w:t>
      </w:r>
    </w:p>
    <w:p w:rsidR="00E42FBB" w:rsidRDefault="00E42FBB" w:rsidP="00B5039C"/>
    <w:p w:rsidR="00246B6A" w:rsidRDefault="00246B6A" w:rsidP="00B5039C">
      <w:pPr>
        <w:jc w:val="both"/>
      </w:pPr>
      <w:r>
        <w:t>T</w:t>
      </w:r>
      <w:r w:rsidR="001C4299">
        <w:t>he Government of Amazonas</w:t>
      </w:r>
      <w:r w:rsidR="00E42FBB" w:rsidRPr="00361E4C">
        <w:t xml:space="preserve"> suffers from low efficiency in budget and financial planning and </w:t>
      </w:r>
      <w:r w:rsidR="00085CB1">
        <w:t>from the absence of standardized policies and tools in the areas of (</w:t>
      </w:r>
      <w:proofErr w:type="spellStart"/>
      <w:r w:rsidR="00085CB1">
        <w:t>i</w:t>
      </w:r>
      <w:proofErr w:type="spellEnd"/>
      <w:r w:rsidR="00085CB1">
        <w:t>) control of recurrent expenditures; (ii) contract management; (iii) public procurement syste</w:t>
      </w:r>
      <w:r w:rsidR="003D3DB3">
        <w:t xml:space="preserve">ms; and </w:t>
      </w:r>
      <w:proofErr w:type="gramStart"/>
      <w:r w:rsidR="003D3DB3">
        <w:t>(iv)</w:t>
      </w:r>
      <w:r w:rsidR="00085CB1">
        <w:t xml:space="preserve"> investment</w:t>
      </w:r>
      <w:proofErr w:type="gramEnd"/>
      <w:r w:rsidR="00085CB1">
        <w:t xml:space="preserve"> planning. </w:t>
      </w:r>
      <w:r w:rsidR="00085CB1">
        <w:rPr>
          <w:b/>
        </w:rPr>
        <w:t xml:space="preserve"> </w:t>
      </w:r>
      <w:r w:rsidR="00085CB1">
        <w:t xml:space="preserve">The proposed actions of the operation support the adoption of the new policies and standards </w:t>
      </w:r>
      <w:r w:rsidR="002652A3">
        <w:t xml:space="preserve">for procurement and contract management </w:t>
      </w:r>
      <w:r w:rsidR="00085CB1">
        <w:t xml:space="preserve">that will allow the executive branch to </w:t>
      </w:r>
      <w:r w:rsidR="00085CB1">
        <w:lastRenderedPageBreak/>
        <w:t>improve planning of resource allocation, thus, improving financial control</w:t>
      </w:r>
      <w:r w:rsidR="003D3DB3">
        <w:t xml:space="preserve"> and generating</w:t>
      </w:r>
      <w:r w:rsidR="002652A3">
        <w:t xml:space="preserve"> savings</w:t>
      </w:r>
      <w:r w:rsidR="00085CB1">
        <w:t xml:space="preserve">. </w:t>
      </w:r>
    </w:p>
    <w:p w:rsidR="00EF02D9" w:rsidRDefault="00EF02D9" w:rsidP="00B5039C">
      <w:pPr>
        <w:jc w:val="both"/>
        <w:rPr>
          <w:b/>
        </w:rPr>
      </w:pPr>
    </w:p>
    <w:p w:rsidR="00257EC0" w:rsidRDefault="001C4299" w:rsidP="00B5039C">
      <w:pPr>
        <w:jc w:val="both"/>
      </w:pPr>
      <w:r w:rsidRPr="00361E4C">
        <w:rPr>
          <w:b/>
        </w:rPr>
        <w:t xml:space="preserve">Pillar II. </w:t>
      </w:r>
      <w:proofErr w:type="gramStart"/>
      <w:r w:rsidR="00EF02D9">
        <w:rPr>
          <w:b/>
        </w:rPr>
        <w:t>Citizen Security with a Focus on Gender-Based Violence.</w:t>
      </w:r>
      <w:proofErr w:type="gramEnd"/>
      <w:r w:rsidRPr="00361E4C">
        <w:rPr>
          <w:b/>
        </w:rPr>
        <w:t xml:space="preserve"> </w:t>
      </w:r>
      <w:r w:rsidRPr="00361E4C">
        <w:t xml:space="preserve">Policy actions to be financed under this component aim at improving efficiency </w:t>
      </w:r>
      <w:r w:rsidR="00AA36C1">
        <w:t xml:space="preserve">and transparency </w:t>
      </w:r>
      <w:r w:rsidRPr="00361E4C">
        <w:t xml:space="preserve">in the </w:t>
      </w:r>
      <w:r w:rsidRPr="001C4299">
        <w:t>citizen security</w:t>
      </w:r>
      <w:r>
        <w:t xml:space="preserve"> </w:t>
      </w:r>
      <w:r w:rsidR="00B42B43">
        <w:t>sector</w:t>
      </w:r>
      <w:r w:rsidRPr="00361E4C">
        <w:t xml:space="preserve"> </w:t>
      </w:r>
      <w:r w:rsidR="00AA36C1">
        <w:t xml:space="preserve">as a whole, and reduce gender-based violence in particular. Specifically, this operation will target this objective </w:t>
      </w:r>
      <w:r w:rsidRPr="00361E4C">
        <w:t>through: (</w:t>
      </w:r>
      <w:proofErr w:type="spellStart"/>
      <w:r w:rsidRPr="00361E4C">
        <w:t>i</w:t>
      </w:r>
      <w:proofErr w:type="spellEnd"/>
      <w:r w:rsidRPr="00361E4C">
        <w:t>) the integration of resources and actions o</w:t>
      </w:r>
      <w:r w:rsidR="00662F90">
        <w:t>f the</w:t>
      </w:r>
      <w:r w:rsidRPr="00361E4C">
        <w:t xml:space="preserve"> </w:t>
      </w:r>
      <w:r w:rsidR="00662F90">
        <w:t>various sector entities</w:t>
      </w:r>
      <w:r w:rsidRPr="00361E4C">
        <w:t xml:space="preserve">; (ii) </w:t>
      </w:r>
      <w:r w:rsidR="00662F90">
        <w:t xml:space="preserve">the </w:t>
      </w:r>
      <w:r w:rsidRPr="00361E4C">
        <w:t>planning, monitoring and evaluation of police performance and public security expendit</w:t>
      </w:r>
      <w:r w:rsidR="00662F90">
        <w:t>ures; (iii</w:t>
      </w:r>
      <w:r w:rsidRPr="00361E4C">
        <w:t>)</w:t>
      </w:r>
      <w:r w:rsidR="00BF32DE">
        <w:t xml:space="preserve"> the promotion of intergovernmental coordination and streamlining of operating costs; (iv)</w:t>
      </w:r>
      <w:r w:rsidRPr="00361E4C">
        <w:t xml:space="preserve"> and the promotion of greater transparency and social control of public security management.</w:t>
      </w:r>
      <w:r>
        <w:rPr>
          <w:b/>
        </w:rPr>
        <w:t xml:space="preserve"> </w:t>
      </w:r>
      <w:r w:rsidR="00BF4F97">
        <w:t xml:space="preserve">Within the specific area of gender-based violence, </w:t>
      </w:r>
      <w:r w:rsidR="00354956">
        <w:t>this operation seeks to (</w:t>
      </w:r>
      <w:proofErr w:type="spellStart"/>
      <w:r w:rsidR="00354956">
        <w:t>i</w:t>
      </w:r>
      <w:proofErr w:type="spellEnd"/>
      <w:r w:rsidR="00354956">
        <w:t xml:space="preserve">) increase knowledge about </w:t>
      </w:r>
      <w:r w:rsidR="00354956" w:rsidRPr="00354956">
        <w:rPr>
          <w:i/>
        </w:rPr>
        <w:t xml:space="preserve">Maria de </w:t>
      </w:r>
      <w:proofErr w:type="spellStart"/>
      <w:r w:rsidR="00354956" w:rsidRPr="00354956">
        <w:rPr>
          <w:i/>
        </w:rPr>
        <w:t>Penha</w:t>
      </w:r>
      <w:proofErr w:type="spellEnd"/>
      <w:r w:rsidR="00354956" w:rsidRPr="00354956">
        <w:rPr>
          <w:i/>
        </w:rPr>
        <w:t xml:space="preserve"> Law</w:t>
      </w:r>
      <w:r w:rsidR="000559F7">
        <w:t xml:space="preserve"> for public servants </w:t>
      </w:r>
      <w:r w:rsidR="00354956">
        <w:t>and increase awareness towards domestic viol</w:t>
      </w:r>
      <w:r w:rsidR="000559F7">
        <w:t>ence amongst the general public</w:t>
      </w:r>
      <w:r w:rsidR="00354956">
        <w:t xml:space="preserve"> and (ii) improve victim</w:t>
      </w:r>
      <w:r w:rsidR="00257EC0">
        <w:t>s’</w:t>
      </w:r>
      <w:r w:rsidR="00354956">
        <w:t xml:space="preserve"> access to services provided by the </w:t>
      </w:r>
      <w:r w:rsidR="000559F7">
        <w:t>specialized</w:t>
      </w:r>
      <w:r w:rsidR="00257EC0">
        <w:t xml:space="preserve"> </w:t>
      </w:r>
      <w:r w:rsidR="000559F7">
        <w:t xml:space="preserve">social assistance </w:t>
      </w:r>
      <w:r w:rsidR="00257EC0">
        <w:t xml:space="preserve">networks. </w:t>
      </w:r>
    </w:p>
    <w:p w:rsidR="00257EC0" w:rsidRDefault="00257EC0" w:rsidP="00B5039C">
      <w:pPr>
        <w:jc w:val="both"/>
      </w:pPr>
    </w:p>
    <w:p w:rsidR="00E42FBB" w:rsidRDefault="001C4299" w:rsidP="00B5039C">
      <w:pPr>
        <w:jc w:val="both"/>
      </w:pPr>
      <w:r w:rsidRPr="00361E4C">
        <w:t xml:space="preserve">The lack of coordination, information </w:t>
      </w:r>
      <w:r w:rsidR="00430F89">
        <w:t>sharing, and trust between the civilian and m</w:t>
      </w:r>
      <w:r w:rsidR="00662F90">
        <w:t>ilitary p</w:t>
      </w:r>
      <w:r w:rsidRPr="00361E4C">
        <w:t xml:space="preserve">olice have historically posed problems in many Brazilian states and in the country as a whole. </w:t>
      </w:r>
      <w:r w:rsidRPr="00361E4C">
        <w:rPr>
          <w:i/>
          <w:color w:val="000000"/>
        </w:rPr>
        <w:t xml:space="preserve">Ronda </w:t>
      </w:r>
      <w:proofErr w:type="spellStart"/>
      <w:r w:rsidRPr="00361E4C">
        <w:rPr>
          <w:i/>
          <w:color w:val="000000"/>
        </w:rPr>
        <w:t>Bairro</w:t>
      </w:r>
      <w:proofErr w:type="spellEnd"/>
      <w:r w:rsidRPr="00361E4C">
        <w:rPr>
          <w:color w:val="000000"/>
        </w:rPr>
        <w:t xml:space="preserve"> is therefore the main State effort to integrate the work of the two police forces in order to avoid </w:t>
      </w:r>
      <w:r w:rsidRPr="00361E4C">
        <w:t>duplication of e</w:t>
      </w:r>
      <w:r>
        <w:t xml:space="preserve">fforts and lack of coordination. </w:t>
      </w:r>
      <w:r w:rsidR="00BF32DE" w:rsidRPr="00361E4C">
        <w:t>The program is based on the principles of</w:t>
      </w:r>
      <w:r w:rsidR="00BF32DE" w:rsidRPr="00361E4C">
        <w:rPr>
          <w:color w:val="000000"/>
        </w:rPr>
        <w:t xml:space="preserve"> results-oriented and community policing, aimed at</w:t>
      </w:r>
      <w:r w:rsidR="00BF32DE" w:rsidRPr="00361E4C">
        <w:t xml:space="preserve"> increasing efficiency in the allocation of citizen security resources, establishing monitoring and evaluation mechanisms to oversee citizen security performance and expenditures, and at strengthening the relationship between the police and civil society. </w:t>
      </w:r>
      <w:r>
        <w:t xml:space="preserve">This operation will directly support the administrative strengthening </w:t>
      </w:r>
      <w:r w:rsidR="00313825">
        <w:t xml:space="preserve">of these coordination processes through the </w:t>
      </w:r>
      <w:r w:rsidR="00387DC2">
        <w:t>formal integration of the civilian and military police in</w:t>
      </w:r>
      <w:r w:rsidR="00861FA4">
        <w:t>to</w:t>
      </w:r>
      <w:r w:rsidR="00387DC2">
        <w:t xml:space="preserve"> DIPs</w:t>
      </w:r>
      <w:r w:rsidR="00313825">
        <w:t xml:space="preserve"> as well as </w:t>
      </w:r>
      <w:r w:rsidR="00341B02">
        <w:t xml:space="preserve">the </w:t>
      </w:r>
      <w:r w:rsidR="00313825">
        <w:t xml:space="preserve">creation of </w:t>
      </w:r>
      <w:r w:rsidR="002652A3">
        <w:t>a results-based approach for evaluating</w:t>
      </w:r>
      <w:r w:rsidR="00313825">
        <w:t xml:space="preserve"> police activities. The operation will also support enha</w:t>
      </w:r>
      <w:r w:rsidR="00662F90">
        <w:t xml:space="preserve">ncing </w:t>
      </w:r>
      <w:r w:rsidR="00313825">
        <w:t>civil society</w:t>
      </w:r>
      <w:r w:rsidR="00662F90">
        <w:t xml:space="preserve"> participation in </w:t>
      </w:r>
      <w:r w:rsidR="002652A3">
        <w:t xml:space="preserve">the sector </w:t>
      </w:r>
      <w:r w:rsidR="00313825">
        <w:t>through the creation of a disclosure mechanism for expenditure indicators.</w:t>
      </w:r>
    </w:p>
    <w:p w:rsidR="00257EC0" w:rsidRDefault="00257EC0" w:rsidP="00B5039C">
      <w:pPr>
        <w:jc w:val="both"/>
      </w:pPr>
    </w:p>
    <w:p w:rsidR="00257EC0" w:rsidRPr="00C64F66" w:rsidRDefault="00C64F66" w:rsidP="00C64F66">
      <w:pPr>
        <w:pStyle w:val="AmazoniansText"/>
        <w:numPr>
          <w:ilvl w:val="0"/>
          <w:numId w:val="0"/>
        </w:numPr>
        <w:spacing w:line="240" w:lineRule="auto"/>
      </w:pPr>
      <w:r>
        <w:rPr>
          <w:lang w:val="en-US"/>
        </w:rPr>
        <w:t>Despite</w:t>
      </w:r>
      <w:r w:rsidR="00750ACC">
        <w:t xml:space="preserve"> progress in recent</w:t>
      </w:r>
      <w:r w:rsidR="00257EC0" w:rsidRPr="009D5DD8">
        <w:t xml:space="preserve"> years, women in the State of Amazonas still face challenges in terms of economic opportunities and agency.</w:t>
      </w:r>
      <w:r w:rsidR="00257EC0" w:rsidDel="00E44EA1">
        <w:rPr>
          <w:b/>
        </w:rPr>
        <w:t xml:space="preserve"> </w:t>
      </w:r>
      <w:r w:rsidR="00A514A1">
        <w:t>As such</w:t>
      </w:r>
      <w:r w:rsidR="00257EC0" w:rsidRPr="00E44EA1">
        <w:t xml:space="preserve">, the </w:t>
      </w:r>
      <w:proofErr w:type="spellStart"/>
      <w:r w:rsidR="00257EC0" w:rsidRPr="00E44EA1">
        <w:t>GoAM</w:t>
      </w:r>
      <w:proofErr w:type="spellEnd"/>
      <w:r w:rsidR="00750ACC">
        <w:t xml:space="preserve"> </w:t>
      </w:r>
      <w:r w:rsidR="00257EC0" w:rsidRPr="00E44EA1">
        <w:t>created the Executive Secretariat for Gender-related Policies (</w:t>
      </w:r>
      <w:proofErr w:type="spellStart"/>
      <w:r w:rsidR="00257EC0" w:rsidRPr="009D5DD8">
        <w:rPr>
          <w:i/>
        </w:rPr>
        <w:t>Secretaria</w:t>
      </w:r>
      <w:proofErr w:type="spellEnd"/>
      <w:r w:rsidR="00257EC0" w:rsidRPr="009D5DD8">
        <w:rPr>
          <w:i/>
        </w:rPr>
        <w:t xml:space="preserve"> </w:t>
      </w:r>
      <w:proofErr w:type="spellStart"/>
      <w:r w:rsidR="00257EC0" w:rsidRPr="009D5DD8">
        <w:rPr>
          <w:i/>
        </w:rPr>
        <w:t>Executiva</w:t>
      </w:r>
      <w:proofErr w:type="spellEnd"/>
      <w:r w:rsidR="00257EC0" w:rsidRPr="009D5DD8">
        <w:rPr>
          <w:i/>
        </w:rPr>
        <w:t xml:space="preserve"> para </w:t>
      </w:r>
      <w:proofErr w:type="spellStart"/>
      <w:r w:rsidR="00257EC0" w:rsidRPr="009D5DD8">
        <w:rPr>
          <w:i/>
        </w:rPr>
        <w:t>Políticas</w:t>
      </w:r>
      <w:proofErr w:type="spellEnd"/>
      <w:r w:rsidR="00257EC0" w:rsidRPr="009D5DD8">
        <w:rPr>
          <w:i/>
        </w:rPr>
        <w:t xml:space="preserve"> de </w:t>
      </w:r>
      <w:proofErr w:type="spellStart"/>
      <w:r w:rsidR="00257EC0" w:rsidRPr="009D5DD8">
        <w:rPr>
          <w:i/>
        </w:rPr>
        <w:t>Mulheres</w:t>
      </w:r>
      <w:proofErr w:type="spellEnd"/>
      <w:r w:rsidR="00257EC0" w:rsidRPr="00E44EA1">
        <w:t>, SEPM)</w:t>
      </w:r>
      <w:r w:rsidR="00447699">
        <w:t>, aiming to increase gender equity in the state and</w:t>
      </w:r>
      <w:r w:rsidR="00447699" w:rsidRPr="00E44EA1">
        <w:t xml:space="preserve"> address the problem of domestic violence</w:t>
      </w:r>
      <w:r w:rsidR="00447699">
        <w:t>, among others</w:t>
      </w:r>
      <w:r w:rsidR="00EA7F7D">
        <w:t>.</w:t>
      </w:r>
      <w:r w:rsidR="002A6C89">
        <w:t xml:space="preserve"> </w:t>
      </w:r>
      <w:r w:rsidR="00A514A1">
        <w:t>T</w:t>
      </w:r>
      <w:r w:rsidR="002A6C89" w:rsidRPr="002A6C89">
        <w:t xml:space="preserve">he </w:t>
      </w:r>
      <w:proofErr w:type="spellStart"/>
      <w:r w:rsidR="002A6C89" w:rsidRPr="002A6C89">
        <w:t>GoAM</w:t>
      </w:r>
      <w:proofErr w:type="spellEnd"/>
      <w:r w:rsidR="002A6C89" w:rsidRPr="002A6C89">
        <w:t xml:space="preserve"> has </w:t>
      </w:r>
      <w:r w:rsidR="00A514A1">
        <w:t>also</w:t>
      </w:r>
      <w:r w:rsidR="00447699">
        <w:t xml:space="preserve"> joined state and federal initiatives to reduce the incidence of gender-based violence</w:t>
      </w:r>
      <w:r w:rsidR="00C41AA3">
        <w:t>,</w:t>
      </w:r>
      <w:r w:rsidR="00FA439B">
        <w:t xml:space="preserve"> including </w:t>
      </w:r>
      <w:r w:rsidR="00FA439B" w:rsidRPr="00E44EA1">
        <w:t>House of the Brazilian Woman</w:t>
      </w:r>
      <w:r w:rsidR="00FA439B">
        <w:t xml:space="preserve"> (</w:t>
      </w:r>
      <w:r w:rsidR="00FA439B" w:rsidRPr="00FE784E">
        <w:rPr>
          <w:i/>
        </w:rPr>
        <w:t xml:space="preserve">Casa da </w:t>
      </w:r>
      <w:proofErr w:type="spellStart"/>
      <w:r w:rsidR="00FA439B" w:rsidRPr="00FE784E">
        <w:rPr>
          <w:i/>
        </w:rPr>
        <w:t>Mulher</w:t>
      </w:r>
      <w:proofErr w:type="spellEnd"/>
      <w:r w:rsidR="00FA439B" w:rsidRPr="00FE784E">
        <w:rPr>
          <w:i/>
        </w:rPr>
        <w:t xml:space="preserve"> </w:t>
      </w:r>
      <w:proofErr w:type="spellStart"/>
      <w:r w:rsidR="00FA439B" w:rsidRPr="00FE784E">
        <w:rPr>
          <w:i/>
        </w:rPr>
        <w:t>Brasileira</w:t>
      </w:r>
      <w:proofErr w:type="spellEnd"/>
      <w:r w:rsidR="00FA439B" w:rsidRPr="00E44EA1">
        <w:t>)</w:t>
      </w:r>
      <w:r w:rsidR="00FA439B">
        <w:t>, whose objectives involve</w:t>
      </w:r>
      <w:r w:rsidR="00C41AA3">
        <w:t xml:space="preserve"> improving network services to women victims of violence such as </w:t>
      </w:r>
      <w:r w:rsidR="002A6C89">
        <w:t xml:space="preserve">special police units, shelters and specialized </w:t>
      </w:r>
      <w:r>
        <w:t>social assistance centre</w:t>
      </w:r>
      <w:r w:rsidR="00C41AA3">
        <w:t>s offering counselling, health services, an</w:t>
      </w:r>
      <w:r>
        <w:t>d</w:t>
      </w:r>
      <w:r w:rsidR="00C41AA3">
        <w:t xml:space="preserve"> employment and income generation opportunities</w:t>
      </w:r>
      <w:r w:rsidR="006C0854">
        <w:t>.</w:t>
      </w:r>
      <w:r w:rsidR="00E06A04">
        <w:t xml:space="preserve"> This operation will directly support this area through promoting public awareness of gender-related</w:t>
      </w:r>
      <w:r w:rsidR="00F62C9A">
        <w:t xml:space="preserve"> issues and training for practitioners of legislation aimed at protecting and preventing violence against women as well as </w:t>
      </w:r>
      <w:r w:rsidR="002F259E">
        <w:t>the overall expansion of social assistance</w:t>
      </w:r>
      <w:r w:rsidR="00F62C9A">
        <w:t xml:space="preserve"> services to victims through the construction of specialized centres. </w:t>
      </w:r>
      <w:r w:rsidR="00E06A04">
        <w:t xml:space="preserve">  </w:t>
      </w:r>
      <w:r w:rsidR="006C0854">
        <w:t xml:space="preserve"> </w:t>
      </w:r>
    </w:p>
    <w:p w:rsidR="00586ACB" w:rsidRPr="00586ACB" w:rsidRDefault="00586ACB" w:rsidP="00B5039C"/>
    <w:p w:rsidR="00AA5A30" w:rsidRPr="000F2997" w:rsidRDefault="00AA5A30" w:rsidP="00B5039C">
      <w:pPr>
        <w:numPr>
          <w:ilvl w:val="0"/>
          <w:numId w:val="24"/>
        </w:numPr>
        <w:spacing w:after="240"/>
        <w:rPr>
          <w:b/>
        </w:rPr>
      </w:pPr>
      <w:r>
        <w:rPr>
          <w:b/>
        </w:rPr>
        <w:t>Poverty and Social Impacts and Environment Aspects</w:t>
      </w:r>
    </w:p>
    <w:p w:rsidR="00AA5A30" w:rsidRPr="000F2997" w:rsidRDefault="00AA5A30" w:rsidP="00B5039C">
      <w:pPr>
        <w:pStyle w:val="CM4"/>
        <w:spacing w:after="240"/>
        <w:rPr>
          <w:i/>
          <w:iCs/>
          <w:sz w:val="22"/>
          <w:szCs w:val="22"/>
        </w:rPr>
      </w:pPr>
      <w:r w:rsidRPr="000F2997">
        <w:rPr>
          <w:i/>
          <w:iCs/>
          <w:sz w:val="22"/>
          <w:szCs w:val="22"/>
        </w:rPr>
        <w:t xml:space="preserve">Poverty and Social Impacts </w:t>
      </w:r>
    </w:p>
    <w:p w:rsidR="00ED3AE6" w:rsidRPr="00C41186" w:rsidRDefault="00ED3AE6" w:rsidP="00ED3AE6">
      <w:pPr>
        <w:pStyle w:val="AmazoniansText"/>
        <w:numPr>
          <w:ilvl w:val="0"/>
          <w:numId w:val="0"/>
        </w:numPr>
        <w:spacing w:line="240" w:lineRule="auto"/>
      </w:pPr>
      <w:r w:rsidRPr="00ED3AE6">
        <w:t>The policy actions supported by this operation are expected to have a positive impact on poverty as they will address good governance and fiscal sustainability, citizen security and gender equity issues.</w:t>
      </w:r>
      <w:r w:rsidRPr="00C41186">
        <w:t xml:space="preserve"> The PSIA assesses the expected distributional impacts and attempts to identify political economy and implementation risks linked to this operation on different socioeconomic groups, especially poor and vulnerable groups. The assessment relies on the analysis of secondary data. The combined social and economic impacts of the policies supported by this operation for the most vulnerable population are expected to be positive.</w:t>
      </w:r>
    </w:p>
    <w:p w:rsidR="00ED3AE6" w:rsidRPr="00C41186" w:rsidRDefault="00ED3AE6" w:rsidP="00ED3AE6">
      <w:pPr>
        <w:pStyle w:val="AmazoniansText"/>
        <w:numPr>
          <w:ilvl w:val="0"/>
          <w:numId w:val="0"/>
        </w:numPr>
        <w:spacing w:line="240" w:lineRule="auto"/>
      </w:pPr>
      <w:r w:rsidRPr="00ED3AE6">
        <w:t>To demonstrate the potential pro-poor effects of the citizen security and gender-related poli</w:t>
      </w:r>
      <w:r>
        <w:t>cies supported by this operation (Pillar II)</w:t>
      </w:r>
      <w:r w:rsidRPr="00ED3AE6">
        <w:t>, it is necessary to assess the distributional impacts of crime and violence in Amazonas.</w:t>
      </w:r>
      <w:r w:rsidRPr="00C41186">
        <w:t xml:space="preserve"> Violence and criminality rates are much higher at the capital city and in its more underserved areas with higher rates of poverty, poor housing stock, unemployment, lower educational attainment, low levels of investment in public spaces and higher levels of social vulnerability (the East, the North and the West </w:t>
      </w:r>
      <w:r w:rsidRPr="00392EC5">
        <w:t>Regions</w:t>
      </w:r>
      <w:r w:rsidRPr="00C41186">
        <w:t xml:space="preserve">). As elsewhere in Brazil, age, gender and race disparities are also characteristic of </w:t>
      </w:r>
      <w:r w:rsidRPr="00AB2A3E">
        <w:rPr>
          <w:lang w:val="en-US"/>
        </w:rPr>
        <w:t xml:space="preserve">crime victimization in Amazonas. The rate of homicides more than doubled in the state and in its capital city in the last decade. These rates experienced larger increases among the youth: at the state level, homicides among the young population grew 138 percent; in the capital city, this growth equaled 151.5 percent. Furthermore, </w:t>
      </w:r>
      <w:r>
        <w:rPr>
          <w:color w:val="000000"/>
        </w:rPr>
        <w:t>w</w:t>
      </w:r>
      <w:r w:rsidRPr="00E44EA1">
        <w:rPr>
          <w:color w:val="000000"/>
        </w:rPr>
        <w:t xml:space="preserve">hile Amazonas is on the lower end of female homicides according to the </w:t>
      </w:r>
      <w:proofErr w:type="spellStart"/>
      <w:r w:rsidRPr="00E44EA1">
        <w:rPr>
          <w:i/>
          <w:color w:val="000000"/>
        </w:rPr>
        <w:t>Mapa</w:t>
      </w:r>
      <w:proofErr w:type="spellEnd"/>
      <w:r w:rsidRPr="00E44EA1">
        <w:rPr>
          <w:i/>
          <w:color w:val="000000"/>
        </w:rPr>
        <w:t xml:space="preserve"> da </w:t>
      </w:r>
      <w:proofErr w:type="spellStart"/>
      <w:r w:rsidRPr="00E44EA1">
        <w:rPr>
          <w:i/>
          <w:color w:val="000000"/>
        </w:rPr>
        <w:t>Violencia</w:t>
      </w:r>
      <w:proofErr w:type="spellEnd"/>
      <w:r w:rsidRPr="00E44EA1">
        <w:rPr>
          <w:color w:val="000000"/>
        </w:rPr>
        <w:t xml:space="preserve"> 2012 (3.7 homicides per 100,000 women in 2010), Manaus has the third highest female homicide rate</w:t>
      </w:r>
      <w:r>
        <w:rPr>
          <w:color w:val="000000"/>
        </w:rPr>
        <w:t xml:space="preserve"> amongst Brazilian capitals</w:t>
      </w:r>
      <w:r w:rsidRPr="00E44EA1">
        <w:rPr>
          <w:color w:val="000000"/>
        </w:rPr>
        <w:t xml:space="preserve"> at 11.5 murders per 100,000 women in 2010. </w:t>
      </w:r>
      <w:r w:rsidRPr="00AB2A3E">
        <w:rPr>
          <w:lang w:val="en-US"/>
        </w:rPr>
        <w:t>. Finally, homicide rates are higher among Afro-Brazilians than among white Brazilians, and this gap is increasing. In the last decade, this rate has increased 155.7 percent among the Afro-Brazilians and 128.3 percent among the white Brazilians. Therefore, the proposed policy changes in citizen security are expected to bring positive outcomes for the society as a whole, but they will particularly benefit the poorest and most vulnerable segments of the population, including youth, women and the Afro-descendant population. Additionally, by emphasizing public</w:t>
      </w:r>
      <w:r w:rsidRPr="00C41186">
        <w:t xml:space="preserve"> disclosure of criminality rates and police activities, the proposed citizen security policy changes will foster transparency and social accountability in the involved sectors.</w:t>
      </w:r>
    </w:p>
    <w:p w:rsidR="00ED3AE6" w:rsidRPr="00C41186" w:rsidRDefault="00ED3AE6" w:rsidP="00ED3AE6">
      <w:pPr>
        <w:pStyle w:val="AmazoniansText"/>
        <w:numPr>
          <w:ilvl w:val="0"/>
          <w:numId w:val="0"/>
        </w:numPr>
        <w:spacing w:line="240" w:lineRule="auto"/>
      </w:pPr>
      <w:r w:rsidRPr="00ED3AE6">
        <w:t>The strengthening of Public Sector Management by means of improved planning and budgeting systems, and financial and resource management are essential for Amazonas to expand the State’s capacity in public service delivery.</w:t>
      </w:r>
      <w:r w:rsidRPr="00C41186">
        <w:t xml:space="preserve"> By adopting new policies to improve planning and budgeting, increase compliance with the tax system, and expand tax collection, the </w:t>
      </w:r>
      <w:proofErr w:type="spellStart"/>
      <w:r w:rsidRPr="00392EC5">
        <w:t>GoAM</w:t>
      </w:r>
      <w:proofErr w:type="spellEnd"/>
      <w:r w:rsidRPr="00C41186">
        <w:t xml:space="preserve"> is expected to increase </w:t>
      </w:r>
      <w:r>
        <w:t>revenue collection</w:t>
      </w:r>
      <w:r w:rsidRPr="00C41186">
        <w:t xml:space="preserve"> and efficiency in the allocation of public funds, to provide public services more effectively, and to target better programs and projects to benefit the poor. </w:t>
      </w:r>
      <w:r>
        <w:t>The</w:t>
      </w:r>
      <w:r w:rsidRPr="00C41186">
        <w:t xml:space="preserve"> establishment of the NFC-e is expected to curb tax evasion and increase revenues from sales tax. The impact of this policy change may be felt most by segment of small merchants and service providers in the retail sector,</w:t>
      </w:r>
      <w:r w:rsidRPr="00C41186">
        <w:rPr>
          <w:rStyle w:val="FootnoteReference"/>
        </w:rPr>
        <w:footnoteReference w:id="1"/>
      </w:r>
      <w:r w:rsidRPr="00C41186">
        <w:t xml:space="preserve"> but it is also expected to reduce the financial burden that small merchants currently face to comply with the requirements for emission of consumers’ receipts, as the new solution cuts costs with specific hardware and equipment maintenance.  Redistributive and pro-poor effects are expected from increased compliance with the NFC-e and increased state fiscal space as the better-off segments of the population will finance improved public services, and the higher revenues might be allocated according to existing social priorities.</w:t>
      </w:r>
      <w:r w:rsidRPr="00C41186">
        <w:rPr>
          <w:i/>
        </w:rPr>
        <w:t xml:space="preserve"> </w:t>
      </w:r>
    </w:p>
    <w:p w:rsidR="000F2997" w:rsidRPr="000F2997" w:rsidRDefault="000F2997" w:rsidP="00B5039C"/>
    <w:p w:rsidR="00AA5A30" w:rsidRPr="000F2997" w:rsidRDefault="00AA5A30" w:rsidP="00B5039C">
      <w:pPr>
        <w:pStyle w:val="CM4"/>
        <w:spacing w:after="252"/>
        <w:rPr>
          <w:i/>
          <w:iCs/>
          <w:sz w:val="22"/>
          <w:szCs w:val="22"/>
        </w:rPr>
      </w:pPr>
      <w:r w:rsidRPr="000F2997">
        <w:rPr>
          <w:i/>
          <w:iCs/>
          <w:sz w:val="22"/>
          <w:szCs w:val="22"/>
        </w:rPr>
        <w:t xml:space="preserve">Environment Aspects </w:t>
      </w:r>
    </w:p>
    <w:p w:rsidR="000F2997" w:rsidRPr="00C41186" w:rsidRDefault="000F2997" w:rsidP="00B5039C">
      <w:pPr>
        <w:jc w:val="both"/>
      </w:pPr>
      <w:r w:rsidRPr="00C41186">
        <w:t>No direct impact is expected on the environment or natural resources from the improved efficiency and transparency of governmental expenditure and in the public security sector supported by the operation. In the long term, greater efficiency in these sectors should increase government capacity to deal with issues that may result in positive indirect impacts on biodiversity and forest protection, such as greater control over illegal activities involving natural resources (e.g. animal traffic and commercialization of illegal timber). This large and remote state encompasses 18.5 percent of the country’s territory and still maintains over 90 percent of its original forest cover, which houses globally important biodiversity. The State has a satisfactory institutional framework for sustainable development, environmental protection and indigenous affairs, and although the long distances and difficult access (mostly through river transportation) limit the reach of institutional action, these factors also contribute to maintaining most of the forest in its original state.</w:t>
      </w: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1" w:name="FINANCINGTAB_PID"/>
            <w:bookmarkEnd w:id="11"/>
            <w:r w:rsidR="00A90F74">
              <w:t xml:space="preserve"> IBRD</w:t>
            </w:r>
          </w:p>
        </w:tc>
        <w:tc>
          <w:tcPr>
            <w:tcW w:w="1980" w:type="dxa"/>
          </w:tcPr>
          <w:p w:rsidR="00A126FA" w:rsidRDefault="00A126FA" w:rsidP="00A126FA">
            <w:pPr>
              <w:tabs>
                <w:tab w:val="decimal" w:pos="252"/>
              </w:tabs>
              <w:jc w:val="center"/>
            </w:pPr>
            <w:r>
              <w:t>($</w:t>
            </w:r>
            <w:r w:rsidR="00A90F74">
              <w:t xml:space="preserve"> 216 million</w:t>
            </w:r>
            <w:r>
              <w:t>)</w:t>
            </w:r>
          </w:p>
        </w:tc>
      </w:tr>
      <w:tr w:rsidR="00B36657" w:rsidTr="00F34B6F">
        <w:tc>
          <w:tcPr>
            <w:tcW w:w="7488" w:type="dxa"/>
          </w:tcPr>
          <w:p w:rsidR="00B36657" w:rsidRDefault="00B36657" w:rsidP="00A126FA">
            <w:pPr>
              <w:tabs>
                <w:tab w:val="right" w:pos="7200"/>
              </w:tabs>
            </w:pPr>
            <w:r>
              <w:t>Borrower</w:t>
            </w:r>
            <w:r w:rsidR="00A90F74">
              <w:t>: State of Amazonas</w:t>
            </w:r>
          </w:p>
        </w:tc>
        <w:tc>
          <w:tcPr>
            <w:tcW w:w="1980" w:type="dxa"/>
          </w:tcPr>
          <w:p w:rsidR="00B36657" w:rsidRDefault="00B36657" w:rsidP="00A126FA">
            <w:pPr>
              <w:tabs>
                <w:tab w:val="decimal" w:pos="252"/>
              </w:tabs>
              <w:jc w:val="center"/>
            </w:pPr>
            <w:r>
              <w:t>0</w:t>
            </w:r>
          </w:p>
        </w:tc>
      </w:tr>
      <w:tr w:rsidR="00B36657" w:rsidTr="00F34B6F">
        <w:tc>
          <w:tcPr>
            <w:tcW w:w="7488" w:type="dxa"/>
          </w:tcPr>
          <w:p w:rsidR="00B36657" w:rsidRDefault="00B36657" w:rsidP="00A126FA">
            <w:pPr>
              <w:tabs>
                <w:tab w:val="right" w:pos="7200"/>
              </w:tabs>
            </w:pPr>
          </w:p>
        </w:tc>
        <w:tc>
          <w:tcPr>
            <w:tcW w:w="1980" w:type="dxa"/>
          </w:tcPr>
          <w:p w:rsidR="00B36657" w:rsidRDefault="00B36657"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662F90" w:rsidP="00A126FA">
            <w:pPr>
              <w:tabs>
                <w:tab w:val="decimal" w:pos="252"/>
              </w:tabs>
              <w:jc w:val="center"/>
            </w:pPr>
            <w:r>
              <w:t>$ 216 million</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B36657" w:rsidRDefault="00B36657" w:rsidP="008F0B46">
      <w:bookmarkStart w:id="12" w:name="ContactInfo"/>
      <w:r>
        <w:t xml:space="preserve">Contact: Laura De Castro </w:t>
      </w:r>
      <w:proofErr w:type="spellStart"/>
      <w:r>
        <w:t>Zoratto</w:t>
      </w:r>
      <w:proofErr w:type="spellEnd"/>
    </w:p>
    <w:p w:rsidR="00B36657" w:rsidRDefault="00B36657" w:rsidP="008F0B46">
      <w:r>
        <w:t>Title: Economist</w:t>
      </w:r>
    </w:p>
    <w:p w:rsidR="00B36657" w:rsidRDefault="00B36657" w:rsidP="008F0B46">
      <w:r>
        <w:t>Tel: (202) 473-0940</w:t>
      </w:r>
    </w:p>
    <w:p w:rsidR="008F0B46" w:rsidRDefault="00B36657" w:rsidP="008F0B46">
      <w:r>
        <w:t>Email: lzoratto@worldbank.org</w:t>
      </w:r>
      <w:bookmarkEnd w:id="12"/>
    </w:p>
    <w:p w:rsidR="00662F90" w:rsidRDefault="00662F90" w:rsidP="008F0B46">
      <w:pPr>
        <w:rPr>
          <w:b/>
        </w:rPr>
      </w:pPr>
    </w:p>
    <w:p w:rsidR="008F0B46" w:rsidRPr="00225112" w:rsidRDefault="008F0B46" w:rsidP="008F0B46">
      <w:pPr>
        <w:rPr>
          <w:b/>
        </w:rPr>
      </w:pPr>
      <w:r w:rsidRPr="00225112">
        <w:rPr>
          <w:b/>
        </w:rPr>
        <w:t>Borrower</w:t>
      </w:r>
    </w:p>
    <w:p w:rsidR="008F0B46" w:rsidRPr="0012759B" w:rsidRDefault="008F0B46" w:rsidP="008F0B46">
      <w:pPr>
        <w:rPr>
          <w:lang w:val="pt-BR"/>
        </w:rPr>
      </w:pPr>
      <w:r w:rsidRPr="0012759B">
        <w:rPr>
          <w:lang w:val="pt-BR"/>
        </w:rPr>
        <w:t>Contact:</w:t>
      </w:r>
      <w:r w:rsidR="00662F90" w:rsidRPr="0012759B">
        <w:rPr>
          <w:lang w:val="pt-BR"/>
        </w:rPr>
        <w:t xml:space="preserve"> </w:t>
      </w:r>
      <w:r w:rsidR="002B326B" w:rsidRPr="0012759B">
        <w:rPr>
          <w:lang w:val="pt-BR"/>
        </w:rPr>
        <w:t>Francisco Junior (Secretaria da Fazenda do Amazonas/SEFAZ)</w:t>
      </w:r>
    </w:p>
    <w:p w:rsidR="008F0B46" w:rsidRDefault="002B326B" w:rsidP="008F0B46">
      <w:r>
        <w:t xml:space="preserve">Title: </w:t>
      </w:r>
      <w:r w:rsidR="00670BC6">
        <w:t xml:space="preserve">Project Coordinator </w:t>
      </w:r>
      <w:r w:rsidR="008F0B46">
        <w:tab/>
      </w:r>
    </w:p>
    <w:p w:rsidR="008F0B46" w:rsidRDefault="008F0B46" w:rsidP="008F0B46">
      <w:r>
        <w:t>Tel:</w:t>
      </w:r>
      <w:r w:rsidR="002B326B">
        <w:t xml:space="preserve"> 55-92-21211868</w:t>
      </w:r>
      <w:r>
        <w:tab/>
      </w:r>
      <w:r>
        <w:tab/>
      </w:r>
      <w:r>
        <w:tab/>
      </w:r>
    </w:p>
    <w:p w:rsidR="008F0B46" w:rsidRDefault="008F0B46" w:rsidP="008F0B46">
      <w:r>
        <w:t>Email:</w:t>
      </w:r>
      <w:r>
        <w:tab/>
      </w:r>
      <w:hyperlink r:id="rId9" w:history="1">
        <w:r w:rsidR="002B326B" w:rsidRPr="0074455D">
          <w:rPr>
            <w:rStyle w:val="Hyperlink"/>
          </w:rPr>
          <w:t>upc.am@sefaz.am.gov.br</w:t>
        </w:r>
      </w:hyperlink>
      <w:r w:rsidR="002B326B">
        <w:t xml:space="preserve">; </w:t>
      </w:r>
      <w:hyperlink r:id="rId10" w:history="1">
        <w:r w:rsidR="002B326B" w:rsidRPr="0074455D">
          <w:rPr>
            <w:rStyle w:val="Hyperlink"/>
          </w:rPr>
          <w:t>fjunior@sefaz.am.gov.br</w:t>
        </w:r>
      </w:hyperlink>
      <w:r w:rsidR="002B326B">
        <w:t xml:space="preserve"> </w:t>
      </w:r>
      <w:r>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64" w:rsidRDefault="00C72B64">
      <w:r>
        <w:separator/>
      </w:r>
    </w:p>
  </w:endnote>
  <w:endnote w:type="continuationSeparator" w:id="0">
    <w:p w:rsidR="00C72B64" w:rsidRDefault="00C7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64" w:rsidRDefault="00C72B64">
      <w:r>
        <w:separator/>
      </w:r>
    </w:p>
  </w:footnote>
  <w:footnote w:type="continuationSeparator" w:id="0">
    <w:p w:rsidR="00C72B64" w:rsidRDefault="00C72B64">
      <w:r>
        <w:continuationSeparator/>
      </w:r>
    </w:p>
  </w:footnote>
  <w:footnote w:id="1">
    <w:p w:rsidR="00ED3AE6" w:rsidRPr="00542101" w:rsidRDefault="00ED3AE6" w:rsidP="00ED3AE6">
      <w:pPr>
        <w:pStyle w:val="FootnoteText"/>
        <w:jc w:val="both"/>
      </w:pPr>
      <w:r w:rsidRPr="00542101">
        <w:rPr>
          <w:rStyle w:val="FootnoteReference"/>
        </w:rPr>
        <w:footnoteRef/>
      </w:r>
      <w:r w:rsidRPr="00542101">
        <w:t xml:space="preserve"> More than 80 percent of the 34 thousand registered small businesses in the retail sector of the state are not in compliance with the tax collection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F353A"/>
    <w:multiLevelType w:val="hybridMultilevel"/>
    <w:tmpl w:val="B7B4E6FC"/>
    <w:lvl w:ilvl="0" w:tplc="E15056E2">
      <w:start w:val="1"/>
      <w:numFmt w:val="decimal"/>
      <w:pStyle w:val="Amazonians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20"/>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7"/>
  </w:num>
  <w:num w:numId="20">
    <w:abstractNumId w:val="3"/>
  </w:num>
  <w:num w:numId="21">
    <w:abstractNumId w:val="21"/>
  </w:num>
  <w:num w:numId="22">
    <w:abstractNumId w:val="18"/>
  </w:num>
  <w:num w:numId="23">
    <w:abstractNumId w:val="5"/>
  </w:num>
  <w:num w:numId="24">
    <w:abstractNumId w:val="23"/>
  </w:num>
  <w:num w:numId="25">
    <w:abstractNumId w:val="19"/>
  </w:num>
  <w:num w:numId="26">
    <w:abstractNumId w:val="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2F29"/>
    <w:rsid w:val="00007917"/>
    <w:rsid w:val="000207A5"/>
    <w:rsid w:val="00025A63"/>
    <w:rsid w:val="00030402"/>
    <w:rsid w:val="000559F7"/>
    <w:rsid w:val="00063BEA"/>
    <w:rsid w:val="00071B65"/>
    <w:rsid w:val="000736A2"/>
    <w:rsid w:val="00085CB1"/>
    <w:rsid w:val="00086692"/>
    <w:rsid w:val="000B5BBC"/>
    <w:rsid w:val="000C6565"/>
    <w:rsid w:val="000D0513"/>
    <w:rsid w:val="000D2D1B"/>
    <w:rsid w:val="000F2997"/>
    <w:rsid w:val="00101C42"/>
    <w:rsid w:val="0012759B"/>
    <w:rsid w:val="001527BE"/>
    <w:rsid w:val="00171E5D"/>
    <w:rsid w:val="00182A0D"/>
    <w:rsid w:val="001936A8"/>
    <w:rsid w:val="001A4469"/>
    <w:rsid w:val="001C4299"/>
    <w:rsid w:val="001D607D"/>
    <w:rsid w:val="001E455A"/>
    <w:rsid w:val="001E638A"/>
    <w:rsid w:val="00211478"/>
    <w:rsid w:val="002428DC"/>
    <w:rsid w:val="00246B6A"/>
    <w:rsid w:val="00257EC0"/>
    <w:rsid w:val="002652A3"/>
    <w:rsid w:val="00274697"/>
    <w:rsid w:val="00283684"/>
    <w:rsid w:val="002A380C"/>
    <w:rsid w:val="002A6C89"/>
    <w:rsid w:val="002B326B"/>
    <w:rsid w:val="002D1C45"/>
    <w:rsid w:val="002F259E"/>
    <w:rsid w:val="003103C4"/>
    <w:rsid w:val="00313825"/>
    <w:rsid w:val="00320F7D"/>
    <w:rsid w:val="00335C23"/>
    <w:rsid w:val="00337CE7"/>
    <w:rsid w:val="00341B02"/>
    <w:rsid w:val="003426F5"/>
    <w:rsid w:val="00354956"/>
    <w:rsid w:val="003723D9"/>
    <w:rsid w:val="00383CBB"/>
    <w:rsid w:val="00387DC2"/>
    <w:rsid w:val="003D1DD9"/>
    <w:rsid w:val="003D3DB3"/>
    <w:rsid w:val="003E3E86"/>
    <w:rsid w:val="003F02CA"/>
    <w:rsid w:val="003F5D39"/>
    <w:rsid w:val="00430F89"/>
    <w:rsid w:val="00447699"/>
    <w:rsid w:val="00465BF3"/>
    <w:rsid w:val="00477B7B"/>
    <w:rsid w:val="004C6525"/>
    <w:rsid w:val="004C6B9B"/>
    <w:rsid w:val="004D1766"/>
    <w:rsid w:val="004D6196"/>
    <w:rsid w:val="004D759E"/>
    <w:rsid w:val="004E2855"/>
    <w:rsid w:val="004E4AF6"/>
    <w:rsid w:val="004F0F64"/>
    <w:rsid w:val="00501CC4"/>
    <w:rsid w:val="0057187E"/>
    <w:rsid w:val="00577870"/>
    <w:rsid w:val="00586A53"/>
    <w:rsid w:val="00586ACB"/>
    <w:rsid w:val="0059349F"/>
    <w:rsid w:val="006174A9"/>
    <w:rsid w:val="00637605"/>
    <w:rsid w:val="006465E0"/>
    <w:rsid w:val="00662F90"/>
    <w:rsid w:val="00670BC6"/>
    <w:rsid w:val="00671A99"/>
    <w:rsid w:val="00674243"/>
    <w:rsid w:val="0067697E"/>
    <w:rsid w:val="00685CE0"/>
    <w:rsid w:val="00690F9A"/>
    <w:rsid w:val="006C0854"/>
    <w:rsid w:val="006C5D18"/>
    <w:rsid w:val="006F0F4D"/>
    <w:rsid w:val="006F3FC6"/>
    <w:rsid w:val="006F7223"/>
    <w:rsid w:val="00701460"/>
    <w:rsid w:val="007150F6"/>
    <w:rsid w:val="00731BC4"/>
    <w:rsid w:val="00742E0F"/>
    <w:rsid w:val="00750ACC"/>
    <w:rsid w:val="007513C2"/>
    <w:rsid w:val="00774D9B"/>
    <w:rsid w:val="007863D3"/>
    <w:rsid w:val="00787B7C"/>
    <w:rsid w:val="00793D7D"/>
    <w:rsid w:val="007B1FBB"/>
    <w:rsid w:val="007B4178"/>
    <w:rsid w:val="007B7DB3"/>
    <w:rsid w:val="007B7EFB"/>
    <w:rsid w:val="007D448E"/>
    <w:rsid w:val="008270F8"/>
    <w:rsid w:val="00833CA2"/>
    <w:rsid w:val="008451FE"/>
    <w:rsid w:val="00852C50"/>
    <w:rsid w:val="00855A00"/>
    <w:rsid w:val="00861FA4"/>
    <w:rsid w:val="008856F5"/>
    <w:rsid w:val="00885F83"/>
    <w:rsid w:val="008E424A"/>
    <w:rsid w:val="008F0B46"/>
    <w:rsid w:val="008F6B28"/>
    <w:rsid w:val="00910CB0"/>
    <w:rsid w:val="00914E33"/>
    <w:rsid w:val="00915DAE"/>
    <w:rsid w:val="00921E31"/>
    <w:rsid w:val="00923AC9"/>
    <w:rsid w:val="00944F8A"/>
    <w:rsid w:val="00963593"/>
    <w:rsid w:val="009727B3"/>
    <w:rsid w:val="009935FA"/>
    <w:rsid w:val="00996EEB"/>
    <w:rsid w:val="009B1BF2"/>
    <w:rsid w:val="009B5F1A"/>
    <w:rsid w:val="009B6060"/>
    <w:rsid w:val="009E469A"/>
    <w:rsid w:val="009F5E4D"/>
    <w:rsid w:val="00A05BC0"/>
    <w:rsid w:val="00A126FA"/>
    <w:rsid w:val="00A12F6E"/>
    <w:rsid w:val="00A23F3C"/>
    <w:rsid w:val="00A25C56"/>
    <w:rsid w:val="00A37EAB"/>
    <w:rsid w:val="00A514A1"/>
    <w:rsid w:val="00A90F74"/>
    <w:rsid w:val="00AA36C1"/>
    <w:rsid w:val="00AA5A30"/>
    <w:rsid w:val="00AB0F65"/>
    <w:rsid w:val="00AE2A60"/>
    <w:rsid w:val="00AE5D05"/>
    <w:rsid w:val="00B072EA"/>
    <w:rsid w:val="00B17C5F"/>
    <w:rsid w:val="00B36657"/>
    <w:rsid w:val="00B42B43"/>
    <w:rsid w:val="00B5039C"/>
    <w:rsid w:val="00B677C4"/>
    <w:rsid w:val="00B67B93"/>
    <w:rsid w:val="00BD5A42"/>
    <w:rsid w:val="00BF32DE"/>
    <w:rsid w:val="00BF4F97"/>
    <w:rsid w:val="00C070C8"/>
    <w:rsid w:val="00C12892"/>
    <w:rsid w:val="00C30792"/>
    <w:rsid w:val="00C41AA3"/>
    <w:rsid w:val="00C63E52"/>
    <w:rsid w:val="00C64F66"/>
    <w:rsid w:val="00C67E15"/>
    <w:rsid w:val="00C72B64"/>
    <w:rsid w:val="00C77E32"/>
    <w:rsid w:val="00C96CBF"/>
    <w:rsid w:val="00CB22DC"/>
    <w:rsid w:val="00CB6800"/>
    <w:rsid w:val="00CC4A7A"/>
    <w:rsid w:val="00CF75FA"/>
    <w:rsid w:val="00D13CEB"/>
    <w:rsid w:val="00D2365D"/>
    <w:rsid w:val="00D36030"/>
    <w:rsid w:val="00D545E4"/>
    <w:rsid w:val="00D67698"/>
    <w:rsid w:val="00DD1AE1"/>
    <w:rsid w:val="00DE739D"/>
    <w:rsid w:val="00E06A04"/>
    <w:rsid w:val="00E10C0B"/>
    <w:rsid w:val="00E30681"/>
    <w:rsid w:val="00E42FBB"/>
    <w:rsid w:val="00E528E0"/>
    <w:rsid w:val="00E57B3E"/>
    <w:rsid w:val="00E76880"/>
    <w:rsid w:val="00EA7F7D"/>
    <w:rsid w:val="00EC042A"/>
    <w:rsid w:val="00ED3AE6"/>
    <w:rsid w:val="00EF02D9"/>
    <w:rsid w:val="00F0622C"/>
    <w:rsid w:val="00F34A55"/>
    <w:rsid w:val="00F34B6F"/>
    <w:rsid w:val="00F41703"/>
    <w:rsid w:val="00F62C9A"/>
    <w:rsid w:val="00F66FA2"/>
    <w:rsid w:val="00F7168A"/>
    <w:rsid w:val="00FA22C2"/>
    <w:rsid w:val="00FA439B"/>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
    <w:basedOn w:val="DefaultParagraphFont"/>
    <w:uiPriority w:val="99"/>
    <w:rsid w:val="00731BC4"/>
    <w:rPr>
      <w:vertAlign w:val="superscript"/>
    </w:rPr>
  </w:style>
  <w:style w:type="paragraph" w:styleId="FootnoteText">
    <w:name w:val="footnote text"/>
    <w:aliases w:val="FOOTNOTES,fn,single space,footnote text,Geneva 9,Font: Geneva 9,Boston 10,f,Footnote Text Char Char Car,Footnote,text,Texto nota pie Car,Footnote Text Char1,Footnote Text Char1 Char Char,Footnote Text Char Char Char Char,ft,Car,Char, Char"/>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Geneva 9 Char,Font: Geneva 9 Char,Boston 10 Char,f Char,Footnote Text Char Char Car Char,Footnote Char,text Char,Texto nota pie Car Char,Footnote Text Char1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AmazoniansText">
    <w:name w:val="Amazonians Text"/>
    <w:basedOn w:val="ListParagraph"/>
    <w:link w:val="AmazoniansTextChar"/>
    <w:qFormat/>
    <w:rsid w:val="00A90F74"/>
    <w:pPr>
      <w:numPr>
        <w:numId w:val="27"/>
      </w:numPr>
      <w:spacing w:after="200" w:line="276" w:lineRule="auto"/>
      <w:ind w:left="0" w:firstLine="0"/>
      <w:contextualSpacing w:val="0"/>
      <w:jc w:val="both"/>
    </w:pPr>
    <w:rPr>
      <w:lang w:val="en-GB"/>
    </w:rPr>
  </w:style>
  <w:style w:type="character" w:customStyle="1" w:styleId="AmazoniansTextChar">
    <w:name w:val="Amazonians Text Char"/>
    <w:basedOn w:val="DefaultParagraphFont"/>
    <w:link w:val="AmazoniansText"/>
    <w:rsid w:val="00A90F74"/>
    <w:rPr>
      <w:sz w:val="24"/>
      <w:szCs w:val="24"/>
      <w:lang w:val="en-GB"/>
    </w:rPr>
  </w:style>
  <w:style w:type="paragraph" w:styleId="CommentSubject">
    <w:name w:val="annotation subject"/>
    <w:basedOn w:val="CommentText"/>
    <w:next w:val="CommentText"/>
    <w:link w:val="CommentSubjectChar"/>
    <w:rsid w:val="007B7EFB"/>
    <w:rPr>
      <w:b/>
      <w:bCs/>
    </w:rPr>
  </w:style>
  <w:style w:type="character" w:customStyle="1" w:styleId="CommentTextChar">
    <w:name w:val="Comment Text Char"/>
    <w:basedOn w:val="DefaultParagraphFont"/>
    <w:link w:val="CommentText"/>
    <w:semiHidden/>
    <w:rsid w:val="007B7EFB"/>
  </w:style>
  <w:style w:type="character" w:customStyle="1" w:styleId="CommentSubjectChar">
    <w:name w:val="Comment Subject Char"/>
    <w:basedOn w:val="CommentTextChar"/>
    <w:link w:val="CommentSubject"/>
    <w:rsid w:val="007B7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
    <w:basedOn w:val="DefaultParagraphFont"/>
    <w:uiPriority w:val="99"/>
    <w:rsid w:val="00731BC4"/>
    <w:rPr>
      <w:vertAlign w:val="superscript"/>
    </w:rPr>
  </w:style>
  <w:style w:type="paragraph" w:styleId="FootnoteText">
    <w:name w:val="footnote text"/>
    <w:aliases w:val="FOOTNOTES,fn,single space,footnote text,Geneva 9,Font: Geneva 9,Boston 10,f,Footnote Text Char Char Car,Footnote,text,Texto nota pie Car,Footnote Text Char1,Footnote Text Char1 Char Char,Footnote Text Char Char Char Char,ft,Car,Char, Char"/>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Geneva 9 Char,Font: Geneva 9 Char,Boston 10 Char,f Char,Footnote Text Char Char Car Char,Footnote Char,text Char,Texto nota pie Car Char,Footnote Text Char1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AmazoniansText">
    <w:name w:val="Amazonians Text"/>
    <w:basedOn w:val="ListParagraph"/>
    <w:link w:val="AmazoniansTextChar"/>
    <w:qFormat/>
    <w:rsid w:val="00A90F74"/>
    <w:pPr>
      <w:numPr>
        <w:numId w:val="27"/>
      </w:numPr>
      <w:spacing w:after="200" w:line="276" w:lineRule="auto"/>
      <w:ind w:left="0" w:firstLine="0"/>
      <w:contextualSpacing w:val="0"/>
      <w:jc w:val="both"/>
    </w:pPr>
    <w:rPr>
      <w:lang w:val="en-GB"/>
    </w:rPr>
  </w:style>
  <w:style w:type="character" w:customStyle="1" w:styleId="AmazoniansTextChar">
    <w:name w:val="Amazonians Text Char"/>
    <w:basedOn w:val="DefaultParagraphFont"/>
    <w:link w:val="AmazoniansText"/>
    <w:rsid w:val="00A90F74"/>
    <w:rPr>
      <w:sz w:val="24"/>
      <w:szCs w:val="24"/>
      <w:lang w:val="en-GB"/>
    </w:rPr>
  </w:style>
  <w:style w:type="paragraph" w:styleId="CommentSubject">
    <w:name w:val="annotation subject"/>
    <w:basedOn w:val="CommentText"/>
    <w:next w:val="CommentText"/>
    <w:link w:val="CommentSubjectChar"/>
    <w:rsid w:val="007B7EFB"/>
    <w:rPr>
      <w:b/>
      <w:bCs/>
    </w:rPr>
  </w:style>
  <w:style w:type="character" w:customStyle="1" w:styleId="CommentTextChar">
    <w:name w:val="Comment Text Char"/>
    <w:basedOn w:val="DefaultParagraphFont"/>
    <w:link w:val="CommentText"/>
    <w:semiHidden/>
    <w:rsid w:val="007B7EFB"/>
  </w:style>
  <w:style w:type="character" w:customStyle="1" w:styleId="CommentSubjectChar">
    <w:name w:val="Comment Subject Char"/>
    <w:basedOn w:val="CommentTextChar"/>
    <w:link w:val="CommentSubject"/>
    <w:rsid w:val="007B7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junior@sefaz.am.gov.br" TargetMode="External"/><Relationship Id="rId4" Type="http://schemas.microsoft.com/office/2007/relationships/stylesWithEffects" Target="stylesWithEffects.xml"/><Relationship Id="rId9" Type="http://schemas.openxmlformats.org/officeDocument/2006/relationships/hyperlink" Target="mailto:upc.am@sefaz.am.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966F-03D5-40B3-9B8E-BCE0D4B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2833</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19330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3</cp:revision>
  <cp:lastPrinted>2014-02-26T20:17:00Z</cp:lastPrinted>
  <dcterms:created xsi:type="dcterms:W3CDTF">2014-02-25T22:35:00Z</dcterms:created>
  <dcterms:modified xsi:type="dcterms:W3CDTF">2014-02-26T20:17:00Z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AB7421</vt:lpwstr>
  </property>
  <property fmtid="{D5CDD505-2E9C-101B-9397-08002B2CF9AE}" pid="3" name="TEAMLEADER">
    <vt:lpwstr>Ms Laura De Castro Zoratto</vt:lpwstr>
  </property>
</Properties>
</file>