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18E1C9" w14:textId="77777777" w:rsidR="004D2F58" w:rsidRDefault="004D2F58">
      <w:pPr>
        <w:pStyle w:val="NormalWeb"/>
        <w:jc w:val="center"/>
        <w:divId w:val="2126805010"/>
      </w:pPr>
      <w:bookmarkStart w:id="0" w:name="COVERPAGE"/>
      <w:bookmarkStart w:id="1" w:name="_GoBack"/>
      <w:bookmarkEnd w:id="0"/>
      <w:bookmarkEnd w:id="1"/>
      <w:r>
        <w:rPr>
          <w:sz w:val="20"/>
          <w:szCs w:val="20"/>
        </w:rPr>
        <w:t>Document of</w:t>
      </w:r>
      <w:r>
        <w:br/>
      </w:r>
      <w:r>
        <w:rPr>
          <w:sz w:val="27"/>
          <w:szCs w:val="27"/>
        </w:rPr>
        <w:t>The World Bank</w:t>
      </w:r>
    </w:p>
    <w:p w14:paraId="559A9291" w14:textId="77777777" w:rsidR="004D2F58" w:rsidRDefault="004D2F58">
      <w:pPr>
        <w:divId w:val="2126805010"/>
        <w:rPr>
          <w:rFonts w:eastAsia="Times New Roman"/>
        </w:rPr>
      </w:pPr>
    </w:p>
    <w:p w14:paraId="25F5A782" w14:textId="77777777" w:rsidR="004D2F58" w:rsidRDefault="004D2F58">
      <w:pPr>
        <w:pStyle w:val="NormalWeb"/>
        <w:jc w:val="right"/>
        <w:divId w:val="2126805010"/>
        <w:rPr>
          <w:rFonts w:eastAsia="Times New Roman"/>
        </w:rPr>
      </w:pPr>
      <w:r>
        <w:br/>
        <w:t>Report No: NCO00004089</w:t>
      </w:r>
    </w:p>
    <w:tbl>
      <w:tblPr>
        <w:tblW w:w="5000" w:type="pct"/>
        <w:tblCellSpacing w:w="0" w:type="dxa"/>
        <w:tblCellMar>
          <w:left w:w="0" w:type="dxa"/>
          <w:right w:w="0" w:type="dxa"/>
        </w:tblCellMar>
        <w:tblLook w:val="04A0" w:firstRow="1" w:lastRow="0" w:firstColumn="1" w:lastColumn="0" w:noHBand="0" w:noVBand="1"/>
      </w:tblPr>
      <w:tblGrid>
        <w:gridCol w:w="8640"/>
      </w:tblGrid>
      <w:tr w:rsidR="004D2F58" w14:paraId="32EDC5BA" w14:textId="77777777">
        <w:trPr>
          <w:divId w:val="2126805010"/>
          <w:tblCellSpacing w:w="0" w:type="dxa"/>
        </w:trPr>
        <w:tc>
          <w:tcPr>
            <w:tcW w:w="0" w:type="auto"/>
            <w:vAlign w:val="center"/>
            <w:hideMark/>
          </w:tcPr>
          <w:p w14:paraId="5C27FDBE" w14:textId="77777777" w:rsidR="004D2F58" w:rsidRDefault="004D2F58">
            <w:pPr>
              <w:pStyle w:val="NormalWeb"/>
              <w:jc w:val="center"/>
              <w:rPr>
                <w:rFonts w:eastAsia="Times New Roman"/>
              </w:rPr>
            </w:pPr>
            <w:r>
              <w:br/>
            </w:r>
            <w:r>
              <w:br/>
              <w:t>NOTE ON CANCELLED OPERATION REPORT</w:t>
            </w:r>
            <w:r>
              <w:br/>
              <w:t>(IDA-57820)</w:t>
            </w:r>
          </w:p>
          <w:p w14:paraId="053E41DC" w14:textId="77777777" w:rsidR="004D2F58" w:rsidRDefault="004D2F58">
            <w:pPr>
              <w:pStyle w:val="NormalWeb"/>
              <w:jc w:val="center"/>
            </w:pPr>
            <w:r>
              <w:t> </w:t>
            </w:r>
          </w:p>
          <w:p w14:paraId="4071549C" w14:textId="77777777" w:rsidR="004D2F58" w:rsidRDefault="004D2F58">
            <w:pPr>
              <w:pStyle w:val="NormalWeb"/>
              <w:spacing w:after="240" w:afterAutospacing="0"/>
              <w:jc w:val="center"/>
            </w:pPr>
            <w:r>
              <w:t>ON A</w:t>
            </w:r>
          </w:p>
          <w:p w14:paraId="56C7CDA5" w14:textId="77777777" w:rsidR="004D2F58" w:rsidRDefault="004D2F58">
            <w:pPr>
              <w:pStyle w:val="NormalWeb"/>
              <w:jc w:val="center"/>
            </w:pPr>
            <w:r>
              <w:t>CREDIT</w:t>
            </w:r>
            <w:r w:rsidR="001A6434">
              <w:t xml:space="preserve"> </w:t>
            </w:r>
            <w:r w:rsidR="001A6434">
              <w:br/>
            </w:r>
            <w:r w:rsidR="001A6434">
              <w:br/>
              <w:t xml:space="preserve">IN THE AMOUNT OF </w:t>
            </w:r>
            <w:r>
              <w:t>SDR</w:t>
            </w:r>
            <w:r w:rsidR="001A6434">
              <w:t xml:space="preserve"> 7.3</w:t>
            </w:r>
            <w:r>
              <w:t xml:space="preserve"> MILLION</w:t>
            </w:r>
            <w:r>
              <w:br/>
              <w:t xml:space="preserve">(US$ </w:t>
            </w:r>
            <w:r w:rsidR="001A6434">
              <w:t>10.0</w:t>
            </w:r>
            <w:r>
              <w:t xml:space="preserve"> MILLION</w:t>
            </w:r>
            <w:r w:rsidR="001A6434">
              <w:t xml:space="preserve"> </w:t>
            </w:r>
            <w:r>
              <w:t>EQUIVALENT)</w:t>
            </w:r>
          </w:p>
          <w:p w14:paraId="4A291F23" w14:textId="77777777" w:rsidR="004D2F58" w:rsidRDefault="004D2F58">
            <w:pPr>
              <w:pStyle w:val="NormalWeb"/>
              <w:jc w:val="center"/>
            </w:pPr>
            <w:r>
              <w:t>TO THE</w:t>
            </w:r>
          </w:p>
          <w:p w14:paraId="269C66A5" w14:textId="77777777" w:rsidR="004D2F58" w:rsidRDefault="001A6434">
            <w:pPr>
              <w:pStyle w:val="NormalWeb"/>
              <w:jc w:val="center"/>
            </w:pPr>
            <w:r>
              <w:t>REPUBLIC OF TAJIKISTAN</w:t>
            </w:r>
          </w:p>
          <w:p w14:paraId="591A951E" w14:textId="77777777" w:rsidR="004D2F58" w:rsidRDefault="004D2F58">
            <w:pPr>
              <w:pStyle w:val="NormalWeb"/>
              <w:jc w:val="center"/>
            </w:pPr>
            <w:r>
              <w:t>FOR A</w:t>
            </w:r>
          </w:p>
          <w:p w14:paraId="6BD77D2F" w14:textId="77777777" w:rsidR="004D2F58" w:rsidRDefault="001A6434">
            <w:pPr>
              <w:pStyle w:val="NormalWeb"/>
              <w:jc w:val="center"/>
            </w:pPr>
            <w:r>
              <w:t>REAL ESTATE REGISTRATION PROJECT</w:t>
            </w:r>
          </w:p>
          <w:p w14:paraId="44EA5362" w14:textId="7B54FBDB" w:rsidR="004D2F58" w:rsidRDefault="004D2F58">
            <w:pPr>
              <w:pStyle w:val="NormalWeb"/>
              <w:jc w:val="center"/>
            </w:pPr>
            <w:r>
              <w:br/>
            </w:r>
            <w:r>
              <w:br/>
            </w:r>
            <w:r w:rsidR="00723383">
              <w:t>April 12</w:t>
            </w:r>
            <w:r w:rsidR="007A39B9">
              <w:t>, 2017</w:t>
            </w:r>
          </w:p>
          <w:p w14:paraId="6C8DB23D" w14:textId="77777777" w:rsidR="001A6434" w:rsidRDefault="004D2F58" w:rsidP="001A6434">
            <w:pPr>
              <w:autoSpaceDE w:val="0"/>
              <w:autoSpaceDN w:val="0"/>
              <w:adjustRightInd w:val="0"/>
              <w:spacing w:line="240" w:lineRule="atLeast"/>
              <w:rPr>
                <w:szCs w:val="22"/>
              </w:rPr>
            </w:pPr>
            <w:r>
              <w:br/>
            </w:r>
            <w:r>
              <w:br/>
            </w:r>
            <w:r>
              <w:br/>
            </w:r>
            <w:r>
              <w:br/>
            </w:r>
          </w:p>
          <w:p w14:paraId="12FBAD9F" w14:textId="77777777" w:rsidR="001A6434" w:rsidRDefault="001A6434" w:rsidP="001A6434">
            <w:pPr>
              <w:autoSpaceDE w:val="0"/>
              <w:autoSpaceDN w:val="0"/>
              <w:adjustRightInd w:val="0"/>
              <w:spacing w:line="240" w:lineRule="atLeast"/>
              <w:rPr>
                <w:szCs w:val="22"/>
              </w:rPr>
            </w:pPr>
          </w:p>
          <w:p w14:paraId="5C40701F" w14:textId="77777777" w:rsidR="001A6434" w:rsidRDefault="001A6434" w:rsidP="001A6434">
            <w:pPr>
              <w:autoSpaceDE w:val="0"/>
              <w:autoSpaceDN w:val="0"/>
              <w:adjustRightInd w:val="0"/>
              <w:spacing w:line="240" w:lineRule="atLeast"/>
              <w:rPr>
                <w:szCs w:val="22"/>
              </w:rPr>
            </w:pPr>
          </w:p>
          <w:p w14:paraId="2F1A3A6B" w14:textId="77777777" w:rsidR="001A6434" w:rsidRDefault="001A6434" w:rsidP="001A6434">
            <w:pPr>
              <w:autoSpaceDE w:val="0"/>
              <w:autoSpaceDN w:val="0"/>
              <w:adjustRightInd w:val="0"/>
              <w:spacing w:line="240" w:lineRule="atLeast"/>
              <w:rPr>
                <w:szCs w:val="22"/>
              </w:rPr>
            </w:pPr>
            <w:r>
              <w:rPr>
                <w:szCs w:val="22"/>
              </w:rPr>
              <w:t>Social, Urban, Rural and Resilience Global Practice</w:t>
            </w:r>
          </w:p>
          <w:p w14:paraId="1C3FD697" w14:textId="77777777" w:rsidR="001A6434" w:rsidRDefault="001A6434" w:rsidP="001A6434">
            <w:pPr>
              <w:autoSpaceDE w:val="0"/>
              <w:autoSpaceDN w:val="0"/>
              <w:adjustRightInd w:val="0"/>
              <w:spacing w:line="240" w:lineRule="atLeast"/>
              <w:rPr>
                <w:color w:val="000000"/>
                <w:szCs w:val="22"/>
              </w:rPr>
            </w:pPr>
            <w:r>
              <w:rPr>
                <w:szCs w:val="22"/>
              </w:rPr>
              <w:t>EUROPE AND CENTRAL ASIA Region</w:t>
            </w:r>
          </w:p>
          <w:p w14:paraId="58182FC7" w14:textId="77777777" w:rsidR="004D2F58" w:rsidRDefault="004D2F58">
            <w:pPr>
              <w:pStyle w:val="NormalWeb"/>
              <w:rPr>
                <w:rFonts w:eastAsia="Times New Roman"/>
              </w:rPr>
            </w:pPr>
          </w:p>
        </w:tc>
      </w:tr>
    </w:tbl>
    <w:p w14:paraId="66C741A4" w14:textId="77777777" w:rsidR="004D2F58" w:rsidRDefault="004D2F58">
      <w:pPr>
        <w:divId w:val="2126805010"/>
        <w:rPr>
          <w:rFonts w:eastAsia="Times New Roman"/>
        </w:rPr>
      </w:pPr>
    </w:p>
    <w:p w14:paraId="052E1EF4" w14:textId="77777777" w:rsidR="003A34EC" w:rsidRDefault="003A34EC" w:rsidP="003A34EC">
      <w:pPr>
        <w:jc w:val="center"/>
      </w:pPr>
    </w:p>
    <w:p w14:paraId="5566191B" w14:textId="77777777" w:rsidR="00740FD3" w:rsidRDefault="00740FD3" w:rsidP="00740FD3">
      <w:pPr>
        <w:tabs>
          <w:tab w:val="left" w:pos="5507"/>
        </w:tabs>
        <w:autoSpaceDE w:val="0"/>
        <w:autoSpaceDN w:val="0"/>
        <w:adjustRightInd w:val="0"/>
        <w:jc w:val="center"/>
        <w:rPr>
          <w:iCs/>
        </w:rPr>
      </w:pPr>
      <w:r>
        <w:rPr>
          <w:iCs/>
        </w:rPr>
        <w:t>CURRENCY EQUIVALENTS</w:t>
      </w:r>
    </w:p>
    <w:p w14:paraId="48DE0FED" w14:textId="77777777" w:rsidR="001A6434" w:rsidRDefault="001A6434" w:rsidP="001A6434">
      <w:pPr>
        <w:autoSpaceDE w:val="0"/>
        <w:autoSpaceDN w:val="0"/>
        <w:adjustRightInd w:val="0"/>
        <w:spacing w:after="120" w:line="240" w:lineRule="atLeast"/>
        <w:jc w:val="center"/>
        <w:rPr>
          <w:color w:val="000000"/>
        </w:rPr>
      </w:pPr>
      <w:r>
        <w:rPr>
          <w:color w:val="000000"/>
        </w:rPr>
        <w:t xml:space="preserve">(Exchange Rate Effective </w:t>
      </w:r>
      <w:r>
        <w:rPr>
          <w:color w:val="000000"/>
          <w:szCs w:val="22"/>
        </w:rPr>
        <w:t>December 31, 2015)</w:t>
      </w:r>
    </w:p>
    <w:tbl>
      <w:tblPr>
        <w:tblW w:w="0" w:type="auto"/>
        <w:tblLook w:val="04A0" w:firstRow="1" w:lastRow="0" w:firstColumn="1" w:lastColumn="0" w:noHBand="0" w:noVBand="1"/>
      </w:tblPr>
      <w:tblGrid>
        <w:gridCol w:w="4210"/>
        <w:gridCol w:w="359"/>
        <w:gridCol w:w="4071"/>
      </w:tblGrid>
      <w:tr w:rsidR="001A6434" w14:paraId="7F95A703" w14:textId="77777777" w:rsidTr="001A6434">
        <w:tc>
          <w:tcPr>
            <w:tcW w:w="4563" w:type="dxa"/>
            <w:hideMark/>
          </w:tcPr>
          <w:p w14:paraId="0A15DF40" w14:textId="77777777" w:rsidR="001A6434" w:rsidRDefault="001A6434">
            <w:pPr>
              <w:autoSpaceDE w:val="0"/>
              <w:autoSpaceDN w:val="0"/>
              <w:adjustRightInd w:val="0"/>
              <w:spacing w:line="240" w:lineRule="atLeast"/>
              <w:jc w:val="right"/>
              <w:rPr>
                <w:color w:val="000000"/>
              </w:rPr>
            </w:pPr>
            <w:r>
              <w:rPr>
                <w:color w:val="000000"/>
                <w:szCs w:val="22"/>
              </w:rPr>
              <w:t>SDR 0.722</w:t>
            </w:r>
          </w:p>
        </w:tc>
        <w:tc>
          <w:tcPr>
            <w:tcW w:w="360" w:type="dxa"/>
            <w:hideMark/>
          </w:tcPr>
          <w:p w14:paraId="04226029" w14:textId="77777777" w:rsidR="001A6434" w:rsidRDefault="001A6434">
            <w:pPr>
              <w:autoSpaceDE w:val="0"/>
              <w:autoSpaceDN w:val="0"/>
              <w:adjustRightInd w:val="0"/>
              <w:spacing w:line="240" w:lineRule="atLeast"/>
              <w:rPr>
                <w:color w:val="000000"/>
              </w:rPr>
            </w:pPr>
            <w:r>
              <w:rPr>
                <w:color w:val="000000"/>
              </w:rPr>
              <w:t>=</w:t>
            </w:r>
          </w:p>
        </w:tc>
        <w:tc>
          <w:tcPr>
            <w:tcW w:w="4437" w:type="dxa"/>
            <w:hideMark/>
          </w:tcPr>
          <w:p w14:paraId="35CFCA6E" w14:textId="77777777" w:rsidR="001A6434" w:rsidRDefault="001A6434">
            <w:pPr>
              <w:autoSpaceDE w:val="0"/>
              <w:autoSpaceDN w:val="0"/>
              <w:adjustRightInd w:val="0"/>
              <w:spacing w:line="240" w:lineRule="atLeast"/>
              <w:rPr>
                <w:color w:val="000000"/>
              </w:rPr>
            </w:pPr>
            <w:r>
              <w:rPr>
                <w:color w:val="000000"/>
              </w:rPr>
              <w:t>US$1</w:t>
            </w:r>
            <w:r>
              <w:rPr>
                <w:color w:val="000000"/>
                <w:szCs w:val="22"/>
              </w:rPr>
              <w:t>.0</w:t>
            </w:r>
          </w:p>
        </w:tc>
      </w:tr>
      <w:tr w:rsidR="001A6434" w14:paraId="2E733930" w14:textId="77777777" w:rsidTr="001A6434">
        <w:tc>
          <w:tcPr>
            <w:tcW w:w="4563" w:type="dxa"/>
            <w:hideMark/>
          </w:tcPr>
          <w:p w14:paraId="2B35221D" w14:textId="77777777" w:rsidR="001A6434" w:rsidRDefault="001A6434">
            <w:pPr>
              <w:autoSpaceDE w:val="0"/>
              <w:autoSpaceDN w:val="0"/>
              <w:adjustRightInd w:val="0"/>
              <w:spacing w:line="240" w:lineRule="atLeast"/>
              <w:jc w:val="right"/>
              <w:rPr>
                <w:color w:val="000000"/>
              </w:rPr>
            </w:pPr>
            <w:r>
              <w:rPr>
                <w:color w:val="000000"/>
              </w:rPr>
              <w:t>US$</w:t>
            </w:r>
            <w:r>
              <w:rPr>
                <w:color w:val="000000"/>
                <w:szCs w:val="22"/>
              </w:rPr>
              <w:t>1.386</w:t>
            </w:r>
          </w:p>
        </w:tc>
        <w:tc>
          <w:tcPr>
            <w:tcW w:w="360" w:type="dxa"/>
            <w:hideMark/>
          </w:tcPr>
          <w:p w14:paraId="306A8E79" w14:textId="77777777" w:rsidR="001A6434" w:rsidRDefault="001A6434">
            <w:pPr>
              <w:autoSpaceDE w:val="0"/>
              <w:autoSpaceDN w:val="0"/>
              <w:adjustRightInd w:val="0"/>
              <w:spacing w:line="240" w:lineRule="atLeast"/>
              <w:rPr>
                <w:color w:val="000000"/>
              </w:rPr>
            </w:pPr>
            <w:r>
              <w:rPr>
                <w:color w:val="000000"/>
              </w:rPr>
              <w:t>=</w:t>
            </w:r>
          </w:p>
        </w:tc>
        <w:tc>
          <w:tcPr>
            <w:tcW w:w="4437" w:type="dxa"/>
            <w:hideMark/>
          </w:tcPr>
          <w:p w14:paraId="02E88CEE" w14:textId="77777777" w:rsidR="001A6434" w:rsidRDefault="001A6434">
            <w:pPr>
              <w:autoSpaceDE w:val="0"/>
              <w:autoSpaceDN w:val="0"/>
              <w:adjustRightInd w:val="0"/>
              <w:spacing w:line="240" w:lineRule="atLeast"/>
              <w:rPr>
                <w:color w:val="000000"/>
                <w:szCs w:val="22"/>
              </w:rPr>
            </w:pPr>
            <w:r>
              <w:rPr>
                <w:color w:val="000000"/>
              </w:rPr>
              <w:t>SDR 1</w:t>
            </w:r>
            <w:r>
              <w:rPr>
                <w:color w:val="000000"/>
                <w:szCs w:val="22"/>
              </w:rPr>
              <w:t>.0</w:t>
            </w:r>
          </w:p>
        </w:tc>
      </w:tr>
    </w:tbl>
    <w:p w14:paraId="1565BF28" w14:textId="77777777" w:rsidR="001A6434" w:rsidRDefault="001A6434" w:rsidP="001A6434">
      <w:pPr>
        <w:autoSpaceDE w:val="0"/>
        <w:autoSpaceDN w:val="0"/>
        <w:adjustRightInd w:val="0"/>
        <w:spacing w:line="240" w:lineRule="atLeast"/>
        <w:rPr>
          <w:color w:val="000000"/>
          <w:szCs w:val="22"/>
        </w:rPr>
      </w:pPr>
    </w:p>
    <w:p w14:paraId="7B632E68" w14:textId="77777777" w:rsidR="001A6434" w:rsidRDefault="001A6434" w:rsidP="001A6434">
      <w:pPr>
        <w:autoSpaceDE w:val="0"/>
        <w:autoSpaceDN w:val="0"/>
        <w:adjustRightInd w:val="0"/>
        <w:spacing w:line="240" w:lineRule="atLeast"/>
        <w:jc w:val="center"/>
        <w:rPr>
          <w:color w:val="000000"/>
          <w:szCs w:val="22"/>
        </w:rPr>
      </w:pPr>
      <w:r>
        <w:rPr>
          <w:color w:val="000000"/>
          <w:szCs w:val="22"/>
        </w:rPr>
        <w:t>FISCAL YEAR</w:t>
      </w:r>
    </w:p>
    <w:tbl>
      <w:tblPr>
        <w:tblW w:w="0" w:type="auto"/>
        <w:tblLook w:val="04A0" w:firstRow="1" w:lastRow="0" w:firstColumn="1" w:lastColumn="0" w:noHBand="0" w:noVBand="1"/>
      </w:tblPr>
      <w:tblGrid>
        <w:gridCol w:w="4074"/>
        <w:gridCol w:w="565"/>
        <w:gridCol w:w="4001"/>
      </w:tblGrid>
      <w:tr w:rsidR="001A6434" w14:paraId="402FDF50" w14:textId="77777777" w:rsidTr="001A6434">
        <w:tc>
          <w:tcPr>
            <w:tcW w:w="4548" w:type="dxa"/>
            <w:hideMark/>
          </w:tcPr>
          <w:p w14:paraId="26F8338F" w14:textId="77777777" w:rsidR="001A6434" w:rsidRDefault="001A6434">
            <w:pPr>
              <w:autoSpaceDE w:val="0"/>
              <w:autoSpaceDN w:val="0"/>
              <w:adjustRightInd w:val="0"/>
              <w:spacing w:line="240" w:lineRule="atLeast"/>
              <w:jc w:val="right"/>
              <w:rPr>
                <w:color w:val="000000"/>
                <w:szCs w:val="22"/>
              </w:rPr>
            </w:pPr>
            <w:r>
              <w:rPr>
                <w:color w:val="000000"/>
                <w:szCs w:val="22"/>
              </w:rPr>
              <w:t>January 1</w:t>
            </w:r>
          </w:p>
        </w:tc>
        <w:tc>
          <w:tcPr>
            <w:tcW w:w="600" w:type="dxa"/>
            <w:hideMark/>
          </w:tcPr>
          <w:p w14:paraId="1ADEBE75" w14:textId="77777777" w:rsidR="001A6434" w:rsidRDefault="001A6434">
            <w:pPr>
              <w:autoSpaceDE w:val="0"/>
              <w:autoSpaceDN w:val="0"/>
              <w:adjustRightInd w:val="0"/>
              <w:spacing w:line="240" w:lineRule="atLeast"/>
              <w:jc w:val="center"/>
              <w:rPr>
                <w:color w:val="000000"/>
                <w:szCs w:val="22"/>
              </w:rPr>
            </w:pPr>
            <w:r>
              <w:t>–</w:t>
            </w:r>
          </w:p>
        </w:tc>
        <w:tc>
          <w:tcPr>
            <w:tcW w:w="4428" w:type="dxa"/>
            <w:hideMark/>
          </w:tcPr>
          <w:p w14:paraId="6E3D493F" w14:textId="77777777" w:rsidR="001A6434" w:rsidRDefault="001A6434">
            <w:pPr>
              <w:autoSpaceDE w:val="0"/>
              <w:autoSpaceDN w:val="0"/>
              <w:adjustRightInd w:val="0"/>
              <w:spacing w:line="240" w:lineRule="atLeast"/>
              <w:rPr>
                <w:color w:val="000000"/>
                <w:szCs w:val="22"/>
              </w:rPr>
            </w:pPr>
            <w:r>
              <w:rPr>
                <w:color w:val="000000"/>
                <w:szCs w:val="22"/>
              </w:rPr>
              <w:t>December 31</w:t>
            </w:r>
          </w:p>
        </w:tc>
      </w:tr>
    </w:tbl>
    <w:p w14:paraId="0796C96C" w14:textId="77777777" w:rsidR="001A6434" w:rsidRDefault="001A6434" w:rsidP="001A6434">
      <w:pPr>
        <w:autoSpaceDE w:val="0"/>
        <w:autoSpaceDN w:val="0"/>
        <w:adjustRightInd w:val="0"/>
        <w:spacing w:line="240" w:lineRule="atLeast"/>
        <w:rPr>
          <w:color w:val="000000"/>
          <w:szCs w:val="22"/>
        </w:rPr>
      </w:pPr>
    </w:p>
    <w:p w14:paraId="3EB9E10B" w14:textId="77777777" w:rsidR="001A6434" w:rsidRDefault="001A6434" w:rsidP="001A6434">
      <w:pPr>
        <w:jc w:val="center"/>
      </w:pPr>
      <w:r>
        <w:rPr>
          <w:color w:val="000000"/>
          <w:szCs w:val="22"/>
        </w:rPr>
        <w:t>ABBREVIATIONS AND ACRONYMS</w:t>
      </w:r>
    </w:p>
    <w:tbl>
      <w:tblPr>
        <w:tblW w:w="0" w:type="auto"/>
        <w:tblLook w:val="04A0" w:firstRow="1" w:lastRow="0" w:firstColumn="1" w:lastColumn="0" w:noHBand="0" w:noVBand="1"/>
      </w:tblPr>
      <w:tblGrid>
        <w:gridCol w:w="1214"/>
        <w:gridCol w:w="7426"/>
      </w:tblGrid>
      <w:tr w:rsidR="001A6434" w:rsidRPr="002B799F" w14:paraId="2A4F101C" w14:textId="77777777" w:rsidTr="00D255F5">
        <w:tc>
          <w:tcPr>
            <w:tcW w:w="1214" w:type="dxa"/>
            <w:hideMark/>
          </w:tcPr>
          <w:p w14:paraId="7BFB2E4C" w14:textId="77777777" w:rsidR="001A6434" w:rsidRPr="002B799F" w:rsidRDefault="001A6434">
            <w:pPr>
              <w:rPr>
                <w:sz w:val="22"/>
                <w:szCs w:val="22"/>
              </w:rPr>
            </w:pPr>
            <w:r w:rsidRPr="002B799F">
              <w:rPr>
                <w:sz w:val="22"/>
                <w:szCs w:val="22"/>
              </w:rPr>
              <w:t>BTI</w:t>
            </w:r>
          </w:p>
        </w:tc>
        <w:tc>
          <w:tcPr>
            <w:tcW w:w="7426" w:type="dxa"/>
            <w:hideMark/>
          </w:tcPr>
          <w:p w14:paraId="6E2C0880" w14:textId="77777777" w:rsidR="001A6434" w:rsidRPr="002B799F" w:rsidRDefault="001A6434">
            <w:pPr>
              <w:rPr>
                <w:sz w:val="22"/>
                <w:szCs w:val="22"/>
              </w:rPr>
            </w:pPr>
            <w:r w:rsidRPr="002B799F">
              <w:rPr>
                <w:sz w:val="22"/>
                <w:szCs w:val="22"/>
              </w:rPr>
              <w:t>Bureau of Technical Inventory</w:t>
            </w:r>
          </w:p>
        </w:tc>
      </w:tr>
      <w:tr w:rsidR="001A6434" w:rsidRPr="002B799F" w14:paraId="330D1F08" w14:textId="77777777" w:rsidTr="00D255F5">
        <w:tc>
          <w:tcPr>
            <w:tcW w:w="1214" w:type="dxa"/>
            <w:hideMark/>
          </w:tcPr>
          <w:p w14:paraId="498A8B75" w14:textId="77777777" w:rsidR="001A6434" w:rsidRPr="002B799F" w:rsidRDefault="001A6434">
            <w:pPr>
              <w:rPr>
                <w:sz w:val="22"/>
                <w:szCs w:val="22"/>
              </w:rPr>
            </w:pPr>
            <w:r w:rsidRPr="002B799F">
              <w:rPr>
                <w:sz w:val="22"/>
                <w:szCs w:val="22"/>
              </w:rPr>
              <w:t>CPS</w:t>
            </w:r>
          </w:p>
        </w:tc>
        <w:tc>
          <w:tcPr>
            <w:tcW w:w="7426" w:type="dxa"/>
            <w:hideMark/>
          </w:tcPr>
          <w:p w14:paraId="6314E11E" w14:textId="77777777" w:rsidR="001A6434" w:rsidRPr="002B799F" w:rsidRDefault="001A6434">
            <w:pPr>
              <w:rPr>
                <w:sz w:val="22"/>
                <w:szCs w:val="22"/>
              </w:rPr>
            </w:pPr>
            <w:r w:rsidRPr="002B799F">
              <w:rPr>
                <w:sz w:val="22"/>
                <w:szCs w:val="22"/>
              </w:rPr>
              <w:t>Country Partnership Strategy</w:t>
            </w:r>
          </w:p>
        </w:tc>
      </w:tr>
      <w:tr w:rsidR="00D255F5" w:rsidRPr="002B799F" w14:paraId="6E3BCD51" w14:textId="77777777" w:rsidTr="00D255F5">
        <w:tc>
          <w:tcPr>
            <w:tcW w:w="1214" w:type="dxa"/>
          </w:tcPr>
          <w:p w14:paraId="2491C42E" w14:textId="07408E78" w:rsidR="00D255F5" w:rsidRPr="002B799F" w:rsidRDefault="00D255F5">
            <w:pPr>
              <w:rPr>
                <w:sz w:val="22"/>
                <w:szCs w:val="22"/>
              </w:rPr>
            </w:pPr>
            <w:r>
              <w:rPr>
                <w:sz w:val="22"/>
                <w:szCs w:val="22"/>
              </w:rPr>
              <w:t>DSA</w:t>
            </w:r>
          </w:p>
        </w:tc>
        <w:tc>
          <w:tcPr>
            <w:tcW w:w="7426" w:type="dxa"/>
          </w:tcPr>
          <w:p w14:paraId="071FE90A" w14:textId="52A656C0" w:rsidR="00D255F5" w:rsidRPr="002B799F" w:rsidRDefault="00D255F5">
            <w:pPr>
              <w:rPr>
                <w:sz w:val="22"/>
                <w:szCs w:val="22"/>
              </w:rPr>
            </w:pPr>
            <w:r>
              <w:rPr>
                <w:sz w:val="22"/>
                <w:szCs w:val="22"/>
              </w:rPr>
              <w:t>Debt Sustainability Analysis</w:t>
            </w:r>
          </w:p>
        </w:tc>
      </w:tr>
      <w:tr w:rsidR="001A6434" w:rsidRPr="002B799F" w14:paraId="4F04AABA" w14:textId="77777777" w:rsidTr="00D255F5">
        <w:tc>
          <w:tcPr>
            <w:tcW w:w="1214" w:type="dxa"/>
            <w:hideMark/>
          </w:tcPr>
          <w:p w14:paraId="15CA6AC2" w14:textId="77777777" w:rsidR="001A6434" w:rsidRPr="002B799F" w:rsidRDefault="001A6434">
            <w:pPr>
              <w:rPr>
                <w:sz w:val="22"/>
                <w:szCs w:val="22"/>
              </w:rPr>
            </w:pPr>
            <w:r w:rsidRPr="002B799F">
              <w:rPr>
                <w:sz w:val="22"/>
                <w:szCs w:val="22"/>
              </w:rPr>
              <w:t>ECA</w:t>
            </w:r>
          </w:p>
        </w:tc>
        <w:tc>
          <w:tcPr>
            <w:tcW w:w="7426" w:type="dxa"/>
            <w:hideMark/>
          </w:tcPr>
          <w:p w14:paraId="116E4974" w14:textId="77777777" w:rsidR="001A6434" w:rsidRPr="002B799F" w:rsidRDefault="001A6434">
            <w:pPr>
              <w:rPr>
                <w:sz w:val="22"/>
                <w:szCs w:val="22"/>
              </w:rPr>
            </w:pPr>
            <w:r w:rsidRPr="002B799F">
              <w:rPr>
                <w:sz w:val="22"/>
                <w:szCs w:val="22"/>
              </w:rPr>
              <w:t>Europe and Central Asia Region</w:t>
            </w:r>
          </w:p>
        </w:tc>
      </w:tr>
      <w:tr w:rsidR="0010757B" w:rsidRPr="002B799F" w14:paraId="1A9ECA2D" w14:textId="77777777" w:rsidTr="00D255F5">
        <w:tc>
          <w:tcPr>
            <w:tcW w:w="1214" w:type="dxa"/>
          </w:tcPr>
          <w:p w14:paraId="797B6607" w14:textId="58BECFDA" w:rsidR="0010757B" w:rsidRPr="002B799F" w:rsidRDefault="0010757B">
            <w:pPr>
              <w:rPr>
                <w:sz w:val="22"/>
                <w:szCs w:val="22"/>
              </w:rPr>
            </w:pPr>
            <w:r>
              <w:rPr>
                <w:sz w:val="22"/>
                <w:szCs w:val="22"/>
              </w:rPr>
              <w:t>FA</w:t>
            </w:r>
          </w:p>
        </w:tc>
        <w:tc>
          <w:tcPr>
            <w:tcW w:w="7426" w:type="dxa"/>
          </w:tcPr>
          <w:p w14:paraId="0E0616A1" w14:textId="2B38BE2E" w:rsidR="0010757B" w:rsidRPr="002B799F" w:rsidRDefault="0010757B">
            <w:pPr>
              <w:rPr>
                <w:sz w:val="22"/>
                <w:szCs w:val="22"/>
              </w:rPr>
            </w:pPr>
            <w:r>
              <w:rPr>
                <w:sz w:val="22"/>
                <w:szCs w:val="22"/>
              </w:rPr>
              <w:t>Financing Agreement (IDA)</w:t>
            </w:r>
          </w:p>
        </w:tc>
      </w:tr>
      <w:tr w:rsidR="001A6434" w:rsidRPr="002B799F" w14:paraId="2C59B699" w14:textId="77777777" w:rsidTr="00D255F5">
        <w:tc>
          <w:tcPr>
            <w:tcW w:w="1214" w:type="dxa"/>
            <w:hideMark/>
          </w:tcPr>
          <w:p w14:paraId="20DBF3AC" w14:textId="77777777" w:rsidR="001A6434" w:rsidRPr="002B799F" w:rsidRDefault="001A6434">
            <w:pPr>
              <w:rPr>
                <w:sz w:val="22"/>
                <w:szCs w:val="22"/>
              </w:rPr>
            </w:pPr>
            <w:r w:rsidRPr="002B799F">
              <w:rPr>
                <w:sz w:val="22"/>
                <w:szCs w:val="22"/>
              </w:rPr>
              <w:t>FPSP</w:t>
            </w:r>
          </w:p>
        </w:tc>
        <w:tc>
          <w:tcPr>
            <w:tcW w:w="7426" w:type="dxa"/>
            <w:hideMark/>
          </w:tcPr>
          <w:p w14:paraId="311FCF1F" w14:textId="77777777" w:rsidR="001A6434" w:rsidRPr="002B799F" w:rsidRDefault="001A6434">
            <w:pPr>
              <w:rPr>
                <w:sz w:val="22"/>
                <w:szCs w:val="22"/>
              </w:rPr>
            </w:pPr>
            <w:r w:rsidRPr="002B799F">
              <w:rPr>
                <w:sz w:val="22"/>
                <w:szCs w:val="22"/>
              </w:rPr>
              <w:t>Farm Privatization Support Project</w:t>
            </w:r>
          </w:p>
        </w:tc>
      </w:tr>
      <w:tr w:rsidR="001A6434" w:rsidRPr="002B799F" w14:paraId="79A9960D" w14:textId="77777777" w:rsidTr="00D255F5">
        <w:tc>
          <w:tcPr>
            <w:tcW w:w="1214" w:type="dxa"/>
            <w:hideMark/>
          </w:tcPr>
          <w:p w14:paraId="3A29A611" w14:textId="77777777" w:rsidR="001A6434" w:rsidRPr="002B799F" w:rsidRDefault="001A6434">
            <w:pPr>
              <w:rPr>
                <w:sz w:val="22"/>
                <w:szCs w:val="22"/>
              </w:rPr>
            </w:pPr>
            <w:r w:rsidRPr="002B799F">
              <w:rPr>
                <w:sz w:val="22"/>
                <w:szCs w:val="22"/>
              </w:rPr>
              <w:t>GDP</w:t>
            </w:r>
          </w:p>
        </w:tc>
        <w:tc>
          <w:tcPr>
            <w:tcW w:w="7426" w:type="dxa"/>
            <w:hideMark/>
          </w:tcPr>
          <w:p w14:paraId="6AD49D76" w14:textId="77777777" w:rsidR="001A6434" w:rsidRPr="002B799F" w:rsidRDefault="001A6434">
            <w:pPr>
              <w:rPr>
                <w:sz w:val="22"/>
                <w:szCs w:val="22"/>
              </w:rPr>
            </w:pPr>
            <w:r w:rsidRPr="002B799F">
              <w:rPr>
                <w:sz w:val="22"/>
                <w:szCs w:val="22"/>
              </w:rPr>
              <w:t>Gross National Product</w:t>
            </w:r>
          </w:p>
        </w:tc>
      </w:tr>
      <w:tr w:rsidR="001A6434" w:rsidRPr="002B799F" w14:paraId="7214F1BB" w14:textId="77777777" w:rsidTr="00D255F5">
        <w:tc>
          <w:tcPr>
            <w:tcW w:w="1214" w:type="dxa"/>
            <w:hideMark/>
          </w:tcPr>
          <w:p w14:paraId="79EE56FF" w14:textId="77777777" w:rsidR="001A6434" w:rsidRPr="002B799F" w:rsidRDefault="001A6434">
            <w:pPr>
              <w:rPr>
                <w:sz w:val="22"/>
                <w:szCs w:val="22"/>
              </w:rPr>
            </w:pPr>
            <w:r w:rsidRPr="002B799F">
              <w:rPr>
                <w:sz w:val="22"/>
                <w:szCs w:val="22"/>
              </w:rPr>
              <w:t>GNI</w:t>
            </w:r>
          </w:p>
        </w:tc>
        <w:tc>
          <w:tcPr>
            <w:tcW w:w="7426" w:type="dxa"/>
            <w:hideMark/>
          </w:tcPr>
          <w:p w14:paraId="478C7297" w14:textId="77777777" w:rsidR="001A6434" w:rsidRPr="002B799F" w:rsidRDefault="001A6434">
            <w:pPr>
              <w:rPr>
                <w:sz w:val="22"/>
                <w:szCs w:val="22"/>
              </w:rPr>
            </w:pPr>
            <w:r w:rsidRPr="002B799F">
              <w:rPr>
                <w:sz w:val="22"/>
                <w:szCs w:val="22"/>
              </w:rPr>
              <w:t>Gross National Income</w:t>
            </w:r>
          </w:p>
        </w:tc>
      </w:tr>
      <w:tr w:rsidR="001A6434" w:rsidRPr="002B799F" w14:paraId="1A457861" w14:textId="77777777" w:rsidTr="00D255F5">
        <w:tc>
          <w:tcPr>
            <w:tcW w:w="1214" w:type="dxa"/>
            <w:hideMark/>
          </w:tcPr>
          <w:p w14:paraId="4BF90439" w14:textId="77777777" w:rsidR="001A6434" w:rsidRPr="002B799F" w:rsidRDefault="001A6434">
            <w:pPr>
              <w:rPr>
                <w:sz w:val="22"/>
                <w:szCs w:val="22"/>
              </w:rPr>
            </w:pPr>
            <w:r w:rsidRPr="002B799F">
              <w:rPr>
                <w:sz w:val="22"/>
                <w:szCs w:val="22"/>
              </w:rPr>
              <w:t>IDA</w:t>
            </w:r>
          </w:p>
        </w:tc>
        <w:tc>
          <w:tcPr>
            <w:tcW w:w="7426" w:type="dxa"/>
            <w:hideMark/>
          </w:tcPr>
          <w:p w14:paraId="2B23DF97" w14:textId="77777777" w:rsidR="001A6434" w:rsidRPr="002B799F" w:rsidRDefault="001A6434">
            <w:pPr>
              <w:rPr>
                <w:sz w:val="22"/>
                <w:szCs w:val="22"/>
              </w:rPr>
            </w:pPr>
            <w:r w:rsidRPr="002B799F">
              <w:rPr>
                <w:sz w:val="22"/>
                <w:szCs w:val="22"/>
              </w:rPr>
              <w:t>International Development Association, ‘the Association’</w:t>
            </w:r>
          </w:p>
        </w:tc>
      </w:tr>
      <w:tr w:rsidR="001A6434" w:rsidRPr="002B799F" w14:paraId="2A54AE1C" w14:textId="77777777" w:rsidTr="00D255F5">
        <w:tc>
          <w:tcPr>
            <w:tcW w:w="1214" w:type="dxa"/>
            <w:hideMark/>
          </w:tcPr>
          <w:p w14:paraId="714C8FA2" w14:textId="77777777" w:rsidR="001A6434" w:rsidRPr="002B799F" w:rsidRDefault="001A6434">
            <w:pPr>
              <w:rPr>
                <w:sz w:val="22"/>
                <w:szCs w:val="22"/>
              </w:rPr>
            </w:pPr>
            <w:r w:rsidRPr="002B799F">
              <w:rPr>
                <w:sz w:val="22"/>
                <w:szCs w:val="22"/>
              </w:rPr>
              <w:t>IG</w:t>
            </w:r>
          </w:p>
        </w:tc>
        <w:tc>
          <w:tcPr>
            <w:tcW w:w="7426" w:type="dxa"/>
            <w:hideMark/>
          </w:tcPr>
          <w:p w14:paraId="212F3017" w14:textId="77777777" w:rsidR="001A6434" w:rsidRPr="002B799F" w:rsidRDefault="001A6434">
            <w:pPr>
              <w:rPr>
                <w:sz w:val="22"/>
                <w:szCs w:val="22"/>
              </w:rPr>
            </w:pPr>
            <w:r w:rsidRPr="002B799F">
              <w:rPr>
                <w:sz w:val="22"/>
                <w:szCs w:val="22"/>
              </w:rPr>
              <w:t>Implementation Group</w:t>
            </w:r>
          </w:p>
        </w:tc>
      </w:tr>
      <w:tr w:rsidR="001A6434" w:rsidRPr="002B799F" w14:paraId="66071274" w14:textId="77777777" w:rsidTr="00D255F5">
        <w:tc>
          <w:tcPr>
            <w:tcW w:w="1214" w:type="dxa"/>
            <w:hideMark/>
          </w:tcPr>
          <w:p w14:paraId="0DA83427" w14:textId="77777777" w:rsidR="001A6434" w:rsidRPr="002B799F" w:rsidRDefault="001A6434">
            <w:pPr>
              <w:rPr>
                <w:sz w:val="22"/>
                <w:szCs w:val="22"/>
              </w:rPr>
            </w:pPr>
            <w:r w:rsidRPr="002B799F">
              <w:rPr>
                <w:sz w:val="22"/>
                <w:szCs w:val="22"/>
              </w:rPr>
              <w:t>IT/ICT</w:t>
            </w:r>
          </w:p>
        </w:tc>
        <w:tc>
          <w:tcPr>
            <w:tcW w:w="7426" w:type="dxa"/>
            <w:hideMark/>
          </w:tcPr>
          <w:p w14:paraId="08E576B1" w14:textId="77777777" w:rsidR="001A6434" w:rsidRPr="002B799F" w:rsidRDefault="001A6434">
            <w:pPr>
              <w:rPr>
                <w:sz w:val="22"/>
                <w:szCs w:val="22"/>
              </w:rPr>
            </w:pPr>
            <w:r w:rsidRPr="002B799F">
              <w:rPr>
                <w:sz w:val="22"/>
                <w:szCs w:val="22"/>
              </w:rPr>
              <w:t>Information Technology; Information and Communication Technology</w:t>
            </w:r>
          </w:p>
        </w:tc>
      </w:tr>
      <w:tr w:rsidR="001A6434" w:rsidRPr="002B799F" w14:paraId="61BEEC17" w14:textId="77777777" w:rsidTr="00D255F5">
        <w:tc>
          <w:tcPr>
            <w:tcW w:w="1214" w:type="dxa"/>
            <w:hideMark/>
          </w:tcPr>
          <w:p w14:paraId="385BE826" w14:textId="77777777" w:rsidR="001A6434" w:rsidRPr="002B799F" w:rsidRDefault="001A6434">
            <w:pPr>
              <w:rPr>
                <w:sz w:val="22"/>
                <w:szCs w:val="22"/>
              </w:rPr>
            </w:pPr>
            <w:r w:rsidRPr="002B799F">
              <w:rPr>
                <w:sz w:val="22"/>
                <w:szCs w:val="22"/>
              </w:rPr>
              <w:t>KPI</w:t>
            </w:r>
          </w:p>
        </w:tc>
        <w:tc>
          <w:tcPr>
            <w:tcW w:w="7426" w:type="dxa"/>
            <w:hideMark/>
          </w:tcPr>
          <w:p w14:paraId="38E5C4E2" w14:textId="77777777" w:rsidR="001A6434" w:rsidRPr="002B799F" w:rsidRDefault="001A6434">
            <w:pPr>
              <w:rPr>
                <w:sz w:val="22"/>
                <w:szCs w:val="22"/>
              </w:rPr>
            </w:pPr>
            <w:r w:rsidRPr="002B799F">
              <w:rPr>
                <w:sz w:val="22"/>
                <w:szCs w:val="22"/>
              </w:rPr>
              <w:t>Key Performance Indicator</w:t>
            </w:r>
          </w:p>
        </w:tc>
      </w:tr>
      <w:tr w:rsidR="001A6434" w:rsidRPr="002B799F" w14:paraId="3177BFCA" w14:textId="77777777" w:rsidTr="00D255F5">
        <w:tc>
          <w:tcPr>
            <w:tcW w:w="1214" w:type="dxa"/>
            <w:hideMark/>
          </w:tcPr>
          <w:p w14:paraId="74740DF6" w14:textId="77777777" w:rsidR="001A6434" w:rsidRPr="002B799F" w:rsidRDefault="001A6434">
            <w:pPr>
              <w:rPr>
                <w:sz w:val="22"/>
                <w:szCs w:val="22"/>
              </w:rPr>
            </w:pPr>
            <w:r w:rsidRPr="002B799F">
              <w:rPr>
                <w:sz w:val="22"/>
                <w:szCs w:val="22"/>
              </w:rPr>
              <w:t>LRCSP</w:t>
            </w:r>
          </w:p>
        </w:tc>
        <w:tc>
          <w:tcPr>
            <w:tcW w:w="7426" w:type="dxa"/>
            <w:hideMark/>
          </w:tcPr>
          <w:p w14:paraId="23488DE1" w14:textId="77777777" w:rsidR="001A6434" w:rsidRPr="002B799F" w:rsidRDefault="001A6434">
            <w:pPr>
              <w:rPr>
                <w:sz w:val="22"/>
                <w:szCs w:val="22"/>
              </w:rPr>
            </w:pPr>
            <w:r w:rsidRPr="002B799F">
              <w:rPr>
                <w:sz w:val="22"/>
                <w:szCs w:val="22"/>
              </w:rPr>
              <w:t>Land Registration and Cadaster System Project</w:t>
            </w:r>
          </w:p>
        </w:tc>
      </w:tr>
      <w:tr w:rsidR="001A6434" w:rsidRPr="002B799F" w14:paraId="70D6B34A" w14:textId="77777777" w:rsidTr="00D255F5">
        <w:tc>
          <w:tcPr>
            <w:tcW w:w="1214" w:type="dxa"/>
            <w:hideMark/>
          </w:tcPr>
          <w:p w14:paraId="5A05740F" w14:textId="77777777" w:rsidR="001A6434" w:rsidRPr="002B799F" w:rsidRDefault="001A6434">
            <w:pPr>
              <w:rPr>
                <w:sz w:val="22"/>
                <w:szCs w:val="22"/>
              </w:rPr>
            </w:pPr>
            <w:r w:rsidRPr="002B799F">
              <w:rPr>
                <w:sz w:val="22"/>
                <w:szCs w:val="22"/>
              </w:rPr>
              <w:t>M&amp;E</w:t>
            </w:r>
          </w:p>
        </w:tc>
        <w:tc>
          <w:tcPr>
            <w:tcW w:w="7426" w:type="dxa"/>
            <w:hideMark/>
          </w:tcPr>
          <w:p w14:paraId="1E424ED3" w14:textId="77777777" w:rsidR="001A6434" w:rsidRPr="002B799F" w:rsidRDefault="001A6434">
            <w:pPr>
              <w:rPr>
                <w:sz w:val="22"/>
                <w:szCs w:val="22"/>
              </w:rPr>
            </w:pPr>
            <w:r w:rsidRPr="002B799F">
              <w:rPr>
                <w:sz w:val="22"/>
                <w:szCs w:val="22"/>
              </w:rPr>
              <w:t>Monitoring and Evaluation</w:t>
            </w:r>
          </w:p>
        </w:tc>
      </w:tr>
      <w:tr w:rsidR="001A6434" w:rsidRPr="002B799F" w14:paraId="4858DA67" w14:textId="77777777" w:rsidTr="00D255F5">
        <w:tc>
          <w:tcPr>
            <w:tcW w:w="1214" w:type="dxa"/>
            <w:hideMark/>
          </w:tcPr>
          <w:p w14:paraId="77A91863" w14:textId="77777777" w:rsidR="001A6434" w:rsidRPr="002B799F" w:rsidRDefault="001A6434">
            <w:pPr>
              <w:rPr>
                <w:sz w:val="22"/>
                <w:szCs w:val="22"/>
              </w:rPr>
            </w:pPr>
            <w:r w:rsidRPr="002B799F">
              <w:rPr>
                <w:sz w:val="22"/>
                <w:szCs w:val="22"/>
              </w:rPr>
              <w:t>MOF</w:t>
            </w:r>
          </w:p>
        </w:tc>
        <w:tc>
          <w:tcPr>
            <w:tcW w:w="7426" w:type="dxa"/>
            <w:hideMark/>
          </w:tcPr>
          <w:p w14:paraId="2D198D92" w14:textId="77777777" w:rsidR="001A6434" w:rsidRPr="002B799F" w:rsidRDefault="001A6434">
            <w:pPr>
              <w:rPr>
                <w:sz w:val="22"/>
                <w:szCs w:val="22"/>
              </w:rPr>
            </w:pPr>
            <w:r w:rsidRPr="002B799F">
              <w:rPr>
                <w:sz w:val="22"/>
                <w:szCs w:val="22"/>
              </w:rPr>
              <w:t>Ministry of Finance</w:t>
            </w:r>
          </w:p>
        </w:tc>
      </w:tr>
      <w:tr w:rsidR="001A6434" w:rsidRPr="002B799F" w14:paraId="6B8A420D" w14:textId="77777777" w:rsidTr="00D255F5">
        <w:tc>
          <w:tcPr>
            <w:tcW w:w="1214" w:type="dxa"/>
            <w:hideMark/>
          </w:tcPr>
          <w:p w14:paraId="13BF7C62" w14:textId="77777777" w:rsidR="001A6434" w:rsidRPr="002B799F" w:rsidRDefault="001A6434">
            <w:pPr>
              <w:rPr>
                <w:sz w:val="22"/>
                <w:szCs w:val="22"/>
              </w:rPr>
            </w:pPr>
            <w:r w:rsidRPr="002B799F">
              <w:rPr>
                <w:sz w:val="22"/>
                <w:szCs w:val="22"/>
              </w:rPr>
              <w:t>MOJ</w:t>
            </w:r>
          </w:p>
        </w:tc>
        <w:tc>
          <w:tcPr>
            <w:tcW w:w="7426" w:type="dxa"/>
            <w:hideMark/>
          </w:tcPr>
          <w:p w14:paraId="341382B6" w14:textId="77777777" w:rsidR="001A6434" w:rsidRPr="002B799F" w:rsidRDefault="001A6434">
            <w:pPr>
              <w:rPr>
                <w:sz w:val="22"/>
                <w:szCs w:val="22"/>
              </w:rPr>
            </w:pPr>
            <w:r w:rsidRPr="002B799F">
              <w:rPr>
                <w:sz w:val="22"/>
                <w:szCs w:val="22"/>
              </w:rPr>
              <w:t>Ministry of Justice</w:t>
            </w:r>
          </w:p>
        </w:tc>
      </w:tr>
      <w:tr w:rsidR="001A6434" w:rsidRPr="002B799F" w14:paraId="54889A92" w14:textId="77777777" w:rsidTr="00D255F5">
        <w:tc>
          <w:tcPr>
            <w:tcW w:w="1214" w:type="dxa"/>
            <w:hideMark/>
          </w:tcPr>
          <w:p w14:paraId="5569F1F0" w14:textId="77777777" w:rsidR="001A6434" w:rsidRPr="002B799F" w:rsidRDefault="001A6434">
            <w:pPr>
              <w:rPr>
                <w:sz w:val="22"/>
                <w:szCs w:val="22"/>
              </w:rPr>
            </w:pPr>
            <w:r w:rsidRPr="002B799F">
              <w:rPr>
                <w:sz w:val="22"/>
                <w:szCs w:val="22"/>
              </w:rPr>
              <w:t>MZ</w:t>
            </w:r>
          </w:p>
        </w:tc>
        <w:tc>
          <w:tcPr>
            <w:tcW w:w="7426" w:type="dxa"/>
            <w:hideMark/>
          </w:tcPr>
          <w:p w14:paraId="5C737627" w14:textId="77777777" w:rsidR="001A6434" w:rsidRPr="002B799F" w:rsidRDefault="001A6434">
            <w:pPr>
              <w:rPr>
                <w:sz w:val="22"/>
                <w:szCs w:val="22"/>
              </w:rPr>
            </w:pPr>
            <w:r w:rsidRPr="002B799F">
              <w:rPr>
                <w:sz w:val="22"/>
                <w:szCs w:val="22"/>
              </w:rPr>
              <w:t>Markaz Zemin (cadaster offices)</w:t>
            </w:r>
          </w:p>
        </w:tc>
      </w:tr>
      <w:tr w:rsidR="001A6434" w:rsidRPr="002B799F" w14:paraId="4807C83B" w14:textId="77777777" w:rsidTr="00D255F5">
        <w:tc>
          <w:tcPr>
            <w:tcW w:w="1214" w:type="dxa"/>
            <w:hideMark/>
          </w:tcPr>
          <w:p w14:paraId="179EBC2B" w14:textId="77777777" w:rsidR="001A6434" w:rsidRPr="002B799F" w:rsidRDefault="001A6434">
            <w:pPr>
              <w:rPr>
                <w:sz w:val="22"/>
                <w:szCs w:val="22"/>
              </w:rPr>
            </w:pPr>
            <w:r w:rsidRPr="002B799F">
              <w:rPr>
                <w:sz w:val="22"/>
                <w:szCs w:val="22"/>
              </w:rPr>
              <w:t>NGO</w:t>
            </w:r>
          </w:p>
        </w:tc>
        <w:tc>
          <w:tcPr>
            <w:tcW w:w="7426" w:type="dxa"/>
            <w:hideMark/>
          </w:tcPr>
          <w:p w14:paraId="3FA56B07" w14:textId="77777777" w:rsidR="001A6434" w:rsidRPr="002B799F" w:rsidRDefault="001A6434">
            <w:pPr>
              <w:rPr>
                <w:sz w:val="22"/>
                <w:szCs w:val="22"/>
              </w:rPr>
            </w:pPr>
            <w:r w:rsidRPr="002B799F">
              <w:rPr>
                <w:sz w:val="22"/>
                <w:szCs w:val="22"/>
              </w:rPr>
              <w:t>Non-governmental Organization</w:t>
            </w:r>
          </w:p>
        </w:tc>
      </w:tr>
      <w:tr w:rsidR="001A6434" w:rsidRPr="002B799F" w14:paraId="713FC4E3" w14:textId="77777777" w:rsidTr="00D255F5">
        <w:tc>
          <w:tcPr>
            <w:tcW w:w="1214" w:type="dxa"/>
            <w:hideMark/>
          </w:tcPr>
          <w:p w14:paraId="1839B99A" w14:textId="77777777" w:rsidR="001A6434" w:rsidRPr="002B799F" w:rsidRDefault="001A6434">
            <w:pPr>
              <w:rPr>
                <w:sz w:val="22"/>
                <w:szCs w:val="22"/>
              </w:rPr>
            </w:pPr>
            <w:r w:rsidRPr="002B799F">
              <w:rPr>
                <w:sz w:val="22"/>
                <w:szCs w:val="22"/>
              </w:rPr>
              <w:t>PAC</w:t>
            </w:r>
          </w:p>
        </w:tc>
        <w:tc>
          <w:tcPr>
            <w:tcW w:w="7426" w:type="dxa"/>
            <w:hideMark/>
          </w:tcPr>
          <w:p w14:paraId="79920110" w14:textId="77777777" w:rsidR="001A6434" w:rsidRPr="002B799F" w:rsidRDefault="001A6434">
            <w:pPr>
              <w:rPr>
                <w:sz w:val="22"/>
                <w:szCs w:val="22"/>
              </w:rPr>
            </w:pPr>
            <w:r w:rsidRPr="002B799F">
              <w:rPr>
                <w:sz w:val="22"/>
                <w:szCs w:val="22"/>
              </w:rPr>
              <w:t>Public Awareness Campaign</w:t>
            </w:r>
          </w:p>
        </w:tc>
      </w:tr>
      <w:tr w:rsidR="001A6434" w:rsidRPr="002B799F" w14:paraId="1B89DF9F" w14:textId="77777777" w:rsidTr="00D255F5">
        <w:tc>
          <w:tcPr>
            <w:tcW w:w="1214" w:type="dxa"/>
            <w:hideMark/>
          </w:tcPr>
          <w:p w14:paraId="36711EE5" w14:textId="77777777" w:rsidR="001A6434" w:rsidRPr="002B799F" w:rsidRDefault="001A6434">
            <w:pPr>
              <w:rPr>
                <w:sz w:val="22"/>
                <w:szCs w:val="22"/>
              </w:rPr>
            </w:pPr>
            <w:r w:rsidRPr="002B799F">
              <w:rPr>
                <w:sz w:val="22"/>
                <w:szCs w:val="22"/>
              </w:rPr>
              <w:t>PDO</w:t>
            </w:r>
          </w:p>
        </w:tc>
        <w:tc>
          <w:tcPr>
            <w:tcW w:w="7426" w:type="dxa"/>
            <w:hideMark/>
          </w:tcPr>
          <w:p w14:paraId="2CBAF65C" w14:textId="77777777" w:rsidR="001A6434" w:rsidRPr="002B799F" w:rsidRDefault="001A6434">
            <w:pPr>
              <w:rPr>
                <w:sz w:val="22"/>
                <w:szCs w:val="22"/>
              </w:rPr>
            </w:pPr>
            <w:r w:rsidRPr="002B799F">
              <w:rPr>
                <w:sz w:val="22"/>
                <w:szCs w:val="22"/>
              </w:rPr>
              <w:t>Project Development Objective</w:t>
            </w:r>
          </w:p>
        </w:tc>
      </w:tr>
      <w:tr w:rsidR="001A6434" w:rsidRPr="002B799F" w14:paraId="163BEEDF" w14:textId="77777777" w:rsidTr="00D255F5">
        <w:tc>
          <w:tcPr>
            <w:tcW w:w="1214" w:type="dxa"/>
            <w:hideMark/>
          </w:tcPr>
          <w:p w14:paraId="13549315" w14:textId="77777777" w:rsidR="001A6434" w:rsidRPr="002B799F" w:rsidRDefault="001A6434">
            <w:pPr>
              <w:rPr>
                <w:sz w:val="22"/>
                <w:szCs w:val="22"/>
              </w:rPr>
            </w:pPr>
            <w:r w:rsidRPr="002B799F">
              <w:rPr>
                <w:sz w:val="22"/>
                <w:szCs w:val="22"/>
              </w:rPr>
              <w:t>POM</w:t>
            </w:r>
          </w:p>
        </w:tc>
        <w:tc>
          <w:tcPr>
            <w:tcW w:w="7426" w:type="dxa"/>
            <w:hideMark/>
          </w:tcPr>
          <w:p w14:paraId="2E9B4893" w14:textId="77777777" w:rsidR="001A6434" w:rsidRPr="002B799F" w:rsidRDefault="001A6434">
            <w:pPr>
              <w:rPr>
                <w:sz w:val="22"/>
                <w:szCs w:val="22"/>
              </w:rPr>
            </w:pPr>
            <w:r w:rsidRPr="002B799F">
              <w:rPr>
                <w:sz w:val="22"/>
                <w:szCs w:val="22"/>
              </w:rPr>
              <w:t>Project Operational Manual</w:t>
            </w:r>
          </w:p>
        </w:tc>
      </w:tr>
      <w:tr w:rsidR="001A6434" w:rsidRPr="002B799F" w14:paraId="29BD9270" w14:textId="77777777" w:rsidTr="00D255F5">
        <w:tc>
          <w:tcPr>
            <w:tcW w:w="1214" w:type="dxa"/>
            <w:hideMark/>
          </w:tcPr>
          <w:p w14:paraId="14478EB9" w14:textId="77777777" w:rsidR="001A6434" w:rsidRPr="002B799F" w:rsidRDefault="001A6434">
            <w:pPr>
              <w:rPr>
                <w:sz w:val="22"/>
                <w:szCs w:val="22"/>
              </w:rPr>
            </w:pPr>
            <w:r w:rsidRPr="002B799F">
              <w:rPr>
                <w:sz w:val="22"/>
                <w:szCs w:val="22"/>
              </w:rPr>
              <w:t>SA</w:t>
            </w:r>
          </w:p>
        </w:tc>
        <w:tc>
          <w:tcPr>
            <w:tcW w:w="7426" w:type="dxa"/>
            <w:hideMark/>
          </w:tcPr>
          <w:p w14:paraId="183AFB0B" w14:textId="77777777" w:rsidR="001A6434" w:rsidRPr="002B799F" w:rsidRDefault="001A6434">
            <w:pPr>
              <w:rPr>
                <w:sz w:val="22"/>
                <w:szCs w:val="22"/>
              </w:rPr>
            </w:pPr>
            <w:r w:rsidRPr="002B799F">
              <w:rPr>
                <w:sz w:val="22"/>
                <w:szCs w:val="22"/>
              </w:rPr>
              <w:t>Social Assessment</w:t>
            </w:r>
          </w:p>
        </w:tc>
      </w:tr>
      <w:tr w:rsidR="001A6434" w:rsidRPr="002B799F" w14:paraId="17E018EF" w14:textId="77777777" w:rsidTr="00D255F5">
        <w:tc>
          <w:tcPr>
            <w:tcW w:w="1214" w:type="dxa"/>
            <w:hideMark/>
          </w:tcPr>
          <w:p w14:paraId="68A7AA6D" w14:textId="77777777" w:rsidR="001A6434" w:rsidRPr="002B799F" w:rsidRDefault="001A6434">
            <w:pPr>
              <w:rPr>
                <w:sz w:val="22"/>
                <w:szCs w:val="22"/>
              </w:rPr>
            </w:pPr>
            <w:r w:rsidRPr="002B799F">
              <w:rPr>
                <w:sz w:val="22"/>
                <w:szCs w:val="22"/>
              </w:rPr>
              <w:t>SCLMG</w:t>
            </w:r>
          </w:p>
        </w:tc>
        <w:tc>
          <w:tcPr>
            <w:tcW w:w="7426" w:type="dxa"/>
            <w:hideMark/>
          </w:tcPr>
          <w:p w14:paraId="03420C57" w14:textId="77777777" w:rsidR="001A6434" w:rsidRPr="002B799F" w:rsidRDefault="001A6434">
            <w:pPr>
              <w:rPr>
                <w:sz w:val="22"/>
                <w:szCs w:val="22"/>
              </w:rPr>
            </w:pPr>
            <w:r w:rsidRPr="002B799F">
              <w:rPr>
                <w:sz w:val="22"/>
                <w:szCs w:val="22"/>
              </w:rPr>
              <w:t>State Committee for Land Management and Geodesy</w:t>
            </w:r>
          </w:p>
        </w:tc>
      </w:tr>
      <w:tr w:rsidR="001A6434" w:rsidRPr="002B799F" w14:paraId="064EF8E8" w14:textId="77777777" w:rsidTr="00D255F5">
        <w:tc>
          <w:tcPr>
            <w:tcW w:w="1214" w:type="dxa"/>
            <w:hideMark/>
          </w:tcPr>
          <w:p w14:paraId="0B294C91" w14:textId="77777777" w:rsidR="001A6434" w:rsidRPr="002B799F" w:rsidRDefault="001A6434">
            <w:pPr>
              <w:rPr>
                <w:sz w:val="22"/>
                <w:szCs w:val="22"/>
              </w:rPr>
            </w:pPr>
            <w:r w:rsidRPr="002B799F">
              <w:rPr>
                <w:iCs/>
                <w:sz w:val="22"/>
                <w:szCs w:val="22"/>
              </w:rPr>
              <w:t>SCISPM</w:t>
            </w:r>
          </w:p>
        </w:tc>
        <w:tc>
          <w:tcPr>
            <w:tcW w:w="7426" w:type="dxa"/>
            <w:hideMark/>
          </w:tcPr>
          <w:p w14:paraId="4A6B0295" w14:textId="77777777" w:rsidR="001A6434" w:rsidRPr="002B799F" w:rsidRDefault="001A6434">
            <w:pPr>
              <w:rPr>
                <w:sz w:val="22"/>
                <w:szCs w:val="22"/>
              </w:rPr>
            </w:pPr>
            <w:r w:rsidRPr="002B799F">
              <w:rPr>
                <w:sz w:val="22"/>
                <w:szCs w:val="22"/>
              </w:rPr>
              <w:t>State Committee for Investment and State Property Management</w:t>
            </w:r>
          </w:p>
        </w:tc>
      </w:tr>
      <w:tr w:rsidR="001A6434" w:rsidRPr="002B799F" w14:paraId="55B85145" w14:textId="77777777" w:rsidTr="00D255F5">
        <w:tc>
          <w:tcPr>
            <w:tcW w:w="1214" w:type="dxa"/>
            <w:hideMark/>
          </w:tcPr>
          <w:p w14:paraId="1EAF898A" w14:textId="77777777" w:rsidR="001A6434" w:rsidRPr="002B799F" w:rsidRDefault="001A6434">
            <w:pPr>
              <w:rPr>
                <w:sz w:val="22"/>
                <w:szCs w:val="22"/>
              </w:rPr>
            </w:pPr>
            <w:r w:rsidRPr="002B799F">
              <w:rPr>
                <w:sz w:val="22"/>
                <w:szCs w:val="22"/>
              </w:rPr>
              <w:t>SUERIP</w:t>
            </w:r>
          </w:p>
        </w:tc>
        <w:tc>
          <w:tcPr>
            <w:tcW w:w="7426" w:type="dxa"/>
            <w:hideMark/>
          </w:tcPr>
          <w:p w14:paraId="4F3C41E2" w14:textId="77777777" w:rsidR="001A6434" w:rsidRPr="002B799F" w:rsidRDefault="001A6434">
            <w:pPr>
              <w:rPr>
                <w:sz w:val="22"/>
                <w:szCs w:val="22"/>
              </w:rPr>
            </w:pPr>
            <w:r w:rsidRPr="002B799F">
              <w:rPr>
                <w:sz w:val="22"/>
                <w:szCs w:val="22"/>
              </w:rPr>
              <w:t>State Unitary Enterprise for Registration of Immovable Property</w:t>
            </w:r>
          </w:p>
        </w:tc>
      </w:tr>
      <w:tr w:rsidR="001A6434" w:rsidRPr="002B799F" w14:paraId="322AD25F" w14:textId="77777777" w:rsidTr="00D255F5">
        <w:tc>
          <w:tcPr>
            <w:tcW w:w="1214" w:type="dxa"/>
            <w:hideMark/>
          </w:tcPr>
          <w:p w14:paraId="1B129990" w14:textId="77777777" w:rsidR="001A6434" w:rsidRPr="002B799F" w:rsidRDefault="001A6434">
            <w:pPr>
              <w:rPr>
                <w:sz w:val="22"/>
                <w:szCs w:val="22"/>
              </w:rPr>
            </w:pPr>
            <w:r w:rsidRPr="002B799F">
              <w:rPr>
                <w:sz w:val="22"/>
                <w:szCs w:val="22"/>
              </w:rPr>
              <w:t>TOR</w:t>
            </w:r>
          </w:p>
        </w:tc>
        <w:tc>
          <w:tcPr>
            <w:tcW w:w="7426" w:type="dxa"/>
            <w:hideMark/>
          </w:tcPr>
          <w:p w14:paraId="3399E674" w14:textId="77777777" w:rsidR="001A6434" w:rsidRPr="002B799F" w:rsidRDefault="001A6434">
            <w:pPr>
              <w:rPr>
                <w:sz w:val="22"/>
                <w:szCs w:val="22"/>
              </w:rPr>
            </w:pPr>
            <w:r w:rsidRPr="002B799F">
              <w:rPr>
                <w:sz w:val="22"/>
                <w:szCs w:val="22"/>
              </w:rPr>
              <w:t>Terms of Reference</w:t>
            </w:r>
          </w:p>
        </w:tc>
      </w:tr>
      <w:tr w:rsidR="001A6434" w:rsidRPr="002B799F" w14:paraId="6E135C36" w14:textId="77777777" w:rsidTr="00D255F5">
        <w:tc>
          <w:tcPr>
            <w:tcW w:w="1214" w:type="dxa"/>
            <w:hideMark/>
          </w:tcPr>
          <w:p w14:paraId="2FD5655F" w14:textId="77777777" w:rsidR="001A6434" w:rsidRPr="002B799F" w:rsidRDefault="001A6434">
            <w:pPr>
              <w:rPr>
                <w:sz w:val="22"/>
                <w:szCs w:val="22"/>
              </w:rPr>
            </w:pPr>
            <w:r w:rsidRPr="002B799F">
              <w:rPr>
                <w:sz w:val="22"/>
                <w:szCs w:val="22"/>
              </w:rPr>
              <w:t>USAID</w:t>
            </w:r>
          </w:p>
        </w:tc>
        <w:tc>
          <w:tcPr>
            <w:tcW w:w="7426" w:type="dxa"/>
            <w:hideMark/>
          </w:tcPr>
          <w:p w14:paraId="289EC5B4" w14:textId="77777777" w:rsidR="001A6434" w:rsidRPr="002B799F" w:rsidRDefault="001A6434">
            <w:pPr>
              <w:rPr>
                <w:sz w:val="22"/>
                <w:szCs w:val="22"/>
              </w:rPr>
            </w:pPr>
            <w:r w:rsidRPr="002B799F">
              <w:rPr>
                <w:sz w:val="22"/>
                <w:szCs w:val="22"/>
              </w:rPr>
              <w:t>United States Agency for International Development</w:t>
            </w:r>
          </w:p>
        </w:tc>
      </w:tr>
      <w:tr w:rsidR="001A6434" w:rsidRPr="002B799F" w14:paraId="229AA301" w14:textId="77777777" w:rsidTr="00D255F5">
        <w:tc>
          <w:tcPr>
            <w:tcW w:w="1214" w:type="dxa"/>
            <w:hideMark/>
          </w:tcPr>
          <w:p w14:paraId="77C56AF1" w14:textId="77777777" w:rsidR="001A6434" w:rsidRPr="002B799F" w:rsidRDefault="001A6434">
            <w:pPr>
              <w:rPr>
                <w:sz w:val="22"/>
                <w:szCs w:val="22"/>
              </w:rPr>
            </w:pPr>
            <w:r w:rsidRPr="002B799F">
              <w:rPr>
                <w:sz w:val="22"/>
                <w:szCs w:val="22"/>
              </w:rPr>
              <w:t>WB</w:t>
            </w:r>
          </w:p>
        </w:tc>
        <w:tc>
          <w:tcPr>
            <w:tcW w:w="7426" w:type="dxa"/>
            <w:hideMark/>
          </w:tcPr>
          <w:p w14:paraId="6BA48BF8" w14:textId="77777777" w:rsidR="001A6434" w:rsidRPr="002B799F" w:rsidRDefault="001A6434">
            <w:pPr>
              <w:rPr>
                <w:sz w:val="22"/>
                <w:szCs w:val="22"/>
              </w:rPr>
            </w:pPr>
            <w:r w:rsidRPr="002B799F">
              <w:rPr>
                <w:sz w:val="22"/>
                <w:szCs w:val="22"/>
              </w:rPr>
              <w:t>World Bank, ‘the Bank’</w:t>
            </w:r>
          </w:p>
        </w:tc>
      </w:tr>
    </w:tbl>
    <w:p w14:paraId="216C2539" w14:textId="77777777" w:rsidR="00740FD3" w:rsidRDefault="00740FD3" w:rsidP="00740FD3">
      <w:pPr>
        <w:tabs>
          <w:tab w:val="left" w:pos="5507"/>
        </w:tabs>
        <w:autoSpaceDE w:val="0"/>
        <w:autoSpaceDN w:val="0"/>
        <w:adjustRightInd w:val="0"/>
        <w:jc w:val="center"/>
        <w:rPr>
          <w:iCs/>
        </w:rPr>
      </w:pPr>
    </w:p>
    <w:p w14:paraId="495DD256" w14:textId="77777777" w:rsidR="001A6434" w:rsidRDefault="001A6434"/>
    <w:p w14:paraId="2F5AFC5E" w14:textId="77777777" w:rsidR="0042502B" w:rsidRDefault="0042502B"/>
    <w:p w14:paraId="509074CB" w14:textId="77777777" w:rsidR="0024514C" w:rsidRDefault="0024514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01"/>
        <w:gridCol w:w="222"/>
        <w:gridCol w:w="4207"/>
      </w:tblGrid>
      <w:tr w:rsidR="001A6434" w14:paraId="6AC97335" w14:textId="77777777" w:rsidTr="00DF3331">
        <w:tc>
          <w:tcPr>
            <w:tcW w:w="4201" w:type="dxa"/>
            <w:tcBorders>
              <w:top w:val="single" w:sz="4" w:space="0" w:color="auto"/>
              <w:left w:val="single" w:sz="4" w:space="0" w:color="auto"/>
              <w:bottom w:val="nil"/>
              <w:right w:val="nil"/>
            </w:tcBorders>
            <w:hideMark/>
          </w:tcPr>
          <w:p w14:paraId="5B2AFA03" w14:textId="77777777" w:rsidR="001A6434" w:rsidRDefault="001A6434">
            <w:pPr>
              <w:autoSpaceDE w:val="0"/>
              <w:autoSpaceDN w:val="0"/>
              <w:adjustRightInd w:val="0"/>
              <w:spacing w:line="240" w:lineRule="atLeast"/>
              <w:jc w:val="right"/>
              <w:rPr>
                <w:color w:val="000000"/>
                <w:szCs w:val="22"/>
              </w:rPr>
            </w:pPr>
            <w:r>
              <w:rPr>
                <w:color w:val="000000"/>
                <w:szCs w:val="22"/>
              </w:rPr>
              <w:t>Regional Vice President:</w:t>
            </w:r>
          </w:p>
        </w:tc>
        <w:tc>
          <w:tcPr>
            <w:tcW w:w="222" w:type="dxa"/>
            <w:tcBorders>
              <w:top w:val="single" w:sz="4" w:space="0" w:color="auto"/>
              <w:left w:val="nil"/>
              <w:bottom w:val="nil"/>
              <w:right w:val="nil"/>
            </w:tcBorders>
          </w:tcPr>
          <w:p w14:paraId="1AC63C14" w14:textId="77777777" w:rsidR="001A6434" w:rsidRDefault="001A6434">
            <w:pPr>
              <w:autoSpaceDE w:val="0"/>
              <w:autoSpaceDN w:val="0"/>
              <w:adjustRightInd w:val="0"/>
              <w:spacing w:line="240" w:lineRule="atLeast"/>
              <w:rPr>
                <w:color w:val="000000"/>
                <w:szCs w:val="22"/>
              </w:rPr>
            </w:pPr>
          </w:p>
        </w:tc>
        <w:tc>
          <w:tcPr>
            <w:tcW w:w="4207" w:type="dxa"/>
            <w:tcBorders>
              <w:top w:val="single" w:sz="4" w:space="0" w:color="auto"/>
              <w:left w:val="nil"/>
              <w:bottom w:val="nil"/>
              <w:right w:val="single" w:sz="4" w:space="0" w:color="auto"/>
            </w:tcBorders>
            <w:hideMark/>
          </w:tcPr>
          <w:p w14:paraId="41FB8FD3" w14:textId="77777777" w:rsidR="001A6434" w:rsidRDefault="001A6434">
            <w:pPr>
              <w:autoSpaceDE w:val="0"/>
              <w:autoSpaceDN w:val="0"/>
              <w:adjustRightInd w:val="0"/>
              <w:spacing w:line="240" w:lineRule="atLeast"/>
              <w:rPr>
                <w:color w:val="000000"/>
                <w:szCs w:val="22"/>
              </w:rPr>
            </w:pPr>
            <w:r>
              <w:rPr>
                <w:color w:val="000000"/>
                <w:szCs w:val="22"/>
              </w:rPr>
              <w:t>Cyril E. Muller</w:t>
            </w:r>
          </w:p>
        </w:tc>
      </w:tr>
      <w:tr w:rsidR="001A6434" w14:paraId="70C1D376" w14:textId="77777777" w:rsidTr="00DF3331">
        <w:tc>
          <w:tcPr>
            <w:tcW w:w="4201" w:type="dxa"/>
            <w:tcBorders>
              <w:top w:val="nil"/>
              <w:left w:val="single" w:sz="4" w:space="0" w:color="auto"/>
              <w:bottom w:val="nil"/>
              <w:right w:val="nil"/>
            </w:tcBorders>
            <w:hideMark/>
          </w:tcPr>
          <w:p w14:paraId="4D55A520" w14:textId="77777777" w:rsidR="001A6434" w:rsidRPr="001E6B6E" w:rsidRDefault="001A6434">
            <w:pPr>
              <w:autoSpaceDE w:val="0"/>
              <w:autoSpaceDN w:val="0"/>
              <w:adjustRightInd w:val="0"/>
              <w:spacing w:line="240" w:lineRule="atLeast"/>
              <w:jc w:val="right"/>
              <w:rPr>
                <w:color w:val="000000"/>
                <w:szCs w:val="22"/>
              </w:rPr>
            </w:pPr>
            <w:r w:rsidRPr="001E6B6E">
              <w:rPr>
                <w:color w:val="000000"/>
                <w:szCs w:val="22"/>
              </w:rPr>
              <w:t>Country Director:</w:t>
            </w:r>
          </w:p>
        </w:tc>
        <w:tc>
          <w:tcPr>
            <w:tcW w:w="222" w:type="dxa"/>
            <w:tcBorders>
              <w:top w:val="nil"/>
              <w:left w:val="nil"/>
              <w:bottom w:val="nil"/>
              <w:right w:val="nil"/>
            </w:tcBorders>
          </w:tcPr>
          <w:p w14:paraId="69AC939D" w14:textId="77777777" w:rsidR="001A6434" w:rsidRPr="001E6B6E" w:rsidRDefault="001A6434">
            <w:pPr>
              <w:autoSpaceDE w:val="0"/>
              <w:autoSpaceDN w:val="0"/>
              <w:adjustRightInd w:val="0"/>
              <w:spacing w:line="240" w:lineRule="atLeast"/>
              <w:rPr>
                <w:color w:val="000000"/>
                <w:szCs w:val="22"/>
              </w:rPr>
            </w:pPr>
          </w:p>
        </w:tc>
        <w:tc>
          <w:tcPr>
            <w:tcW w:w="4207" w:type="dxa"/>
            <w:tcBorders>
              <w:top w:val="nil"/>
              <w:left w:val="nil"/>
              <w:bottom w:val="nil"/>
              <w:right w:val="single" w:sz="4" w:space="0" w:color="auto"/>
            </w:tcBorders>
            <w:hideMark/>
          </w:tcPr>
          <w:p w14:paraId="1CA7E9D2" w14:textId="77777777" w:rsidR="001A6434" w:rsidRPr="001E6B6E" w:rsidRDefault="001E6B6E">
            <w:pPr>
              <w:autoSpaceDE w:val="0"/>
              <w:autoSpaceDN w:val="0"/>
              <w:adjustRightInd w:val="0"/>
              <w:spacing w:line="240" w:lineRule="atLeast"/>
              <w:rPr>
                <w:color w:val="000000"/>
                <w:szCs w:val="22"/>
              </w:rPr>
            </w:pPr>
            <w:r w:rsidRPr="001E6B6E">
              <w:rPr>
                <w:szCs w:val="22"/>
              </w:rPr>
              <w:t xml:space="preserve">Lilia </w:t>
            </w:r>
            <w:r w:rsidRPr="001E6B6E">
              <w:rPr>
                <w:lang w:val="en"/>
              </w:rPr>
              <w:t>Burunciuc</w:t>
            </w:r>
          </w:p>
        </w:tc>
      </w:tr>
      <w:tr w:rsidR="001A6434" w14:paraId="4F39B7C7" w14:textId="77777777" w:rsidTr="00DF3331">
        <w:tc>
          <w:tcPr>
            <w:tcW w:w="4201" w:type="dxa"/>
            <w:tcBorders>
              <w:top w:val="nil"/>
              <w:left w:val="single" w:sz="4" w:space="0" w:color="auto"/>
              <w:bottom w:val="nil"/>
              <w:right w:val="nil"/>
            </w:tcBorders>
            <w:hideMark/>
          </w:tcPr>
          <w:p w14:paraId="56DA3C38" w14:textId="77777777" w:rsidR="001A6434" w:rsidRDefault="001A6434">
            <w:pPr>
              <w:autoSpaceDE w:val="0"/>
              <w:autoSpaceDN w:val="0"/>
              <w:adjustRightInd w:val="0"/>
              <w:spacing w:line="240" w:lineRule="atLeast"/>
              <w:jc w:val="right"/>
              <w:rPr>
                <w:color w:val="000000"/>
                <w:szCs w:val="22"/>
              </w:rPr>
            </w:pPr>
            <w:r>
              <w:rPr>
                <w:color w:val="000000"/>
                <w:szCs w:val="22"/>
              </w:rPr>
              <w:t>Senior Global Practice Director:</w:t>
            </w:r>
          </w:p>
        </w:tc>
        <w:tc>
          <w:tcPr>
            <w:tcW w:w="222" w:type="dxa"/>
            <w:tcBorders>
              <w:top w:val="nil"/>
              <w:left w:val="nil"/>
              <w:bottom w:val="nil"/>
              <w:right w:val="nil"/>
            </w:tcBorders>
          </w:tcPr>
          <w:p w14:paraId="0D450EFB" w14:textId="77777777" w:rsidR="001A6434" w:rsidRDefault="001A6434">
            <w:pPr>
              <w:autoSpaceDE w:val="0"/>
              <w:autoSpaceDN w:val="0"/>
              <w:adjustRightInd w:val="0"/>
              <w:spacing w:line="240" w:lineRule="atLeast"/>
              <w:rPr>
                <w:color w:val="000000"/>
                <w:szCs w:val="22"/>
              </w:rPr>
            </w:pPr>
          </w:p>
        </w:tc>
        <w:tc>
          <w:tcPr>
            <w:tcW w:w="4207" w:type="dxa"/>
            <w:tcBorders>
              <w:top w:val="nil"/>
              <w:left w:val="nil"/>
              <w:bottom w:val="nil"/>
              <w:right w:val="single" w:sz="4" w:space="0" w:color="auto"/>
            </w:tcBorders>
            <w:hideMark/>
          </w:tcPr>
          <w:p w14:paraId="2D5C7678" w14:textId="77777777" w:rsidR="001A6434" w:rsidRDefault="001A6434">
            <w:pPr>
              <w:autoSpaceDE w:val="0"/>
              <w:autoSpaceDN w:val="0"/>
              <w:adjustRightInd w:val="0"/>
              <w:spacing w:line="240" w:lineRule="atLeast"/>
              <w:rPr>
                <w:color w:val="000000"/>
                <w:szCs w:val="22"/>
              </w:rPr>
            </w:pPr>
            <w:r>
              <w:rPr>
                <w:color w:val="000000"/>
                <w:szCs w:val="22"/>
              </w:rPr>
              <w:t xml:space="preserve">Ede Jorge Ijjasz-Vasquez </w:t>
            </w:r>
          </w:p>
        </w:tc>
      </w:tr>
      <w:tr w:rsidR="001A6434" w14:paraId="13752098" w14:textId="77777777" w:rsidTr="00DF3331">
        <w:tc>
          <w:tcPr>
            <w:tcW w:w="4201" w:type="dxa"/>
            <w:tcBorders>
              <w:top w:val="nil"/>
              <w:left w:val="single" w:sz="4" w:space="0" w:color="auto"/>
              <w:bottom w:val="nil"/>
              <w:right w:val="nil"/>
            </w:tcBorders>
            <w:hideMark/>
          </w:tcPr>
          <w:p w14:paraId="744C337E" w14:textId="77777777" w:rsidR="001A6434" w:rsidRDefault="001A6434">
            <w:pPr>
              <w:autoSpaceDE w:val="0"/>
              <w:autoSpaceDN w:val="0"/>
              <w:adjustRightInd w:val="0"/>
              <w:spacing w:line="240" w:lineRule="atLeast"/>
              <w:jc w:val="right"/>
              <w:rPr>
                <w:color w:val="000000"/>
                <w:szCs w:val="22"/>
              </w:rPr>
            </w:pPr>
            <w:r>
              <w:rPr>
                <w:color w:val="000000"/>
                <w:szCs w:val="22"/>
              </w:rPr>
              <w:t>Practice Manager:</w:t>
            </w:r>
          </w:p>
        </w:tc>
        <w:tc>
          <w:tcPr>
            <w:tcW w:w="222" w:type="dxa"/>
            <w:tcBorders>
              <w:top w:val="nil"/>
              <w:left w:val="nil"/>
              <w:bottom w:val="nil"/>
              <w:right w:val="nil"/>
            </w:tcBorders>
          </w:tcPr>
          <w:p w14:paraId="2A605FB0" w14:textId="77777777" w:rsidR="001A6434" w:rsidRDefault="001A6434">
            <w:pPr>
              <w:autoSpaceDE w:val="0"/>
              <w:autoSpaceDN w:val="0"/>
              <w:adjustRightInd w:val="0"/>
              <w:spacing w:line="240" w:lineRule="atLeast"/>
              <w:rPr>
                <w:color w:val="000000"/>
                <w:szCs w:val="22"/>
              </w:rPr>
            </w:pPr>
          </w:p>
        </w:tc>
        <w:tc>
          <w:tcPr>
            <w:tcW w:w="4207" w:type="dxa"/>
            <w:tcBorders>
              <w:top w:val="nil"/>
              <w:left w:val="nil"/>
              <w:bottom w:val="nil"/>
              <w:right w:val="single" w:sz="4" w:space="0" w:color="auto"/>
            </w:tcBorders>
            <w:hideMark/>
          </w:tcPr>
          <w:p w14:paraId="4E43A09A" w14:textId="77777777" w:rsidR="001A6434" w:rsidRDefault="001A6434">
            <w:pPr>
              <w:autoSpaceDE w:val="0"/>
              <w:autoSpaceDN w:val="0"/>
              <w:adjustRightInd w:val="0"/>
              <w:spacing w:line="240" w:lineRule="atLeast"/>
              <w:rPr>
                <w:color w:val="000000"/>
                <w:szCs w:val="22"/>
              </w:rPr>
            </w:pPr>
            <w:r>
              <w:rPr>
                <w:color w:val="000000"/>
                <w:szCs w:val="22"/>
              </w:rPr>
              <w:t>Jorge Muñoz</w:t>
            </w:r>
          </w:p>
        </w:tc>
      </w:tr>
      <w:tr w:rsidR="001A6434" w14:paraId="10C3986B" w14:textId="77777777" w:rsidTr="00DF3331">
        <w:tc>
          <w:tcPr>
            <w:tcW w:w="4201" w:type="dxa"/>
            <w:tcBorders>
              <w:top w:val="nil"/>
              <w:left w:val="single" w:sz="4" w:space="0" w:color="auto"/>
              <w:bottom w:val="single" w:sz="4" w:space="0" w:color="auto"/>
              <w:right w:val="nil"/>
            </w:tcBorders>
            <w:hideMark/>
          </w:tcPr>
          <w:p w14:paraId="0F70293C" w14:textId="77777777" w:rsidR="001A6434" w:rsidRDefault="001A6434">
            <w:pPr>
              <w:autoSpaceDE w:val="0"/>
              <w:autoSpaceDN w:val="0"/>
              <w:adjustRightInd w:val="0"/>
              <w:spacing w:line="240" w:lineRule="atLeast"/>
              <w:jc w:val="right"/>
              <w:rPr>
                <w:color w:val="000000"/>
                <w:szCs w:val="22"/>
              </w:rPr>
            </w:pPr>
            <w:r>
              <w:rPr>
                <w:color w:val="000000"/>
                <w:szCs w:val="22"/>
              </w:rPr>
              <w:t>Task Team Leader:</w:t>
            </w:r>
          </w:p>
        </w:tc>
        <w:tc>
          <w:tcPr>
            <w:tcW w:w="222" w:type="dxa"/>
            <w:tcBorders>
              <w:top w:val="nil"/>
              <w:left w:val="nil"/>
              <w:bottom w:val="single" w:sz="4" w:space="0" w:color="auto"/>
              <w:right w:val="nil"/>
            </w:tcBorders>
          </w:tcPr>
          <w:p w14:paraId="5CEA973F" w14:textId="77777777" w:rsidR="001A6434" w:rsidRDefault="001A6434">
            <w:pPr>
              <w:autoSpaceDE w:val="0"/>
              <w:autoSpaceDN w:val="0"/>
              <w:adjustRightInd w:val="0"/>
              <w:spacing w:line="240" w:lineRule="atLeast"/>
              <w:rPr>
                <w:color w:val="000000"/>
                <w:szCs w:val="22"/>
              </w:rPr>
            </w:pPr>
          </w:p>
        </w:tc>
        <w:tc>
          <w:tcPr>
            <w:tcW w:w="4207" w:type="dxa"/>
            <w:tcBorders>
              <w:top w:val="nil"/>
              <w:left w:val="nil"/>
              <w:bottom w:val="single" w:sz="4" w:space="0" w:color="auto"/>
              <w:right w:val="single" w:sz="4" w:space="0" w:color="auto"/>
            </w:tcBorders>
            <w:hideMark/>
          </w:tcPr>
          <w:p w14:paraId="2EB92B6C" w14:textId="77777777" w:rsidR="001A6434" w:rsidRDefault="001A6434">
            <w:pPr>
              <w:autoSpaceDE w:val="0"/>
              <w:autoSpaceDN w:val="0"/>
              <w:adjustRightInd w:val="0"/>
              <w:spacing w:line="240" w:lineRule="atLeast"/>
              <w:rPr>
                <w:color w:val="000000"/>
                <w:szCs w:val="22"/>
              </w:rPr>
            </w:pPr>
            <w:r>
              <w:rPr>
                <w:color w:val="000000"/>
                <w:szCs w:val="22"/>
              </w:rPr>
              <w:t>Victoria Stanley</w:t>
            </w:r>
          </w:p>
        </w:tc>
      </w:tr>
    </w:tbl>
    <w:p w14:paraId="303A17A5" w14:textId="77777777" w:rsidR="00E03DE1" w:rsidRDefault="00E03DE1">
      <w:pPr>
        <w:rPr>
          <w:vanish/>
        </w:rPr>
      </w:pPr>
    </w:p>
    <w:p w14:paraId="3FA9E198" w14:textId="77777777" w:rsidR="00E03DE1" w:rsidRDefault="00E03DE1">
      <w:pPr>
        <w:rPr>
          <w:vanish/>
        </w:rPr>
      </w:pPr>
      <w:r>
        <w:rPr>
          <w:rFonts w:eastAsia="Times New Roman"/>
          <w:lang w:eastAsia="en-US"/>
        </w:rPr>
        <w:br w:type="page"/>
      </w:r>
    </w:p>
    <w:tbl>
      <w:tblPr>
        <w:tblW w:w="5000" w:type="pct"/>
        <w:tblCellSpacing w:w="0" w:type="dxa"/>
        <w:tblCellMar>
          <w:left w:w="0" w:type="dxa"/>
          <w:right w:w="0" w:type="dxa"/>
        </w:tblCellMar>
        <w:tblLook w:val="0000" w:firstRow="0" w:lastRow="0" w:firstColumn="0" w:lastColumn="0" w:noHBand="0" w:noVBand="0"/>
      </w:tblPr>
      <w:tblGrid>
        <w:gridCol w:w="8640"/>
      </w:tblGrid>
      <w:tr w:rsidR="003A34EC" w:rsidRPr="0024514C" w14:paraId="0659E327" w14:textId="77777777">
        <w:trPr>
          <w:tblCellSpacing w:w="0" w:type="dxa"/>
        </w:trPr>
        <w:tc>
          <w:tcPr>
            <w:tcW w:w="0" w:type="auto"/>
            <w:vAlign w:val="center"/>
          </w:tcPr>
          <w:p w14:paraId="15B0820F" w14:textId="77777777" w:rsidR="00DF3331" w:rsidRDefault="00DF3331" w:rsidP="001A6434">
            <w:pPr>
              <w:jc w:val="center"/>
              <w:rPr>
                <w:b/>
              </w:rPr>
            </w:pPr>
          </w:p>
          <w:p w14:paraId="73405716" w14:textId="77777777" w:rsidR="003A34EC" w:rsidRPr="00E7533E" w:rsidRDefault="001A6434" w:rsidP="001A6434">
            <w:pPr>
              <w:jc w:val="center"/>
              <w:rPr>
                <w:b/>
              </w:rPr>
            </w:pPr>
            <w:r>
              <w:rPr>
                <w:b/>
              </w:rPr>
              <w:t>TAJIKISTAN</w:t>
            </w:r>
          </w:p>
        </w:tc>
      </w:tr>
      <w:tr w:rsidR="003A34EC" w:rsidRPr="0024514C" w14:paraId="679186E8" w14:textId="77777777">
        <w:trPr>
          <w:tblCellSpacing w:w="0" w:type="dxa"/>
        </w:trPr>
        <w:tc>
          <w:tcPr>
            <w:tcW w:w="0" w:type="auto"/>
            <w:vAlign w:val="center"/>
          </w:tcPr>
          <w:p w14:paraId="416C01E5" w14:textId="77777777" w:rsidR="003A34EC" w:rsidRPr="00E7533E" w:rsidRDefault="001A6434" w:rsidP="003A34EC">
            <w:pPr>
              <w:jc w:val="center"/>
              <w:rPr>
                <w:b/>
              </w:rPr>
            </w:pPr>
            <w:r>
              <w:rPr>
                <w:b/>
              </w:rPr>
              <w:t>Real Estate Registration Project</w:t>
            </w:r>
          </w:p>
        </w:tc>
      </w:tr>
      <w:tr w:rsidR="00E03DE1" w:rsidRPr="0024514C" w14:paraId="485E0ECC" w14:textId="77777777" w:rsidTr="003A34EC">
        <w:trPr>
          <w:trHeight w:val="390"/>
          <w:tblCellSpacing w:w="0" w:type="dxa"/>
        </w:trPr>
        <w:tc>
          <w:tcPr>
            <w:tcW w:w="5000" w:type="pct"/>
            <w:vAlign w:val="center"/>
          </w:tcPr>
          <w:p w14:paraId="54F14E84" w14:textId="77777777" w:rsidR="00E03DE1" w:rsidRPr="0024514C" w:rsidRDefault="00E03DE1" w:rsidP="0024514C">
            <w:pPr>
              <w:jc w:val="center"/>
              <w:rPr>
                <w:b/>
              </w:rPr>
            </w:pPr>
          </w:p>
        </w:tc>
      </w:tr>
      <w:tr w:rsidR="00E03DE1" w:rsidRPr="0024514C" w14:paraId="1D72F6B2" w14:textId="77777777" w:rsidTr="003A34EC">
        <w:trPr>
          <w:trHeight w:val="390"/>
          <w:tblCellSpacing w:w="0" w:type="dxa"/>
        </w:trPr>
        <w:tc>
          <w:tcPr>
            <w:tcW w:w="5000" w:type="pct"/>
            <w:vAlign w:val="center"/>
          </w:tcPr>
          <w:p w14:paraId="5B6A70B7" w14:textId="77777777" w:rsidR="00E03DE1" w:rsidRPr="0024514C" w:rsidRDefault="00E03DE1" w:rsidP="0024514C">
            <w:pPr>
              <w:jc w:val="center"/>
              <w:rPr>
                <w:b/>
              </w:rPr>
            </w:pPr>
          </w:p>
        </w:tc>
      </w:tr>
    </w:tbl>
    <w:p w14:paraId="5E6ED8D0" w14:textId="77777777" w:rsidR="00E03DE1" w:rsidRPr="0024514C" w:rsidRDefault="00E03DE1" w:rsidP="0024514C">
      <w:pPr>
        <w:jc w:val="center"/>
        <w:rPr>
          <w:b/>
          <w:vanish/>
        </w:rPr>
      </w:pPr>
    </w:p>
    <w:tbl>
      <w:tblPr>
        <w:tblW w:w="5000" w:type="pct"/>
        <w:tblCellSpacing w:w="0" w:type="dxa"/>
        <w:tblCellMar>
          <w:left w:w="0" w:type="dxa"/>
          <w:right w:w="0" w:type="dxa"/>
        </w:tblCellMar>
        <w:tblLook w:val="0000" w:firstRow="0" w:lastRow="0" w:firstColumn="0" w:lastColumn="0" w:noHBand="0" w:noVBand="0"/>
      </w:tblPr>
      <w:tblGrid>
        <w:gridCol w:w="8634"/>
        <w:gridCol w:w="6"/>
      </w:tblGrid>
      <w:tr w:rsidR="00E03DE1" w:rsidRPr="0024514C" w14:paraId="5D10C5BE" w14:textId="77777777">
        <w:trPr>
          <w:tblCellSpacing w:w="0" w:type="dxa"/>
        </w:trPr>
        <w:tc>
          <w:tcPr>
            <w:tcW w:w="0" w:type="auto"/>
            <w:gridSpan w:val="2"/>
            <w:vAlign w:val="center"/>
          </w:tcPr>
          <w:tbl>
            <w:tblPr>
              <w:tblW w:w="5000" w:type="pct"/>
              <w:tblCellMar>
                <w:left w:w="0" w:type="dxa"/>
                <w:bottom w:w="20" w:type="dxa"/>
                <w:right w:w="0" w:type="dxa"/>
              </w:tblCellMar>
              <w:tblLook w:val="0000" w:firstRow="0" w:lastRow="0" w:firstColumn="0" w:lastColumn="0" w:noHBand="0" w:noVBand="0"/>
            </w:tblPr>
            <w:tblGrid>
              <w:gridCol w:w="7344"/>
              <w:gridCol w:w="1296"/>
            </w:tblGrid>
            <w:tr w:rsidR="00E03DE1" w:rsidRPr="0024514C" w14:paraId="27EFAC38" w14:textId="77777777">
              <w:trPr>
                <w:trHeight w:val="390"/>
              </w:trPr>
              <w:tc>
                <w:tcPr>
                  <w:tcW w:w="5000" w:type="pct"/>
                  <w:gridSpan w:val="2"/>
                  <w:vAlign w:val="center"/>
                </w:tcPr>
                <w:p w14:paraId="5D808EB5" w14:textId="77777777" w:rsidR="00E03DE1" w:rsidRPr="0024514C" w:rsidRDefault="00E03DE1" w:rsidP="0024514C">
                  <w:pPr>
                    <w:jc w:val="center"/>
                    <w:rPr>
                      <w:b/>
                    </w:rPr>
                  </w:pPr>
                  <w:r w:rsidRPr="0024514C">
                    <w:rPr>
                      <w:b/>
                    </w:rPr>
                    <w:t>CONTENTS</w:t>
                  </w:r>
                </w:p>
              </w:tc>
            </w:tr>
            <w:tr w:rsidR="00E03DE1" w:rsidRPr="0024514C" w14:paraId="2C317707" w14:textId="77777777">
              <w:trPr>
                <w:trHeight w:val="390"/>
              </w:trPr>
              <w:tc>
                <w:tcPr>
                  <w:tcW w:w="4250" w:type="pct"/>
                  <w:vAlign w:val="center"/>
                </w:tcPr>
                <w:p w14:paraId="30AE9A7D" w14:textId="77777777" w:rsidR="00E03DE1" w:rsidRPr="0024514C" w:rsidRDefault="00E03DE1" w:rsidP="0024514C">
                  <w:pPr>
                    <w:jc w:val="center"/>
                    <w:rPr>
                      <w:b/>
                    </w:rPr>
                  </w:pPr>
                </w:p>
              </w:tc>
              <w:tc>
                <w:tcPr>
                  <w:tcW w:w="750" w:type="pct"/>
                  <w:vAlign w:val="center"/>
                </w:tcPr>
                <w:p w14:paraId="35698574" w14:textId="77777777" w:rsidR="00E03DE1" w:rsidRPr="0024514C" w:rsidRDefault="00E03DE1" w:rsidP="0024514C">
                  <w:pPr>
                    <w:jc w:val="center"/>
                    <w:rPr>
                      <w:b/>
                    </w:rPr>
                  </w:pPr>
                </w:p>
              </w:tc>
            </w:tr>
            <w:tr w:rsidR="00E03DE1" w:rsidRPr="0024514C" w14:paraId="19D24919" w14:textId="77777777">
              <w:trPr>
                <w:trHeight w:val="390"/>
              </w:trPr>
              <w:tc>
                <w:tcPr>
                  <w:tcW w:w="4250" w:type="pct"/>
                  <w:vAlign w:val="center"/>
                </w:tcPr>
                <w:p w14:paraId="00B010C1" w14:textId="77777777" w:rsidR="00E03DE1" w:rsidRPr="0024514C" w:rsidRDefault="00E03DE1" w:rsidP="0024514C">
                  <w:pPr>
                    <w:jc w:val="center"/>
                    <w:rPr>
                      <w:b/>
                    </w:rPr>
                  </w:pPr>
                </w:p>
              </w:tc>
              <w:tc>
                <w:tcPr>
                  <w:tcW w:w="750" w:type="pct"/>
                  <w:vAlign w:val="center"/>
                </w:tcPr>
                <w:p w14:paraId="7D7F5AFB" w14:textId="77777777" w:rsidR="00E03DE1" w:rsidRPr="0024514C" w:rsidRDefault="00E03DE1" w:rsidP="0024514C">
                  <w:pPr>
                    <w:jc w:val="center"/>
                    <w:rPr>
                      <w:b/>
                    </w:rPr>
                  </w:pPr>
                </w:p>
              </w:tc>
            </w:tr>
          </w:tbl>
          <w:p w14:paraId="334AF11D" w14:textId="77777777" w:rsidR="00E03DE1" w:rsidRPr="0024514C" w:rsidRDefault="00E03DE1" w:rsidP="0024514C">
            <w:pPr>
              <w:jc w:val="center"/>
              <w:rPr>
                <w:b/>
              </w:rPr>
            </w:pPr>
          </w:p>
        </w:tc>
      </w:tr>
      <w:tr w:rsidR="00E03DE1" w14:paraId="4736AFA4" w14:textId="77777777">
        <w:trPr>
          <w:tblCellSpacing w:w="0" w:type="dxa"/>
        </w:trPr>
        <w:tc>
          <w:tcPr>
            <w:tcW w:w="0" w:type="auto"/>
            <w:vAlign w:val="center"/>
          </w:tcPr>
          <w:tbl>
            <w:tblPr>
              <w:tblW w:w="5000" w:type="pct"/>
              <w:jc w:val="center"/>
              <w:tblCellMar>
                <w:top w:w="10" w:type="dxa"/>
                <w:left w:w="10" w:type="dxa"/>
                <w:bottom w:w="10" w:type="dxa"/>
                <w:right w:w="10" w:type="dxa"/>
              </w:tblCellMar>
              <w:tblLook w:val="0000" w:firstRow="0" w:lastRow="0" w:firstColumn="0" w:lastColumn="0" w:noHBand="0" w:noVBand="0"/>
            </w:tblPr>
            <w:tblGrid>
              <w:gridCol w:w="8634"/>
            </w:tblGrid>
            <w:tr w:rsidR="002B799F" w:rsidRPr="002B799F" w14:paraId="0B45D7F5" w14:textId="77777777">
              <w:trPr>
                <w:jc w:val="center"/>
              </w:trPr>
              <w:tc>
                <w:tcPr>
                  <w:tcW w:w="0" w:type="auto"/>
                  <w:tcBorders>
                    <w:top w:val="nil"/>
                    <w:left w:val="nil"/>
                    <w:bottom w:val="nil"/>
                    <w:right w:val="nil"/>
                  </w:tcBorders>
                  <w:vAlign w:val="center"/>
                </w:tcPr>
                <w:p w14:paraId="677EEC8D" w14:textId="77777777" w:rsidR="00EE30FF" w:rsidRPr="002B799F" w:rsidRDefault="00EE30FF" w:rsidP="00EE30FF">
                  <w:pPr>
                    <w:spacing w:line="160" w:lineRule="atLeast"/>
                    <w:rPr>
                      <w:sz w:val="22"/>
                      <w:szCs w:val="22"/>
                    </w:rPr>
                  </w:pPr>
                  <w:r w:rsidRPr="002B799F">
                    <w:rPr>
                      <w:sz w:val="22"/>
                      <w:szCs w:val="22"/>
                    </w:rPr>
                    <w:t>Data Sheet</w:t>
                  </w:r>
                </w:p>
              </w:tc>
            </w:tr>
            <w:tr w:rsidR="002B799F" w:rsidRPr="002B799F" w14:paraId="2767AE70" w14:textId="77777777">
              <w:trPr>
                <w:jc w:val="center"/>
              </w:trPr>
              <w:tc>
                <w:tcPr>
                  <w:tcW w:w="0" w:type="auto"/>
                  <w:tcBorders>
                    <w:top w:val="nil"/>
                    <w:left w:val="nil"/>
                    <w:bottom w:val="nil"/>
                    <w:right w:val="nil"/>
                  </w:tcBorders>
                  <w:vAlign w:val="center"/>
                </w:tcPr>
                <w:p w14:paraId="117A99B7" w14:textId="77777777" w:rsidR="00EE30FF" w:rsidRPr="002B799F" w:rsidRDefault="00EE30FF" w:rsidP="00EE30FF">
                  <w:pPr>
                    <w:tabs>
                      <w:tab w:val="left" w:pos="380"/>
                    </w:tabs>
                    <w:spacing w:line="160" w:lineRule="atLeast"/>
                    <w:rPr>
                      <w:sz w:val="22"/>
                      <w:szCs w:val="22"/>
                    </w:rPr>
                  </w:pPr>
                  <w:r w:rsidRPr="002B799F">
                    <w:rPr>
                      <w:sz w:val="22"/>
                      <w:szCs w:val="22"/>
                    </w:rPr>
                    <w:tab/>
                    <w:t>A. Basic Information</w:t>
                  </w:r>
                </w:p>
              </w:tc>
            </w:tr>
            <w:tr w:rsidR="002B799F" w:rsidRPr="002B799F" w14:paraId="28B785C0" w14:textId="77777777">
              <w:trPr>
                <w:jc w:val="center"/>
              </w:trPr>
              <w:tc>
                <w:tcPr>
                  <w:tcW w:w="0" w:type="auto"/>
                  <w:tcBorders>
                    <w:top w:val="nil"/>
                    <w:left w:val="nil"/>
                    <w:bottom w:val="nil"/>
                    <w:right w:val="nil"/>
                  </w:tcBorders>
                  <w:vAlign w:val="center"/>
                </w:tcPr>
                <w:p w14:paraId="4F9BD7ED" w14:textId="77777777" w:rsidR="00EE30FF" w:rsidRPr="002B799F" w:rsidRDefault="00EE30FF" w:rsidP="00EE30FF">
                  <w:pPr>
                    <w:tabs>
                      <w:tab w:val="left" w:pos="380"/>
                    </w:tabs>
                    <w:spacing w:line="160" w:lineRule="atLeast"/>
                    <w:rPr>
                      <w:sz w:val="22"/>
                      <w:szCs w:val="22"/>
                    </w:rPr>
                  </w:pPr>
                  <w:r w:rsidRPr="002B799F">
                    <w:rPr>
                      <w:sz w:val="22"/>
                      <w:szCs w:val="22"/>
                    </w:rPr>
                    <w:tab/>
                    <w:t>B. Key Dates</w:t>
                  </w:r>
                </w:p>
              </w:tc>
            </w:tr>
            <w:tr w:rsidR="002B799F" w:rsidRPr="002B799F" w14:paraId="56446C9D" w14:textId="77777777">
              <w:trPr>
                <w:jc w:val="center"/>
              </w:trPr>
              <w:tc>
                <w:tcPr>
                  <w:tcW w:w="0" w:type="auto"/>
                  <w:tcBorders>
                    <w:top w:val="nil"/>
                    <w:left w:val="nil"/>
                    <w:bottom w:val="nil"/>
                    <w:right w:val="nil"/>
                  </w:tcBorders>
                  <w:vAlign w:val="center"/>
                </w:tcPr>
                <w:p w14:paraId="2392EABF" w14:textId="77777777" w:rsidR="00EE30FF" w:rsidRPr="002B799F" w:rsidRDefault="00EE30FF" w:rsidP="00EE30FF">
                  <w:pPr>
                    <w:tabs>
                      <w:tab w:val="left" w:pos="380"/>
                    </w:tabs>
                    <w:spacing w:line="160" w:lineRule="atLeast"/>
                    <w:rPr>
                      <w:sz w:val="22"/>
                      <w:szCs w:val="22"/>
                    </w:rPr>
                  </w:pPr>
                  <w:r w:rsidRPr="002B799F">
                    <w:rPr>
                      <w:sz w:val="22"/>
                      <w:szCs w:val="22"/>
                    </w:rPr>
                    <w:tab/>
                    <w:t>C. Ratings Summary</w:t>
                  </w:r>
                </w:p>
              </w:tc>
            </w:tr>
            <w:tr w:rsidR="002B799F" w:rsidRPr="002B799F" w14:paraId="333676BC" w14:textId="77777777">
              <w:trPr>
                <w:jc w:val="center"/>
              </w:trPr>
              <w:tc>
                <w:tcPr>
                  <w:tcW w:w="0" w:type="auto"/>
                  <w:tcBorders>
                    <w:top w:val="nil"/>
                    <w:left w:val="nil"/>
                    <w:bottom w:val="nil"/>
                    <w:right w:val="nil"/>
                  </w:tcBorders>
                  <w:vAlign w:val="center"/>
                </w:tcPr>
                <w:p w14:paraId="1A07AAF7" w14:textId="77777777" w:rsidR="00EE30FF" w:rsidRPr="002B799F" w:rsidRDefault="00EE30FF" w:rsidP="00EE30FF">
                  <w:pPr>
                    <w:tabs>
                      <w:tab w:val="left" w:pos="380"/>
                    </w:tabs>
                    <w:spacing w:line="160" w:lineRule="atLeast"/>
                    <w:rPr>
                      <w:sz w:val="22"/>
                      <w:szCs w:val="22"/>
                    </w:rPr>
                  </w:pPr>
                  <w:r w:rsidRPr="002B799F">
                    <w:rPr>
                      <w:sz w:val="22"/>
                      <w:szCs w:val="22"/>
                    </w:rPr>
                    <w:tab/>
                    <w:t>D. Sector and Theme Codes</w:t>
                  </w:r>
                </w:p>
              </w:tc>
            </w:tr>
            <w:tr w:rsidR="002B799F" w:rsidRPr="002B799F" w14:paraId="038D3219" w14:textId="77777777">
              <w:trPr>
                <w:jc w:val="center"/>
              </w:trPr>
              <w:tc>
                <w:tcPr>
                  <w:tcW w:w="0" w:type="auto"/>
                  <w:tcBorders>
                    <w:top w:val="nil"/>
                    <w:left w:val="nil"/>
                    <w:bottom w:val="nil"/>
                    <w:right w:val="nil"/>
                  </w:tcBorders>
                  <w:vAlign w:val="center"/>
                </w:tcPr>
                <w:p w14:paraId="4B75DC31" w14:textId="77777777" w:rsidR="00EE30FF" w:rsidRPr="002B799F" w:rsidRDefault="00EE30FF" w:rsidP="00EE30FF">
                  <w:pPr>
                    <w:tabs>
                      <w:tab w:val="left" w:pos="380"/>
                    </w:tabs>
                    <w:spacing w:line="160" w:lineRule="atLeast"/>
                    <w:rPr>
                      <w:sz w:val="22"/>
                      <w:szCs w:val="22"/>
                    </w:rPr>
                  </w:pPr>
                  <w:r w:rsidRPr="002B799F">
                    <w:rPr>
                      <w:sz w:val="22"/>
                      <w:szCs w:val="22"/>
                    </w:rPr>
                    <w:tab/>
                    <w:t>E. Bank Staff</w:t>
                  </w:r>
                </w:p>
              </w:tc>
            </w:tr>
            <w:tr w:rsidR="002B799F" w:rsidRPr="002B799F" w14:paraId="38F5D2CB" w14:textId="77777777">
              <w:trPr>
                <w:jc w:val="center"/>
              </w:trPr>
              <w:tc>
                <w:tcPr>
                  <w:tcW w:w="0" w:type="auto"/>
                  <w:tcBorders>
                    <w:top w:val="nil"/>
                    <w:left w:val="nil"/>
                    <w:bottom w:val="nil"/>
                    <w:right w:val="nil"/>
                  </w:tcBorders>
                  <w:vAlign w:val="center"/>
                </w:tcPr>
                <w:p w14:paraId="5AC7AAF1" w14:textId="77777777" w:rsidR="00EE30FF" w:rsidRPr="002B799F" w:rsidRDefault="00E71F52" w:rsidP="00EE30FF">
                  <w:pPr>
                    <w:tabs>
                      <w:tab w:val="left" w:pos="380"/>
                    </w:tabs>
                    <w:spacing w:line="160" w:lineRule="atLeast"/>
                    <w:rPr>
                      <w:sz w:val="22"/>
                      <w:szCs w:val="22"/>
                    </w:rPr>
                  </w:pPr>
                  <w:r w:rsidRPr="002B799F">
                    <w:rPr>
                      <w:rStyle w:val="Hyperlink"/>
                      <w:color w:val="auto"/>
                    </w:rPr>
                    <w:tab/>
                    <w:t>F. Ratings of Program Performance in ISRs</w:t>
                  </w:r>
                </w:p>
              </w:tc>
            </w:tr>
            <w:tr w:rsidR="002B799F" w:rsidRPr="002B799F" w14:paraId="457C2953" w14:textId="77777777">
              <w:trPr>
                <w:jc w:val="center"/>
              </w:trPr>
              <w:tc>
                <w:tcPr>
                  <w:tcW w:w="0" w:type="auto"/>
                  <w:tcBorders>
                    <w:top w:val="nil"/>
                    <w:left w:val="nil"/>
                    <w:bottom w:val="nil"/>
                    <w:right w:val="nil"/>
                  </w:tcBorders>
                  <w:vAlign w:val="center"/>
                </w:tcPr>
                <w:p w14:paraId="49A47729" w14:textId="77777777" w:rsidR="00EE30FF" w:rsidRPr="002B799F" w:rsidRDefault="00EE30FF" w:rsidP="00EE30FF">
                  <w:pPr>
                    <w:tabs>
                      <w:tab w:val="left" w:pos="350"/>
                    </w:tabs>
                    <w:spacing w:line="160" w:lineRule="atLeast"/>
                    <w:rPr>
                      <w:sz w:val="22"/>
                      <w:szCs w:val="22"/>
                    </w:rPr>
                  </w:pPr>
                </w:p>
              </w:tc>
            </w:tr>
            <w:tr w:rsidR="002B799F" w:rsidRPr="002B799F" w14:paraId="0405176F" w14:textId="77777777">
              <w:trPr>
                <w:jc w:val="center"/>
              </w:trPr>
              <w:tc>
                <w:tcPr>
                  <w:tcW w:w="0" w:type="auto"/>
                  <w:tcBorders>
                    <w:top w:val="nil"/>
                    <w:left w:val="nil"/>
                    <w:right w:val="nil"/>
                  </w:tcBorders>
                  <w:vAlign w:val="center"/>
                </w:tcPr>
                <w:p w14:paraId="474A2F4A" w14:textId="77777777" w:rsidR="00EE30FF" w:rsidRPr="002B799F" w:rsidRDefault="00EE30FF" w:rsidP="00EE30FF">
                  <w:pPr>
                    <w:spacing w:line="160" w:lineRule="atLeast"/>
                    <w:rPr>
                      <w:sz w:val="22"/>
                      <w:szCs w:val="22"/>
                    </w:rPr>
                  </w:pPr>
                </w:p>
              </w:tc>
            </w:tr>
          </w:tbl>
          <w:p w14:paraId="52609FDE" w14:textId="77777777" w:rsidR="00EE30FF" w:rsidRPr="002B799F" w:rsidRDefault="00EE30FF">
            <w:pPr>
              <w:pStyle w:val="TOC2"/>
              <w:tabs>
                <w:tab w:val="right" w:leader="dot" w:pos="8630"/>
              </w:tabs>
            </w:pPr>
          </w:p>
          <w:p w14:paraId="5FE1D75F" w14:textId="2F1E4134" w:rsidR="006522E2" w:rsidRPr="002B799F" w:rsidRDefault="006522E2">
            <w:pPr>
              <w:pStyle w:val="TOC2"/>
              <w:tabs>
                <w:tab w:val="right" w:leader="dot" w:pos="8630"/>
              </w:tabs>
              <w:rPr>
                <w:rFonts w:eastAsia="Times New Roman"/>
                <w:noProof/>
                <w:lang w:eastAsia="en-US"/>
              </w:rPr>
            </w:pPr>
            <w:r w:rsidRPr="002B799F">
              <w:rPr>
                <w:rStyle w:val="Hyperlink"/>
                <w:noProof/>
                <w:color w:val="auto"/>
              </w:rPr>
              <w:t>1. Context, Project Development Objectives, and Design</w:t>
            </w:r>
            <w:r w:rsidRPr="002B799F">
              <w:rPr>
                <w:noProof/>
                <w:webHidden/>
              </w:rPr>
              <w:tab/>
            </w:r>
            <w:r w:rsidR="002B799F" w:rsidRPr="002B799F">
              <w:rPr>
                <w:noProof/>
                <w:webHidden/>
              </w:rPr>
              <w:t>1</w:t>
            </w:r>
          </w:p>
          <w:p w14:paraId="76103B8A" w14:textId="29C23031" w:rsidR="006522E2" w:rsidRPr="002B799F" w:rsidRDefault="006522E2">
            <w:pPr>
              <w:pStyle w:val="TOC2"/>
              <w:tabs>
                <w:tab w:val="right" w:leader="dot" w:pos="8630"/>
              </w:tabs>
              <w:rPr>
                <w:rFonts w:eastAsia="Times New Roman"/>
                <w:noProof/>
                <w:lang w:eastAsia="en-US"/>
              </w:rPr>
            </w:pPr>
            <w:r w:rsidRPr="002B799F">
              <w:rPr>
                <w:rStyle w:val="Hyperlink"/>
                <w:noProof/>
                <w:color w:val="auto"/>
              </w:rPr>
              <w:t>2. Post-Approval Experience and Reasons for Cancellation</w:t>
            </w:r>
            <w:r w:rsidRPr="002B799F">
              <w:rPr>
                <w:noProof/>
                <w:webHidden/>
              </w:rPr>
              <w:tab/>
            </w:r>
            <w:r w:rsidR="00D255F5">
              <w:rPr>
                <w:noProof/>
                <w:webHidden/>
              </w:rPr>
              <w:t>5</w:t>
            </w:r>
          </w:p>
          <w:p w14:paraId="67C909C7" w14:textId="62509FCF" w:rsidR="006522E2" w:rsidRPr="002B799F" w:rsidRDefault="006522E2">
            <w:pPr>
              <w:pStyle w:val="TOC2"/>
              <w:tabs>
                <w:tab w:val="right" w:leader="dot" w:pos="8630"/>
              </w:tabs>
              <w:rPr>
                <w:rFonts w:eastAsia="Times New Roman"/>
                <w:noProof/>
                <w:lang w:eastAsia="en-US"/>
              </w:rPr>
            </w:pPr>
            <w:r w:rsidRPr="002B799F">
              <w:rPr>
                <w:rStyle w:val="Hyperlink"/>
                <w:noProof/>
                <w:color w:val="auto"/>
              </w:rPr>
              <w:t>3. Assessment of Bank Performance</w:t>
            </w:r>
            <w:r w:rsidRPr="002B799F">
              <w:rPr>
                <w:noProof/>
                <w:webHidden/>
              </w:rPr>
              <w:tab/>
            </w:r>
            <w:r w:rsidR="00D255F5">
              <w:rPr>
                <w:noProof/>
                <w:webHidden/>
              </w:rPr>
              <w:t>6</w:t>
            </w:r>
          </w:p>
          <w:p w14:paraId="2688FFD2" w14:textId="557A6349" w:rsidR="006522E2" w:rsidRPr="002B799F" w:rsidRDefault="006522E2">
            <w:pPr>
              <w:pStyle w:val="TOC2"/>
              <w:tabs>
                <w:tab w:val="right" w:leader="dot" w:pos="8630"/>
              </w:tabs>
              <w:rPr>
                <w:rFonts w:eastAsia="Times New Roman"/>
                <w:noProof/>
                <w:lang w:eastAsia="en-US"/>
              </w:rPr>
            </w:pPr>
            <w:r w:rsidRPr="002B799F">
              <w:rPr>
                <w:rStyle w:val="Hyperlink"/>
                <w:noProof/>
                <w:color w:val="auto"/>
              </w:rPr>
              <w:t>4. Assessment of Borrower Performance</w:t>
            </w:r>
            <w:r w:rsidRPr="002B799F">
              <w:rPr>
                <w:noProof/>
                <w:webHidden/>
              </w:rPr>
              <w:tab/>
            </w:r>
            <w:r w:rsidR="00D255F5">
              <w:rPr>
                <w:noProof/>
                <w:webHidden/>
              </w:rPr>
              <w:t>7</w:t>
            </w:r>
          </w:p>
          <w:p w14:paraId="70CADDAC" w14:textId="51CCA25E" w:rsidR="006522E2" w:rsidRPr="002B799F" w:rsidRDefault="006522E2">
            <w:pPr>
              <w:pStyle w:val="TOC2"/>
              <w:tabs>
                <w:tab w:val="right" w:leader="dot" w:pos="8630"/>
              </w:tabs>
              <w:rPr>
                <w:rFonts w:eastAsia="Times New Roman"/>
                <w:noProof/>
                <w:lang w:eastAsia="en-US"/>
              </w:rPr>
            </w:pPr>
            <w:r w:rsidRPr="002B799F">
              <w:rPr>
                <w:rStyle w:val="Hyperlink"/>
                <w:noProof/>
                <w:color w:val="auto"/>
              </w:rPr>
              <w:t>5. Lessons Learned</w:t>
            </w:r>
            <w:r w:rsidRPr="002B799F">
              <w:rPr>
                <w:noProof/>
                <w:webHidden/>
              </w:rPr>
              <w:tab/>
            </w:r>
            <w:r w:rsidR="00D255F5">
              <w:rPr>
                <w:noProof/>
                <w:webHidden/>
              </w:rPr>
              <w:t>7</w:t>
            </w:r>
          </w:p>
          <w:p w14:paraId="31A70D24" w14:textId="0F4C725C" w:rsidR="006522E2" w:rsidRPr="002B799F" w:rsidRDefault="006522E2">
            <w:pPr>
              <w:pStyle w:val="TOC2"/>
              <w:tabs>
                <w:tab w:val="right" w:leader="dot" w:pos="8630"/>
              </w:tabs>
              <w:rPr>
                <w:rFonts w:eastAsia="Times New Roman"/>
                <w:noProof/>
                <w:lang w:eastAsia="en-US"/>
              </w:rPr>
            </w:pPr>
            <w:r w:rsidRPr="002B799F">
              <w:rPr>
                <w:rStyle w:val="Hyperlink"/>
                <w:noProof/>
                <w:color w:val="auto"/>
              </w:rPr>
              <w:t>Annex 1. Bank Lending and Implementation Support/Supervision Processes</w:t>
            </w:r>
            <w:r w:rsidRPr="002B799F">
              <w:rPr>
                <w:noProof/>
                <w:webHidden/>
              </w:rPr>
              <w:tab/>
            </w:r>
            <w:r w:rsidR="00BE7554">
              <w:rPr>
                <w:noProof/>
                <w:webHidden/>
              </w:rPr>
              <w:t>8</w:t>
            </w:r>
          </w:p>
          <w:p w14:paraId="649BFF88" w14:textId="77777777" w:rsidR="002B799F" w:rsidRPr="002B799F" w:rsidRDefault="002B799F" w:rsidP="006522E2"/>
          <w:p w14:paraId="278D9DA7" w14:textId="7CA51823" w:rsidR="00E03DE1" w:rsidRPr="002B799F" w:rsidRDefault="006522E2" w:rsidP="006522E2">
            <w:r w:rsidRPr="002B799F">
              <w:t xml:space="preserve">   MAP</w:t>
            </w:r>
          </w:p>
          <w:p w14:paraId="7EE5CD08" w14:textId="77777777" w:rsidR="006522E2" w:rsidRDefault="006522E2" w:rsidP="006522E2"/>
        </w:tc>
        <w:tc>
          <w:tcPr>
            <w:tcW w:w="0" w:type="auto"/>
            <w:vAlign w:val="center"/>
          </w:tcPr>
          <w:p w14:paraId="50F7A30B" w14:textId="77777777" w:rsidR="00E03DE1" w:rsidRDefault="00E03DE1">
            <w:pPr>
              <w:rPr>
                <w:sz w:val="20"/>
                <w:szCs w:val="20"/>
              </w:rPr>
            </w:pPr>
          </w:p>
        </w:tc>
      </w:tr>
    </w:tbl>
    <w:p w14:paraId="17FD0DD5" w14:textId="77777777" w:rsidR="00A335F1" w:rsidRDefault="00A335F1">
      <w:pPr>
        <w:rPr>
          <w:vanish/>
        </w:rPr>
      </w:pPr>
    </w:p>
    <w:p w14:paraId="62086364" w14:textId="77777777" w:rsidR="00740FD3" w:rsidRDefault="00740FD3" w:rsidP="00740FD3">
      <w:bookmarkStart w:id="2" w:name="_IL6"/>
      <w:bookmarkStart w:id="3" w:name="_Toc156898581"/>
      <w:r>
        <w:br w:type="page"/>
      </w:r>
    </w:p>
    <w:p w14:paraId="76D9EA50" w14:textId="77777777" w:rsidR="00740FD3" w:rsidRDefault="00740FD3" w:rsidP="00740FD3"/>
    <w:p w14:paraId="20FEE9FD" w14:textId="77777777" w:rsidR="00740FD3" w:rsidRDefault="00740FD3" w:rsidP="00740FD3"/>
    <w:tbl>
      <w:tblPr>
        <w:tblW w:w="5000" w:type="pct"/>
        <w:tblLayout w:type="fixed"/>
        <w:tblCellMar>
          <w:top w:w="15" w:type="dxa"/>
          <w:left w:w="15" w:type="dxa"/>
          <w:bottom w:w="15" w:type="dxa"/>
          <w:right w:w="15" w:type="dxa"/>
        </w:tblCellMar>
        <w:tblLook w:val="0000" w:firstRow="0" w:lastRow="0" w:firstColumn="0" w:lastColumn="0" w:noHBand="0" w:noVBand="0"/>
      </w:tblPr>
      <w:tblGrid>
        <w:gridCol w:w="2155"/>
        <w:gridCol w:w="2157"/>
        <w:gridCol w:w="2156"/>
        <w:gridCol w:w="2156"/>
      </w:tblGrid>
      <w:tr w:rsidR="00DD473A" w14:paraId="1088E5BD" w14:textId="77777777" w:rsidTr="00DD473A">
        <w:tc>
          <w:tcPr>
            <w:tcW w:w="8670" w:type="dxa"/>
            <w:gridSpan w:val="4"/>
            <w:tcBorders>
              <w:top w:val="single" w:sz="6" w:space="0" w:color="B1B1B1"/>
              <w:left w:val="single" w:sz="6" w:space="0" w:color="B1B1B1"/>
              <w:bottom w:val="single" w:sz="6" w:space="0" w:color="B1B1B1"/>
              <w:right w:val="single" w:sz="6" w:space="0" w:color="B1B1B1"/>
            </w:tcBorders>
            <w:shd w:val="clear" w:color="auto" w:fill="CDCCCC"/>
            <w:vAlign w:val="center"/>
          </w:tcPr>
          <w:tbl>
            <w:tblPr>
              <w:tblW w:w="5000" w:type="pct"/>
              <w:tblLayout w:type="fixed"/>
              <w:tblCellMar>
                <w:top w:w="15" w:type="dxa"/>
                <w:left w:w="15" w:type="dxa"/>
                <w:bottom w:w="15" w:type="dxa"/>
                <w:right w:w="15" w:type="dxa"/>
              </w:tblCellMar>
              <w:tblLook w:val="0000" w:firstRow="0" w:lastRow="0" w:firstColumn="0" w:lastColumn="0" w:noHBand="0" w:noVBand="0"/>
            </w:tblPr>
            <w:tblGrid>
              <w:gridCol w:w="8594"/>
            </w:tblGrid>
            <w:tr w:rsidR="00DD473A" w14:paraId="2A47CF89" w14:textId="77777777" w:rsidTr="00DD473A">
              <w:tc>
                <w:tcPr>
                  <w:tcW w:w="8640" w:type="dxa"/>
                  <w:tcBorders>
                    <w:top w:val="nil"/>
                    <w:left w:val="nil"/>
                    <w:bottom w:val="nil"/>
                    <w:right w:val="nil"/>
                  </w:tcBorders>
                  <w:shd w:val="clear" w:color="auto" w:fill="CDCCCC"/>
                </w:tcPr>
                <w:tbl>
                  <w:tblPr>
                    <w:tblW w:w="5000" w:type="pct"/>
                    <w:tblLayout w:type="fixed"/>
                    <w:tblCellMar>
                      <w:top w:w="10" w:type="dxa"/>
                      <w:left w:w="10" w:type="dxa"/>
                      <w:bottom w:w="10" w:type="dxa"/>
                      <w:right w:w="10" w:type="dxa"/>
                    </w:tblCellMar>
                    <w:tblLook w:val="0000" w:firstRow="0" w:lastRow="0" w:firstColumn="0" w:lastColumn="0" w:noHBand="0" w:noVBand="0"/>
                  </w:tblPr>
                  <w:tblGrid>
                    <w:gridCol w:w="8564"/>
                  </w:tblGrid>
                  <w:tr w:rsidR="00DD473A" w14:paraId="3E183281" w14:textId="77777777" w:rsidTr="00DD473A">
                    <w:tc>
                      <w:tcPr>
                        <w:tcW w:w="8610" w:type="dxa"/>
                        <w:tcBorders>
                          <w:top w:val="nil"/>
                          <w:left w:val="nil"/>
                          <w:bottom w:val="nil"/>
                          <w:right w:val="nil"/>
                        </w:tcBorders>
                        <w:shd w:val="clear" w:color="auto" w:fill="CDCCCC"/>
                        <w:vAlign w:val="center"/>
                      </w:tcPr>
                      <w:p w14:paraId="17694F69" w14:textId="77777777" w:rsidR="00DD473A" w:rsidRDefault="00DD473A" w:rsidP="00DD473A">
                        <w:pPr>
                          <w:pStyle w:val="ICRTOC"/>
                        </w:pPr>
                        <w:bookmarkStart w:id="4" w:name="_IL1"/>
                        <w:r>
                          <w:rPr>
                            <w:rStyle w:val="Strong"/>
                          </w:rPr>
                          <w:t>A. Basic Information</w:t>
                        </w:r>
                        <w:bookmarkEnd w:id="4"/>
                        <w:r>
                          <w:t xml:space="preserve"> </w:t>
                        </w:r>
                      </w:p>
                    </w:tc>
                  </w:tr>
                </w:tbl>
                <w:p w14:paraId="41566404" w14:textId="77777777" w:rsidR="00DD473A" w:rsidRDefault="00DD473A" w:rsidP="00DD473A">
                  <w:pPr>
                    <w:pStyle w:val="Heading2"/>
                  </w:pPr>
                </w:p>
              </w:tc>
            </w:tr>
          </w:tbl>
          <w:p w14:paraId="1FF18BB2" w14:textId="77777777" w:rsidR="00DD473A" w:rsidRDefault="00DD473A" w:rsidP="00DD473A">
            <w:pPr>
              <w:pStyle w:val="Heading2"/>
            </w:pPr>
          </w:p>
        </w:tc>
      </w:tr>
      <w:tr w:rsidR="00DD473A" w14:paraId="4FD942DC" w14:textId="77777777" w:rsidTr="00DD473A">
        <w:tc>
          <w:tcPr>
            <w:tcW w:w="2165" w:type="dxa"/>
            <w:tcBorders>
              <w:top w:val="single" w:sz="6" w:space="0" w:color="B1B1B1"/>
              <w:left w:val="single" w:sz="6" w:space="0" w:color="B1B1B1"/>
              <w:bottom w:val="single" w:sz="6" w:space="0" w:color="B1B1B1"/>
              <w:right w:val="single" w:sz="6" w:space="0" w:color="B1B1B1"/>
            </w:tcBorders>
            <w:vAlign w:val="center"/>
          </w:tcPr>
          <w:p w14:paraId="6EE22E5E" w14:textId="77777777" w:rsidR="00DD473A" w:rsidRDefault="00DD473A" w:rsidP="00DD473A">
            <w:pPr>
              <w:spacing w:line="300" w:lineRule="atLeast"/>
              <w:rPr>
                <w:color w:val="000000"/>
                <w:sz w:val="22"/>
                <w:szCs w:val="22"/>
              </w:rPr>
            </w:pPr>
            <w:r>
              <w:rPr>
                <w:color w:val="000000"/>
                <w:sz w:val="22"/>
                <w:szCs w:val="22"/>
              </w:rPr>
              <w:t>Country:</w:t>
            </w:r>
          </w:p>
        </w:tc>
        <w:tc>
          <w:tcPr>
            <w:tcW w:w="2169" w:type="dxa"/>
            <w:tcBorders>
              <w:top w:val="single" w:sz="6" w:space="0" w:color="B1B1B1"/>
              <w:left w:val="single" w:sz="6" w:space="0" w:color="B1B1B1"/>
              <w:bottom w:val="single" w:sz="6" w:space="0" w:color="B1B1B1"/>
              <w:right w:val="single" w:sz="6" w:space="0" w:color="B1B1B1"/>
            </w:tcBorders>
            <w:vAlign w:val="center"/>
          </w:tcPr>
          <w:p w14:paraId="7619BA84" w14:textId="77777777" w:rsidR="00DD473A" w:rsidRDefault="00DD473A" w:rsidP="00DD473A">
            <w:pPr>
              <w:spacing w:line="300" w:lineRule="atLeast"/>
              <w:rPr>
                <w:color w:val="000000"/>
                <w:sz w:val="22"/>
                <w:szCs w:val="22"/>
              </w:rPr>
            </w:pPr>
            <w:bookmarkStart w:id="5" w:name="countr_fld"/>
            <w:r>
              <w:rPr>
                <w:color w:val="000000"/>
                <w:sz w:val="22"/>
                <w:szCs w:val="22"/>
              </w:rPr>
              <w:t>Tajikistan</w:t>
            </w:r>
            <w:bookmarkEnd w:id="5"/>
          </w:p>
        </w:tc>
        <w:tc>
          <w:tcPr>
            <w:tcW w:w="2168" w:type="dxa"/>
            <w:tcBorders>
              <w:top w:val="single" w:sz="6" w:space="0" w:color="B1B1B1"/>
              <w:left w:val="single" w:sz="6" w:space="0" w:color="B1B1B1"/>
              <w:bottom w:val="single" w:sz="6" w:space="0" w:color="B1B1B1"/>
              <w:right w:val="single" w:sz="6" w:space="0" w:color="B1B1B1"/>
            </w:tcBorders>
            <w:vAlign w:val="center"/>
          </w:tcPr>
          <w:p w14:paraId="54154939" w14:textId="77777777" w:rsidR="00DD473A" w:rsidRDefault="00DD473A" w:rsidP="00DD473A">
            <w:pPr>
              <w:spacing w:line="300" w:lineRule="atLeast"/>
              <w:rPr>
                <w:color w:val="000000"/>
                <w:sz w:val="22"/>
                <w:szCs w:val="22"/>
              </w:rPr>
            </w:pPr>
            <w:r>
              <w:rPr>
                <w:color w:val="000000"/>
                <w:sz w:val="22"/>
                <w:szCs w:val="22"/>
              </w:rPr>
              <w:t>Project Name:</w:t>
            </w:r>
          </w:p>
        </w:tc>
        <w:tc>
          <w:tcPr>
            <w:tcW w:w="2168" w:type="dxa"/>
            <w:tcBorders>
              <w:top w:val="single" w:sz="6" w:space="0" w:color="B1B1B1"/>
              <w:left w:val="single" w:sz="6" w:space="0" w:color="B1B1B1"/>
              <w:bottom w:val="single" w:sz="6" w:space="0" w:color="B1B1B1"/>
              <w:right w:val="single" w:sz="6" w:space="0" w:color="B1B1B1"/>
            </w:tcBorders>
            <w:vAlign w:val="center"/>
          </w:tcPr>
          <w:p w14:paraId="4FA6DF81" w14:textId="77777777" w:rsidR="00DD473A" w:rsidRDefault="00DD473A" w:rsidP="00DD473A">
            <w:pPr>
              <w:spacing w:line="300" w:lineRule="atLeast"/>
              <w:rPr>
                <w:color w:val="000000"/>
                <w:sz w:val="22"/>
                <w:szCs w:val="22"/>
              </w:rPr>
            </w:pPr>
            <w:bookmarkStart w:id="6" w:name="pronam_fld"/>
            <w:r>
              <w:rPr>
                <w:color w:val="000000"/>
                <w:sz w:val="22"/>
                <w:szCs w:val="22"/>
              </w:rPr>
              <w:t>Real Estate Registration Project</w:t>
            </w:r>
            <w:bookmarkEnd w:id="6"/>
          </w:p>
        </w:tc>
      </w:tr>
      <w:tr w:rsidR="00DD473A" w14:paraId="09C10239" w14:textId="77777777" w:rsidTr="00DD473A">
        <w:tc>
          <w:tcPr>
            <w:tcW w:w="2165" w:type="dxa"/>
            <w:tcBorders>
              <w:top w:val="single" w:sz="6" w:space="0" w:color="B1B1B1"/>
              <w:left w:val="single" w:sz="6" w:space="0" w:color="B1B1B1"/>
              <w:bottom w:val="single" w:sz="6" w:space="0" w:color="B1B1B1"/>
              <w:right w:val="single" w:sz="6" w:space="0" w:color="B1B1B1"/>
            </w:tcBorders>
            <w:vAlign w:val="center"/>
          </w:tcPr>
          <w:p w14:paraId="5CE6DA72" w14:textId="77777777" w:rsidR="00DD473A" w:rsidRDefault="00DD473A" w:rsidP="00DD473A">
            <w:pPr>
              <w:spacing w:line="300" w:lineRule="atLeast"/>
              <w:rPr>
                <w:color w:val="000000"/>
                <w:sz w:val="22"/>
                <w:szCs w:val="22"/>
              </w:rPr>
            </w:pPr>
            <w:r>
              <w:rPr>
                <w:color w:val="000000"/>
                <w:sz w:val="22"/>
                <w:szCs w:val="22"/>
              </w:rPr>
              <w:t>Project ID:</w:t>
            </w:r>
          </w:p>
        </w:tc>
        <w:tc>
          <w:tcPr>
            <w:tcW w:w="2169" w:type="dxa"/>
            <w:tcBorders>
              <w:top w:val="single" w:sz="6" w:space="0" w:color="B1B1B1"/>
              <w:left w:val="single" w:sz="6" w:space="0" w:color="B1B1B1"/>
              <w:bottom w:val="single" w:sz="6" w:space="0" w:color="B1B1B1"/>
              <w:right w:val="single" w:sz="6" w:space="0" w:color="B1B1B1"/>
            </w:tcBorders>
            <w:vAlign w:val="center"/>
          </w:tcPr>
          <w:p w14:paraId="1F57302B" w14:textId="77777777" w:rsidR="00DD473A" w:rsidRDefault="00DD473A" w:rsidP="00DD473A">
            <w:pPr>
              <w:spacing w:line="300" w:lineRule="atLeast"/>
              <w:rPr>
                <w:color w:val="000000"/>
                <w:sz w:val="22"/>
                <w:szCs w:val="22"/>
              </w:rPr>
            </w:pPr>
            <w:bookmarkStart w:id="7" w:name="projid_fld"/>
            <w:r>
              <w:rPr>
                <w:color w:val="000000"/>
                <w:sz w:val="22"/>
                <w:szCs w:val="22"/>
              </w:rPr>
              <w:t>P154561</w:t>
            </w:r>
            <w:bookmarkEnd w:id="7"/>
          </w:p>
        </w:tc>
        <w:tc>
          <w:tcPr>
            <w:tcW w:w="2168" w:type="dxa"/>
            <w:tcBorders>
              <w:top w:val="single" w:sz="6" w:space="0" w:color="B1B1B1"/>
              <w:left w:val="single" w:sz="6" w:space="0" w:color="B1B1B1"/>
              <w:bottom w:val="single" w:sz="6" w:space="0" w:color="B1B1B1"/>
              <w:right w:val="single" w:sz="6" w:space="0" w:color="B1B1B1"/>
            </w:tcBorders>
            <w:vAlign w:val="center"/>
          </w:tcPr>
          <w:p w14:paraId="6EDF928C" w14:textId="77777777" w:rsidR="00DD473A" w:rsidRDefault="00DD473A" w:rsidP="00DD473A">
            <w:pPr>
              <w:spacing w:line="300" w:lineRule="atLeast"/>
              <w:rPr>
                <w:color w:val="000000"/>
                <w:sz w:val="22"/>
                <w:szCs w:val="22"/>
              </w:rPr>
            </w:pPr>
            <w:r>
              <w:rPr>
                <w:color w:val="000000"/>
                <w:sz w:val="22"/>
                <w:szCs w:val="22"/>
              </w:rPr>
              <w:t>L/C/TF Number(s):</w:t>
            </w:r>
          </w:p>
        </w:tc>
        <w:tc>
          <w:tcPr>
            <w:tcW w:w="2168" w:type="dxa"/>
            <w:tcBorders>
              <w:top w:val="single" w:sz="6" w:space="0" w:color="B1B1B1"/>
              <w:left w:val="single" w:sz="6" w:space="0" w:color="B1B1B1"/>
              <w:bottom w:val="single" w:sz="6" w:space="0" w:color="B1B1B1"/>
              <w:right w:val="single" w:sz="6" w:space="0" w:color="B1B1B1"/>
            </w:tcBorders>
            <w:vAlign w:val="center"/>
          </w:tcPr>
          <w:p w14:paraId="1205F627" w14:textId="77777777" w:rsidR="00DD473A" w:rsidRDefault="00DD473A" w:rsidP="00DD473A">
            <w:pPr>
              <w:spacing w:line="300" w:lineRule="atLeast"/>
              <w:rPr>
                <w:color w:val="000000"/>
                <w:sz w:val="22"/>
                <w:szCs w:val="22"/>
              </w:rPr>
            </w:pPr>
            <w:bookmarkStart w:id="8" w:name="lctfnu_fld"/>
            <w:r>
              <w:rPr>
                <w:color w:val="000000"/>
                <w:sz w:val="22"/>
                <w:szCs w:val="22"/>
              </w:rPr>
              <w:t>IDA-57820</w:t>
            </w:r>
            <w:bookmarkEnd w:id="8"/>
          </w:p>
        </w:tc>
      </w:tr>
      <w:tr w:rsidR="00DD473A" w14:paraId="06B52813" w14:textId="77777777" w:rsidTr="00DD473A">
        <w:tc>
          <w:tcPr>
            <w:tcW w:w="2165" w:type="dxa"/>
            <w:tcBorders>
              <w:top w:val="single" w:sz="6" w:space="0" w:color="B1B1B1"/>
              <w:left w:val="single" w:sz="6" w:space="0" w:color="B1B1B1"/>
              <w:bottom w:val="single" w:sz="6" w:space="0" w:color="B1B1B1"/>
              <w:right w:val="single" w:sz="6" w:space="0" w:color="B1B1B1"/>
            </w:tcBorders>
            <w:vAlign w:val="center"/>
          </w:tcPr>
          <w:p w14:paraId="4C7F0632" w14:textId="77777777" w:rsidR="00DD473A" w:rsidRDefault="00DD473A" w:rsidP="00DD473A">
            <w:pPr>
              <w:spacing w:line="300" w:lineRule="atLeast"/>
              <w:rPr>
                <w:color w:val="000000"/>
                <w:sz w:val="22"/>
                <w:szCs w:val="22"/>
              </w:rPr>
            </w:pPr>
            <w:r>
              <w:rPr>
                <w:color w:val="000000"/>
                <w:sz w:val="22"/>
                <w:szCs w:val="22"/>
              </w:rPr>
              <w:t>NCO Date:</w:t>
            </w:r>
          </w:p>
        </w:tc>
        <w:tc>
          <w:tcPr>
            <w:tcW w:w="2169" w:type="dxa"/>
            <w:tcBorders>
              <w:top w:val="single" w:sz="6" w:space="0" w:color="B1B1B1"/>
              <w:left w:val="single" w:sz="6" w:space="0" w:color="B1B1B1"/>
              <w:bottom w:val="single" w:sz="6" w:space="0" w:color="B1B1B1"/>
              <w:right w:val="single" w:sz="6" w:space="0" w:color="B1B1B1"/>
            </w:tcBorders>
            <w:vAlign w:val="center"/>
          </w:tcPr>
          <w:p w14:paraId="401D7C90" w14:textId="77777777" w:rsidR="00DD473A" w:rsidRDefault="00DD473A" w:rsidP="00DD473A">
            <w:pPr>
              <w:spacing w:line="300" w:lineRule="atLeast"/>
              <w:rPr>
                <w:color w:val="000000"/>
                <w:sz w:val="22"/>
                <w:szCs w:val="22"/>
              </w:rPr>
            </w:pPr>
            <w:bookmarkStart w:id="9" w:name="icrdat_fld"/>
            <w:r>
              <w:rPr>
                <w:color w:val="000000"/>
                <w:sz w:val="22"/>
                <w:szCs w:val="22"/>
              </w:rPr>
              <w:t>03/14/2017</w:t>
            </w:r>
            <w:bookmarkEnd w:id="9"/>
          </w:p>
        </w:tc>
        <w:tc>
          <w:tcPr>
            <w:tcW w:w="2168" w:type="dxa"/>
            <w:tcBorders>
              <w:top w:val="single" w:sz="6" w:space="0" w:color="B1B1B1"/>
              <w:left w:val="single" w:sz="6" w:space="0" w:color="B1B1B1"/>
              <w:bottom w:val="single" w:sz="6" w:space="0" w:color="B1B1B1"/>
              <w:right w:val="single" w:sz="6" w:space="0" w:color="B1B1B1"/>
            </w:tcBorders>
            <w:vAlign w:val="center"/>
          </w:tcPr>
          <w:p w14:paraId="46407655" w14:textId="77777777" w:rsidR="00DD473A" w:rsidRDefault="00DD473A" w:rsidP="00DD473A">
            <w:pPr>
              <w:spacing w:line="300" w:lineRule="atLeast"/>
              <w:rPr>
                <w:color w:val="000000"/>
                <w:sz w:val="22"/>
                <w:szCs w:val="22"/>
              </w:rPr>
            </w:pPr>
          </w:p>
        </w:tc>
        <w:tc>
          <w:tcPr>
            <w:tcW w:w="2168" w:type="dxa"/>
            <w:tcBorders>
              <w:top w:val="single" w:sz="6" w:space="0" w:color="B1B1B1"/>
              <w:left w:val="single" w:sz="6" w:space="0" w:color="B1B1B1"/>
              <w:bottom w:val="single" w:sz="6" w:space="0" w:color="B1B1B1"/>
              <w:right w:val="single" w:sz="6" w:space="0" w:color="B1B1B1"/>
            </w:tcBorders>
            <w:vAlign w:val="center"/>
          </w:tcPr>
          <w:p w14:paraId="32086270" w14:textId="77777777" w:rsidR="00DD473A" w:rsidRDefault="00DD473A" w:rsidP="00DD473A">
            <w:pPr>
              <w:spacing w:line="300" w:lineRule="atLeast"/>
              <w:rPr>
                <w:color w:val="000000"/>
                <w:sz w:val="22"/>
                <w:szCs w:val="22"/>
              </w:rPr>
            </w:pPr>
            <w:bookmarkStart w:id="10" w:name="icrtyp_fld"/>
            <w:bookmarkEnd w:id="10"/>
          </w:p>
        </w:tc>
      </w:tr>
      <w:tr w:rsidR="00DD473A" w14:paraId="614CC886" w14:textId="77777777" w:rsidTr="00DD473A">
        <w:tc>
          <w:tcPr>
            <w:tcW w:w="2165" w:type="dxa"/>
            <w:tcBorders>
              <w:top w:val="single" w:sz="6" w:space="0" w:color="B1B1B1"/>
              <w:left w:val="single" w:sz="6" w:space="0" w:color="B1B1B1"/>
              <w:bottom w:val="single" w:sz="6" w:space="0" w:color="B1B1B1"/>
              <w:right w:val="single" w:sz="6" w:space="0" w:color="B1B1B1"/>
            </w:tcBorders>
            <w:vAlign w:val="center"/>
          </w:tcPr>
          <w:p w14:paraId="6ECF1C05" w14:textId="77777777" w:rsidR="00DD473A" w:rsidRDefault="00DD473A" w:rsidP="00DD473A">
            <w:pPr>
              <w:spacing w:line="300" w:lineRule="atLeast"/>
              <w:rPr>
                <w:color w:val="000000"/>
                <w:sz w:val="22"/>
                <w:szCs w:val="22"/>
              </w:rPr>
            </w:pPr>
            <w:r>
              <w:rPr>
                <w:color w:val="000000"/>
                <w:sz w:val="22"/>
                <w:szCs w:val="22"/>
              </w:rPr>
              <w:t>Lending Instrument:</w:t>
            </w:r>
          </w:p>
        </w:tc>
        <w:tc>
          <w:tcPr>
            <w:tcW w:w="2169" w:type="dxa"/>
            <w:tcBorders>
              <w:top w:val="single" w:sz="6" w:space="0" w:color="B1B1B1"/>
              <w:left w:val="single" w:sz="6" w:space="0" w:color="B1B1B1"/>
              <w:bottom w:val="single" w:sz="6" w:space="0" w:color="B1B1B1"/>
              <w:right w:val="single" w:sz="6" w:space="0" w:color="B1B1B1"/>
            </w:tcBorders>
            <w:vAlign w:val="center"/>
          </w:tcPr>
          <w:p w14:paraId="1A72D1B9" w14:textId="77777777" w:rsidR="00DD473A" w:rsidRDefault="00DD473A" w:rsidP="00DD473A">
            <w:pPr>
              <w:spacing w:line="300" w:lineRule="atLeast"/>
              <w:rPr>
                <w:color w:val="000000"/>
                <w:sz w:val="22"/>
                <w:szCs w:val="22"/>
              </w:rPr>
            </w:pPr>
            <w:bookmarkStart w:id="11" w:name="lenins_fld"/>
            <w:r>
              <w:rPr>
                <w:color w:val="000000"/>
                <w:sz w:val="22"/>
                <w:szCs w:val="22"/>
              </w:rPr>
              <w:t>IPF</w:t>
            </w:r>
            <w:bookmarkEnd w:id="11"/>
          </w:p>
        </w:tc>
        <w:tc>
          <w:tcPr>
            <w:tcW w:w="2168" w:type="dxa"/>
            <w:tcBorders>
              <w:top w:val="single" w:sz="6" w:space="0" w:color="B1B1B1"/>
              <w:left w:val="single" w:sz="6" w:space="0" w:color="B1B1B1"/>
              <w:bottom w:val="single" w:sz="6" w:space="0" w:color="B1B1B1"/>
              <w:right w:val="single" w:sz="6" w:space="0" w:color="B1B1B1"/>
            </w:tcBorders>
            <w:vAlign w:val="center"/>
          </w:tcPr>
          <w:p w14:paraId="41E45AE2" w14:textId="77777777" w:rsidR="00DD473A" w:rsidRDefault="00DD473A" w:rsidP="00DD473A">
            <w:pPr>
              <w:spacing w:line="300" w:lineRule="atLeast"/>
              <w:rPr>
                <w:color w:val="000000"/>
                <w:sz w:val="22"/>
                <w:szCs w:val="22"/>
              </w:rPr>
            </w:pPr>
            <w:r>
              <w:rPr>
                <w:color w:val="000000"/>
                <w:sz w:val="22"/>
                <w:szCs w:val="22"/>
              </w:rPr>
              <w:t>Borrower:</w:t>
            </w:r>
          </w:p>
        </w:tc>
        <w:tc>
          <w:tcPr>
            <w:tcW w:w="2168" w:type="dxa"/>
            <w:tcBorders>
              <w:top w:val="single" w:sz="6" w:space="0" w:color="B1B1B1"/>
              <w:left w:val="single" w:sz="6" w:space="0" w:color="B1B1B1"/>
              <w:bottom w:val="single" w:sz="6" w:space="0" w:color="B1B1B1"/>
              <w:right w:val="single" w:sz="6" w:space="0" w:color="B1B1B1"/>
            </w:tcBorders>
            <w:vAlign w:val="center"/>
          </w:tcPr>
          <w:p w14:paraId="707F5E2D" w14:textId="77777777" w:rsidR="00DD473A" w:rsidRDefault="00DD473A" w:rsidP="00DD473A">
            <w:pPr>
              <w:spacing w:line="300" w:lineRule="atLeast"/>
              <w:rPr>
                <w:color w:val="000000"/>
                <w:sz w:val="22"/>
                <w:szCs w:val="22"/>
              </w:rPr>
            </w:pPr>
            <w:bookmarkStart w:id="12" w:name="borrow_fld"/>
            <w:r>
              <w:rPr>
                <w:color w:val="000000"/>
                <w:sz w:val="22"/>
                <w:szCs w:val="22"/>
              </w:rPr>
              <w:t>REPUBLIC OF TAJIKISTAN</w:t>
            </w:r>
            <w:bookmarkEnd w:id="12"/>
          </w:p>
        </w:tc>
      </w:tr>
      <w:tr w:rsidR="00DD473A" w14:paraId="4F742FE6" w14:textId="77777777" w:rsidTr="00DD473A">
        <w:tc>
          <w:tcPr>
            <w:tcW w:w="2165" w:type="dxa"/>
            <w:tcBorders>
              <w:top w:val="single" w:sz="6" w:space="0" w:color="B1B1B1"/>
              <w:left w:val="single" w:sz="6" w:space="0" w:color="B1B1B1"/>
              <w:bottom w:val="single" w:sz="6" w:space="0" w:color="B1B1B1"/>
              <w:right w:val="single" w:sz="6" w:space="0" w:color="B1B1B1"/>
            </w:tcBorders>
            <w:vAlign w:val="center"/>
          </w:tcPr>
          <w:p w14:paraId="59B5B756" w14:textId="77777777" w:rsidR="00DD473A" w:rsidRDefault="00DD473A" w:rsidP="00DD473A">
            <w:pPr>
              <w:spacing w:line="300" w:lineRule="atLeast"/>
              <w:rPr>
                <w:color w:val="000000"/>
                <w:sz w:val="22"/>
                <w:szCs w:val="22"/>
              </w:rPr>
            </w:pPr>
            <w:r>
              <w:rPr>
                <w:color w:val="000000"/>
                <w:sz w:val="22"/>
                <w:szCs w:val="22"/>
              </w:rPr>
              <w:t>Original Total Commitment:</w:t>
            </w:r>
          </w:p>
        </w:tc>
        <w:tc>
          <w:tcPr>
            <w:tcW w:w="2169" w:type="dxa"/>
            <w:tcBorders>
              <w:top w:val="single" w:sz="6" w:space="0" w:color="B1B1B1"/>
              <w:left w:val="single" w:sz="6" w:space="0" w:color="B1B1B1"/>
              <w:bottom w:val="single" w:sz="6" w:space="0" w:color="B1B1B1"/>
              <w:right w:val="single" w:sz="6" w:space="0" w:color="B1B1B1"/>
            </w:tcBorders>
            <w:vAlign w:val="center"/>
          </w:tcPr>
          <w:p w14:paraId="2B474558" w14:textId="77777777" w:rsidR="00DD473A" w:rsidRDefault="00DD473A" w:rsidP="00DD473A">
            <w:pPr>
              <w:spacing w:line="300" w:lineRule="atLeast"/>
              <w:rPr>
                <w:color w:val="000000"/>
                <w:sz w:val="22"/>
                <w:szCs w:val="22"/>
              </w:rPr>
            </w:pPr>
            <w:bookmarkStart w:id="13" w:name="oritot_fld"/>
            <w:r>
              <w:rPr>
                <w:color w:val="000000"/>
                <w:sz w:val="22"/>
                <w:szCs w:val="22"/>
              </w:rPr>
              <w:t>XDR 7.30M</w:t>
            </w:r>
            <w:bookmarkEnd w:id="13"/>
          </w:p>
        </w:tc>
        <w:tc>
          <w:tcPr>
            <w:tcW w:w="2168" w:type="dxa"/>
            <w:tcBorders>
              <w:top w:val="single" w:sz="6" w:space="0" w:color="B1B1B1"/>
              <w:left w:val="single" w:sz="6" w:space="0" w:color="B1B1B1"/>
              <w:bottom w:val="single" w:sz="6" w:space="0" w:color="B1B1B1"/>
              <w:right w:val="single" w:sz="6" w:space="0" w:color="B1B1B1"/>
            </w:tcBorders>
            <w:vAlign w:val="center"/>
          </w:tcPr>
          <w:p w14:paraId="683C1868" w14:textId="77777777" w:rsidR="00DD473A" w:rsidRDefault="00DD473A" w:rsidP="00DD473A">
            <w:pPr>
              <w:spacing w:line="300" w:lineRule="atLeast"/>
              <w:rPr>
                <w:color w:val="000000"/>
                <w:sz w:val="22"/>
                <w:szCs w:val="22"/>
              </w:rPr>
            </w:pPr>
            <w:r>
              <w:rPr>
                <w:color w:val="000000"/>
                <w:sz w:val="22"/>
                <w:szCs w:val="22"/>
              </w:rPr>
              <w:t>Disbursed Amount:</w:t>
            </w:r>
          </w:p>
        </w:tc>
        <w:tc>
          <w:tcPr>
            <w:tcW w:w="2168" w:type="dxa"/>
            <w:tcBorders>
              <w:top w:val="single" w:sz="6" w:space="0" w:color="B1B1B1"/>
              <w:left w:val="single" w:sz="6" w:space="0" w:color="B1B1B1"/>
              <w:bottom w:val="single" w:sz="6" w:space="0" w:color="B1B1B1"/>
              <w:right w:val="single" w:sz="6" w:space="0" w:color="B1B1B1"/>
            </w:tcBorders>
            <w:vAlign w:val="center"/>
          </w:tcPr>
          <w:p w14:paraId="64814D02" w14:textId="77777777" w:rsidR="00DD473A" w:rsidRDefault="00DD473A" w:rsidP="00DD473A">
            <w:pPr>
              <w:spacing w:line="300" w:lineRule="atLeast"/>
              <w:rPr>
                <w:color w:val="000000"/>
                <w:sz w:val="22"/>
                <w:szCs w:val="22"/>
              </w:rPr>
            </w:pPr>
            <w:bookmarkStart w:id="14" w:name="disamo_fld"/>
            <w:r>
              <w:rPr>
                <w:color w:val="000000"/>
                <w:sz w:val="22"/>
                <w:szCs w:val="22"/>
              </w:rPr>
              <w:t>XDR 0.00M</w:t>
            </w:r>
            <w:bookmarkEnd w:id="14"/>
          </w:p>
        </w:tc>
      </w:tr>
      <w:tr w:rsidR="00DD473A" w14:paraId="1FAEA3D9" w14:textId="77777777" w:rsidTr="00DD473A">
        <w:tc>
          <w:tcPr>
            <w:tcW w:w="2165" w:type="dxa"/>
            <w:tcBorders>
              <w:top w:val="single" w:sz="6" w:space="0" w:color="B1B1B1"/>
              <w:left w:val="single" w:sz="6" w:space="0" w:color="B1B1B1"/>
              <w:bottom w:val="single" w:sz="6" w:space="0" w:color="B1B1B1"/>
              <w:right w:val="single" w:sz="6" w:space="0" w:color="B1B1B1"/>
            </w:tcBorders>
            <w:vAlign w:val="center"/>
          </w:tcPr>
          <w:p w14:paraId="375E7328" w14:textId="77777777" w:rsidR="00DD473A" w:rsidRDefault="00DD473A" w:rsidP="00DD473A">
            <w:pPr>
              <w:spacing w:line="300" w:lineRule="atLeast"/>
              <w:rPr>
                <w:color w:val="000000"/>
                <w:sz w:val="22"/>
                <w:szCs w:val="22"/>
              </w:rPr>
            </w:pPr>
            <w:bookmarkStart w:id="15" w:name="revamt_fld_lbl"/>
            <w:r>
              <w:rPr>
                <w:color w:val="000000"/>
                <w:sz w:val="22"/>
                <w:szCs w:val="22"/>
              </w:rPr>
              <w:t>Revised Amount:</w:t>
            </w:r>
            <w:bookmarkEnd w:id="15"/>
          </w:p>
        </w:tc>
        <w:tc>
          <w:tcPr>
            <w:tcW w:w="2169" w:type="dxa"/>
            <w:tcBorders>
              <w:top w:val="single" w:sz="6" w:space="0" w:color="B1B1B1"/>
              <w:left w:val="single" w:sz="6" w:space="0" w:color="B1B1B1"/>
              <w:bottom w:val="single" w:sz="6" w:space="0" w:color="B1B1B1"/>
              <w:right w:val="single" w:sz="6" w:space="0" w:color="B1B1B1"/>
            </w:tcBorders>
            <w:vAlign w:val="center"/>
          </w:tcPr>
          <w:p w14:paraId="3D748EE3" w14:textId="77777777" w:rsidR="00DD473A" w:rsidRDefault="00DD473A" w:rsidP="00DD473A">
            <w:pPr>
              <w:spacing w:line="300" w:lineRule="atLeast"/>
              <w:rPr>
                <w:color w:val="000000"/>
                <w:sz w:val="22"/>
                <w:szCs w:val="22"/>
              </w:rPr>
            </w:pPr>
            <w:bookmarkStart w:id="16" w:name="revamt_fld"/>
            <w:r>
              <w:rPr>
                <w:color w:val="000000"/>
                <w:sz w:val="22"/>
                <w:szCs w:val="22"/>
              </w:rPr>
              <w:t>XDR 0.00M</w:t>
            </w:r>
            <w:bookmarkEnd w:id="16"/>
          </w:p>
        </w:tc>
        <w:tc>
          <w:tcPr>
            <w:tcW w:w="2168" w:type="dxa"/>
            <w:tcBorders>
              <w:top w:val="single" w:sz="6" w:space="0" w:color="B1B1B1"/>
              <w:left w:val="single" w:sz="6" w:space="0" w:color="B1B1B1"/>
              <w:bottom w:val="single" w:sz="6" w:space="0" w:color="B1B1B1"/>
              <w:right w:val="single" w:sz="6" w:space="0" w:color="B1B1B1"/>
            </w:tcBorders>
            <w:vAlign w:val="center"/>
          </w:tcPr>
          <w:p w14:paraId="3B9A6DA3" w14:textId="77777777" w:rsidR="00DD473A" w:rsidRDefault="00DD473A" w:rsidP="00DD473A">
            <w:pPr>
              <w:spacing w:line="300" w:lineRule="atLeast"/>
              <w:rPr>
                <w:color w:val="000000"/>
                <w:sz w:val="22"/>
                <w:szCs w:val="22"/>
              </w:rPr>
            </w:pPr>
          </w:p>
        </w:tc>
        <w:tc>
          <w:tcPr>
            <w:tcW w:w="2168" w:type="dxa"/>
            <w:tcBorders>
              <w:top w:val="single" w:sz="6" w:space="0" w:color="B1B1B1"/>
              <w:left w:val="single" w:sz="6" w:space="0" w:color="B1B1B1"/>
              <w:bottom w:val="single" w:sz="6" w:space="0" w:color="B1B1B1"/>
              <w:right w:val="single" w:sz="6" w:space="0" w:color="B1B1B1"/>
            </w:tcBorders>
            <w:vAlign w:val="center"/>
          </w:tcPr>
          <w:p w14:paraId="2E6CD185" w14:textId="77777777" w:rsidR="00DD473A" w:rsidRDefault="00DD473A" w:rsidP="00DD473A">
            <w:pPr>
              <w:spacing w:line="300" w:lineRule="atLeast"/>
              <w:rPr>
                <w:color w:val="000000"/>
                <w:sz w:val="22"/>
                <w:szCs w:val="22"/>
              </w:rPr>
            </w:pPr>
          </w:p>
        </w:tc>
      </w:tr>
      <w:tr w:rsidR="00DD473A" w14:paraId="2839A68B" w14:textId="77777777" w:rsidTr="00DD473A">
        <w:tc>
          <w:tcPr>
            <w:tcW w:w="4334" w:type="dxa"/>
            <w:gridSpan w:val="2"/>
            <w:tcBorders>
              <w:top w:val="single" w:sz="6" w:space="0" w:color="B1B1B1"/>
              <w:left w:val="single" w:sz="6" w:space="0" w:color="B1B1B1"/>
              <w:bottom w:val="single" w:sz="6" w:space="0" w:color="B1B1B1"/>
              <w:right w:val="single" w:sz="6" w:space="0" w:color="B1B1B1"/>
            </w:tcBorders>
            <w:vAlign w:val="center"/>
          </w:tcPr>
          <w:p w14:paraId="09D08F15" w14:textId="77777777" w:rsidR="00DD473A" w:rsidRDefault="00DD473A" w:rsidP="00DD473A">
            <w:pPr>
              <w:spacing w:line="300" w:lineRule="atLeast"/>
              <w:rPr>
                <w:color w:val="000000"/>
                <w:sz w:val="22"/>
                <w:szCs w:val="22"/>
              </w:rPr>
            </w:pPr>
            <w:bookmarkStart w:id="17" w:name="envcat_fld_lbl"/>
            <w:r>
              <w:rPr>
                <w:rStyle w:val="Strong"/>
                <w:color w:val="000000"/>
                <w:sz w:val="22"/>
                <w:szCs w:val="22"/>
              </w:rPr>
              <w:t>Environmental Category:</w:t>
            </w:r>
            <w:bookmarkEnd w:id="17"/>
            <w:r>
              <w:rPr>
                <w:rStyle w:val="Strong"/>
                <w:color w:val="000000"/>
                <w:sz w:val="22"/>
                <w:szCs w:val="22"/>
              </w:rPr>
              <w:t xml:space="preserve"> </w:t>
            </w:r>
            <w:bookmarkStart w:id="18" w:name="envcat_fld"/>
            <w:r>
              <w:rPr>
                <w:rStyle w:val="Strong"/>
                <w:color w:val="000000"/>
                <w:sz w:val="22"/>
                <w:szCs w:val="22"/>
              </w:rPr>
              <w:t>B</w:t>
            </w:r>
            <w:bookmarkEnd w:id="18"/>
          </w:p>
        </w:tc>
        <w:tc>
          <w:tcPr>
            <w:tcW w:w="4336" w:type="dxa"/>
            <w:gridSpan w:val="2"/>
            <w:tcBorders>
              <w:top w:val="single" w:sz="6" w:space="0" w:color="B1B1B1"/>
              <w:left w:val="single" w:sz="6" w:space="0" w:color="B1B1B1"/>
              <w:bottom w:val="single" w:sz="6" w:space="0" w:color="B1B1B1"/>
              <w:right w:val="single" w:sz="6" w:space="0" w:color="B1B1B1"/>
            </w:tcBorders>
            <w:vAlign w:val="center"/>
          </w:tcPr>
          <w:p w14:paraId="210DC48A" w14:textId="77777777" w:rsidR="00DD473A" w:rsidRDefault="00DD473A" w:rsidP="00DD473A">
            <w:pPr>
              <w:spacing w:line="300" w:lineRule="atLeast"/>
              <w:rPr>
                <w:b/>
                <w:color w:val="000000"/>
                <w:sz w:val="22"/>
                <w:szCs w:val="22"/>
              </w:rPr>
            </w:pPr>
            <w:bookmarkStart w:id="19" w:name="geffoc_fld_lbl"/>
            <w:bookmarkEnd w:id="19"/>
            <w:r>
              <w:rPr>
                <w:b/>
                <w:color w:val="000000"/>
                <w:sz w:val="22"/>
                <w:szCs w:val="22"/>
              </w:rPr>
              <w:t xml:space="preserve"> </w:t>
            </w:r>
            <w:bookmarkStart w:id="20" w:name="geffoc_fld"/>
            <w:bookmarkEnd w:id="20"/>
          </w:p>
        </w:tc>
      </w:tr>
      <w:tr w:rsidR="00DD473A" w14:paraId="2521D579" w14:textId="77777777" w:rsidTr="00DD473A">
        <w:tc>
          <w:tcPr>
            <w:tcW w:w="8670" w:type="dxa"/>
            <w:gridSpan w:val="4"/>
            <w:tcBorders>
              <w:top w:val="single" w:sz="6" w:space="0" w:color="B1B1B1"/>
              <w:left w:val="single" w:sz="6" w:space="0" w:color="B1B1B1"/>
              <w:bottom w:val="single" w:sz="6" w:space="0" w:color="B1B1B1"/>
              <w:right w:val="single" w:sz="6" w:space="0" w:color="B1B1B1"/>
            </w:tcBorders>
            <w:vAlign w:val="center"/>
          </w:tcPr>
          <w:p w14:paraId="46B6F61E" w14:textId="77777777" w:rsidR="00DD473A" w:rsidRDefault="00DD473A" w:rsidP="00DD473A">
            <w:pPr>
              <w:spacing w:line="300" w:lineRule="atLeast"/>
              <w:rPr>
                <w:rStyle w:val="Strong"/>
                <w:b w:val="0"/>
                <w:color w:val="000000"/>
                <w:sz w:val="22"/>
                <w:szCs w:val="22"/>
              </w:rPr>
            </w:pPr>
            <w:r>
              <w:rPr>
                <w:rStyle w:val="Strong"/>
                <w:color w:val="000000"/>
                <w:sz w:val="22"/>
                <w:szCs w:val="22"/>
              </w:rPr>
              <w:t xml:space="preserve">Implementing Agencies: </w:t>
            </w:r>
          </w:p>
          <w:p w14:paraId="740CABA5" w14:textId="77777777" w:rsidR="00DD473A" w:rsidRDefault="00DD473A" w:rsidP="00DD473A">
            <w:pPr>
              <w:keepNext/>
              <w:spacing w:line="300" w:lineRule="atLeast"/>
              <w:rPr>
                <w:color w:val="000000"/>
                <w:sz w:val="22"/>
                <w:szCs w:val="22"/>
              </w:rPr>
            </w:pPr>
            <w:r>
              <w:rPr>
                <w:color w:val="000000"/>
                <w:sz w:val="22"/>
                <w:szCs w:val="22"/>
              </w:rPr>
              <w:t xml:space="preserve"> </w:t>
            </w:r>
            <w:bookmarkStart w:id="21" w:name="IMP_AGEN_COL_1"/>
            <w:r>
              <w:rPr>
                <w:color w:val="000000"/>
                <w:sz w:val="22"/>
                <w:szCs w:val="22"/>
              </w:rPr>
              <w:t>SUERIP</w:t>
            </w:r>
            <w:bookmarkEnd w:id="21"/>
            <w:r>
              <w:rPr>
                <w:color w:val="000000"/>
                <w:sz w:val="22"/>
                <w:szCs w:val="22"/>
              </w:rPr>
              <w:t xml:space="preserve"> </w:t>
            </w:r>
            <w:bookmarkStart w:id="22" w:name="IMP_AGEN"/>
            <w:bookmarkEnd w:id="22"/>
          </w:p>
        </w:tc>
      </w:tr>
      <w:tr w:rsidR="00DD473A" w14:paraId="1ADED707" w14:textId="77777777" w:rsidTr="00DD473A">
        <w:tc>
          <w:tcPr>
            <w:tcW w:w="8670" w:type="dxa"/>
            <w:gridSpan w:val="4"/>
            <w:tcBorders>
              <w:top w:val="single" w:sz="6" w:space="0" w:color="B1B1B1"/>
              <w:left w:val="single" w:sz="6" w:space="0" w:color="B1B1B1"/>
              <w:bottom w:val="single" w:sz="6" w:space="0" w:color="B1B1B1"/>
              <w:right w:val="single" w:sz="6" w:space="0" w:color="B1B1B1"/>
            </w:tcBorders>
            <w:vAlign w:val="center"/>
          </w:tcPr>
          <w:p w14:paraId="1E07589A" w14:textId="77777777" w:rsidR="00DD473A" w:rsidRDefault="00DD473A" w:rsidP="00DD473A">
            <w:pPr>
              <w:keepNext/>
              <w:spacing w:line="300" w:lineRule="atLeast"/>
              <w:rPr>
                <w:rStyle w:val="Strong"/>
                <w:b w:val="0"/>
                <w:color w:val="000000"/>
                <w:sz w:val="22"/>
                <w:szCs w:val="22"/>
              </w:rPr>
            </w:pPr>
            <w:r>
              <w:rPr>
                <w:rStyle w:val="Strong"/>
                <w:color w:val="000000"/>
                <w:sz w:val="22"/>
                <w:szCs w:val="22"/>
              </w:rPr>
              <w:t xml:space="preserve">Cofinanciers and Other External Partners: </w:t>
            </w:r>
            <w:bookmarkStart w:id="23" w:name="EXT_PART"/>
            <w:bookmarkEnd w:id="23"/>
          </w:p>
        </w:tc>
      </w:tr>
    </w:tbl>
    <w:p w14:paraId="71EBDB2A" w14:textId="77777777" w:rsidR="00DD473A" w:rsidRDefault="00DD473A" w:rsidP="00DD473A"/>
    <w:tbl>
      <w:tblPr>
        <w:tblW w:w="5000" w:type="pct"/>
        <w:tblLayout w:type="fixed"/>
        <w:tblCellMar>
          <w:top w:w="15" w:type="dxa"/>
          <w:left w:w="15" w:type="dxa"/>
          <w:bottom w:w="15" w:type="dxa"/>
          <w:right w:w="15" w:type="dxa"/>
        </w:tblCellMar>
        <w:tblLook w:val="0000" w:firstRow="0" w:lastRow="0" w:firstColumn="0" w:lastColumn="0" w:noHBand="0" w:noVBand="0"/>
      </w:tblPr>
      <w:tblGrid>
        <w:gridCol w:w="1724"/>
        <w:gridCol w:w="1725"/>
        <w:gridCol w:w="1725"/>
        <w:gridCol w:w="1725"/>
        <w:gridCol w:w="1725"/>
      </w:tblGrid>
      <w:tr w:rsidR="00DD473A" w14:paraId="46FE0895" w14:textId="77777777" w:rsidTr="00DD473A">
        <w:tc>
          <w:tcPr>
            <w:tcW w:w="8670" w:type="dxa"/>
            <w:gridSpan w:val="5"/>
            <w:tcBorders>
              <w:top w:val="single" w:sz="6" w:space="0" w:color="B1B1B1"/>
              <w:left w:val="single" w:sz="6" w:space="0" w:color="B1B1B1"/>
              <w:bottom w:val="single" w:sz="6" w:space="0" w:color="B1B1B1"/>
              <w:right w:val="single" w:sz="6" w:space="0" w:color="B1B1B1"/>
            </w:tcBorders>
            <w:shd w:val="clear" w:color="auto" w:fill="CDCCCC"/>
            <w:vAlign w:val="center"/>
          </w:tcPr>
          <w:p w14:paraId="0043E03C" w14:textId="77777777" w:rsidR="00DD473A" w:rsidRDefault="00DD473A" w:rsidP="00DD473A">
            <w:pPr>
              <w:pStyle w:val="Heading2"/>
              <w:keepNext/>
            </w:pPr>
            <w:bookmarkStart w:id="24" w:name="_IL2"/>
            <w:bookmarkStart w:id="25" w:name="_Toc147483790"/>
            <w:r>
              <w:t>B. Key Dates</w:t>
            </w:r>
            <w:bookmarkEnd w:id="24"/>
            <w:bookmarkEnd w:id="25"/>
            <w:r>
              <w:t xml:space="preserve"> </w:t>
            </w:r>
          </w:p>
        </w:tc>
      </w:tr>
      <w:tr w:rsidR="00DD473A" w14:paraId="7D440D02" w14:textId="77777777" w:rsidTr="00DD473A">
        <w:tc>
          <w:tcPr>
            <w:tcW w:w="1734"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1A9C0B1B" w14:textId="77777777" w:rsidR="00DD473A" w:rsidRDefault="00DD473A" w:rsidP="00DD473A">
            <w:pPr>
              <w:keepNext/>
              <w:keepLines/>
              <w:jc w:val="center"/>
              <w:rPr>
                <w:b/>
                <w:bCs/>
                <w:color w:val="606060"/>
                <w:sz w:val="22"/>
                <w:szCs w:val="22"/>
              </w:rPr>
            </w:pPr>
            <w:r>
              <w:rPr>
                <w:b/>
                <w:bCs/>
                <w:color w:val="606060"/>
                <w:sz w:val="22"/>
                <w:szCs w:val="22"/>
              </w:rPr>
              <w:t>Process</w:t>
            </w:r>
          </w:p>
        </w:tc>
        <w:tc>
          <w:tcPr>
            <w:tcW w:w="1734"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6F62DDE7" w14:textId="77777777" w:rsidR="00DD473A" w:rsidRDefault="00DD473A" w:rsidP="00DD473A">
            <w:pPr>
              <w:keepNext/>
              <w:keepLines/>
              <w:jc w:val="center"/>
              <w:rPr>
                <w:b/>
                <w:bCs/>
                <w:color w:val="606060"/>
                <w:sz w:val="22"/>
                <w:szCs w:val="22"/>
              </w:rPr>
            </w:pPr>
            <w:r>
              <w:rPr>
                <w:b/>
                <w:bCs/>
                <w:color w:val="606060"/>
                <w:sz w:val="22"/>
                <w:szCs w:val="22"/>
              </w:rPr>
              <w:t>Date</w:t>
            </w:r>
          </w:p>
        </w:tc>
        <w:tc>
          <w:tcPr>
            <w:tcW w:w="1734"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3EE7D19E" w14:textId="77777777" w:rsidR="00DD473A" w:rsidRDefault="00DD473A" w:rsidP="00DD473A">
            <w:pPr>
              <w:keepNext/>
              <w:keepLines/>
              <w:jc w:val="center"/>
              <w:rPr>
                <w:b/>
                <w:bCs/>
                <w:color w:val="606060"/>
                <w:sz w:val="22"/>
                <w:szCs w:val="22"/>
              </w:rPr>
            </w:pPr>
            <w:r>
              <w:rPr>
                <w:b/>
                <w:bCs/>
                <w:color w:val="606060"/>
                <w:sz w:val="22"/>
                <w:szCs w:val="22"/>
              </w:rPr>
              <w:t>Process</w:t>
            </w:r>
          </w:p>
        </w:tc>
        <w:tc>
          <w:tcPr>
            <w:tcW w:w="1734"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5E61670C" w14:textId="77777777" w:rsidR="00DD473A" w:rsidRDefault="00DD473A" w:rsidP="00DD473A">
            <w:pPr>
              <w:keepNext/>
              <w:keepLines/>
              <w:jc w:val="center"/>
              <w:rPr>
                <w:b/>
                <w:bCs/>
                <w:color w:val="606060"/>
                <w:sz w:val="22"/>
                <w:szCs w:val="22"/>
              </w:rPr>
            </w:pPr>
            <w:r>
              <w:rPr>
                <w:b/>
                <w:bCs/>
                <w:color w:val="606060"/>
                <w:sz w:val="22"/>
                <w:szCs w:val="22"/>
              </w:rPr>
              <w:t>Original Date</w:t>
            </w:r>
          </w:p>
        </w:tc>
        <w:tc>
          <w:tcPr>
            <w:tcW w:w="1734"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59BB3098" w14:textId="77777777" w:rsidR="00DD473A" w:rsidRDefault="00DD473A" w:rsidP="00DD473A">
            <w:pPr>
              <w:keepNext/>
              <w:keepLines/>
              <w:jc w:val="center"/>
              <w:rPr>
                <w:b/>
                <w:bCs/>
                <w:color w:val="606060"/>
                <w:sz w:val="22"/>
                <w:szCs w:val="22"/>
              </w:rPr>
            </w:pPr>
            <w:r>
              <w:rPr>
                <w:b/>
                <w:bCs/>
                <w:color w:val="606060"/>
                <w:sz w:val="22"/>
                <w:szCs w:val="22"/>
              </w:rPr>
              <w:t>Revised / Actual Date(s)</w:t>
            </w:r>
          </w:p>
        </w:tc>
      </w:tr>
      <w:tr w:rsidR="00DD473A" w14:paraId="0FBF5A5F" w14:textId="77777777" w:rsidTr="00DD473A">
        <w:tc>
          <w:tcPr>
            <w:tcW w:w="1734" w:type="dxa"/>
            <w:tcBorders>
              <w:top w:val="single" w:sz="6" w:space="0" w:color="B1B1B1"/>
              <w:left w:val="single" w:sz="6" w:space="0" w:color="B1B1B1"/>
              <w:bottom w:val="single" w:sz="6" w:space="0" w:color="B1B1B1"/>
              <w:right w:val="single" w:sz="6" w:space="0" w:color="B1B1B1"/>
            </w:tcBorders>
            <w:vAlign w:val="center"/>
          </w:tcPr>
          <w:p w14:paraId="36B4051B" w14:textId="77777777" w:rsidR="00DD473A" w:rsidRDefault="00DD473A" w:rsidP="00DD473A">
            <w:pPr>
              <w:spacing w:line="300" w:lineRule="atLeast"/>
              <w:rPr>
                <w:color w:val="000000"/>
                <w:sz w:val="22"/>
                <w:szCs w:val="22"/>
              </w:rPr>
            </w:pPr>
            <w:r>
              <w:rPr>
                <w:color w:val="000000"/>
                <w:sz w:val="22"/>
                <w:szCs w:val="22"/>
              </w:rPr>
              <w:t xml:space="preserve"> Concept Review:</w:t>
            </w:r>
          </w:p>
        </w:tc>
        <w:tc>
          <w:tcPr>
            <w:tcW w:w="1734" w:type="dxa"/>
            <w:tcBorders>
              <w:top w:val="single" w:sz="6" w:space="0" w:color="B1B1B1"/>
              <w:left w:val="single" w:sz="6" w:space="0" w:color="B1B1B1"/>
              <w:bottom w:val="single" w:sz="6" w:space="0" w:color="B1B1B1"/>
              <w:right w:val="single" w:sz="6" w:space="0" w:color="B1B1B1"/>
            </w:tcBorders>
            <w:vAlign w:val="center"/>
          </w:tcPr>
          <w:p w14:paraId="3334AE8E" w14:textId="77777777" w:rsidR="00DD473A" w:rsidRDefault="00DD473A" w:rsidP="00DD473A">
            <w:pPr>
              <w:spacing w:line="300" w:lineRule="atLeast"/>
              <w:jc w:val="center"/>
              <w:rPr>
                <w:color w:val="000000"/>
                <w:sz w:val="22"/>
                <w:szCs w:val="22"/>
              </w:rPr>
            </w:pPr>
            <w:r>
              <w:rPr>
                <w:color w:val="000000"/>
                <w:sz w:val="22"/>
                <w:szCs w:val="22"/>
              </w:rPr>
              <w:t>04/02/2015</w:t>
            </w:r>
          </w:p>
        </w:tc>
        <w:tc>
          <w:tcPr>
            <w:tcW w:w="1734" w:type="dxa"/>
            <w:tcBorders>
              <w:top w:val="single" w:sz="6" w:space="0" w:color="B1B1B1"/>
              <w:left w:val="single" w:sz="6" w:space="0" w:color="B1B1B1"/>
              <w:bottom w:val="single" w:sz="6" w:space="0" w:color="B1B1B1"/>
              <w:right w:val="single" w:sz="6" w:space="0" w:color="B1B1B1"/>
            </w:tcBorders>
            <w:vAlign w:val="center"/>
          </w:tcPr>
          <w:p w14:paraId="07195DF3" w14:textId="77777777" w:rsidR="00DD473A" w:rsidRDefault="00DD473A" w:rsidP="00DD473A">
            <w:pPr>
              <w:spacing w:line="300" w:lineRule="atLeast"/>
              <w:rPr>
                <w:color w:val="000000"/>
                <w:sz w:val="22"/>
                <w:szCs w:val="22"/>
              </w:rPr>
            </w:pPr>
            <w:r>
              <w:rPr>
                <w:color w:val="000000"/>
                <w:sz w:val="22"/>
                <w:szCs w:val="22"/>
              </w:rPr>
              <w:t>Effectiveness:</w:t>
            </w:r>
          </w:p>
        </w:tc>
        <w:tc>
          <w:tcPr>
            <w:tcW w:w="1734" w:type="dxa"/>
            <w:tcBorders>
              <w:top w:val="single" w:sz="6" w:space="0" w:color="B1B1B1"/>
              <w:left w:val="single" w:sz="6" w:space="0" w:color="B1B1B1"/>
              <w:bottom w:val="single" w:sz="6" w:space="0" w:color="B1B1B1"/>
              <w:right w:val="single" w:sz="6" w:space="0" w:color="B1B1B1"/>
            </w:tcBorders>
            <w:vAlign w:val="center"/>
          </w:tcPr>
          <w:p w14:paraId="7335D704" w14:textId="77777777" w:rsidR="00DD473A" w:rsidRDefault="00DD473A" w:rsidP="00DD473A">
            <w:pPr>
              <w:spacing w:line="300" w:lineRule="atLeast"/>
              <w:jc w:val="center"/>
              <w:rPr>
                <w:color w:val="000000"/>
                <w:sz w:val="22"/>
                <w:szCs w:val="22"/>
              </w:rPr>
            </w:pPr>
          </w:p>
        </w:tc>
        <w:tc>
          <w:tcPr>
            <w:tcW w:w="1734" w:type="dxa"/>
            <w:tcBorders>
              <w:top w:val="single" w:sz="6" w:space="0" w:color="B1B1B1"/>
              <w:left w:val="single" w:sz="6" w:space="0" w:color="B1B1B1"/>
              <w:bottom w:val="single" w:sz="6" w:space="0" w:color="B1B1B1"/>
              <w:right w:val="single" w:sz="6" w:space="0" w:color="B1B1B1"/>
            </w:tcBorders>
            <w:vAlign w:val="center"/>
          </w:tcPr>
          <w:p w14:paraId="7386A6F1" w14:textId="77777777" w:rsidR="00DD473A" w:rsidRDefault="00DD473A" w:rsidP="00DD473A">
            <w:pPr>
              <w:spacing w:line="300" w:lineRule="atLeast"/>
              <w:jc w:val="center"/>
              <w:rPr>
                <w:color w:val="000000"/>
                <w:sz w:val="22"/>
                <w:szCs w:val="22"/>
              </w:rPr>
            </w:pPr>
          </w:p>
        </w:tc>
      </w:tr>
      <w:tr w:rsidR="00DD473A" w14:paraId="41EE7D3E" w14:textId="77777777" w:rsidTr="00DD473A">
        <w:tc>
          <w:tcPr>
            <w:tcW w:w="1734" w:type="dxa"/>
            <w:tcBorders>
              <w:top w:val="single" w:sz="6" w:space="0" w:color="B1B1B1"/>
              <w:left w:val="single" w:sz="6" w:space="0" w:color="B1B1B1"/>
              <w:bottom w:val="single" w:sz="6" w:space="0" w:color="B1B1B1"/>
              <w:right w:val="single" w:sz="6" w:space="0" w:color="B1B1B1"/>
            </w:tcBorders>
            <w:vAlign w:val="center"/>
          </w:tcPr>
          <w:p w14:paraId="3AFABADD" w14:textId="77777777" w:rsidR="00DD473A" w:rsidRDefault="00DD473A" w:rsidP="00DD473A">
            <w:pPr>
              <w:spacing w:line="300" w:lineRule="atLeast"/>
              <w:rPr>
                <w:color w:val="000000"/>
                <w:sz w:val="22"/>
                <w:szCs w:val="22"/>
              </w:rPr>
            </w:pPr>
            <w:r>
              <w:rPr>
                <w:color w:val="000000"/>
                <w:sz w:val="22"/>
                <w:szCs w:val="22"/>
              </w:rPr>
              <w:t xml:space="preserve"> Appraisal:</w:t>
            </w:r>
          </w:p>
        </w:tc>
        <w:tc>
          <w:tcPr>
            <w:tcW w:w="1734" w:type="dxa"/>
            <w:tcBorders>
              <w:top w:val="single" w:sz="6" w:space="0" w:color="B1B1B1"/>
              <w:left w:val="single" w:sz="6" w:space="0" w:color="B1B1B1"/>
              <w:bottom w:val="single" w:sz="6" w:space="0" w:color="B1B1B1"/>
              <w:right w:val="single" w:sz="6" w:space="0" w:color="B1B1B1"/>
            </w:tcBorders>
            <w:vAlign w:val="center"/>
          </w:tcPr>
          <w:p w14:paraId="3FDF8DA5" w14:textId="77777777" w:rsidR="00DD473A" w:rsidRDefault="00DD473A" w:rsidP="00DD473A">
            <w:pPr>
              <w:spacing w:line="300" w:lineRule="atLeast"/>
              <w:jc w:val="center"/>
              <w:rPr>
                <w:color w:val="000000"/>
                <w:sz w:val="22"/>
                <w:szCs w:val="22"/>
              </w:rPr>
            </w:pPr>
            <w:r>
              <w:rPr>
                <w:color w:val="000000"/>
                <w:sz w:val="22"/>
                <w:szCs w:val="22"/>
              </w:rPr>
              <w:t>09/28/2015</w:t>
            </w:r>
          </w:p>
        </w:tc>
        <w:tc>
          <w:tcPr>
            <w:tcW w:w="1734" w:type="dxa"/>
            <w:tcBorders>
              <w:top w:val="single" w:sz="6" w:space="0" w:color="B1B1B1"/>
              <w:left w:val="single" w:sz="6" w:space="0" w:color="B1B1B1"/>
              <w:bottom w:val="single" w:sz="6" w:space="0" w:color="B1B1B1"/>
              <w:right w:val="single" w:sz="6" w:space="0" w:color="B1B1B1"/>
            </w:tcBorders>
            <w:vAlign w:val="center"/>
          </w:tcPr>
          <w:p w14:paraId="7E49D937" w14:textId="77777777" w:rsidR="00DD473A" w:rsidRDefault="00DD473A" w:rsidP="00DD473A">
            <w:pPr>
              <w:spacing w:line="300" w:lineRule="atLeast"/>
              <w:rPr>
                <w:color w:val="000000"/>
                <w:sz w:val="22"/>
                <w:szCs w:val="22"/>
              </w:rPr>
            </w:pPr>
            <w:r>
              <w:rPr>
                <w:color w:val="000000"/>
                <w:sz w:val="22"/>
                <w:szCs w:val="22"/>
              </w:rPr>
              <w:t>Closing:</w:t>
            </w:r>
          </w:p>
        </w:tc>
        <w:tc>
          <w:tcPr>
            <w:tcW w:w="1734" w:type="dxa"/>
            <w:tcBorders>
              <w:top w:val="single" w:sz="6" w:space="0" w:color="B1B1B1"/>
              <w:left w:val="single" w:sz="6" w:space="0" w:color="B1B1B1"/>
              <w:bottom w:val="single" w:sz="6" w:space="0" w:color="B1B1B1"/>
              <w:right w:val="single" w:sz="6" w:space="0" w:color="B1B1B1"/>
            </w:tcBorders>
            <w:vAlign w:val="center"/>
          </w:tcPr>
          <w:p w14:paraId="721F10DB" w14:textId="77777777" w:rsidR="00DD473A" w:rsidRDefault="00DD473A" w:rsidP="00DD473A">
            <w:pPr>
              <w:spacing w:line="300" w:lineRule="atLeast"/>
              <w:jc w:val="center"/>
              <w:rPr>
                <w:color w:val="000000"/>
                <w:sz w:val="22"/>
                <w:szCs w:val="22"/>
              </w:rPr>
            </w:pPr>
            <w:r>
              <w:rPr>
                <w:color w:val="000000"/>
                <w:sz w:val="22"/>
                <w:szCs w:val="22"/>
              </w:rPr>
              <w:t>04/30/2021</w:t>
            </w:r>
          </w:p>
        </w:tc>
        <w:tc>
          <w:tcPr>
            <w:tcW w:w="1734" w:type="dxa"/>
            <w:tcBorders>
              <w:top w:val="single" w:sz="6" w:space="0" w:color="B1B1B1"/>
              <w:left w:val="single" w:sz="6" w:space="0" w:color="B1B1B1"/>
              <w:bottom w:val="single" w:sz="6" w:space="0" w:color="B1B1B1"/>
              <w:right w:val="single" w:sz="6" w:space="0" w:color="B1B1B1"/>
            </w:tcBorders>
            <w:vAlign w:val="center"/>
          </w:tcPr>
          <w:p w14:paraId="2CD6A7C2" w14:textId="77777777" w:rsidR="00DD473A" w:rsidRDefault="00DD473A" w:rsidP="00DD473A">
            <w:pPr>
              <w:spacing w:line="300" w:lineRule="atLeast"/>
              <w:jc w:val="center"/>
              <w:rPr>
                <w:color w:val="000000"/>
                <w:sz w:val="22"/>
                <w:szCs w:val="22"/>
              </w:rPr>
            </w:pPr>
            <w:r>
              <w:rPr>
                <w:color w:val="000000"/>
                <w:sz w:val="22"/>
                <w:szCs w:val="22"/>
              </w:rPr>
              <w:t>01/05/2017</w:t>
            </w:r>
          </w:p>
        </w:tc>
      </w:tr>
      <w:tr w:rsidR="00DD473A" w14:paraId="533DB99B" w14:textId="77777777" w:rsidTr="00DD473A">
        <w:tc>
          <w:tcPr>
            <w:tcW w:w="1734" w:type="dxa"/>
            <w:tcBorders>
              <w:top w:val="single" w:sz="6" w:space="0" w:color="B1B1B1"/>
              <w:left w:val="single" w:sz="6" w:space="0" w:color="B1B1B1"/>
              <w:bottom w:val="single" w:sz="6" w:space="0" w:color="B1B1B1"/>
              <w:right w:val="single" w:sz="6" w:space="0" w:color="B1B1B1"/>
            </w:tcBorders>
            <w:vAlign w:val="center"/>
          </w:tcPr>
          <w:p w14:paraId="75477D1A" w14:textId="77777777" w:rsidR="00DD473A" w:rsidRDefault="00DD473A" w:rsidP="00DD473A">
            <w:pPr>
              <w:spacing w:line="300" w:lineRule="atLeast"/>
              <w:rPr>
                <w:color w:val="000000"/>
                <w:sz w:val="22"/>
                <w:szCs w:val="22"/>
              </w:rPr>
            </w:pPr>
            <w:r>
              <w:rPr>
                <w:color w:val="000000"/>
                <w:sz w:val="22"/>
                <w:szCs w:val="22"/>
              </w:rPr>
              <w:t xml:space="preserve"> </w:t>
            </w:r>
            <w:bookmarkStart w:id="26" w:name="MILESTONE_COL_1"/>
            <w:r>
              <w:rPr>
                <w:color w:val="000000"/>
                <w:sz w:val="22"/>
                <w:szCs w:val="22"/>
              </w:rPr>
              <w:t>Approval:</w:t>
            </w:r>
            <w:bookmarkEnd w:id="26"/>
          </w:p>
        </w:tc>
        <w:tc>
          <w:tcPr>
            <w:tcW w:w="1734" w:type="dxa"/>
            <w:tcBorders>
              <w:top w:val="single" w:sz="6" w:space="0" w:color="B1B1B1"/>
              <w:left w:val="single" w:sz="6" w:space="0" w:color="B1B1B1"/>
              <w:bottom w:val="single" w:sz="6" w:space="0" w:color="B1B1B1"/>
              <w:right w:val="single" w:sz="6" w:space="0" w:color="B1B1B1"/>
            </w:tcBorders>
            <w:vAlign w:val="center"/>
          </w:tcPr>
          <w:p w14:paraId="52973685" w14:textId="77777777" w:rsidR="00DD473A" w:rsidRDefault="00DD473A" w:rsidP="00DD473A">
            <w:pPr>
              <w:spacing w:line="300" w:lineRule="atLeast"/>
              <w:jc w:val="center"/>
              <w:rPr>
                <w:color w:val="000000"/>
                <w:sz w:val="22"/>
                <w:szCs w:val="22"/>
              </w:rPr>
            </w:pPr>
            <w:bookmarkStart w:id="27" w:name="MILESTONE_COL_2"/>
            <w:r>
              <w:rPr>
                <w:color w:val="000000"/>
                <w:sz w:val="22"/>
                <w:szCs w:val="22"/>
              </w:rPr>
              <w:t>04/04/2016</w:t>
            </w:r>
            <w:bookmarkEnd w:id="27"/>
          </w:p>
        </w:tc>
        <w:tc>
          <w:tcPr>
            <w:tcW w:w="1734" w:type="dxa"/>
            <w:tcBorders>
              <w:top w:val="single" w:sz="6" w:space="0" w:color="B1B1B1"/>
              <w:left w:val="single" w:sz="6" w:space="0" w:color="B1B1B1"/>
              <w:bottom w:val="single" w:sz="6" w:space="0" w:color="B1B1B1"/>
              <w:right w:val="single" w:sz="6" w:space="0" w:color="B1B1B1"/>
            </w:tcBorders>
            <w:vAlign w:val="center"/>
          </w:tcPr>
          <w:p w14:paraId="0E1371B3" w14:textId="77777777" w:rsidR="00DD473A" w:rsidRDefault="00DD473A" w:rsidP="00DD473A">
            <w:pPr>
              <w:spacing w:line="300" w:lineRule="atLeast"/>
              <w:rPr>
                <w:color w:val="000000"/>
                <w:sz w:val="22"/>
                <w:szCs w:val="22"/>
              </w:rPr>
            </w:pPr>
            <w:bookmarkStart w:id="28" w:name="MILESTONE_COL_3"/>
            <w:bookmarkEnd w:id="28"/>
          </w:p>
        </w:tc>
        <w:tc>
          <w:tcPr>
            <w:tcW w:w="1734" w:type="dxa"/>
            <w:tcBorders>
              <w:top w:val="single" w:sz="6" w:space="0" w:color="B1B1B1"/>
              <w:left w:val="single" w:sz="6" w:space="0" w:color="B1B1B1"/>
              <w:bottom w:val="single" w:sz="6" w:space="0" w:color="B1B1B1"/>
              <w:right w:val="single" w:sz="6" w:space="0" w:color="B1B1B1"/>
            </w:tcBorders>
            <w:vAlign w:val="center"/>
          </w:tcPr>
          <w:p w14:paraId="1AFD8A4A" w14:textId="77777777" w:rsidR="00DD473A" w:rsidRDefault="00DD473A" w:rsidP="00DD473A">
            <w:pPr>
              <w:spacing w:line="300" w:lineRule="atLeast"/>
              <w:jc w:val="center"/>
              <w:rPr>
                <w:color w:val="000000"/>
                <w:sz w:val="22"/>
                <w:szCs w:val="22"/>
              </w:rPr>
            </w:pPr>
            <w:bookmarkStart w:id="29" w:name="MILESTONE_COL_4"/>
            <w:bookmarkEnd w:id="29"/>
          </w:p>
        </w:tc>
        <w:tc>
          <w:tcPr>
            <w:tcW w:w="1734" w:type="dxa"/>
            <w:tcBorders>
              <w:top w:val="single" w:sz="6" w:space="0" w:color="B1B1B1"/>
              <w:left w:val="single" w:sz="6" w:space="0" w:color="B1B1B1"/>
              <w:bottom w:val="single" w:sz="6" w:space="0" w:color="B1B1B1"/>
              <w:right w:val="single" w:sz="6" w:space="0" w:color="B1B1B1"/>
            </w:tcBorders>
            <w:vAlign w:val="center"/>
          </w:tcPr>
          <w:p w14:paraId="0BAEFD72" w14:textId="77777777" w:rsidR="00DD473A" w:rsidRDefault="00DD473A" w:rsidP="00DD473A">
            <w:pPr>
              <w:spacing w:line="300" w:lineRule="atLeast"/>
              <w:jc w:val="center"/>
              <w:rPr>
                <w:color w:val="000000"/>
                <w:sz w:val="22"/>
                <w:szCs w:val="22"/>
              </w:rPr>
            </w:pPr>
            <w:bookmarkStart w:id="30" w:name="MILESTONE_COL_5"/>
            <w:bookmarkEnd w:id="30"/>
          </w:p>
        </w:tc>
      </w:tr>
    </w:tbl>
    <w:p w14:paraId="02065C2F" w14:textId="77777777" w:rsidR="00DD473A" w:rsidRDefault="00DD473A" w:rsidP="00DD473A">
      <w:bookmarkStart w:id="31" w:name="MILESTONE"/>
      <w:bookmarkEnd w:id="31"/>
    </w:p>
    <w:tbl>
      <w:tblPr>
        <w:tblW w:w="5000" w:type="pct"/>
        <w:tblLayout w:type="fixed"/>
        <w:tblCellMar>
          <w:top w:w="15" w:type="dxa"/>
          <w:left w:w="15" w:type="dxa"/>
          <w:bottom w:w="15" w:type="dxa"/>
          <w:right w:w="15" w:type="dxa"/>
        </w:tblCellMar>
        <w:tblLook w:val="0000" w:firstRow="0" w:lastRow="0" w:firstColumn="0" w:lastColumn="0" w:noHBand="0" w:noVBand="0"/>
      </w:tblPr>
      <w:tblGrid>
        <w:gridCol w:w="4312"/>
        <w:gridCol w:w="4312"/>
      </w:tblGrid>
      <w:tr w:rsidR="00DD473A" w14:paraId="4BFC19F1" w14:textId="77777777" w:rsidTr="00DD473A">
        <w:tc>
          <w:tcPr>
            <w:tcW w:w="8670" w:type="dxa"/>
            <w:gridSpan w:val="2"/>
            <w:tcBorders>
              <w:top w:val="single" w:sz="6" w:space="0" w:color="B1B1B1"/>
              <w:left w:val="single" w:sz="6" w:space="0" w:color="B1B1B1"/>
              <w:bottom w:val="single" w:sz="6" w:space="0" w:color="B1B1B1"/>
              <w:right w:val="single" w:sz="6" w:space="0" w:color="B1B1B1"/>
            </w:tcBorders>
            <w:shd w:val="clear" w:color="auto" w:fill="CDCCCC"/>
            <w:vAlign w:val="center"/>
          </w:tcPr>
          <w:p w14:paraId="490B27A1" w14:textId="77777777" w:rsidR="00DD473A" w:rsidRDefault="00DD473A" w:rsidP="00DD473A">
            <w:pPr>
              <w:pStyle w:val="Heading2"/>
              <w:keepNext/>
            </w:pPr>
            <w:bookmarkStart w:id="32" w:name="_IL3"/>
            <w:bookmarkStart w:id="33" w:name="_Toc147483791"/>
            <w:r>
              <w:t>C. Ratings Summary</w:t>
            </w:r>
            <w:bookmarkEnd w:id="32"/>
            <w:bookmarkEnd w:id="33"/>
            <w:r>
              <w:t xml:space="preserve"> </w:t>
            </w:r>
          </w:p>
        </w:tc>
      </w:tr>
      <w:tr w:rsidR="00DD473A" w14:paraId="2DAC78BF" w14:textId="77777777" w:rsidTr="00DD473A">
        <w:tc>
          <w:tcPr>
            <w:tcW w:w="8670" w:type="dxa"/>
            <w:gridSpan w:val="2"/>
            <w:tcBorders>
              <w:top w:val="single" w:sz="6" w:space="0" w:color="B1B1B1"/>
              <w:left w:val="single" w:sz="6" w:space="0" w:color="B1B1B1"/>
              <w:bottom w:val="single" w:sz="6" w:space="0" w:color="B1B1B1"/>
              <w:right w:val="single" w:sz="6" w:space="0" w:color="B1B1B1"/>
            </w:tcBorders>
            <w:vAlign w:val="center"/>
          </w:tcPr>
          <w:p w14:paraId="217C03DA" w14:textId="77777777" w:rsidR="00DD473A" w:rsidRDefault="00DD473A" w:rsidP="00DD473A">
            <w:pPr>
              <w:keepNext/>
              <w:keepLines/>
              <w:rPr>
                <w:b/>
                <w:sz w:val="22"/>
                <w:szCs w:val="22"/>
              </w:rPr>
            </w:pPr>
            <w:r>
              <w:rPr>
                <w:b/>
                <w:sz w:val="22"/>
                <w:szCs w:val="22"/>
              </w:rPr>
              <w:t>Performance Rating by NCO</w:t>
            </w:r>
          </w:p>
        </w:tc>
      </w:tr>
      <w:tr w:rsidR="00DD473A" w14:paraId="0A76C047" w14:textId="77777777" w:rsidTr="00DD473A">
        <w:tc>
          <w:tcPr>
            <w:tcW w:w="4335" w:type="dxa"/>
            <w:tcBorders>
              <w:top w:val="single" w:sz="6" w:space="0" w:color="B1B1B1"/>
              <w:left w:val="single" w:sz="6" w:space="0" w:color="B1B1B1"/>
              <w:bottom w:val="single" w:sz="6" w:space="0" w:color="B1B1B1"/>
              <w:right w:val="single" w:sz="6" w:space="0" w:color="B1B1B1"/>
            </w:tcBorders>
            <w:vAlign w:val="center"/>
          </w:tcPr>
          <w:p w14:paraId="4CA0F3DA" w14:textId="77777777" w:rsidR="00DD473A" w:rsidRDefault="00DD473A" w:rsidP="00DD473A">
            <w:pPr>
              <w:spacing w:line="300" w:lineRule="atLeast"/>
              <w:rPr>
                <w:color w:val="000000"/>
                <w:sz w:val="22"/>
                <w:szCs w:val="22"/>
              </w:rPr>
            </w:pPr>
            <w:r>
              <w:rPr>
                <w:color w:val="000000"/>
                <w:sz w:val="22"/>
                <w:szCs w:val="22"/>
              </w:rPr>
              <w:t xml:space="preserve"> Outcomes:</w:t>
            </w:r>
          </w:p>
        </w:tc>
        <w:tc>
          <w:tcPr>
            <w:tcW w:w="4335" w:type="dxa"/>
            <w:tcBorders>
              <w:top w:val="single" w:sz="6" w:space="0" w:color="B1B1B1"/>
              <w:left w:val="single" w:sz="6" w:space="0" w:color="B1B1B1"/>
              <w:bottom w:val="single" w:sz="6" w:space="0" w:color="B1B1B1"/>
              <w:right w:val="single" w:sz="6" w:space="0" w:color="B1B1B1"/>
            </w:tcBorders>
            <w:vAlign w:val="center"/>
          </w:tcPr>
          <w:p w14:paraId="55B7E270" w14:textId="77777777" w:rsidR="00DD473A" w:rsidRDefault="00DD473A" w:rsidP="00DD473A">
            <w:pPr>
              <w:spacing w:line="300" w:lineRule="atLeast"/>
              <w:rPr>
                <w:color w:val="000000"/>
                <w:sz w:val="22"/>
                <w:szCs w:val="22"/>
              </w:rPr>
            </w:pPr>
            <w:r>
              <w:rPr>
                <w:color w:val="000000"/>
                <w:sz w:val="22"/>
                <w:szCs w:val="22"/>
              </w:rPr>
              <w:t>Not Applicable</w:t>
            </w:r>
          </w:p>
        </w:tc>
      </w:tr>
      <w:tr w:rsidR="00DD473A" w14:paraId="29F50C60" w14:textId="77777777" w:rsidTr="00DD473A">
        <w:tc>
          <w:tcPr>
            <w:tcW w:w="4335" w:type="dxa"/>
            <w:tcBorders>
              <w:top w:val="single" w:sz="6" w:space="0" w:color="B1B1B1"/>
              <w:left w:val="single" w:sz="6" w:space="0" w:color="B1B1B1"/>
              <w:bottom w:val="single" w:sz="6" w:space="0" w:color="B1B1B1"/>
              <w:right w:val="single" w:sz="6" w:space="0" w:color="B1B1B1"/>
            </w:tcBorders>
            <w:vAlign w:val="center"/>
          </w:tcPr>
          <w:p w14:paraId="08BB1241" w14:textId="77777777" w:rsidR="00DD473A" w:rsidRDefault="00DD473A" w:rsidP="00DD473A">
            <w:pPr>
              <w:spacing w:line="300" w:lineRule="atLeast"/>
              <w:rPr>
                <w:color w:val="000000"/>
                <w:sz w:val="22"/>
                <w:szCs w:val="22"/>
              </w:rPr>
            </w:pPr>
            <w:r>
              <w:rPr>
                <w:color w:val="000000"/>
                <w:sz w:val="22"/>
                <w:szCs w:val="22"/>
              </w:rPr>
              <w:t xml:space="preserve"> Risk to Development Outcome:</w:t>
            </w:r>
          </w:p>
        </w:tc>
        <w:tc>
          <w:tcPr>
            <w:tcW w:w="4335" w:type="dxa"/>
            <w:tcBorders>
              <w:top w:val="single" w:sz="6" w:space="0" w:color="B1B1B1"/>
              <w:left w:val="single" w:sz="6" w:space="0" w:color="B1B1B1"/>
              <w:bottom w:val="single" w:sz="6" w:space="0" w:color="B1B1B1"/>
              <w:right w:val="single" w:sz="6" w:space="0" w:color="B1B1B1"/>
            </w:tcBorders>
            <w:vAlign w:val="center"/>
          </w:tcPr>
          <w:p w14:paraId="0BB7EC68" w14:textId="77777777" w:rsidR="00DD473A" w:rsidRDefault="00DD473A" w:rsidP="00DD473A">
            <w:pPr>
              <w:spacing w:line="300" w:lineRule="atLeast"/>
              <w:rPr>
                <w:color w:val="000000"/>
                <w:sz w:val="22"/>
                <w:szCs w:val="22"/>
              </w:rPr>
            </w:pPr>
            <w:r>
              <w:rPr>
                <w:color w:val="000000"/>
                <w:sz w:val="22"/>
                <w:szCs w:val="22"/>
              </w:rPr>
              <w:t>Not Applicable</w:t>
            </w:r>
          </w:p>
        </w:tc>
      </w:tr>
      <w:tr w:rsidR="00DD473A" w14:paraId="3AC9A927" w14:textId="77777777" w:rsidTr="00DD473A">
        <w:tc>
          <w:tcPr>
            <w:tcW w:w="4335" w:type="dxa"/>
            <w:tcBorders>
              <w:top w:val="single" w:sz="6" w:space="0" w:color="B1B1B1"/>
              <w:left w:val="single" w:sz="6" w:space="0" w:color="B1B1B1"/>
              <w:bottom w:val="single" w:sz="6" w:space="0" w:color="B1B1B1"/>
              <w:right w:val="single" w:sz="6" w:space="0" w:color="B1B1B1"/>
            </w:tcBorders>
            <w:vAlign w:val="center"/>
          </w:tcPr>
          <w:p w14:paraId="38E89A5D" w14:textId="77777777" w:rsidR="00DD473A" w:rsidRDefault="00DD473A" w:rsidP="00DD473A">
            <w:pPr>
              <w:spacing w:line="300" w:lineRule="atLeast"/>
              <w:rPr>
                <w:color w:val="000000"/>
                <w:sz w:val="22"/>
                <w:szCs w:val="22"/>
              </w:rPr>
            </w:pPr>
            <w:r>
              <w:rPr>
                <w:color w:val="000000"/>
                <w:sz w:val="22"/>
                <w:szCs w:val="22"/>
              </w:rPr>
              <w:t xml:space="preserve"> Bank Performance:</w:t>
            </w:r>
          </w:p>
        </w:tc>
        <w:tc>
          <w:tcPr>
            <w:tcW w:w="4335" w:type="dxa"/>
            <w:tcBorders>
              <w:top w:val="single" w:sz="6" w:space="0" w:color="B1B1B1"/>
              <w:left w:val="single" w:sz="6" w:space="0" w:color="B1B1B1"/>
              <w:bottom w:val="single" w:sz="6" w:space="0" w:color="B1B1B1"/>
              <w:right w:val="single" w:sz="6" w:space="0" w:color="B1B1B1"/>
            </w:tcBorders>
            <w:vAlign w:val="center"/>
          </w:tcPr>
          <w:p w14:paraId="4E76B34E" w14:textId="77777777" w:rsidR="00DD473A" w:rsidRDefault="00DD473A" w:rsidP="00DD473A">
            <w:pPr>
              <w:spacing w:line="300" w:lineRule="atLeast"/>
              <w:rPr>
                <w:color w:val="000000"/>
                <w:sz w:val="22"/>
                <w:szCs w:val="22"/>
              </w:rPr>
            </w:pPr>
            <w:r>
              <w:rPr>
                <w:color w:val="000000"/>
                <w:sz w:val="22"/>
                <w:szCs w:val="22"/>
              </w:rPr>
              <w:t>Moderately Satisfactory</w:t>
            </w:r>
          </w:p>
        </w:tc>
      </w:tr>
      <w:tr w:rsidR="00DD473A" w14:paraId="59037A5D" w14:textId="77777777" w:rsidTr="00DD473A">
        <w:tc>
          <w:tcPr>
            <w:tcW w:w="4335" w:type="dxa"/>
            <w:tcBorders>
              <w:top w:val="single" w:sz="6" w:space="0" w:color="B1B1B1"/>
              <w:left w:val="single" w:sz="6" w:space="0" w:color="B1B1B1"/>
              <w:bottom w:val="single" w:sz="6" w:space="0" w:color="B1B1B1"/>
              <w:right w:val="single" w:sz="6" w:space="0" w:color="B1B1B1"/>
            </w:tcBorders>
            <w:vAlign w:val="center"/>
          </w:tcPr>
          <w:p w14:paraId="656B13A2" w14:textId="77777777" w:rsidR="00DD473A" w:rsidRDefault="00DD473A" w:rsidP="00DD473A">
            <w:pPr>
              <w:spacing w:line="300" w:lineRule="atLeast"/>
              <w:rPr>
                <w:color w:val="000000"/>
                <w:sz w:val="22"/>
                <w:szCs w:val="22"/>
              </w:rPr>
            </w:pPr>
            <w:r>
              <w:rPr>
                <w:color w:val="000000"/>
                <w:sz w:val="22"/>
                <w:szCs w:val="22"/>
              </w:rPr>
              <w:t xml:space="preserve"> </w:t>
            </w:r>
            <w:bookmarkStart w:id="34" w:name="SEC_3_1_COL_1"/>
            <w:r>
              <w:rPr>
                <w:color w:val="000000"/>
                <w:sz w:val="22"/>
                <w:szCs w:val="22"/>
              </w:rPr>
              <w:t>Borrower Performance:</w:t>
            </w:r>
            <w:bookmarkEnd w:id="34"/>
          </w:p>
        </w:tc>
        <w:tc>
          <w:tcPr>
            <w:tcW w:w="4335" w:type="dxa"/>
            <w:tcBorders>
              <w:top w:val="single" w:sz="6" w:space="0" w:color="B1B1B1"/>
              <w:left w:val="single" w:sz="6" w:space="0" w:color="B1B1B1"/>
              <w:bottom w:val="single" w:sz="6" w:space="0" w:color="B1B1B1"/>
              <w:right w:val="single" w:sz="6" w:space="0" w:color="B1B1B1"/>
            </w:tcBorders>
            <w:vAlign w:val="center"/>
          </w:tcPr>
          <w:p w14:paraId="57DD1F38" w14:textId="77777777" w:rsidR="00DD473A" w:rsidRDefault="00DD473A" w:rsidP="00DD473A">
            <w:pPr>
              <w:spacing w:line="300" w:lineRule="atLeast"/>
              <w:rPr>
                <w:color w:val="000000"/>
                <w:sz w:val="22"/>
                <w:szCs w:val="22"/>
              </w:rPr>
            </w:pPr>
            <w:bookmarkStart w:id="35" w:name="SEC_3_1_COL_2"/>
            <w:r>
              <w:rPr>
                <w:color w:val="000000"/>
                <w:sz w:val="22"/>
                <w:szCs w:val="22"/>
              </w:rPr>
              <w:t>Moderately Unsatisfactory</w:t>
            </w:r>
            <w:bookmarkEnd w:id="35"/>
          </w:p>
        </w:tc>
      </w:tr>
    </w:tbl>
    <w:p w14:paraId="757A2583" w14:textId="77777777" w:rsidR="00DD473A" w:rsidRDefault="00DD473A" w:rsidP="00DD473A">
      <w:bookmarkStart w:id="36" w:name="SEC_3_1"/>
      <w:bookmarkEnd w:id="36"/>
    </w:p>
    <w:p w14:paraId="69FE09B9" w14:textId="77777777" w:rsidR="00DD473A" w:rsidRDefault="00DD473A" w:rsidP="00DD473A"/>
    <w:tbl>
      <w:tblPr>
        <w:tblW w:w="5000" w:type="pct"/>
        <w:tblLayout w:type="fixed"/>
        <w:tblCellMar>
          <w:top w:w="15" w:type="dxa"/>
          <w:left w:w="15" w:type="dxa"/>
          <w:bottom w:w="15" w:type="dxa"/>
          <w:right w:w="15" w:type="dxa"/>
        </w:tblCellMar>
        <w:tblLook w:val="0000" w:firstRow="0" w:lastRow="0" w:firstColumn="0" w:lastColumn="0" w:noHBand="0" w:noVBand="0"/>
      </w:tblPr>
      <w:tblGrid>
        <w:gridCol w:w="5175"/>
        <w:gridCol w:w="1805"/>
        <w:gridCol w:w="1644"/>
      </w:tblGrid>
      <w:tr w:rsidR="00DD473A" w14:paraId="7F63E03A" w14:textId="77777777" w:rsidTr="00DD473A">
        <w:tc>
          <w:tcPr>
            <w:tcW w:w="8670" w:type="dxa"/>
            <w:gridSpan w:val="3"/>
            <w:tcBorders>
              <w:top w:val="single" w:sz="6" w:space="0" w:color="B1B1B1"/>
              <w:left w:val="single" w:sz="6" w:space="0" w:color="B1B1B1"/>
              <w:bottom w:val="single" w:sz="6" w:space="0" w:color="B1B1B1"/>
              <w:right w:val="single" w:sz="6" w:space="0" w:color="B1B1B1"/>
            </w:tcBorders>
            <w:shd w:val="clear" w:color="auto" w:fill="CDCCCC"/>
            <w:vAlign w:val="center"/>
          </w:tcPr>
          <w:p w14:paraId="51C7F737" w14:textId="77777777" w:rsidR="00DD473A" w:rsidRDefault="00DD473A" w:rsidP="00DD473A">
            <w:pPr>
              <w:pStyle w:val="Heading2"/>
              <w:keepNext/>
            </w:pPr>
            <w:bookmarkStart w:id="37" w:name="_IL4"/>
            <w:bookmarkStart w:id="38" w:name="_Toc147483792"/>
            <w:r>
              <w:t>D. Sector and Theme Codes</w:t>
            </w:r>
            <w:bookmarkEnd w:id="37"/>
            <w:bookmarkEnd w:id="38"/>
            <w:r>
              <w:t xml:space="preserve"> </w:t>
            </w:r>
          </w:p>
        </w:tc>
      </w:tr>
      <w:tr w:rsidR="00DD473A" w14:paraId="4EA2EB15" w14:textId="77777777" w:rsidTr="00DD473A">
        <w:tc>
          <w:tcPr>
            <w:tcW w:w="5202"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359E1CD0" w14:textId="77777777" w:rsidR="00DD473A" w:rsidRDefault="00DD473A" w:rsidP="00DD473A">
            <w:pPr>
              <w:keepNext/>
              <w:keepLines/>
              <w:jc w:val="center"/>
              <w:rPr>
                <w:b/>
                <w:bCs/>
                <w:color w:val="606060"/>
                <w:sz w:val="22"/>
                <w:szCs w:val="22"/>
              </w:rPr>
            </w:pPr>
          </w:p>
        </w:tc>
        <w:tc>
          <w:tcPr>
            <w:tcW w:w="1815"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0DC42843" w14:textId="77777777" w:rsidR="00DD473A" w:rsidRDefault="00DD473A" w:rsidP="00DD473A">
            <w:pPr>
              <w:keepNext/>
              <w:keepLines/>
              <w:jc w:val="center"/>
              <w:rPr>
                <w:b/>
                <w:bCs/>
                <w:color w:val="606060"/>
                <w:sz w:val="22"/>
                <w:szCs w:val="22"/>
              </w:rPr>
            </w:pPr>
            <w:r>
              <w:rPr>
                <w:b/>
                <w:bCs/>
                <w:color w:val="606060"/>
                <w:sz w:val="22"/>
                <w:szCs w:val="22"/>
              </w:rPr>
              <w:t>Original</w:t>
            </w:r>
          </w:p>
        </w:tc>
        <w:tc>
          <w:tcPr>
            <w:tcW w:w="1653"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39495DDE" w14:textId="77777777" w:rsidR="00DD473A" w:rsidRDefault="00DD473A" w:rsidP="00DD473A">
            <w:pPr>
              <w:keepNext/>
              <w:keepLines/>
              <w:jc w:val="center"/>
              <w:rPr>
                <w:b/>
                <w:bCs/>
                <w:color w:val="606060"/>
                <w:sz w:val="22"/>
                <w:szCs w:val="22"/>
              </w:rPr>
            </w:pPr>
          </w:p>
        </w:tc>
      </w:tr>
      <w:tr w:rsidR="00DD473A" w14:paraId="02BEF877" w14:textId="77777777" w:rsidTr="00DD473A">
        <w:tc>
          <w:tcPr>
            <w:tcW w:w="5202" w:type="dxa"/>
            <w:tcBorders>
              <w:top w:val="single" w:sz="6" w:space="0" w:color="B1B1B1"/>
              <w:left w:val="single" w:sz="6" w:space="0" w:color="B1B1B1"/>
              <w:bottom w:val="single" w:sz="6" w:space="0" w:color="B1B1B1"/>
              <w:right w:val="single" w:sz="6" w:space="0" w:color="B1B1B1"/>
            </w:tcBorders>
            <w:vAlign w:val="center"/>
          </w:tcPr>
          <w:p w14:paraId="5B2171DF" w14:textId="77777777" w:rsidR="00DD473A" w:rsidRDefault="00DD473A" w:rsidP="00DD473A">
            <w:pPr>
              <w:keepNext/>
              <w:keepLines/>
              <w:spacing w:line="300" w:lineRule="atLeast"/>
              <w:rPr>
                <w:b/>
                <w:color w:val="000000"/>
                <w:sz w:val="22"/>
                <w:szCs w:val="22"/>
              </w:rPr>
            </w:pPr>
            <w:r>
              <w:rPr>
                <w:rStyle w:val="Strong"/>
                <w:color w:val="000000"/>
                <w:sz w:val="22"/>
                <w:szCs w:val="22"/>
              </w:rPr>
              <w:t>Major Sector/Sector</w:t>
            </w:r>
          </w:p>
        </w:tc>
        <w:tc>
          <w:tcPr>
            <w:tcW w:w="1815" w:type="dxa"/>
            <w:tcBorders>
              <w:top w:val="single" w:sz="6" w:space="0" w:color="B1B1B1"/>
              <w:left w:val="single" w:sz="6" w:space="0" w:color="B1B1B1"/>
              <w:bottom w:val="single" w:sz="6" w:space="0" w:color="B1B1B1"/>
              <w:right w:val="single" w:sz="6" w:space="0" w:color="B1B1B1"/>
            </w:tcBorders>
            <w:vAlign w:val="center"/>
          </w:tcPr>
          <w:p w14:paraId="2D1A71C6" w14:textId="77777777" w:rsidR="00DD473A" w:rsidRDefault="00DD473A" w:rsidP="00DD473A">
            <w:pPr>
              <w:keepNext/>
              <w:keepLines/>
              <w:spacing w:line="300" w:lineRule="atLeast"/>
              <w:jc w:val="center"/>
              <w:rPr>
                <w:color w:val="000000"/>
                <w:sz w:val="22"/>
                <w:szCs w:val="22"/>
              </w:rPr>
            </w:pPr>
          </w:p>
        </w:tc>
        <w:tc>
          <w:tcPr>
            <w:tcW w:w="1653" w:type="dxa"/>
            <w:tcBorders>
              <w:top w:val="single" w:sz="6" w:space="0" w:color="B1B1B1"/>
              <w:left w:val="single" w:sz="6" w:space="0" w:color="B1B1B1"/>
              <w:bottom w:val="single" w:sz="6" w:space="0" w:color="B1B1B1"/>
              <w:right w:val="single" w:sz="6" w:space="0" w:color="B1B1B1"/>
            </w:tcBorders>
            <w:vAlign w:val="center"/>
          </w:tcPr>
          <w:p w14:paraId="6A8B72C6" w14:textId="77777777" w:rsidR="00DD473A" w:rsidRDefault="00DD473A" w:rsidP="00DD473A">
            <w:pPr>
              <w:keepNext/>
              <w:keepLines/>
              <w:spacing w:line="300" w:lineRule="atLeast"/>
              <w:jc w:val="center"/>
              <w:rPr>
                <w:color w:val="000000"/>
                <w:sz w:val="22"/>
                <w:szCs w:val="22"/>
              </w:rPr>
            </w:pPr>
          </w:p>
        </w:tc>
      </w:tr>
      <w:tr w:rsidR="00DD473A" w14:paraId="082260A2" w14:textId="77777777" w:rsidTr="00DD473A">
        <w:tc>
          <w:tcPr>
            <w:tcW w:w="5202" w:type="dxa"/>
            <w:tcBorders>
              <w:top w:val="single" w:sz="6" w:space="0" w:color="B1B1B1"/>
              <w:left w:val="single" w:sz="6" w:space="0" w:color="B1B1B1"/>
              <w:bottom w:val="single" w:sz="6" w:space="0" w:color="B1B1B1"/>
              <w:right w:val="single" w:sz="6" w:space="0" w:color="B1B1B1"/>
            </w:tcBorders>
            <w:vAlign w:val="center"/>
          </w:tcPr>
          <w:p w14:paraId="734E9B3C" w14:textId="77777777" w:rsidR="00DD473A" w:rsidRDefault="00DD473A" w:rsidP="00DD473A">
            <w:pPr>
              <w:spacing w:line="300" w:lineRule="atLeast"/>
              <w:rPr>
                <w:color w:val="000000"/>
                <w:sz w:val="22"/>
                <w:szCs w:val="22"/>
              </w:rPr>
            </w:pPr>
            <w:bookmarkStart w:id="39" w:name="SECTORS"/>
            <w:bookmarkEnd w:id="39"/>
            <w:r>
              <w:rPr>
                <w:color w:val="000000"/>
                <w:sz w:val="22"/>
                <w:szCs w:val="22"/>
              </w:rPr>
              <w:t xml:space="preserve"> Agriculture, Fishing and Forestry</w:t>
            </w:r>
          </w:p>
        </w:tc>
        <w:tc>
          <w:tcPr>
            <w:tcW w:w="1815" w:type="dxa"/>
            <w:tcBorders>
              <w:top w:val="single" w:sz="6" w:space="0" w:color="B1B1B1"/>
              <w:left w:val="single" w:sz="6" w:space="0" w:color="B1B1B1"/>
              <w:bottom w:val="single" w:sz="6" w:space="0" w:color="B1B1B1"/>
              <w:right w:val="single" w:sz="6" w:space="0" w:color="B1B1B1"/>
            </w:tcBorders>
            <w:vAlign w:val="center"/>
          </w:tcPr>
          <w:p w14:paraId="29A63ADF" w14:textId="77777777" w:rsidR="00DD473A" w:rsidRDefault="00DD473A" w:rsidP="00DD473A">
            <w:pPr>
              <w:tabs>
                <w:tab w:val="decimal" w:pos="918"/>
              </w:tabs>
              <w:spacing w:line="300" w:lineRule="atLeast"/>
              <w:rPr>
                <w:color w:val="000000"/>
                <w:sz w:val="22"/>
                <w:szCs w:val="22"/>
              </w:rPr>
            </w:pPr>
          </w:p>
        </w:tc>
        <w:tc>
          <w:tcPr>
            <w:tcW w:w="1653" w:type="dxa"/>
            <w:tcBorders>
              <w:top w:val="single" w:sz="6" w:space="0" w:color="B1B1B1"/>
              <w:left w:val="single" w:sz="6" w:space="0" w:color="B1B1B1"/>
              <w:bottom w:val="single" w:sz="6" w:space="0" w:color="B1B1B1"/>
              <w:right w:val="single" w:sz="6" w:space="0" w:color="B1B1B1"/>
            </w:tcBorders>
            <w:vAlign w:val="center"/>
          </w:tcPr>
          <w:p w14:paraId="692D40F8" w14:textId="77777777" w:rsidR="00DD473A" w:rsidRDefault="00DD473A" w:rsidP="00DD473A">
            <w:pPr>
              <w:tabs>
                <w:tab w:val="decimal" w:pos="918"/>
              </w:tabs>
              <w:spacing w:line="300" w:lineRule="atLeast"/>
              <w:rPr>
                <w:color w:val="000000"/>
                <w:sz w:val="22"/>
                <w:szCs w:val="22"/>
              </w:rPr>
            </w:pPr>
          </w:p>
        </w:tc>
      </w:tr>
      <w:tr w:rsidR="00DD473A" w14:paraId="55A52425" w14:textId="77777777" w:rsidTr="00DD473A">
        <w:tc>
          <w:tcPr>
            <w:tcW w:w="5202" w:type="dxa"/>
            <w:tcBorders>
              <w:top w:val="single" w:sz="6" w:space="0" w:color="B1B1B1"/>
              <w:left w:val="single" w:sz="6" w:space="0" w:color="B1B1B1"/>
              <w:bottom w:val="single" w:sz="6" w:space="0" w:color="B1B1B1"/>
              <w:right w:val="single" w:sz="6" w:space="0" w:color="B1B1B1"/>
            </w:tcBorders>
            <w:vAlign w:val="center"/>
          </w:tcPr>
          <w:p w14:paraId="29E1E7F7" w14:textId="77777777" w:rsidR="00DD473A" w:rsidRDefault="00DD473A" w:rsidP="00DD473A">
            <w:pPr>
              <w:spacing w:line="300" w:lineRule="atLeast"/>
              <w:rPr>
                <w:color w:val="000000"/>
                <w:sz w:val="22"/>
                <w:szCs w:val="22"/>
              </w:rPr>
            </w:pPr>
            <w:r>
              <w:rPr>
                <w:color w:val="000000"/>
                <w:sz w:val="22"/>
                <w:szCs w:val="22"/>
              </w:rPr>
              <w:t xml:space="preserve">       Other Agriculture, Fishing and Forestry</w:t>
            </w:r>
          </w:p>
        </w:tc>
        <w:tc>
          <w:tcPr>
            <w:tcW w:w="1815" w:type="dxa"/>
            <w:tcBorders>
              <w:top w:val="single" w:sz="6" w:space="0" w:color="B1B1B1"/>
              <w:left w:val="single" w:sz="6" w:space="0" w:color="B1B1B1"/>
              <w:bottom w:val="single" w:sz="6" w:space="0" w:color="B1B1B1"/>
              <w:right w:val="single" w:sz="6" w:space="0" w:color="B1B1B1"/>
            </w:tcBorders>
            <w:vAlign w:val="center"/>
          </w:tcPr>
          <w:p w14:paraId="5A8CC2A6" w14:textId="77777777" w:rsidR="00DD473A" w:rsidRDefault="00DD473A" w:rsidP="00DD473A">
            <w:pPr>
              <w:tabs>
                <w:tab w:val="decimal" w:pos="918"/>
              </w:tabs>
              <w:spacing w:line="300" w:lineRule="atLeast"/>
              <w:rPr>
                <w:color w:val="000000"/>
                <w:sz w:val="22"/>
                <w:szCs w:val="22"/>
              </w:rPr>
            </w:pPr>
            <w:r>
              <w:rPr>
                <w:color w:val="000000"/>
                <w:sz w:val="22"/>
                <w:szCs w:val="22"/>
              </w:rPr>
              <w:t>20</w:t>
            </w:r>
          </w:p>
        </w:tc>
        <w:tc>
          <w:tcPr>
            <w:tcW w:w="1653" w:type="dxa"/>
            <w:tcBorders>
              <w:top w:val="single" w:sz="6" w:space="0" w:color="B1B1B1"/>
              <w:left w:val="single" w:sz="6" w:space="0" w:color="B1B1B1"/>
              <w:bottom w:val="single" w:sz="6" w:space="0" w:color="B1B1B1"/>
              <w:right w:val="single" w:sz="6" w:space="0" w:color="B1B1B1"/>
            </w:tcBorders>
            <w:vAlign w:val="center"/>
          </w:tcPr>
          <w:p w14:paraId="651444ED" w14:textId="77777777" w:rsidR="00DD473A" w:rsidRDefault="00DD473A" w:rsidP="00DD473A">
            <w:pPr>
              <w:tabs>
                <w:tab w:val="decimal" w:pos="918"/>
              </w:tabs>
              <w:spacing w:line="300" w:lineRule="atLeast"/>
              <w:rPr>
                <w:color w:val="000000"/>
                <w:sz w:val="22"/>
                <w:szCs w:val="22"/>
              </w:rPr>
            </w:pPr>
            <w:r>
              <w:rPr>
                <w:color w:val="000000"/>
                <w:sz w:val="22"/>
                <w:szCs w:val="22"/>
              </w:rPr>
              <w:t>20</w:t>
            </w:r>
          </w:p>
        </w:tc>
      </w:tr>
      <w:tr w:rsidR="00DD473A" w14:paraId="76FBF24C" w14:textId="77777777" w:rsidTr="00DD473A">
        <w:tc>
          <w:tcPr>
            <w:tcW w:w="5202" w:type="dxa"/>
            <w:tcBorders>
              <w:top w:val="single" w:sz="6" w:space="0" w:color="B1B1B1"/>
              <w:left w:val="single" w:sz="6" w:space="0" w:color="B1B1B1"/>
              <w:bottom w:val="single" w:sz="6" w:space="0" w:color="B1B1B1"/>
              <w:right w:val="single" w:sz="6" w:space="0" w:color="B1B1B1"/>
            </w:tcBorders>
            <w:vAlign w:val="center"/>
          </w:tcPr>
          <w:p w14:paraId="3B68766F" w14:textId="77777777" w:rsidR="00DD473A" w:rsidRDefault="00DD473A" w:rsidP="00DD473A">
            <w:pPr>
              <w:spacing w:line="300" w:lineRule="atLeast"/>
              <w:rPr>
                <w:color w:val="000000"/>
                <w:sz w:val="22"/>
                <w:szCs w:val="22"/>
              </w:rPr>
            </w:pPr>
            <w:r>
              <w:rPr>
                <w:color w:val="000000"/>
                <w:sz w:val="22"/>
                <w:szCs w:val="22"/>
              </w:rPr>
              <w:t xml:space="preserve"> Public Administration</w:t>
            </w:r>
          </w:p>
        </w:tc>
        <w:tc>
          <w:tcPr>
            <w:tcW w:w="1815" w:type="dxa"/>
            <w:tcBorders>
              <w:top w:val="single" w:sz="6" w:space="0" w:color="B1B1B1"/>
              <w:left w:val="single" w:sz="6" w:space="0" w:color="B1B1B1"/>
              <w:bottom w:val="single" w:sz="6" w:space="0" w:color="B1B1B1"/>
              <w:right w:val="single" w:sz="6" w:space="0" w:color="B1B1B1"/>
            </w:tcBorders>
            <w:vAlign w:val="center"/>
          </w:tcPr>
          <w:p w14:paraId="319455BE" w14:textId="77777777" w:rsidR="00DD473A" w:rsidRDefault="00DD473A" w:rsidP="00DD473A">
            <w:pPr>
              <w:tabs>
                <w:tab w:val="decimal" w:pos="918"/>
              </w:tabs>
              <w:spacing w:line="300" w:lineRule="atLeast"/>
              <w:rPr>
                <w:color w:val="000000"/>
                <w:sz w:val="22"/>
                <w:szCs w:val="22"/>
              </w:rPr>
            </w:pPr>
          </w:p>
        </w:tc>
        <w:tc>
          <w:tcPr>
            <w:tcW w:w="1653" w:type="dxa"/>
            <w:tcBorders>
              <w:top w:val="single" w:sz="6" w:space="0" w:color="B1B1B1"/>
              <w:left w:val="single" w:sz="6" w:space="0" w:color="B1B1B1"/>
              <w:bottom w:val="single" w:sz="6" w:space="0" w:color="B1B1B1"/>
              <w:right w:val="single" w:sz="6" w:space="0" w:color="B1B1B1"/>
            </w:tcBorders>
            <w:vAlign w:val="center"/>
          </w:tcPr>
          <w:p w14:paraId="22AA3690" w14:textId="77777777" w:rsidR="00DD473A" w:rsidRDefault="00DD473A" w:rsidP="00DD473A">
            <w:pPr>
              <w:tabs>
                <w:tab w:val="decimal" w:pos="918"/>
              </w:tabs>
              <w:spacing w:line="300" w:lineRule="atLeast"/>
              <w:rPr>
                <w:color w:val="000000"/>
                <w:sz w:val="22"/>
                <w:szCs w:val="22"/>
              </w:rPr>
            </w:pPr>
          </w:p>
        </w:tc>
      </w:tr>
      <w:tr w:rsidR="00DD473A" w14:paraId="6CE2171F" w14:textId="77777777" w:rsidTr="00DD473A">
        <w:tc>
          <w:tcPr>
            <w:tcW w:w="5202" w:type="dxa"/>
            <w:tcBorders>
              <w:top w:val="single" w:sz="6" w:space="0" w:color="B1B1B1"/>
              <w:left w:val="single" w:sz="6" w:space="0" w:color="B1B1B1"/>
              <w:bottom w:val="single" w:sz="6" w:space="0" w:color="B1B1B1"/>
              <w:right w:val="single" w:sz="6" w:space="0" w:color="B1B1B1"/>
            </w:tcBorders>
            <w:vAlign w:val="center"/>
          </w:tcPr>
          <w:p w14:paraId="3A8B5275" w14:textId="77777777" w:rsidR="00DD473A" w:rsidRDefault="00DD473A" w:rsidP="00DD473A">
            <w:pPr>
              <w:spacing w:line="300" w:lineRule="atLeast"/>
              <w:rPr>
                <w:color w:val="000000"/>
                <w:sz w:val="22"/>
                <w:szCs w:val="22"/>
              </w:rPr>
            </w:pPr>
            <w:r>
              <w:rPr>
                <w:color w:val="000000"/>
                <w:sz w:val="22"/>
                <w:szCs w:val="22"/>
              </w:rPr>
              <w:t xml:space="preserve">       Central Government (Central Agencies)</w:t>
            </w:r>
          </w:p>
        </w:tc>
        <w:tc>
          <w:tcPr>
            <w:tcW w:w="1815" w:type="dxa"/>
            <w:tcBorders>
              <w:top w:val="single" w:sz="6" w:space="0" w:color="B1B1B1"/>
              <w:left w:val="single" w:sz="6" w:space="0" w:color="B1B1B1"/>
              <w:bottom w:val="single" w:sz="6" w:space="0" w:color="B1B1B1"/>
              <w:right w:val="single" w:sz="6" w:space="0" w:color="B1B1B1"/>
            </w:tcBorders>
            <w:vAlign w:val="center"/>
          </w:tcPr>
          <w:p w14:paraId="0DE72E4B" w14:textId="77777777" w:rsidR="00DD473A" w:rsidRDefault="00DD473A" w:rsidP="00DD473A">
            <w:pPr>
              <w:tabs>
                <w:tab w:val="decimal" w:pos="918"/>
              </w:tabs>
              <w:spacing w:line="300" w:lineRule="atLeast"/>
              <w:rPr>
                <w:color w:val="000000"/>
                <w:sz w:val="22"/>
                <w:szCs w:val="22"/>
              </w:rPr>
            </w:pPr>
            <w:r>
              <w:rPr>
                <w:color w:val="000000"/>
                <w:sz w:val="22"/>
                <w:szCs w:val="22"/>
              </w:rPr>
              <w:t>49</w:t>
            </w:r>
          </w:p>
        </w:tc>
        <w:tc>
          <w:tcPr>
            <w:tcW w:w="1653" w:type="dxa"/>
            <w:tcBorders>
              <w:top w:val="single" w:sz="6" w:space="0" w:color="B1B1B1"/>
              <w:left w:val="single" w:sz="6" w:space="0" w:color="B1B1B1"/>
              <w:bottom w:val="single" w:sz="6" w:space="0" w:color="B1B1B1"/>
              <w:right w:val="single" w:sz="6" w:space="0" w:color="B1B1B1"/>
            </w:tcBorders>
            <w:vAlign w:val="center"/>
          </w:tcPr>
          <w:p w14:paraId="78E7BA46" w14:textId="77777777" w:rsidR="00DD473A" w:rsidRDefault="00DD473A" w:rsidP="00DD473A">
            <w:pPr>
              <w:tabs>
                <w:tab w:val="decimal" w:pos="918"/>
              </w:tabs>
              <w:spacing w:line="300" w:lineRule="atLeast"/>
              <w:rPr>
                <w:color w:val="000000"/>
                <w:sz w:val="22"/>
                <w:szCs w:val="22"/>
              </w:rPr>
            </w:pPr>
            <w:r>
              <w:rPr>
                <w:color w:val="000000"/>
                <w:sz w:val="22"/>
                <w:szCs w:val="22"/>
              </w:rPr>
              <w:t>49</w:t>
            </w:r>
          </w:p>
        </w:tc>
      </w:tr>
      <w:tr w:rsidR="00DD473A" w14:paraId="76D41AF2" w14:textId="77777777" w:rsidTr="00DD473A">
        <w:tc>
          <w:tcPr>
            <w:tcW w:w="5202" w:type="dxa"/>
            <w:tcBorders>
              <w:top w:val="single" w:sz="6" w:space="0" w:color="B1B1B1"/>
              <w:left w:val="single" w:sz="6" w:space="0" w:color="B1B1B1"/>
              <w:bottom w:val="single" w:sz="6" w:space="0" w:color="B1B1B1"/>
              <w:right w:val="single" w:sz="6" w:space="0" w:color="B1B1B1"/>
            </w:tcBorders>
            <w:vAlign w:val="center"/>
          </w:tcPr>
          <w:p w14:paraId="389DFEAB" w14:textId="77777777" w:rsidR="00DD473A" w:rsidRDefault="00DD473A" w:rsidP="00DD473A">
            <w:pPr>
              <w:spacing w:line="300" w:lineRule="atLeast"/>
              <w:rPr>
                <w:color w:val="000000"/>
                <w:sz w:val="22"/>
                <w:szCs w:val="22"/>
              </w:rPr>
            </w:pPr>
            <w:r>
              <w:rPr>
                <w:color w:val="000000"/>
                <w:sz w:val="22"/>
                <w:szCs w:val="22"/>
              </w:rPr>
              <w:lastRenderedPageBreak/>
              <w:t xml:space="preserve"> Information and Communications Technologies</w:t>
            </w:r>
          </w:p>
        </w:tc>
        <w:tc>
          <w:tcPr>
            <w:tcW w:w="1815" w:type="dxa"/>
            <w:tcBorders>
              <w:top w:val="single" w:sz="6" w:space="0" w:color="B1B1B1"/>
              <w:left w:val="single" w:sz="6" w:space="0" w:color="B1B1B1"/>
              <w:bottom w:val="single" w:sz="6" w:space="0" w:color="B1B1B1"/>
              <w:right w:val="single" w:sz="6" w:space="0" w:color="B1B1B1"/>
            </w:tcBorders>
            <w:vAlign w:val="center"/>
          </w:tcPr>
          <w:p w14:paraId="203FAA15" w14:textId="77777777" w:rsidR="00DD473A" w:rsidRDefault="00DD473A" w:rsidP="00DD473A">
            <w:pPr>
              <w:tabs>
                <w:tab w:val="decimal" w:pos="918"/>
              </w:tabs>
              <w:spacing w:line="300" w:lineRule="atLeast"/>
              <w:rPr>
                <w:color w:val="000000"/>
                <w:sz w:val="22"/>
                <w:szCs w:val="22"/>
              </w:rPr>
            </w:pPr>
          </w:p>
        </w:tc>
        <w:tc>
          <w:tcPr>
            <w:tcW w:w="1653" w:type="dxa"/>
            <w:tcBorders>
              <w:top w:val="single" w:sz="6" w:space="0" w:color="B1B1B1"/>
              <w:left w:val="single" w:sz="6" w:space="0" w:color="B1B1B1"/>
              <w:bottom w:val="single" w:sz="6" w:space="0" w:color="B1B1B1"/>
              <w:right w:val="single" w:sz="6" w:space="0" w:color="B1B1B1"/>
            </w:tcBorders>
            <w:vAlign w:val="center"/>
          </w:tcPr>
          <w:p w14:paraId="456CB7CD" w14:textId="77777777" w:rsidR="00DD473A" w:rsidRDefault="00DD473A" w:rsidP="00DD473A">
            <w:pPr>
              <w:tabs>
                <w:tab w:val="decimal" w:pos="918"/>
              </w:tabs>
              <w:spacing w:line="300" w:lineRule="atLeast"/>
              <w:rPr>
                <w:color w:val="000000"/>
                <w:sz w:val="22"/>
                <w:szCs w:val="22"/>
              </w:rPr>
            </w:pPr>
          </w:p>
        </w:tc>
      </w:tr>
      <w:tr w:rsidR="00DD473A" w14:paraId="7D277A2A" w14:textId="77777777" w:rsidTr="00DD473A">
        <w:tc>
          <w:tcPr>
            <w:tcW w:w="5202" w:type="dxa"/>
            <w:tcBorders>
              <w:top w:val="single" w:sz="6" w:space="0" w:color="B1B1B1"/>
              <w:left w:val="single" w:sz="6" w:space="0" w:color="B1B1B1"/>
              <w:bottom w:val="single" w:sz="6" w:space="0" w:color="B1B1B1"/>
              <w:right w:val="single" w:sz="6" w:space="0" w:color="B1B1B1"/>
            </w:tcBorders>
            <w:vAlign w:val="center"/>
          </w:tcPr>
          <w:p w14:paraId="421AB032" w14:textId="77777777" w:rsidR="00DD473A" w:rsidRDefault="00DD473A" w:rsidP="00DD473A">
            <w:pPr>
              <w:spacing w:line="300" w:lineRule="atLeast"/>
              <w:rPr>
                <w:color w:val="000000"/>
                <w:sz w:val="22"/>
                <w:szCs w:val="22"/>
              </w:rPr>
            </w:pPr>
            <w:r>
              <w:rPr>
                <w:color w:val="000000"/>
                <w:sz w:val="22"/>
                <w:szCs w:val="22"/>
              </w:rPr>
              <w:t xml:space="preserve">       Other Information and Communications Technologies</w:t>
            </w:r>
          </w:p>
        </w:tc>
        <w:tc>
          <w:tcPr>
            <w:tcW w:w="1815" w:type="dxa"/>
            <w:tcBorders>
              <w:top w:val="single" w:sz="6" w:space="0" w:color="B1B1B1"/>
              <w:left w:val="single" w:sz="6" w:space="0" w:color="B1B1B1"/>
              <w:bottom w:val="single" w:sz="6" w:space="0" w:color="B1B1B1"/>
              <w:right w:val="single" w:sz="6" w:space="0" w:color="B1B1B1"/>
            </w:tcBorders>
            <w:vAlign w:val="center"/>
          </w:tcPr>
          <w:p w14:paraId="14E658CA" w14:textId="77777777" w:rsidR="00DD473A" w:rsidRDefault="00DD473A" w:rsidP="00DD473A">
            <w:pPr>
              <w:tabs>
                <w:tab w:val="decimal" w:pos="918"/>
              </w:tabs>
              <w:spacing w:line="300" w:lineRule="atLeast"/>
              <w:rPr>
                <w:color w:val="000000"/>
                <w:sz w:val="22"/>
                <w:szCs w:val="22"/>
              </w:rPr>
            </w:pPr>
            <w:r>
              <w:rPr>
                <w:color w:val="000000"/>
                <w:sz w:val="22"/>
                <w:szCs w:val="22"/>
              </w:rPr>
              <w:t>8</w:t>
            </w:r>
          </w:p>
        </w:tc>
        <w:tc>
          <w:tcPr>
            <w:tcW w:w="1653" w:type="dxa"/>
            <w:tcBorders>
              <w:top w:val="single" w:sz="6" w:space="0" w:color="B1B1B1"/>
              <w:left w:val="single" w:sz="6" w:space="0" w:color="B1B1B1"/>
              <w:bottom w:val="single" w:sz="6" w:space="0" w:color="B1B1B1"/>
              <w:right w:val="single" w:sz="6" w:space="0" w:color="B1B1B1"/>
            </w:tcBorders>
            <w:vAlign w:val="center"/>
          </w:tcPr>
          <w:p w14:paraId="63E90310" w14:textId="77777777" w:rsidR="00DD473A" w:rsidRDefault="00DD473A" w:rsidP="00DD473A">
            <w:pPr>
              <w:tabs>
                <w:tab w:val="decimal" w:pos="918"/>
              </w:tabs>
              <w:spacing w:line="300" w:lineRule="atLeast"/>
              <w:rPr>
                <w:color w:val="000000"/>
                <w:sz w:val="22"/>
                <w:szCs w:val="22"/>
              </w:rPr>
            </w:pPr>
            <w:r>
              <w:rPr>
                <w:color w:val="000000"/>
                <w:sz w:val="22"/>
                <w:szCs w:val="22"/>
              </w:rPr>
              <w:t>8</w:t>
            </w:r>
          </w:p>
        </w:tc>
      </w:tr>
      <w:tr w:rsidR="00DD473A" w14:paraId="3780E2D0" w14:textId="77777777" w:rsidTr="00DD473A">
        <w:tc>
          <w:tcPr>
            <w:tcW w:w="5202" w:type="dxa"/>
            <w:tcBorders>
              <w:top w:val="single" w:sz="6" w:space="0" w:color="B1B1B1"/>
              <w:left w:val="single" w:sz="6" w:space="0" w:color="B1B1B1"/>
              <w:bottom w:val="single" w:sz="6" w:space="0" w:color="B1B1B1"/>
              <w:right w:val="single" w:sz="6" w:space="0" w:color="B1B1B1"/>
            </w:tcBorders>
            <w:vAlign w:val="center"/>
          </w:tcPr>
          <w:p w14:paraId="6E869909" w14:textId="77777777" w:rsidR="00DD473A" w:rsidRDefault="00DD473A" w:rsidP="00DD473A">
            <w:pPr>
              <w:spacing w:line="300" w:lineRule="atLeast"/>
              <w:rPr>
                <w:color w:val="000000"/>
                <w:sz w:val="22"/>
                <w:szCs w:val="22"/>
              </w:rPr>
            </w:pPr>
            <w:r>
              <w:rPr>
                <w:color w:val="000000"/>
                <w:sz w:val="22"/>
                <w:szCs w:val="22"/>
              </w:rPr>
              <w:t xml:space="preserve">       ICT Services</w:t>
            </w:r>
          </w:p>
        </w:tc>
        <w:tc>
          <w:tcPr>
            <w:tcW w:w="1815" w:type="dxa"/>
            <w:tcBorders>
              <w:top w:val="single" w:sz="6" w:space="0" w:color="B1B1B1"/>
              <w:left w:val="single" w:sz="6" w:space="0" w:color="B1B1B1"/>
              <w:bottom w:val="single" w:sz="6" w:space="0" w:color="B1B1B1"/>
              <w:right w:val="single" w:sz="6" w:space="0" w:color="B1B1B1"/>
            </w:tcBorders>
            <w:vAlign w:val="center"/>
          </w:tcPr>
          <w:p w14:paraId="3CA9F12B" w14:textId="77777777" w:rsidR="00DD473A" w:rsidRDefault="00DD473A" w:rsidP="00DD473A">
            <w:pPr>
              <w:tabs>
                <w:tab w:val="decimal" w:pos="918"/>
              </w:tabs>
              <w:spacing w:line="300" w:lineRule="atLeast"/>
              <w:rPr>
                <w:color w:val="000000"/>
                <w:sz w:val="22"/>
                <w:szCs w:val="22"/>
              </w:rPr>
            </w:pPr>
            <w:r>
              <w:rPr>
                <w:color w:val="000000"/>
                <w:sz w:val="22"/>
                <w:szCs w:val="22"/>
              </w:rPr>
              <w:t>15</w:t>
            </w:r>
          </w:p>
        </w:tc>
        <w:tc>
          <w:tcPr>
            <w:tcW w:w="1653" w:type="dxa"/>
            <w:tcBorders>
              <w:top w:val="single" w:sz="6" w:space="0" w:color="B1B1B1"/>
              <w:left w:val="single" w:sz="6" w:space="0" w:color="B1B1B1"/>
              <w:bottom w:val="single" w:sz="6" w:space="0" w:color="B1B1B1"/>
              <w:right w:val="single" w:sz="6" w:space="0" w:color="B1B1B1"/>
            </w:tcBorders>
            <w:vAlign w:val="center"/>
          </w:tcPr>
          <w:p w14:paraId="5E95E50C" w14:textId="77777777" w:rsidR="00DD473A" w:rsidRDefault="00DD473A" w:rsidP="00DD473A">
            <w:pPr>
              <w:tabs>
                <w:tab w:val="decimal" w:pos="918"/>
              </w:tabs>
              <w:spacing w:line="300" w:lineRule="atLeast"/>
              <w:rPr>
                <w:color w:val="000000"/>
                <w:sz w:val="22"/>
                <w:szCs w:val="22"/>
              </w:rPr>
            </w:pPr>
            <w:r>
              <w:rPr>
                <w:color w:val="000000"/>
                <w:sz w:val="22"/>
                <w:szCs w:val="22"/>
              </w:rPr>
              <w:t>15</w:t>
            </w:r>
          </w:p>
        </w:tc>
      </w:tr>
      <w:tr w:rsidR="00DD473A" w14:paraId="125BEA88" w14:textId="77777777" w:rsidTr="00DD473A">
        <w:tc>
          <w:tcPr>
            <w:tcW w:w="5202" w:type="dxa"/>
            <w:tcBorders>
              <w:top w:val="single" w:sz="6" w:space="0" w:color="B1B1B1"/>
              <w:left w:val="single" w:sz="6" w:space="0" w:color="B1B1B1"/>
              <w:bottom w:val="single" w:sz="6" w:space="0" w:color="B1B1B1"/>
              <w:right w:val="single" w:sz="6" w:space="0" w:color="B1B1B1"/>
            </w:tcBorders>
            <w:vAlign w:val="center"/>
          </w:tcPr>
          <w:p w14:paraId="668A1D27" w14:textId="77777777" w:rsidR="00DD473A" w:rsidRDefault="00DD473A" w:rsidP="00DD473A">
            <w:pPr>
              <w:spacing w:line="300" w:lineRule="atLeast"/>
              <w:rPr>
                <w:color w:val="000000"/>
                <w:sz w:val="22"/>
                <w:szCs w:val="22"/>
              </w:rPr>
            </w:pPr>
            <w:r>
              <w:rPr>
                <w:color w:val="000000"/>
                <w:sz w:val="22"/>
                <w:szCs w:val="22"/>
              </w:rPr>
              <w:t xml:space="preserve"> </w:t>
            </w:r>
            <w:bookmarkStart w:id="40" w:name="SECTORS_COL_1"/>
            <w:bookmarkStart w:id="41" w:name="SECTORS_NEW_COL_1"/>
            <w:bookmarkEnd w:id="40"/>
            <w:r>
              <w:rPr>
                <w:color w:val="000000"/>
                <w:sz w:val="22"/>
                <w:szCs w:val="22"/>
              </w:rPr>
              <w:t>      Public Administration - Information and Communications Technologies</w:t>
            </w:r>
            <w:bookmarkEnd w:id="41"/>
          </w:p>
        </w:tc>
        <w:tc>
          <w:tcPr>
            <w:tcW w:w="1815" w:type="dxa"/>
            <w:tcBorders>
              <w:top w:val="single" w:sz="6" w:space="0" w:color="B1B1B1"/>
              <w:left w:val="single" w:sz="6" w:space="0" w:color="B1B1B1"/>
              <w:bottom w:val="single" w:sz="6" w:space="0" w:color="B1B1B1"/>
              <w:right w:val="single" w:sz="6" w:space="0" w:color="B1B1B1"/>
            </w:tcBorders>
            <w:vAlign w:val="center"/>
          </w:tcPr>
          <w:p w14:paraId="5B8D47F8" w14:textId="77777777" w:rsidR="00DD473A" w:rsidRDefault="00DD473A" w:rsidP="00DD473A">
            <w:pPr>
              <w:tabs>
                <w:tab w:val="decimal" w:pos="918"/>
              </w:tabs>
              <w:spacing w:line="300" w:lineRule="atLeast"/>
              <w:rPr>
                <w:color w:val="000000"/>
                <w:sz w:val="22"/>
                <w:szCs w:val="22"/>
              </w:rPr>
            </w:pPr>
            <w:bookmarkStart w:id="42" w:name="SECTORS_COL_2"/>
            <w:bookmarkStart w:id="43" w:name="SECTORS_NEW_COL_2"/>
            <w:bookmarkEnd w:id="42"/>
            <w:r>
              <w:rPr>
                <w:color w:val="000000"/>
                <w:sz w:val="22"/>
                <w:szCs w:val="22"/>
              </w:rPr>
              <w:t>8</w:t>
            </w:r>
            <w:bookmarkEnd w:id="43"/>
          </w:p>
        </w:tc>
        <w:tc>
          <w:tcPr>
            <w:tcW w:w="1653" w:type="dxa"/>
            <w:tcBorders>
              <w:top w:val="single" w:sz="6" w:space="0" w:color="B1B1B1"/>
              <w:left w:val="single" w:sz="6" w:space="0" w:color="B1B1B1"/>
              <w:bottom w:val="single" w:sz="6" w:space="0" w:color="B1B1B1"/>
              <w:right w:val="single" w:sz="6" w:space="0" w:color="B1B1B1"/>
            </w:tcBorders>
            <w:vAlign w:val="center"/>
          </w:tcPr>
          <w:p w14:paraId="560ED706" w14:textId="77777777" w:rsidR="00DD473A" w:rsidRDefault="00DD473A" w:rsidP="00DD473A">
            <w:pPr>
              <w:tabs>
                <w:tab w:val="decimal" w:pos="918"/>
              </w:tabs>
              <w:spacing w:line="300" w:lineRule="atLeast"/>
              <w:rPr>
                <w:color w:val="000000"/>
                <w:sz w:val="22"/>
                <w:szCs w:val="22"/>
              </w:rPr>
            </w:pPr>
            <w:bookmarkStart w:id="44" w:name="SECTORS_COL_3"/>
            <w:bookmarkStart w:id="45" w:name="SECTORS_NEW_COL_3"/>
            <w:bookmarkEnd w:id="44"/>
            <w:r>
              <w:rPr>
                <w:color w:val="000000"/>
                <w:sz w:val="22"/>
                <w:szCs w:val="22"/>
              </w:rPr>
              <w:t>8</w:t>
            </w:r>
            <w:bookmarkEnd w:id="45"/>
          </w:p>
        </w:tc>
      </w:tr>
    </w:tbl>
    <w:p w14:paraId="6B4125B7" w14:textId="77777777" w:rsidR="00DD473A" w:rsidRDefault="00DD473A" w:rsidP="00DD473A">
      <w:pPr>
        <w:tabs>
          <w:tab w:val="left" w:pos="5202"/>
          <w:tab w:val="left" w:pos="6936"/>
        </w:tabs>
        <w:rPr>
          <w:b/>
          <w:bCs/>
          <w:color w:val="606060"/>
          <w:sz w:val="2"/>
          <w:szCs w:val="2"/>
        </w:rPr>
      </w:pPr>
      <w:bookmarkStart w:id="46" w:name="SECTORS_NEW"/>
      <w:bookmarkEnd w:id="46"/>
    </w:p>
    <w:tbl>
      <w:tblPr>
        <w:tblW w:w="5000" w:type="pct"/>
        <w:tblLayout w:type="fixed"/>
        <w:tblCellMar>
          <w:top w:w="15" w:type="dxa"/>
          <w:left w:w="15" w:type="dxa"/>
          <w:bottom w:w="15" w:type="dxa"/>
          <w:right w:w="15" w:type="dxa"/>
        </w:tblCellMar>
        <w:tblLook w:val="0000" w:firstRow="0" w:lastRow="0" w:firstColumn="0" w:lastColumn="0" w:noHBand="0" w:noVBand="0"/>
      </w:tblPr>
      <w:tblGrid>
        <w:gridCol w:w="5180"/>
        <w:gridCol w:w="1800"/>
        <w:gridCol w:w="1644"/>
      </w:tblGrid>
      <w:tr w:rsidR="00DD473A" w14:paraId="7E537E43" w14:textId="77777777" w:rsidTr="00DD473A">
        <w:tc>
          <w:tcPr>
            <w:tcW w:w="5208"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3D50D42B" w14:textId="77777777" w:rsidR="00DD473A" w:rsidRDefault="00DD473A" w:rsidP="00DD473A">
            <w:pPr>
              <w:keepNext/>
              <w:keepLines/>
              <w:jc w:val="center"/>
              <w:rPr>
                <w:b/>
                <w:bCs/>
                <w:color w:val="606060"/>
                <w:sz w:val="22"/>
                <w:szCs w:val="22"/>
              </w:rPr>
            </w:pPr>
          </w:p>
        </w:tc>
        <w:tc>
          <w:tcPr>
            <w:tcW w:w="1809"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60E844AB" w14:textId="77777777" w:rsidR="00DD473A" w:rsidRDefault="00DD473A" w:rsidP="00DD473A">
            <w:pPr>
              <w:keepNext/>
              <w:keepLines/>
              <w:jc w:val="center"/>
              <w:rPr>
                <w:b/>
                <w:bCs/>
                <w:color w:val="606060"/>
                <w:sz w:val="22"/>
                <w:szCs w:val="22"/>
              </w:rPr>
            </w:pPr>
          </w:p>
        </w:tc>
        <w:tc>
          <w:tcPr>
            <w:tcW w:w="1653"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499F4629" w14:textId="77777777" w:rsidR="00DD473A" w:rsidRDefault="00DD473A" w:rsidP="00DD473A">
            <w:pPr>
              <w:keepNext/>
              <w:keepLines/>
              <w:jc w:val="center"/>
              <w:rPr>
                <w:b/>
                <w:bCs/>
                <w:color w:val="606060"/>
                <w:sz w:val="22"/>
                <w:szCs w:val="22"/>
              </w:rPr>
            </w:pPr>
          </w:p>
        </w:tc>
      </w:tr>
      <w:tr w:rsidR="00DD473A" w14:paraId="77B49486" w14:textId="77777777" w:rsidTr="00DD473A">
        <w:tc>
          <w:tcPr>
            <w:tcW w:w="5208" w:type="dxa"/>
            <w:tcBorders>
              <w:top w:val="single" w:sz="6" w:space="0" w:color="B1B1B1"/>
              <w:left w:val="single" w:sz="6" w:space="0" w:color="B1B1B1"/>
              <w:bottom w:val="single" w:sz="6" w:space="0" w:color="B1B1B1"/>
              <w:right w:val="single" w:sz="6" w:space="0" w:color="B1B1B1"/>
            </w:tcBorders>
            <w:vAlign w:val="center"/>
          </w:tcPr>
          <w:p w14:paraId="641FDBB4" w14:textId="77777777" w:rsidR="00DD473A" w:rsidRDefault="00DD473A" w:rsidP="00DD473A">
            <w:pPr>
              <w:keepNext/>
              <w:keepLines/>
              <w:spacing w:line="300" w:lineRule="atLeast"/>
              <w:rPr>
                <w:b/>
                <w:color w:val="000000"/>
                <w:sz w:val="22"/>
                <w:szCs w:val="22"/>
              </w:rPr>
            </w:pPr>
            <w:r>
              <w:rPr>
                <w:rStyle w:val="Strong"/>
                <w:color w:val="000000"/>
                <w:sz w:val="22"/>
                <w:szCs w:val="22"/>
              </w:rPr>
              <w:t>Major Theme/Theme/Sub Theme</w:t>
            </w:r>
          </w:p>
        </w:tc>
        <w:tc>
          <w:tcPr>
            <w:tcW w:w="1809" w:type="dxa"/>
            <w:tcBorders>
              <w:top w:val="single" w:sz="6" w:space="0" w:color="B1B1B1"/>
              <w:left w:val="single" w:sz="6" w:space="0" w:color="B1B1B1"/>
              <w:bottom w:val="single" w:sz="6" w:space="0" w:color="B1B1B1"/>
              <w:right w:val="single" w:sz="6" w:space="0" w:color="B1B1B1"/>
            </w:tcBorders>
            <w:vAlign w:val="center"/>
          </w:tcPr>
          <w:p w14:paraId="353C82E6" w14:textId="77777777" w:rsidR="00DD473A" w:rsidRDefault="00DD473A" w:rsidP="00DD473A">
            <w:pPr>
              <w:keepNext/>
              <w:keepLines/>
              <w:spacing w:line="300" w:lineRule="atLeast"/>
              <w:jc w:val="center"/>
              <w:rPr>
                <w:color w:val="000000"/>
                <w:sz w:val="22"/>
                <w:szCs w:val="22"/>
              </w:rPr>
            </w:pPr>
          </w:p>
        </w:tc>
        <w:tc>
          <w:tcPr>
            <w:tcW w:w="1653" w:type="dxa"/>
            <w:tcBorders>
              <w:top w:val="single" w:sz="6" w:space="0" w:color="B1B1B1"/>
              <w:left w:val="single" w:sz="6" w:space="0" w:color="B1B1B1"/>
              <w:bottom w:val="single" w:sz="6" w:space="0" w:color="B1B1B1"/>
              <w:right w:val="single" w:sz="6" w:space="0" w:color="B1B1B1"/>
            </w:tcBorders>
            <w:vAlign w:val="center"/>
          </w:tcPr>
          <w:p w14:paraId="6D768AB8" w14:textId="77777777" w:rsidR="00DD473A" w:rsidRDefault="00DD473A" w:rsidP="00DD473A">
            <w:pPr>
              <w:keepNext/>
              <w:keepLines/>
              <w:spacing w:line="300" w:lineRule="atLeast"/>
              <w:jc w:val="center"/>
              <w:rPr>
                <w:color w:val="000000"/>
                <w:sz w:val="22"/>
                <w:szCs w:val="22"/>
              </w:rPr>
            </w:pPr>
          </w:p>
        </w:tc>
      </w:tr>
      <w:tr w:rsidR="00DD473A" w14:paraId="0C198D73" w14:textId="77777777" w:rsidTr="00DD473A">
        <w:tc>
          <w:tcPr>
            <w:tcW w:w="5208" w:type="dxa"/>
            <w:tcBorders>
              <w:top w:val="single" w:sz="6" w:space="0" w:color="B1B1B1"/>
              <w:left w:val="single" w:sz="6" w:space="0" w:color="B1B1B1"/>
              <w:bottom w:val="single" w:sz="6" w:space="0" w:color="B1B1B1"/>
              <w:right w:val="single" w:sz="6" w:space="0" w:color="B1B1B1"/>
            </w:tcBorders>
            <w:vAlign w:val="center"/>
          </w:tcPr>
          <w:p w14:paraId="65B2D73B" w14:textId="77777777" w:rsidR="00DD473A" w:rsidRDefault="00DD473A" w:rsidP="00DD473A">
            <w:pPr>
              <w:spacing w:line="300" w:lineRule="atLeast"/>
              <w:rPr>
                <w:color w:val="000000"/>
                <w:sz w:val="22"/>
                <w:szCs w:val="22"/>
              </w:rPr>
            </w:pPr>
            <w:bookmarkStart w:id="47" w:name="THEMES"/>
            <w:bookmarkEnd w:id="47"/>
            <w:r>
              <w:rPr>
                <w:color w:val="000000"/>
                <w:sz w:val="22"/>
                <w:szCs w:val="22"/>
              </w:rPr>
              <w:t xml:space="preserve"> Public Sector Management</w:t>
            </w:r>
          </w:p>
        </w:tc>
        <w:tc>
          <w:tcPr>
            <w:tcW w:w="1809" w:type="dxa"/>
            <w:tcBorders>
              <w:top w:val="single" w:sz="6" w:space="0" w:color="B1B1B1"/>
              <w:left w:val="single" w:sz="6" w:space="0" w:color="B1B1B1"/>
              <w:bottom w:val="single" w:sz="6" w:space="0" w:color="B1B1B1"/>
              <w:right w:val="single" w:sz="6" w:space="0" w:color="B1B1B1"/>
            </w:tcBorders>
            <w:vAlign w:val="center"/>
          </w:tcPr>
          <w:p w14:paraId="18F7EAB2" w14:textId="77777777" w:rsidR="00DD473A" w:rsidRDefault="00DD473A" w:rsidP="00DD473A">
            <w:pPr>
              <w:spacing w:line="300" w:lineRule="atLeast"/>
              <w:jc w:val="center"/>
              <w:rPr>
                <w:color w:val="000000"/>
                <w:sz w:val="22"/>
                <w:szCs w:val="22"/>
              </w:rPr>
            </w:pPr>
          </w:p>
        </w:tc>
        <w:tc>
          <w:tcPr>
            <w:tcW w:w="1653" w:type="dxa"/>
            <w:tcBorders>
              <w:top w:val="single" w:sz="6" w:space="0" w:color="B1B1B1"/>
              <w:left w:val="single" w:sz="6" w:space="0" w:color="B1B1B1"/>
              <w:bottom w:val="single" w:sz="6" w:space="0" w:color="B1B1B1"/>
              <w:right w:val="single" w:sz="6" w:space="0" w:color="B1B1B1"/>
            </w:tcBorders>
            <w:vAlign w:val="center"/>
          </w:tcPr>
          <w:p w14:paraId="79F37698" w14:textId="77777777" w:rsidR="00DD473A" w:rsidRDefault="00DD473A" w:rsidP="00DD473A">
            <w:pPr>
              <w:spacing w:line="300" w:lineRule="atLeast"/>
              <w:jc w:val="center"/>
              <w:rPr>
                <w:color w:val="000000"/>
                <w:sz w:val="22"/>
                <w:szCs w:val="22"/>
              </w:rPr>
            </w:pPr>
          </w:p>
        </w:tc>
      </w:tr>
      <w:tr w:rsidR="00DD473A" w14:paraId="1091EA12" w14:textId="77777777" w:rsidTr="00DD473A">
        <w:tc>
          <w:tcPr>
            <w:tcW w:w="5208" w:type="dxa"/>
            <w:tcBorders>
              <w:top w:val="single" w:sz="6" w:space="0" w:color="B1B1B1"/>
              <w:left w:val="single" w:sz="6" w:space="0" w:color="B1B1B1"/>
              <w:bottom w:val="single" w:sz="6" w:space="0" w:color="B1B1B1"/>
              <w:right w:val="single" w:sz="6" w:space="0" w:color="B1B1B1"/>
            </w:tcBorders>
            <w:vAlign w:val="center"/>
          </w:tcPr>
          <w:p w14:paraId="4B541B5D" w14:textId="77777777" w:rsidR="00DD473A" w:rsidRDefault="00DD473A" w:rsidP="00DD473A">
            <w:pPr>
              <w:spacing w:line="300" w:lineRule="atLeast"/>
              <w:rPr>
                <w:color w:val="000000"/>
                <w:sz w:val="22"/>
                <w:szCs w:val="22"/>
              </w:rPr>
            </w:pPr>
            <w:r>
              <w:rPr>
                <w:color w:val="000000"/>
                <w:sz w:val="22"/>
                <w:szCs w:val="22"/>
              </w:rPr>
              <w:t xml:space="preserve">       Rule of Law</w:t>
            </w:r>
          </w:p>
        </w:tc>
        <w:tc>
          <w:tcPr>
            <w:tcW w:w="1809" w:type="dxa"/>
            <w:tcBorders>
              <w:top w:val="single" w:sz="6" w:space="0" w:color="B1B1B1"/>
              <w:left w:val="single" w:sz="6" w:space="0" w:color="B1B1B1"/>
              <w:bottom w:val="single" w:sz="6" w:space="0" w:color="B1B1B1"/>
              <w:right w:val="single" w:sz="6" w:space="0" w:color="B1B1B1"/>
            </w:tcBorders>
            <w:vAlign w:val="center"/>
          </w:tcPr>
          <w:p w14:paraId="74AAAD87" w14:textId="77777777" w:rsidR="00DD473A" w:rsidRDefault="00DD473A" w:rsidP="00DD473A">
            <w:pPr>
              <w:spacing w:line="300" w:lineRule="atLeast"/>
              <w:jc w:val="center"/>
              <w:rPr>
                <w:color w:val="000000"/>
                <w:sz w:val="22"/>
                <w:szCs w:val="22"/>
              </w:rPr>
            </w:pPr>
            <w:r>
              <w:rPr>
                <w:color w:val="000000"/>
                <w:sz w:val="22"/>
                <w:szCs w:val="22"/>
              </w:rPr>
              <w:t>20</w:t>
            </w:r>
          </w:p>
        </w:tc>
        <w:tc>
          <w:tcPr>
            <w:tcW w:w="1653" w:type="dxa"/>
            <w:tcBorders>
              <w:top w:val="single" w:sz="6" w:space="0" w:color="B1B1B1"/>
              <w:left w:val="single" w:sz="6" w:space="0" w:color="B1B1B1"/>
              <w:bottom w:val="single" w:sz="6" w:space="0" w:color="B1B1B1"/>
              <w:right w:val="single" w:sz="6" w:space="0" w:color="B1B1B1"/>
            </w:tcBorders>
            <w:vAlign w:val="center"/>
          </w:tcPr>
          <w:p w14:paraId="52CFFFB7" w14:textId="77777777" w:rsidR="00DD473A" w:rsidRDefault="00DD473A" w:rsidP="00DD473A">
            <w:pPr>
              <w:spacing w:line="300" w:lineRule="atLeast"/>
              <w:jc w:val="center"/>
              <w:rPr>
                <w:color w:val="000000"/>
                <w:sz w:val="22"/>
                <w:szCs w:val="22"/>
              </w:rPr>
            </w:pPr>
            <w:r>
              <w:rPr>
                <w:color w:val="000000"/>
                <w:sz w:val="22"/>
                <w:szCs w:val="22"/>
              </w:rPr>
              <w:t>20</w:t>
            </w:r>
          </w:p>
        </w:tc>
      </w:tr>
      <w:tr w:rsidR="00DD473A" w14:paraId="21DC3256" w14:textId="77777777" w:rsidTr="00DD473A">
        <w:tc>
          <w:tcPr>
            <w:tcW w:w="5208" w:type="dxa"/>
            <w:tcBorders>
              <w:top w:val="single" w:sz="6" w:space="0" w:color="B1B1B1"/>
              <w:left w:val="single" w:sz="6" w:space="0" w:color="B1B1B1"/>
              <w:bottom w:val="single" w:sz="6" w:space="0" w:color="B1B1B1"/>
              <w:right w:val="single" w:sz="6" w:space="0" w:color="B1B1B1"/>
            </w:tcBorders>
            <w:vAlign w:val="center"/>
          </w:tcPr>
          <w:p w14:paraId="48CD7F2B" w14:textId="77777777" w:rsidR="00DD473A" w:rsidRDefault="00DD473A" w:rsidP="00DD473A">
            <w:pPr>
              <w:spacing w:line="300" w:lineRule="atLeast"/>
              <w:rPr>
                <w:color w:val="000000"/>
                <w:sz w:val="22"/>
                <w:szCs w:val="22"/>
              </w:rPr>
            </w:pPr>
            <w:r>
              <w:rPr>
                <w:color w:val="000000"/>
                <w:sz w:val="22"/>
                <w:szCs w:val="22"/>
              </w:rPr>
              <w:t xml:space="preserve">             Personal and Property Rights</w:t>
            </w:r>
          </w:p>
        </w:tc>
        <w:tc>
          <w:tcPr>
            <w:tcW w:w="1809" w:type="dxa"/>
            <w:tcBorders>
              <w:top w:val="single" w:sz="6" w:space="0" w:color="B1B1B1"/>
              <w:left w:val="single" w:sz="6" w:space="0" w:color="B1B1B1"/>
              <w:bottom w:val="single" w:sz="6" w:space="0" w:color="B1B1B1"/>
              <w:right w:val="single" w:sz="6" w:space="0" w:color="B1B1B1"/>
            </w:tcBorders>
            <w:vAlign w:val="center"/>
          </w:tcPr>
          <w:p w14:paraId="0E946B2B" w14:textId="77777777" w:rsidR="00DD473A" w:rsidRDefault="00DD473A" w:rsidP="00DD473A">
            <w:pPr>
              <w:spacing w:line="300" w:lineRule="atLeast"/>
              <w:jc w:val="center"/>
              <w:rPr>
                <w:color w:val="000000"/>
                <w:sz w:val="22"/>
                <w:szCs w:val="22"/>
              </w:rPr>
            </w:pPr>
            <w:r>
              <w:rPr>
                <w:color w:val="000000"/>
                <w:sz w:val="22"/>
                <w:szCs w:val="22"/>
              </w:rPr>
              <w:t>20</w:t>
            </w:r>
          </w:p>
        </w:tc>
        <w:tc>
          <w:tcPr>
            <w:tcW w:w="1653" w:type="dxa"/>
            <w:tcBorders>
              <w:top w:val="single" w:sz="6" w:space="0" w:color="B1B1B1"/>
              <w:left w:val="single" w:sz="6" w:space="0" w:color="B1B1B1"/>
              <w:bottom w:val="single" w:sz="6" w:space="0" w:color="B1B1B1"/>
              <w:right w:val="single" w:sz="6" w:space="0" w:color="B1B1B1"/>
            </w:tcBorders>
            <w:vAlign w:val="center"/>
          </w:tcPr>
          <w:p w14:paraId="6EDFFC3A" w14:textId="77777777" w:rsidR="00DD473A" w:rsidRDefault="00DD473A" w:rsidP="00DD473A">
            <w:pPr>
              <w:spacing w:line="300" w:lineRule="atLeast"/>
              <w:jc w:val="center"/>
              <w:rPr>
                <w:color w:val="000000"/>
                <w:sz w:val="22"/>
                <w:szCs w:val="22"/>
              </w:rPr>
            </w:pPr>
            <w:r>
              <w:rPr>
                <w:color w:val="000000"/>
                <w:sz w:val="22"/>
                <w:szCs w:val="22"/>
              </w:rPr>
              <w:t>20</w:t>
            </w:r>
          </w:p>
        </w:tc>
      </w:tr>
      <w:tr w:rsidR="00DD473A" w14:paraId="791AFB2C" w14:textId="77777777" w:rsidTr="00DD473A">
        <w:tc>
          <w:tcPr>
            <w:tcW w:w="5208" w:type="dxa"/>
            <w:tcBorders>
              <w:top w:val="single" w:sz="6" w:space="0" w:color="B1B1B1"/>
              <w:left w:val="single" w:sz="6" w:space="0" w:color="B1B1B1"/>
              <w:bottom w:val="single" w:sz="6" w:space="0" w:color="B1B1B1"/>
              <w:right w:val="single" w:sz="6" w:space="0" w:color="B1B1B1"/>
            </w:tcBorders>
            <w:vAlign w:val="center"/>
          </w:tcPr>
          <w:p w14:paraId="1783CB10" w14:textId="77777777" w:rsidR="00DD473A" w:rsidRDefault="00DD473A" w:rsidP="00DD473A">
            <w:pPr>
              <w:spacing w:line="300" w:lineRule="atLeast"/>
              <w:rPr>
                <w:color w:val="000000"/>
                <w:sz w:val="22"/>
                <w:szCs w:val="22"/>
              </w:rPr>
            </w:pPr>
            <w:r>
              <w:rPr>
                <w:color w:val="000000"/>
                <w:sz w:val="22"/>
                <w:szCs w:val="22"/>
              </w:rPr>
              <w:t xml:space="preserve"> Urban and Rural Development</w:t>
            </w:r>
          </w:p>
        </w:tc>
        <w:tc>
          <w:tcPr>
            <w:tcW w:w="1809" w:type="dxa"/>
            <w:tcBorders>
              <w:top w:val="single" w:sz="6" w:space="0" w:color="B1B1B1"/>
              <w:left w:val="single" w:sz="6" w:space="0" w:color="B1B1B1"/>
              <w:bottom w:val="single" w:sz="6" w:space="0" w:color="B1B1B1"/>
              <w:right w:val="single" w:sz="6" w:space="0" w:color="B1B1B1"/>
            </w:tcBorders>
            <w:vAlign w:val="center"/>
          </w:tcPr>
          <w:p w14:paraId="3611D2AB" w14:textId="77777777" w:rsidR="00DD473A" w:rsidRDefault="00DD473A" w:rsidP="00DD473A">
            <w:pPr>
              <w:spacing w:line="300" w:lineRule="atLeast"/>
              <w:jc w:val="center"/>
              <w:rPr>
                <w:color w:val="000000"/>
                <w:sz w:val="22"/>
                <w:szCs w:val="22"/>
              </w:rPr>
            </w:pPr>
          </w:p>
        </w:tc>
        <w:tc>
          <w:tcPr>
            <w:tcW w:w="1653" w:type="dxa"/>
            <w:tcBorders>
              <w:top w:val="single" w:sz="6" w:space="0" w:color="B1B1B1"/>
              <w:left w:val="single" w:sz="6" w:space="0" w:color="B1B1B1"/>
              <w:bottom w:val="single" w:sz="6" w:space="0" w:color="B1B1B1"/>
              <w:right w:val="single" w:sz="6" w:space="0" w:color="B1B1B1"/>
            </w:tcBorders>
            <w:vAlign w:val="center"/>
          </w:tcPr>
          <w:p w14:paraId="64CBCA41" w14:textId="77777777" w:rsidR="00DD473A" w:rsidRDefault="00DD473A" w:rsidP="00DD473A">
            <w:pPr>
              <w:spacing w:line="300" w:lineRule="atLeast"/>
              <w:jc w:val="center"/>
              <w:rPr>
                <w:color w:val="000000"/>
                <w:sz w:val="22"/>
                <w:szCs w:val="22"/>
              </w:rPr>
            </w:pPr>
          </w:p>
        </w:tc>
      </w:tr>
      <w:tr w:rsidR="00DD473A" w14:paraId="28F165C8" w14:textId="77777777" w:rsidTr="00DD473A">
        <w:tc>
          <w:tcPr>
            <w:tcW w:w="5208" w:type="dxa"/>
            <w:tcBorders>
              <w:top w:val="single" w:sz="6" w:space="0" w:color="B1B1B1"/>
              <w:left w:val="single" w:sz="6" w:space="0" w:color="B1B1B1"/>
              <w:bottom w:val="single" w:sz="6" w:space="0" w:color="B1B1B1"/>
              <w:right w:val="single" w:sz="6" w:space="0" w:color="B1B1B1"/>
            </w:tcBorders>
            <w:vAlign w:val="center"/>
          </w:tcPr>
          <w:p w14:paraId="1B22C5D7" w14:textId="77777777" w:rsidR="00DD473A" w:rsidRDefault="00DD473A" w:rsidP="00DD473A">
            <w:pPr>
              <w:spacing w:line="300" w:lineRule="atLeast"/>
              <w:rPr>
                <w:color w:val="000000"/>
                <w:sz w:val="22"/>
                <w:szCs w:val="22"/>
              </w:rPr>
            </w:pPr>
            <w:r>
              <w:rPr>
                <w:color w:val="000000"/>
                <w:sz w:val="22"/>
                <w:szCs w:val="22"/>
              </w:rPr>
              <w:t xml:space="preserve">       Rural Development</w:t>
            </w:r>
          </w:p>
        </w:tc>
        <w:tc>
          <w:tcPr>
            <w:tcW w:w="1809" w:type="dxa"/>
            <w:tcBorders>
              <w:top w:val="single" w:sz="6" w:space="0" w:color="B1B1B1"/>
              <w:left w:val="single" w:sz="6" w:space="0" w:color="B1B1B1"/>
              <w:bottom w:val="single" w:sz="6" w:space="0" w:color="B1B1B1"/>
              <w:right w:val="single" w:sz="6" w:space="0" w:color="B1B1B1"/>
            </w:tcBorders>
            <w:vAlign w:val="center"/>
          </w:tcPr>
          <w:p w14:paraId="200C9084" w14:textId="77777777" w:rsidR="00DD473A" w:rsidRDefault="00DD473A" w:rsidP="00DD473A">
            <w:pPr>
              <w:spacing w:line="300" w:lineRule="atLeast"/>
              <w:jc w:val="center"/>
              <w:rPr>
                <w:color w:val="000000"/>
                <w:sz w:val="22"/>
                <w:szCs w:val="22"/>
              </w:rPr>
            </w:pPr>
            <w:r>
              <w:rPr>
                <w:color w:val="000000"/>
                <w:sz w:val="22"/>
                <w:szCs w:val="22"/>
              </w:rPr>
              <w:t>80</w:t>
            </w:r>
          </w:p>
        </w:tc>
        <w:tc>
          <w:tcPr>
            <w:tcW w:w="1653" w:type="dxa"/>
            <w:tcBorders>
              <w:top w:val="single" w:sz="6" w:space="0" w:color="B1B1B1"/>
              <w:left w:val="single" w:sz="6" w:space="0" w:color="B1B1B1"/>
              <w:bottom w:val="single" w:sz="6" w:space="0" w:color="B1B1B1"/>
              <w:right w:val="single" w:sz="6" w:space="0" w:color="B1B1B1"/>
            </w:tcBorders>
            <w:vAlign w:val="center"/>
          </w:tcPr>
          <w:p w14:paraId="1D10CF67" w14:textId="77777777" w:rsidR="00DD473A" w:rsidRDefault="00DD473A" w:rsidP="00DD473A">
            <w:pPr>
              <w:spacing w:line="300" w:lineRule="atLeast"/>
              <w:jc w:val="center"/>
              <w:rPr>
                <w:color w:val="000000"/>
                <w:sz w:val="22"/>
                <w:szCs w:val="22"/>
              </w:rPr>
            </w:pPr>
            <w:r>
              <w:rPr>
                <w:color w:val="000000"/>
                <w:sz w:val="22"/>
                <w:szCs w:val="22"/>
              </w:rPr>
              <w:t>80</w:t>
            </w:r>
          </w:p>
        </w:tc>
      </w:tr>
      <w:tr w:rsidR="00DD473A" w14:paraId="4B3CEBE2" w14:textId="77777777" w:rsidTr="00DD473A">
        <w:tc>
          <w:tcPr>
            <w:tcW w:w="5208" w:type="dxa"/>
            <w:tcBorders>
              <w:top w:val="single" w:sz="6" w:space="0" w:color="B1B1B1"/>
              <w:left w:val="single" w:sz="6" w:space="0" w:color="B1B1B1"/>
              <w:bottom w:val="single" w:sz="6" w:space="0" w:color="B1B1B1"/>
              <w:right w:val="single" w:sz="6" w:space="0" w:color="B1B1B1"/>
            </w:tcBorders>
            <w:vAlign w:val="center"/>
          </w:tcPr>
          <w:p w14:paraId="4FDA6872" w14:textId="77777777" w:rsidR="00DD473A" w:rsidRDefault="00DD473A" w:rsidP="00DD473A">
            <w:pPr>
              <w:spacing w:line="300" w:lineRule="atLeast"/>
              <w:rPr>
                <w:color w:val="000000"/>
                <w:sz w:val="22"/>
                <w:szCs w:val="22"/>
              </w:rPr>
            </w:pPr>
            <w:r>
              <w:rPr>
                <w:color w:val="000000"/>
                <w:sz w:val="22"/>
                <w:szCs w:val="22"/>
              </w:rPr>
              <w:t xml:space="preserve"> </w:t>
            </w:r>
            <w:bookmarkStart w:id="48" w:name="THEMES_COL_1"/>
            <w:bookmarkStart w:id="49" w:name="THEMES_NEW_COL_1"/>
            <w:bookmarkEnd w:id="48"/>
            <w:r>
              <w:rPr>
                <w:color w:val="000000"/>
                <w:sz w:val="22"/>
                <w:szCs w:val="22"/>
              </w:rPr>
              <w:t>            Land Administration and Management</w:t>
            </w:r>
            <w:bookmarkEnd w:id="49"/>
          </w:p>
        </w:tc>
        <w:tc>
          <w:tcPr>
            <w:tcW w:w="1809" w:type="dxa"/>
            <w:tcBorders>
              <w:top w:val="single" w:sz="6" w:space="0" w:color="B1B1B1"/>
              <w:left w:val="single" w:sz="6" w:space="0" w:color="B1B1B1"/>
              <w:bottom w:val="single" w:sz="6" w:space="0" w:color="B1B1B1"/>
              <w:right w:val="single" w:sz="6" w:space="0" w:color="B1B1B1"/>
            </w:tcBorders>
            <w:vAlign w:val="center"/>
          </w:tcPr>
          <w:p w14:paraId="08E5BF80" w14:textId="77777777" w:rsidR="00DD473A" w:rsidRDefault="00DD473A" w:rsidP="00DD473A">
            <w:pPr>
              <w:spacing w:line="300" w:lineRule="atLeast"/>
              <w:jc w:val="center"/>
              <w:rPr>
                <w:color w:val="000000"/>
                <w:sz w:val="22"/>
                <w:szCs w:val="22"/>
              </w:rPr>
            </w:pPr>
            <w:bookmarkStart w:id="50" w:name="THEMES_COL_2"/>
            <w:bookmarkStart w:id="51" w:name="THEMES_NEW_COL_2"/>
            <w:bookmarkEnd w:id="50"/>
            <w:r>
              <w:rPr>
                <w:color w:val="000000"/>
                <w:sz w:val="22"/>
                <w:szCs w:val="22"/>
              </w:rPr>
              <w:t>80</w:t>
            </w:r>
            <w:bookmarkEnd w:id="51"/>
          </w:p>
        </w:tc>
        <w:tc>
          <w:tcPr>
            <w:tcW w:w="1653" w:type="dxa"/>
            <w:tcBorders>
              <w:top w:val="single" w:sz="6" w:space="0" w:color="B1B1B1"/>
              <w:left w:val="single" w:sz="6" w:space="0" w:color="B1B1B1"/>
              <w:bottom w:val="single" w:sz="6" w:space="0" w:color="B1B1B1"/>
              <w:right w:val="single" w:sz="6" w:space="0" w:color="B1B1B1"/>
            </w:tcBorders>
            <w:vAlign w:val="center"/>
          </w:tcPr>
          <w:p w14:paraId="70F03C0E" w14:textId="77777777" w:rsidR="00DD473A" w:rsidRDefault="00DD473A" w:rsidP="00DD473A">
            <w:pPr>
              <w:spacing w:line="300" w:lineRule="atLeast"/>
              <w:jc w:val="center"/>
              <w:rPr>
                <w:color w:val="000000"/>
                <w:sz w:val="22"/>
                <w:szCs w:val="22"/>
              </w:rPr>
            </w:pPr>
            <w:bookmarkStart w:id="52" w:name="THEMES_COL_3"/>
            <w:bookmarkStart w:id="53" w:name="THEMES_NEW_COL_3"/>
            <w:bookmarkEnd w:id="52"/>
            <w:r>
              <w:rPr>
                <w:color w:val="000000"/>
                <w:sz w:val="22"/>
                <w:szCs w:val="22"/>
              </w:rPr>
              <w:t>80</w:t>
            </w:r>
            <w:bookmarkEnd w:id="53"/>
          </w:p>
        </w:tc>
      </w:tr>
    </w:tbl>
    <w:p w14:paraId="7B320E3F" w14:textId="77777777" w:rsidR="00DD473A" w:rsidRDefault="00DD473A" w:rsidP="00DD473A">
      <w:bookmarkStart w:id="54" w:name="THEMES_NEW"/>
      <w:bookmarkEnd w:id="54"/>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343"/>
        <w:gridCol w:w="3140"/>
        <w:gridCol w:w="3141"/>
      </w:tblGrid>
      <w:tr w:rsidR="00DD473A" w14:paraId="65FF81ED" w14:textId="77777777" w:rsidTr="00DD473A">
        <w:tc>
          <w:tcPr>
            <w:tcW w:w="8670" w:type="dxa"/>
            <w:gridSpan w:val="3"/>
            <w:tcBorders>
              <w:top w:val="single" w:sz="6" w:space="0" w:color="B1B1B1"/>
              <w:left w:val="single" w:sz="6" w:space="0" w:color="B1B1B1"/>
              <w:bottom w:val="single" w:sz="6" w:space="0" w:color="B1B1B1"/>
              <w:right w:val="single" w:sz="6" w:space="0" w:color="B1B1B1"/>
            </w:tcBorders>
            <w:shd w:val="clear" w:color="auto" w:fill="CDCCCC"/>
            <w:vAlign w:val="center"/>
          </w:tcPr>
          <w:p w14:paraId="4A597C39" w14:textId="77777777" w:rsidR="00DD473A" w:rsidRDefault="00DD473A" w:rsidP="00DD473A">
            <w:pPr>
              <w:pStyle w:val="Heading2"/>
              <w:keepNext/>
              <w:keepLines/>
            </w:pPr>
            <w:bookmarkStart w:id="55" w:name="_IL5"/>
            <w:bookmarkStart w:id="56" w:name="_Toc147483793"/>
            <w:r>
              <w:t>E. Bank Staff</w:t>
            </w:r>
            <w:bookmarkEnd w:id="55"/>
            <w:bookmarkEnd w:id="56"/>
            <w:r>
              <w:t xml:space="preserve"> </w:t>
            </w:r>
          </w:p>
        </w:tc>
      </w:tr>
      <w:tr w:rsidR="00DD473A" w14:paraId="256AB29B" w14:textId="77777777" w:rsidTr="00DD473A">
        <w:tc>
          <w:tcPr>
            <w:tcW w:w="2355"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16285E88" w14:textId="77777777" w:rsidR="00DD473A" w:rsidRDefault="00DD473A" w:rsidP="00DD473A">
            <w:pPr>
              <w:keepNext/>
              <w:keepLines/>
              <w:jc w:val="center"/>
              <w:rPr>
                <w:b/>
                <w:bCs/>
                <w:color w:val="606060"/>
                <w:sz w:val="22"/>
                <w:szCs w:val="22"/>
              </w:rPr>
            </w:pPr>
            <w:r>
              <w:rPr>
                <w:b/>
                <w:bCs/>
                <w:color w:val="606060"/>
                <w:sz w:val="22"/>
                <w:szCs w:val="22"/>
              </w:rPr>
              <w:t>Positions</w:t>
            </w:r>
          </w:p>
        </w:tc>
        <w:tc>
          <w:tcPr>
            <w:tcW w:w="3157"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25BF3D6E" w14:textId="77777777" w:rsidR="00DD473A" w:rsidRDefault="00DD473A" w:rsidP="00DD473A">
            <w:pPr>
              <w:keepNext/>
              <w:keepLines/>
              <w:jc w:val="center"/>
              <w:rPr>
                <w:b/>
                <w:bCs/>
                <w:color w:val="606060"/>
                <w:sz w:val="22"/>
                <w:szCs w:val="22"/>
              </w:rPr>
            </w:pPr>
            <w:r>
              <w:rPr>
                <w:b/>
                <w:bCs/>
                <w:color w:val="606060"/>
                <w:sz w:val="22"/>
                <w:szCs w:val="22"/>
              </w:rPr>
              <w:t>At NCO</w:t>
            </w:r>
          </w:p>
        </w:tc>
        <w:tc>
          <w:tcPr>
            <w:tcW w:w="3158"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34A47D61" w14:textId="77777777" w:rsidR="00DD473A" w:rsidRDefault="00DD473A" w:rsidP="00DD473A">
            <w:pPr>
              <w:keepNext/>
              <w:keepLines/>
              <w:jc w:val="center"/>
              <w:rPr>
                <w:b/>
                <w:bCs/>
                <w:color w:val="606060"/>
                <w:sz w:val="22"/>
                <w:szCs w:val="22"/>
              </w:rPr>
            </w:pPr>
            <w:r>
              <w:rPr>
                <w:b/>
                <w:bCs/>
                <w:color w:val="606060"/>
                <w:sz w:val="22"/>
                <w:szCs w:val="22"/>
              </w:rPr>
              <w:t>At Approval</w:t>
            </w:r>
          </w:p>
        </w:tc>
      </w:tr>
      <w:tr w:rsidR="00DD473A" w14:paraId="4382ED91" w14:textId="77777777" w:rsidTr="00DD473A">
        <w:tc>
          <w:tcPr>
            <w:tcW w:w="2355" w:type="dxa"/>
            <w:tcBorders>
              <w:top w:val="single" w:sz="6" w:space="0" w:color="B1B1B1"/>
              <w:left w:val="single" w:sz="6" w:space="0" w:color="B1B1B1"/>
              <w:bottom w:val="single" w:sz="6" w:space="0" w:color="B1B1B1"/>
              <w:right w:val="single" w:sz="6" w:space="0" w:color="B1B1B1"/>
            </w:tcBorders>
            <w:noWrap/>
            <w:vAlign w:val="center"/>
          </w:tcPr>
          <w:p w14:paraId="095298E9" w14:textId="77777777" w:rsidR="00DD473A" w:rsidRDefault="00DD473A" w:rsidP="00DD473A">
            <w:pPr>
              <w:spacing w:line="300" w:lineRule="atLeast"/>
              <w:rPr>
                <w:color w:val="000000"/>
                <w:sz w:val="22"/>
                <w:szCs w:val="22"/>
              </w:rPr>
            </w:pPr>
            <w:r>
              <w:rPr>
                <w:color w:val="000000"/>
                <w:sz w:val="22"/>
                <w:szCs w:val="22"/>
              </w:rPr>
              <w:t xml:space="preserve"> Vice President:</w:t>
            </w:r>
          </w:p>
        </w:tc>
        <w:tc>
          <w:tcPr>
            <w:tcW w:w="3157" w:type="dxa"/>
            <w:tcBorders>
              <w:top w:val="single" w:sz="6" w:space="0" w:color="B1B1B1"/>
              <w:left w:val="single" w:sz="6" w:space="0" w:color="B1B1B1"/>
              <w:bottom w:val="single" w:sz="6" w:space="0" w:color="B1B1B1"/>
              <w:right w:val="single" w:sz="6" w:space="0" w:color="B1B1B1"/>
            </w:tcBorders>
            <w:noWrap/>
            <w:vAlign w:val="center"/>
          </w:tcPr>
          <w:p w14:paraId="40C0E9C0" w14:textId="77777777" w:rsidR="00DD473A" w:rsidRDefault="00DD473A" w:rsidP="00DD473A">
            <w:pPr>
              <w:spacing w:line="300" w:lineRule="atLeast"/>
              <w:rPr>
                <w:color w:val="000000"/>
                <w:sz w:val="22"/>
                <w:szCs w:val="22"/>
              </w:rPr>
            </w:pPr>
            <w:r>
              <w:rPr>
                <w:color w:val="000000"/>
                <w:sz w:val="22"/>
                <w:szCs w:val="22"/>
              </w:rPr>
              <w:t>Cyril E Muller</w:t>
            </w:r>
          </w:p>
        </w:tc>
        <w:tc>
          <w:tcPr>
            <w:tcW w:w="3158" w:type="dxa"/>
            <w:tcBorders>
              <w:top w:val="single" w:sz="6" w:space="0" w:color="B1B1B1"/>
              <w:left w:val="single" w:sz="6" w:space="0" w:color="B1B1B1"/>
              <w:bottom w:val="single" w:sz="6" w:space="0" w:color="B1B1B1"/>
              <w:right w:val="single" w:sz="6" w:space="0" w:color="B1B1B1"/>
            </w:tcBorders>
            <w:noWrap/>
            <w:vAlign w:val="center"/>
          </w:tcPr>
          <w:p w14:paraId="43D4530D" w14:textId="77777777" w:rsidR="00DD473A" w:rsidRDefault="00DD473A" w:rsidP="00DD473A">
            <w:pPr>
              <w:spacing w:line="300" w:lineRule="atLeast"/>
              <w:rPr>
                <w:color w:val="000000"/>
                <w:sz w:val="22"/>
                <w:szCs w:val="22"/>
              </w:rPr>
            </w:pPr>
            <w:r>
              <w:rPr>
                <w:color w:val="000000"/>
                <w:sz w:val="22"/>
                <w:szCs w:val="22"/>
              </w:rPr>
              <w:t>Cyril E Muller</w:t>
            </w:r>
          </w:p>
        </w:tc>
      </w:tr>
      <w:tr w:rsidR="00DD473A" w14:paraId="15F8C9BE" w14:textId="77777777" w:rsidTr="00DD473A">
        <w:tc>
          <w:tcPr>
            <w:tcW w:w="2355" w:type="dxa"/>
            <w:tcBorders>
              <w:top w:val="single" w:sz="6" w:space="0" w:color="B1B1B1"/>
              <w:left w:val="single" w:sz="6" w:space="0" w:color="B1B1B1"/>
              <w:bottom w:val="single" w:sz="6" w:space="0" w:color="B1B1B1"/>
              <w:right w:val="single" w:sz="6" w:space="0" w:color="B1B1B1"/>
            </w:tcBorders>
            <w:noWrap/>
            <w:vAlign w:val="center"/>
          </w:tcPr>
          <w:p w14:paraId="10E0B755" w14:textId="77777777" w:rsidR="00DD473A" w:rsidRDefault="00DD473A" w:rsidP="00DD473A">
            <w:pPr>
              <w:spacing w:line="300" w:lineRule="atLeast"/>
              <w:rPr>
                <w:color w:val="000000"/>
                <w:sz w:val="22"/>
                <w:szCs w:val="22"/>
              </w:rPr>
            </w:pPr>
            <w:r>
              <w:rPr>
                <w:color w:val="000000"/>
                <w:sz w:val="22"/>
                <w:szCs w:val="22"/>
              </w:rPr>
              <w:t xml:space="preserve"> Country Director:</w:t>
            </w:r>
          </w:p>
        </w:tc>
        <w:tc>
          <w:tcPr>
            <w:tcW w:w="3157" w:type="dxa"/>
            <w:tcBorders>
              <w:top w:val="single" w:sz="6" w:space="0" w:color="B1B1B1"/>
              <w:left w:val="single" w:sz="6" w:space="0" w:color="B1B1B1"/>
              <w:bottom w:val="single" w:sz="6" w:space="0" w:color="B1B1B1"/>
              <w:right w:val="single" w:sz="6" w:space="0" w:color="B1B1B1"/>
            </w:tcBorders>
            <w:noWrap/>
            <w:vAlign w:val="center"/>
          </w:tcPr>
          <w:p w14:paraId="17E601B0" w14:textId="77777777" w:rsidR="00DD473A" w:rsidRDefault="00DD473A" w:rsidP="00DD473A">
            <w:pPr>
              <w:spacing w:line="300" w:lineRule="atLeast"/>
              <w:rPr>
                <w:color w:val="000000"/>
                <w:sz w:val="22"/>
                <w:szCs w:val="22"/>
              </w:rPr>
            </w:pPr>
            <w:r>
              <w:rPr>
                <w:color w:val="000000"/>
                <w:sz w:val="22"/>
                <w:szCs w:val="22"/>
              </w:rPr>
              <w:t>Lilia Burunciuc</w:t>
            </w:r>
          </w:p>
        </w:tc>
        <w:tc>
          <w:tcPr>
            <w:tcW w:w="3158" w:type="dxa"/>
            <w:tcBorders>
              <w:top w:val="single" w:sz="6" w:space="0" w:color="B1B1B1"/>
              <w:left w:val="single" w:sz="6" w:space="0" w:color="B1B1B1"/>
              <w:bottom w:val="single" w:sz="6" w:space="0" w:color="B1B1B1"/>
              <w:right w:val="single" w:sz="6" w:space="0" w:color="B1B1B1"/>
            </w:tcBorders>
            <w:noWrap/>
            <w:vAlign w:val="center"/>
          </w:tcPr>
          <w:p w14:paraId="6DDB6D30" w14:textId="77777777" w:rsidR="00DD473A" w:rsidRDefault="00DD473A" w:rsidP="00DD473A">
            <w:pPr>
              <w:spacing w:line="300" w:lineRule="atLeast"/>
              <w:rPr>
                <w:color w:val="000000"/>
                <w:sz w:val="22"/>
                <w:szCs w:val="22"/>
              </w:rPr>
            </w:pPr>
            <w:r>
              <w:rPr>
                <w:color w:val="000000"/>
                <w:sz w:val="22"/>
                <w:szCs w:val="22"/>
              </w:rPr>
              <w:t>Mariam J. Sherman</w:t>
            </w:r>
          </w:p>
        </w:tc>
      </w:tr>
      <w:tr w:rsidR="00DD473A" w14:paraId="643BF270" w14:textId="77777777" w:rsidTr="00DD473A">
        <w:tc>
          <w:tcPr>
            <w:tcW w:w="2355" w:type="dxa"/>
            <w:tcBorders>
              <w:top w:val="single" w:sz="6" w:space="0" w:color="B1B1B1"/>
              <w:left w:val="single" w:sz="6" w:space="0" w:color="B1B1B1"/>
              <w:bottom w:val="single" w:sz="6" w:space="0" w:color="B1B1B1"/>
              <w:right w:val="single" w:sz="6" w:space="0" w:color="B1B1B1"/>
            </w:tcBorders>
            <w:noWrap/>
            <w:vAlign w:val="center"/>
          </w:tcPr>
          <w:p w14:paraId="046048E1" w14:textId="77777777" w:rsidR="00DD473A" w:rsidRDefault="00DD473A" w:rsidP="00DD473A">
            <w:pPr>
              <w:spacing w:line="300" w:lineRule="atLeast"/>
              <w:rPr>
                <w:color w:val="000000"/>
                <w:sz w:val="22"/>
                <w:szCs w:val="22"/>
              </w:rPr>
            </w:pPr>
            <w:r>
              <w:rPr>
                <w:color w:val="000000"/>
                <w:sz w:val="22"/>
                <w:szCs w:val="22"/>
              </w:rPr>
              <w:t xml:space="preserve"> Practice Manager/Manager:</w:t>
            </w:r>
          </w:p>
        </w:tc>
        <w:tc>
          <w:tcPr>
            <w:tcW w:w="3157" w:type="dxa"/>
            <w:tcBorders>
              <w:top w:val="single" w:sz="6" w:space="0" w:color="B1B1B1"/>
              <w:left w:val="single" w:sz="6" w:space="0" w:color="B1B1B1"/>
              <w:bottom w:val="single" w:sz="6" w:space="0" w:color="B1B1B1"/>
              <w:right w:val="single" w:sz="6" w:space="0" w:color="B1B1B1"/>
            </w:tcBorders>
            <w:noWrap/>
            <w:vAlign w:val="center"/>
          </w:tcPr>
          <w:p w14:paraId="7CD8A4D2" w14:textId="77777777" w:rsidR="00DD473A" w:rsidRDefault="00DD473A" w:rsidP="00DD473A">
            <w:pPr>
              <w:spacing w:line="300" w:lineRule="atLeast"/>
              <w:rPr>
                <w:color w:val="000000"/>
                <w:sz w:val="22"/>
                <w:szCs w:val="22"/>
              </w:rPr>
            </w:pPr>
            <w:r>
              <w:rPr>
                <w:color w:val="000000"/>
                <w:sz w:val="22"/>
                <w:szCs w:val="22"/>
              </w:rPr>
              <w:t>Jorge A. Munoz</w:t>
            </w:r>
          </w:p>
        </w:tc>
        <w:tc>
          <w:tcPr>
            <w:tcW w:w="3158" w:type="dxa"/>
            <w:tcBorders>
              <w:top w:val="single" w:sz="6" w:space="0" w:color="B1B1B1"/>
              <w:left w:val="single" w:sz="6" w:space="0" w:color="B1B1B1"/>
              <w:bottom w:val="single" w:sz="6" w:space="0" w:color="B1B1B1"/>
              <w:right w:val="single" w:sz="6" w:space="0" w:color="B1B1B1"/>
            </w:tcBorders>
            <w:noWrap/>
            <w:vAlign w:val="center"/>
          </w:tcPr>
          <w:p w14:paraId="1E37F843" w14:textId="77777777" w:rsidR="00DD473A" w:rsidRDefault="00DD473A" w:rsidP="00DD473A">
            <w:pPr>
              <w:spacing w:line="300" w:lineRule="atLeast"/>
              <w:rPr>
                <w:color w:val="000000"/>
                <w:sz w:val="22"/>
                <w:szCs w:val="22"/>
              </w:rPr>
            </w:pPr>
            <w:r>
              <w:rPr>
                <w:color w:val="000000"/>
                <w:sz w:val="22"/>
                <w:szCs w:val="22"/>
              </w:rPr>
              <w:t>Jorge A. Munoz</w:t>
            </w:r>
          </w:p>
        </w:tc>
      </w:tr>
      <w:tr w:rsidR="00DD473A" w14:paraId="26D93428" w14:textId="77777777" w:rsidTr="00DD473A">
        <w:tc>
          <w:tcPr>
            <w:tcW w:w="2355" w:type="dxa"/>
            <w:tcBorders>
              <w:top w:val="single" w:sz="6" w:space="0" w:color="B1B1B1"/>
              <w:left w:val="single" w:sz="6" w:space="0" w:color="B1B1B1"/>
              <w:bottom w:val="single" w:sz="6" w:space="0" w:color="B1B1B1"/>
              <w:right w:val="single" w:sz="6" w:space="0" w:color="B1B1B1"/>
            </w:tcBorders>
            <w:noWrap/>
            <w:vAlign w:val="center"/>
          </w:tcPr>
          <w:p w14:paraId="6AD09331" w14:textId="77777777" w:rsidR="00DD473A" w:rsidRDefault="00DD473A" w:rsidP="00DD473A">
            <w:pPr>
              <w:spacing w:line="300" w:lineRule="atLeast"/>
              <w:rPr>
                <w:color w:val="000000"/>
                <w:sz w:val="22"/>
                <w:szCs w:val="22"/>
              </w:rPr>
            </w:pPr>
            <w:r>
              <w:rPr>
                <w:color w:val="000000"/>
                <w:sz w:val="22"/>
                <w:szCs w:val="22"/>
              </w:rPr>
              <w:t xml:space="preserve"> Project Team Leader:</w:t>
            </w:r>
          </w:p>
        </w:tc>
        <w:tc>
          <w:tcPr>
            <w:tcW w:w="3157" w:type="dxa"/>
            <w:tcBorders>
              <w:top w:val="single" w:sz="6" w:space="0" w:color="B1B1B1"/>
              <w:left w:val="single" w:sz="6" w:space="0" w:color="B1B1B1"/>
              <w:bottom w:val="single" w:sz="6" w:space="0" w:color="B1B1B1"/>
              <w:right w:val="single" w:sz="6" w:space="0" w:color="B1B1B1"/>
            </w:tcBorders>
            <w:noWrap/>
            <w:vAlign w:val="center"/>
          </w:tcPr>
          <w:p w14:paraId="5EABBD34" w14:textId="77777777" w:rsidR="00DD473A" w:rsidRDefault="00DD473A" w:rsidP="00DD473A">
            <w:pPr>
              <w:spacing w:line="300" w:lineRule="atLeast"/>
              <w:rPr>
                <w:color w:val="000000"/>
                <w:sz w:val="22"/>
                <w:szCs w:val="22"/>
              </w:rPr>
            </w:pPr>
            <w:r>
              <w:rPr>
                <w:color w:val="000000"/>
                <w:sz w:val="22"/>
                <w:szCs w:val="22"/>
              </w:rPr>
              <w:t>Victoria Stanley</w:t>
            </w:r>
          </w:p>
        </w:tc>
        <w:tc>
          <w:tcPr>
            <w:tcW w:w="3158" w:type="dxa"/>
            <w:tcBorders>
              <w:top w:val="single" w:sz="6" w:space="0" w:color="B1B1B1"/>
              <w:left w:val="single" w:sz="6" w:space="0" w:color="B1B1B1"/>
              <w:bottom w:val="single" w:sz="6" w:space="0" w:color="B1B1B1"/>
              <w:right w:val="single" w:sz="6" w:space="0" w:color="B1B1B1"/>
            </w:tcBorders>
            <w:noWrap/>
            <w:vAlign w:val="center"/>
          </w:tcPr>
          <w:p w14:paraId="7D865E36" w14:textId="77777777" w:rsidR="00DD473A" w:rsidRDefault="00DD473A" w:rsidP="00DD473A">
            <w:pPr>
              <w:spacing w:line="300" w:lineRule="atLeast"/>
              <w:rPr>
                <w:color w:val="000000"/>
                <w:sz w:val="22"/>
                <w:szCs w:val="22"/>
              </w:rPr>
            </w:pPr>
            <w:r>
              <w:rPr>
                <w:color w:val="000000"/>
                <w:sz w:val="22"/>
                <w:szCs w:val="22"/>
              </w:rPr>
              <w:t>Victoria Stanley</w:t>
            </w:r>
          </w:p>
        </w:tc>
      </w:tr>
      <w:tr w:rsidR="00DD473A" w14:paraId="42611EB1" w14:textId="77777777" w:rsidTr="00DD473A">
        <w:tc>
          <w:tcPr>
            <w:tcW w:w="2355" w:type="dxa"/>
            <w:tcBorders>
              <w:top w:val="single" w:sz="6" w:space="0" w:color="B1B1B1"/>
              <w:left w:val="single" w:sz="6" w:space="0" w:color="B1B1B1"/>
              <w:bottom w:val="single" w:sz="6" w:space="0" w:color="B1B1B1"/>
              <w:right w:val="single" w:sz="6" w:space="0" w:color="B1B1B1"/>
            </w:tcBorders>
            <w:noWrap/>
            <w:vAlign w:val="center"/>
          </w:tcPr>
          <w:p w14:paraId="75B2A3CA" w14:textId="77777777" w:rsidR="00DD473A" w:rsidRDefault="00DD473A" w:rsidP="00DD473A">
            <w:pPr>
              <w:spacing w:line="300" w:lineRule="atLeast"/>
              <w:rPr>
                <w:color w:val="000000"/>
                <w:sz w:val="22"/>
                <w:szCs w:val="22"/>
              </w:rPr>
            </w:pPr>
            <w:r>
              <w:rPr>
                <w:color w:val="000000"/>
                <w:sz w:val="22"/>
                <w:szCs w:val="22"/>
              </w:rPr>
              <w:t xml:space="preserve"> </w:t>
            </w:r>
            <w:bookmarkStart w:id="57" w:name="BANK_STAFF_COL_1"/>
            <w:r>
              <w:rPr>
                <w:color w:val="000000"/>
                <w:sz w:val="22"/>
                <w:szCs w:val="22"/>
              </w:rPr>
              <w:t>NCO Team Leader:</w:t>
            </w:r>
            <w:bookmarkEnd w:id="57"/>
          </w:p>
        </w:tc>
        <w:tc>
          <w:tcPr>
            <w:tcW w:w="3157" w:type="dxa"/>
            <w:tcBorders>
              <w:top w:val="single" w:sz="6" w:space="0" w:color="B1B1B1"/>
              <w:left w:val="single" w:sz="6" w:space="0" w:color="B1B1B1"/>
              <w:bottom w:val="single" w:sz="6" w:space="0" w:color="B1B1B1"/>
              <w:right w:val="single" w:sz="6" w:space="0" w:color="B1B1B1"/>
            </w:tcBorders>
            <w:noWrap/>
            <w:vAlign w:val="center"/>
          </w:tcPr>
          <w:p w14:paraId="6142849A" w14:textId="77777777" w:rsidR="00DD473A" w:rsidRDefault="00DD473A" w:rsidP="00DD473A">
            <w:pPr>
              <w:spacing w:line="300" w:lineRule="atLeast"/>
              <w:rPr>
                <w:color w:val="000000"/>
                <w:sz w:val="22"/>
                <w:szCs w:val="22"/>
              </w:rPr>
            </w:pPr>
            <w:bookmarkStart w:id="58" w:name="BANK_STAFF_COL_4"/>
            <w:bookmarkStart w:id="59" w:name="BANK_STAFF_COL_2"/>
            <w:bookmarkEnd w:id="58"/>
            <w:r>
              <w:rPr>
                <w:color w:val="000000"/>
                <w:sz w:val="22"/>
                <w:szCs w:val="22"/>
              </w:rPr>
              <w:t>Victoria Stanley</w:t>
            </w:r>
            <w:bookmarkEnd w:id="59"/>
          </w:p>
        </w:tc>
        <w:tc>
          <w:tcPr>
            <w:tcW w:w="3158" w:type="dxa"/>
            <w:tcBorders>
              <w:top w:val="single" w:sz="6" w:space="0" w:color="B1B1B1"/>
              <w:left w:val="single" w:sz="6" w:space="0" w:color="B1B1B1"/>
              <w:bottom w:val="single" w:sz="6" w:space="0" w:color="B1B1B1"/>
              <w:right w:val="single" w:sz="6" w:space="0" w:color="B1B1B1"/>
            </w:tcBorders>
            <w:noWrap/>
            <w:vAlign w:val="center"/>
          </w:tcPr>
          <w:p w14:paraId="4FE5EA7A" w14:textId="77777777" w:rsidR="00DD473A" w:rsidRDefault="00DD473A" w:rsidP="00DD473A">
            <w:pPr>
              <w:spacing w:line="300" w:lineRule="atLeast"/>
              <w:rPr>
                <w:color w:val="000000"/>
                <w:sz w:val="22"/>
                <w:szCs w:val="22"/>
              </w:rPr>
            </w:pPr>
            <w:bookmarkStart w:id="60" w:name="BANK_STAFF_COL_6"/>
            <w:bookmarkStart w:id="61" w:name="BANK_STAFF_COL_3"/>
            <w:bookmarkEnd w:id="60"/>
            <w:bookmarkEnd w:id="61"/>
          </w:p>
        </w:tc>
      </w:tr>
    </w:tbl>
    <w:p w14:paraId="22E33402" w14:textId="77777777" w:rsidR="00DD473A" w:rsidRDefault="00DD473A" w:rsidP="00DD473A">
      <w:bookmarkStart w:id="62" w:name="BANK_STAFF"/>
      <w:bookmarkEnd w:id="62"/>
    </w:p>
    <w:p w14:paraId="014F040D" w14:textId="77777777" w:rsidR="00DD473A" w:rsidRDefault="00DD473A" w:rsidP="00DD473A"/>
    <w:tbl>
      <w:tblPr>
        <w:tblW w:w="5000" w:type="pct"/>
        <w:tblCellSpacing w:w="7" w:type="dxa"/>
        <w:tblCellMar>
          <w:left w:w="0" w:type="dxa"/>
          <w:right w:w="0" w:type="dxa"/>
        </w:tblCellMar>
        <w:tblLook w:val="0000" w:firstRow="0" w:lastRow="0" w:firstColumn="0" w:lastColumn="0" w:noHBand="0" w:noVBand="0"/>
      </w:tblPr>
      <w:tblGrid>
        <w:gridCol w:w="8640"/>
      </w:tblGrid>
      <w:tr w:rsidR="00DD473A" w14:paraId="74F1E93B" w14:textId="77777777" w:rsidTr="00DD473A">
        <w:trPr>
          <w:tblCellSpacing w:w="7" w:type="dxa"/>
        </w:trPr>
        <w:tc>
          <w:tcPr>
            <w:tcW w:w="0" w:type="auto"/>
            <w:vAlign w:val="center"/>
          </w:tcPr>
          <w:p w14:paraId="4F5B1999" w14:textId="77777777" w:rsidR="00DD473A" w:rsidRDefault="00DD473A" w:rsidP="00DD473A">
            <w:pPr>
              <w:pStyle w:val="Heading2"/>
              <w:keepNext/>
              <w:keepLines/>
            </w:pPr>
            <w:r>
              <w:t>F. Ratings of Project Performance in ISRs</w:t>
            </w:r>
          </w:p>
        </w:tc>
      </w:tr>
      <w:tr w:rsidR="00DD473A" w14:paraId="72CAE156" w14:textId="77777777" w:rsidTr="00DD473A">
        <w:trPr>
          <w:tblCellSpacing w:w="7" w:type="dxa"/>
        </w:trPr>
        <w:tc>
          <w:tcPr>
            <w:tcW w:w="0" w:type="auto"/>
            <w:vAlign w:val="center"/>
          </w:tcPr>
          <w:p w14:paraId="7F8D8241" w14:textId="77777777" w:rsidR="00DD473A" w:rsidRDefault="00DD473A" w:rsidP="00DD473A"/>
        </w:tc>
      </w:tr>
    </w:tbl>
    <w:p w14:paraId="6C338578" w14:textId="77777777" w:rsidR="00DD473A" w:rsidRDefault="00DD473A" w:rsidP="00DD473A">
      <w:pPr>
        <w:rPr>
          <w:vanish/>
        </w:rPr>
      </w:pPr>
    </w:p>
    <w:tbl>
      <w:tblPr>
        <w:tblW w:w="5000" w:type="pct"/>
        <w:tblLayout w:type="fixed"/>
        <w:tblCellMar>
          <w:top w:w="10" w:type="dxa"/>
          <w:left w:w="10" w:type="dxa"/>
          <w:bottom w:w="10" w:type="dxa"/>
          <w:right w:w="10" w:type="dxa"/>
        </w:tblCellMar>
        <w:tblLook w:val="0000" w:firstRow="0" w:lastRow="0" w:firstColumn="0" w:lastColumn="0" w:noHBand="0" w:noVBand="0"/>
      </w:tblPr>
      <w:tblGrid>
        <w:gridCol w:w="520"/>
        <w:gridCol w:w="1463"/>
        <w:gridCol w:w="2332"/>
        <w:gridCol w:w="2332"/>
        <w:gridCol w:w="1983"/>
      </w:tblGrid>
      <w:tr w:rsidR="00DD473A" w14:paraId="230621FB" w14:textId="77777777" w:rsidTr="00DD473A">
        <w:tc>
          <w:tcPr>
            <w:tcW w:w="522"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0F9435B9" w14:textId="77777777" w:rsidR="00DD473A" w:rsidRDefault="00DD473A" w:rsidP="00DD473A">
            <w:pPr>
              <w:jc w:val="center"/>
              <w:rPr>
                <w:b/>
                <w:bCs/>
                <w:color w:val="606060"/>
                <w:sz w:val="22"/>
                <w:szCs w:val="22"/>
              </w:rPr>
            </w:pPr>
            <w:r>
              <w:rPr>
                <w:b/>
                <w:bCs/>
                <w:color w:val="606060"/>
                <w:sz w:val="22"/>
                <w:szCs w:val="22"/>
              </w:rPr>
              <w:t>No.</w:t>
            </w:r>
          </w:p>
        </w:tc>
        <w:tc>
          <w:tcPr>
            <w:tcW w:w="1468"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43DDA7B0" w14:textId="77777777" w:rsidR="00DD473A" w:rsidRDefault="00DD473A" w:rsidP="00DD473A">
            <w:pPr>
              <w:jc w:val="center"/>
              <w:rPr>
                <w:b/>
                <w:bCs/>
                <w:color w:val="606060"/>
                <w:sz w:val="22"/>
                <w:szCs w:val="22"/>
              </w:rPr>
            </w:pPr>
            <w:r>
              <w:rPr>
                <w:b/>
                <w:bCs/>
                <w:color w:val="606060"/>
                <w:sz w:val="22"/>
                <w:szCs w:val="22"/>
              </w:rPr>
              <w:t xml:space="preserve">Date ISR </w:t>
            </w:r>
          </w:p>
          <w:p w14:paraId="2976EE98" w14:textId="77777777" w:rsidR="00DD473A" w:rsidRDefault="00DD473A" w:rsidP="00DD473A">
            <w:pPr>
              <w:jc w:val="center"/>
              <w:rPr>
                <w:b/>
                <w:bCs/>
                <w:color w:val="606060"/>
                <w:sz w:val="22"/>
                <w:szCs w:val="22"/>
              </w:rPr>
            </w:pPr>
            <w:r>
              <w:rPr>
                <w:b/>
                <w:bCs/>
                <w:color w:val="606060"/>
                <w:sz w:val="22"/>
                <w:szCs w:val="22"/>
              </w:rPr>
              <w:t>Archived</w:t>
            </w:r>
          </w:p>
        </w:tc>
        <w:tc>
          <w:tcPr>
            <w:tcW w:w="2340"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52AC0706" w14:textId="77777777" w:rsidR="00DD473A" w:rsidRDefault="00DD473A" w:rsidP="00DD473A">
            <w:pPr>
              <w:keepNext/>
              <w:keepLines/>
              <w:jc w:val="center"/>
              <w:rPr>
                <w:b/>
                <w:bCs/>
                <w:color w:val="606060"/>
                <w:sz w:val="22"/>
                <w:szCs w:val="22"/>
              </w:rPr>
            </w:pPr>
            <w:r>
              <w:rPr>
                <w:b/>
                <w:bCs/>
                <w:color w:val="606060"/>
                <w:sz w:val="22"/>
                <w:szCs w:val="22"/>
              </w:rPr>
              <w:t>DO</w:t>
            </w:r>
          </w:p>
        </w:tc>
        <w:tc>
          <w:tcPr>
            <w:tcW w:w="2340"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2C9647CC" w14:textId="77777777" w:rsidR="00DD473A" w:rsidRDefault="00DD473A" w:rsidP="00DD473A">
            <w:pPr>
              <w:jc w:val="center"/>
              <w:rPr>
                <w:b/>
                <w:bCs/>
                <w:color w:val="606060"/>
                <w:sz w:val="22"/>
                <w:szCs w:val="22"/>
              </w:rPr>
            </w:pPr>
            <w:r>
              <w:rPr>
                <w:b/>
                <w:bCs/>
                <w:color w:val="606060"/>
                <w:sz w:val="22"/>
                <w:szCs w:val="22"/>
              </w:rPr>
              <w:t>IP</w:t>
            </w:r>
          </w:p>
        </w:tc>
        <w:tc>
          <w:tcPr>
            <w:tcW w:w="1990"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1C4D360D" w14:textId="77777777" w:rsidR="00DD473A" w:rsidRDefault="00DD473A" w:rsidP="00DD473A">
            <w:pPr>
              <w:jc w:val="center"/>
              <w:rPr>
                <w:b/>
                <w:bCs/>
                <w:color w:val="606060"/>
                <w:sz w:val="22"/>
                <w:szCs w:val="22"/>
              </w:rPr>
            </w:pPr>
            <w:r>
              <w:rPr>
                <w:b/>
                <w:bCs/>
                <w:color w:val="606060"/>
                <w:sz w:val="22"/>
                <w:szCs w:val="22"/>
              </w:rPr>
              <w:t>Actual Disbursements</w:t>
            </w:r>
          </w:p>
          <w:p w14:paraId="591F5B80" w14:textId="77777777" w:rsidR="00DD473A" w:rsidRDefault="00DD473A" w:rsidP="00DD473A">
            <w:pPr>
              <w:jc w:val="center"/>
              <w:rPr>
                <w:b/>
                <w:bCs/>
                <w:color w:val="606060"/>
                <w:sz w:val="22"/>
                <w:szCs w:val="22"/>
              </w:rPr>
            </w:pPr>
            <w:r>
              <w:rPr>
                <w:b/>
                <w:bCs/>
                <w:color w:val="606060"/>
                <w:sz w:val="22"/>
                <w:szCs w:val="22"/>
              </w:rPr>
              <w:t>(USD millions)</w:t>
            </w:r>
          </w:p>
        </w:tc>
      </w:tr>
      <w:tr w:rsidR="00DD473A" w14:paraId="441A758C" w14:textId="77777777" w:rsidTr="00DD473A">
        <w:tc>
          <w:tcPr>
            <w:tcW w:w="522" w:type="dxa"/>
            <w:tcBorders>
              <w:top w:val="single" w:sz="4" w:space="0" w:color="B1B1B1"/>
              <w:left w:val="single" w:sz="4" w:space="0" w:color="B1B1B1"/>
              <w:bottom w:val="single" w:sz="4" w:space="0" w:color="B1B1B1"/>
              <w:right w:val="single" w:sz="4" w:space="0" w:color="B1B1B1"/>
            </w:tcBorders>
            <w:vAlign w:val="center"/>
          </w:tcPr>
          <w:p w14:paraId="3D5263EA" w14:textId="77777777" w:rsidR="00DD473A" w:rsidRDefault="00DD473A" w:rsidP="00DD473A">
            <w:pPr>
              <w:spacing w:line="200" w:lineRule="atLeast"/>
              <w:jc w:val="center"/>
              <w:rPr>
                <w:color w:val="000000"/>
                <w:sz w:val="22"/>
                <w:szCs w:val="22"/>
              </w:rPr>
            </w:pPr>
            <w:r>
              <w:rPr>
                <w:color w:val="000000"/>
                <w:sz w:val="22"/>
                <w:szCs w:val="22"/>
              </w:rPr>
              <w:t xml:space="preserve"> </w:t>
            </w:r>
            <w:bookmarkStart w:id="63" w:name="ARCHISR_COL_1"/>
            <w:r>
              <w:rPr>
                <w:color w:val="000000"/>
                <w:sz w:val="22"/>
                <w:szCs w:val="22"/>
              </w:rPr>
              <w:t>2</w:t>
            </w:r>
            <w:bookmarkEnd w:id="63"/>
          </w:p>
        </w:tc>
        <w:tc>
          <w:tcPr>
            <w:tcW w:w="1468" w:type="dxa"/>
            <w:tcBorders>
              <w:top w:val="single" w:sz="4" w:space="0" w:color="B1B1B1"/>
              <w:left w:val="single" w:sz="4" w:space="0" w:color="B1B1B1"/>
              <w:bottom w:val="single" w:sz="4" w:space="0" w:color="B1B1B1"/>
              <w:right w:val="single" w:sz="4" w:space="0" w:color="B1B1B1"/>
            </w:tcBorders>
            <w:vAlign w:val="center"/>
          </w:tcPr>
          <w:p w14:paraId="1CCFD7A9" w14:textId="77777777" w:rsidR="00DD473A" w:rsidRDefault="00DD473A" w:rsidP="00DD473A">
            <w:pPr>
              <w:spacing w:line="200" w:lineRule="atLeast"/>
              <w:jc w:val="center"/>
              <w:rPr>
                <w:color w:val="000000"/>
                <w:sz w:val="22"/>
                <w:szCs w:val="22"/>
              </w:rPr>
            </w:pPr>
            <w:bookmarkStart w:id="64" w:name="ARCHISR_COL_2"/>
            <w:r>
              <w:rPr>
                <w:color w:val="000000"/>
                <w:sz w:val="22"/>
                <w:szCs w:val="22"/>
              </w:rPr>
              <w:t>10/17/2016</w:t>
            </w:r>
            <w:bookmarkEnd w:id="64"/>
          </w:p>
        </w:tc>
        <w:tc>
          <w:tcPr>
            <w:tcW w:w="2340" w:type="dxa"/>
            <w:tcBorders>
              <w:top w:val="single" w:sz="4" w:space="0" w:color="B1B1B1"/>
              <w:left w:val="single" w:sz="4" w:space="0" w:color="B1B1B1"/>
              <w:bottom w:val="single" w:sz="4" w:space="0" w:color="B1B1B1"/>
              <w:right w:val="single" w:sz="4" w:space="0" w:color="B1B1B1"/>
            </w:tcBorders>
            <w:vAlign w:val="center"/>
          </w:tcPr>
          <w:p w14:paraId="6C912517" w14:textId="77777777" w:rsidR="00DD473A" w:rsidRDefault="00DD473A" w:rsidP="00DD473A">
            <w:pPr>
              <w:spacing w:line="200" w:lineRule="atLeast"/>
              <w:jc w:val="center"/>
              <w:rPr>
                <w:color w:val="000000"/>
                <w:sz w:val="22"/>
                <w:szCs w:val="22"/>
              </w:rPr>
            </w:pPr>
            <w:bookmarkStart w:id="65" w:name="ARCHISR_COL_3"/>
            <w:r>
              <w:rPr>
                <w:color w:val="000000"/>
                <w:sz w:val="22"/>
                <w:szCs w:val="22"/>
              </w:rPr>
              <w:t>Satisfactory</w:t>
            </w:r>
            <w:bookmarkEnd w:id="65"/>
          </w:p>
        </w:tc>
        <w:tc>
          <w:tcPr>
            <w:tcW w:w="2340" w:type="dxa"/>
            <w:tcBorders>
              <w:top w:val="single" w:sz="4" w:space="0" w:color="B1B1B1"/>
              <w:left w:val="single" w:sz="4" w:space="0" w:color="B1B1B1"/>
              <w:bottom w:val="single" w:sz="4" w:space="0" w:color="B1B1B1"/>
              <w:right w:val="single" w:sz="4" w:space="0" w:color="B1B1B1"/>
            </w:tcBorders>
            <w:vAlign w:val="center"/>
          </w:tcPr>
          <w:p w14:paraId="1748D420" w14:textId="77777777" w:rsidR="00DD473A" w:rsidRDefault="00DD473A" w:rsidP="00DD473A">
            <w:pPr>
              <w:spacing w:line="200" w:lineRule="atLeast"/>
              <w:jc w:val="center"/>
              <w:rPr>
                <w:color w:val="000000"/>
                <w:sz w:val="22"/>
                <w:szCs w:val="22"/>
              </w:rPr>
            </w:pPr>
            <w:bookmarkStart w:id="66" w:name="ARCHISR_COL_4"/>
            <w:r>
              <w:rPr>
                <w:color w:val="000000"/>
                <w:sz w:val="22"/>
                <w:szCs w:val="22"/>
              </w:rPr>
              <w:t>Moderately Satisfactory</w:t>
            </w:r>
            <w:bookmarkEnd w:id="66"/>
          </w:p>
        </w:tc>
        <w:tc>
          <w:tcPr>
            <w:tcW w:w="1990" w:type="dxa"/>
            <w:tcBorders>
              <w:top w:val="single" w:sz="4" w:space="0" w:color="B1B1B1"/>
              <w:left w:val="single" w:sz="4" w:space="0" w:color="B1B1B1"/>
              <w:bottom w:val="single" w:sz="4" w:space="0" w:color="B1B1B1"/>
              <w:right w:val="single" w:sz="4" w:space="0" w:color="B1B1B1"/>
            </w:tcBorders>
            <w:vAlign w:val="center"/>
          </w:tcPr>
          <w:p w14:paraId="5FFE9156" w14:textId="77777777" w:rsidR="00DD473A" w:rsidRDefault="00DD473A" w:rsidP="00DD473A">
            <w:pPr>
              <w:tabs>
                <w:tab w:val="decimal" w:pos="1430"/>
              </w:tabs>
              <w:spacing w:line="200" w:lineRule="atLeast"/>
              <w:rPr>
                <w:color w:val="000000"/>
                <w:sz w:val="22"/>
                <w:szCs w:val="22"/>
              </w:rPr>
            </w:pPr>
            <w:bookmarkStart w:id="67" w:name="ARCHISR_COL_5"/>
            <w:r>
              <w:rPr>
                <w:color w:val="000000"/>
                <w:sz w:val="22"/>
                <w:szCs w:val="22"/>
              </w:rPr>
              <w:t>0.00</w:t>
            </w:r>
            <w:bookmarkEnd w:id="67"/>
          </w:p>
        </w:tc>
      </w:tr>
      <w:tr w:rsidR="00DD473A" w14:paraId="30E84BEE" w14:textId="77777777" w:rsidTr="00DD473A">
        <w:tc>
          <w:tcPr>
            <w:tcW w:w="522" w:type="dxa"/>
            <w:tcBorders>
              <w:top w:val="single" w:sz="4" w:space="0" w:color="B1B1B1"/>
              <w:left w:val="single" w:sz="4" w:space="0" w:color="B1B1B1"/>
              <w:bottom w:val="single" w:sz="4" w:space="0" w:color="B1B1B1"/>
              <w:right w:val="single" w:sz="4" w:space="0" w:color="B1B1B1"/>
            </w:tcBorders>
            <w:vAlign w:val="center"/>
          </w:tcPr>
          <w:p w14:paraId="461C4584" w14:textId="77777777" w:rsidR="00DD473A" w:rsidRDefault="00DD473A" w:rsidP="00DD473A">
            <w:pPr>
              <w:spacing w:line="200" w:lineRule="atLeast"/>
              <w:jc w:val="center"/>
              <w:rPr>
                <w:color w:val="000000"/>
                <w:sz w:val="22"/>
                <w:szCs w:val="22"/>
              </w:rPr>
            </w:pPr>
            <w:bookmarkStart w:id="68" w:name="ARCHISR"/>
            <w:bookmarkEnd w:id="68"/>
            <w:r>
              <w:rPr>
                <w:color w:val="000000"/>
                <w:sz w:val="22"/>
                <w:szCs w:val="22"/>
              </w:rPr>
              <w:t xml:space="preserve"> 1</w:t>
            </w:r>
          </w:p>
        </w:tc>
        <w:tc>
          <w:tcPr>
            <w:tcW w:w="1468" w:type="dxa"/>
            <w:tcBorders>
              <w:top w:val="single" w:sz="4" w:space="0" w:color="B1B1B1"/>
              <w:left w:val="single" w:sz="4" w:space="0" w:color="B1B1B1"/>
              <w:bottom w:val="single" w:sz="4" w:space="0" w:color="B1B1B1"/>
              <w:right w:val="single" w:sz="4" w:space="0" w:color="B1B1B1"/>
            </w:tcBorders>
            <w:vAlign w:val="center"/>
          </w:tcPr>
          <w:p w14:paraId="45A3A1A2" w14:textId="77777777" w:rsidR="00DD473A" w:rsidRDefault="00DD473A" w:rsidP="00DD473A">
            <w:pPr>
              <w:spacing w:line="200" w:lineRule="atLeast"/>
              <w:jc w:val="center"/>
              <w:rPr>
                <w:color w:val="000000"/>
                <w:sz w:val="22"/>
                <w:szCs w:val="22"/>
              </w:rPr>
            </w:pPr>
            <w:r>
              <w:rPr>
                <w:color w:val="000000"/>
                <w:sz w:val="22"/>
                <w:szCs w:val="22"/>
              </w:rPr>
              <w:t>05/27/2016</w:t>
            </w:r>
          </w:p>
        </w:tc>
        <w:tc>
          <w:tcPr>
            <w:tcW w:w="2340" w:type="dxa"/>
            <w:tcBorders>
              <w:top w:val="single" w:sz="4" w:space="0" w:color="B1B1B1"/>
              <w:left w:val="single" w:sz="4" w:space="0" w:color="B1B1B1"/>
              <w:bottom w:val="single" w:sz="4" w:space="0" w:color="B1B1B1"/>
              <w:right w:val="single" w:sz="4" w:space="0" w:color="B1B1B1"/>
            </w:tcBorders>
            <w:vAlign w:val="center"/>
          </w:tcPr>
          <w:p w14:paraId="317CA509" w14:textId="77777777" w:rsidR="00DD473A" w:rsidRDefault="00DD473A" w:rsidP="00DD473A">
            <w:pPr>
              <w:spacing w:line="200" w:lineRule="atLeast"/>
              <w:jc w:val="center"/>
              <w:rPr>
                <w:color w:val="000000"/>
                <w:sz w:val="22"/>
                <w:szCs w:val="22"/>
              </w:rPr>
            </w:pPr>
            <w:r>
              <w:rPr>
                <w:color w:val="000000"/>
                <w:sz w:val="22"/>
                <w:szCs w:val="22"/>
              </w:rPr>
              <w:t>Satisfactory</w:t>
            </w:r>
          </w:p>
        </w:tc>
        <w:tc>
          <w:tcPr>
            <w:tcW w:w="2340" w:type="dxa"/>
            <w:tcBorders>
              <w:top w:val="single" w:sz="4" w:space="0" w:color="B1B1B1"/>
              <w:left w:val="single" w:sz="4" w:space="0" w:color="B1B1B1"/>
              <w:bottom w:val="single" w:sz="4" w:space="0" w:color="B1B1B1"/>
              <w:right w:val="single" w:sz="4" w:space="0" w:color="B1B1B1"/>
            </w:tcBorders>
            <w:vAlign w:val="center"/>
          </w:tcPr>
          <w:p w14:paraId="15D4144D" w14:textId="77777777" w:rsidR="00DD473A" w:rsidRDefault="00DD473A" w:rsidP="00DD473A">
            <w:pPr>
              <w:spacing w:line="200" w:lineRule="atLeast"/>
              <w:jc w:val="center"/>
              <w:rPr>
                <w:color w:val="000000"/>
                <w:sz w:val="22"/>
                <w:szCs w:val="22"/>
              </w:rPr>
            </w:pPr>
            <w:r>
              <w:rPr>
                <w:color w:val="000000"/>
                <w:sz w:val="22"/>
                <w:szCs w:val="22"/>
              </w:rPr>
              <w:t>Satisfactory</w:t>
            </w:r>
          </w:p>
        </w:tc>
        <w:tc>
          <w:tcPr>
            <w:tcW w:w="1990" w:type="dxa"/>
            <w:tcBorders>
              <w:top w:val="single" w:sz="4" w:space="0" w:color="B1B1B1"/>
              <w:left w:val="single" w:sz="4" w:space="0" w:color="B1B1B1"/>
              <w:bottom w:val="single" w:sz="4" w:space="0" w:color="B1B1B1"/>
              <w:right w:val="single" w:sz="4" w:space="0" w:color="B1B1B1"/>
            </w:tcBorders>
            <w:vAlign w:val="center"/>
          </w:tcPr>
          <w:p w14:paraId="041B9323" w14:textId="77777777" w:rsidR="00DD473A" w:rsidRDefault="00DD473A" w:rsidP="00DD473A">
            <w:pPr>
              <w:tabs>
                <w:tab w:val="decimal" w:pos="1430"/>
              </w:tabs>
              <w:spacing w:line="200" w:lineRule="atLeast"/>
              <w:rPr>
                <w:color w:val="000000"/>
                <w:sz w:val="22"/>
                <w:szCs w:val="22"/>
              </w:rPr>
            </w:pPr>
            <w:r>
              <w:rPr>
                <w:color w:val="000000"/>
                <w:sz w:val="22"/>
                <w:szCs w:val="22"/>
              </w:rPr>
              <w:t>0.00</w:t>
            </w:r>
          </w:p>
        </w:tc>
      </w:tr>
    </w:tbl>
    <w:p w14:paraId="5AB5B55D" w14:textId="77777777" w:rsidR="00DD473A" w:rsidRDefault="00DD473A" w:rsidP="00DD473A"/>
    <w:p w14:paraId="7221942F" w14:textId="77777777" w:rsidR="00740FD3" w:rsidRDefault="00740FD3" w:rsidP="00740FD3"/>
    <w:p w14:paraId="0D3EC863" w14:textId="77777777" w:rsidR="00740FD3" w:rsidRDefault="00740FD3" w:rsidP="00740FD3"/>
    <w:p w14:paraId="456A62AF" w14:textId="77777777" w:rsidR="00740FD3" w:rsidRPr="00BA45AA" w:rsidRDefault="00740FD3" w:rsidP="00740FD3">
      <w:pPr>
        <w:jc w:val="center"/>
        <w:rPr>
          <w:lang w:val="es-ES_tradnl"/>
        </w:rPr>
      </w:pPr>
    </w:p>
    <w:p w14:paraId="5208D10A" w14:textId="77777777" w:rsidR="00740FD3" w:rsidRDefault="00740FD3" w:rsidP="00740FD3">
      <w:pPr>
        <w:jc w:val="center"/>
      </w:pPr>
    </w:p>
    <w:p w14:paraId="37484952" w14:textId="77777777" w:rsidR="00740FD3" w:rsidRPr="00BA45AA" w:rsidRDefault="00740FD3" w:rsidP="00740FD3"/>
    <w:p w14:paraId="6B319CB6" w14:textId="77777777" w:rsidR="00740FD3" w:rsidRPr="00BA45AA" w:rsidRDefault="00740FD3" w:rsidP="00740FD3">
      <w:pPr>
        <w:sectPr w:rsidR="00740FD3" w:rsidRPr="00BA45AA" w:rsidSect="00E777DC">
          <w:footerReference w:type="default" r:id="rId8"/>
          <w:type w:val="oddPage"/>
          <w:pgSz w:w="12240" w:h="15840"/>
          <w:pgMar w:top="1440" w:right="1800" w:bottom="1440" w:left="1800" w:header="720" w:footer="720" w:gutter="0"/>
          <w:pgNumType w:fmt="lowerRoman" w:start="1"/>
          <w:cols w:space="720"/>
          <w:titlePg/>
          <w:docGrid w:linePitch="360"/>
        </w:sectPr>
      </w:pPr>
    </w:p>
    <w:p w14:paraId="6955EEB9" w14:textId="74208159" w:rsidR="0024514C" w:rsidRPr="009900CD" w:rsidRDefault="0024514C">
      <w:r w:rsidRPr="009900CD">
        <w:rPr>
          <w:rStyle w:val="Heading2Char"/>
        </w:rPr>
        <w:lastRenderedPageBreak/>
        <w:t xml:space="preserve">1. </w:t>
      </w:r>
      <w:bookmarkEnd w:id="2"/>
      <w:r w:rsidR="009900CD" w:rsidRPr="009900CD">
        <w:rPr>
          <w:rStyle w:val="Heading2Char"/>
        </w:rPr>
        <w:t>Context, Project Development Objectives, and Design</w:t>
      </w:r>
      <w:bookmarkEnd w:id="3"/>
      <w:r w:rsidR="009900CD" w:rsidRPr="00F30F6D">
        <w:t xml:space="preserve"> </w:t>
      </w:r>
    </w:p>
    <w:p w14:paraId="20B40BBF" w14:textId="77777777" w:rsidR="0024514C" w:rsidRDefault="0024514C"/>
    <w:p w14:paraId="7DF5F925" w14:textId="77975038" w:rsidR="00A42474" w:rsidRPr="00A42474" w:rsidRDefault="00A42474">
      <w:pPr>
        <w:rPr>
          <w:b/>
        </w:rPr>
      </w:pPr>
      <w:r w:rsidRPr="00A42474">
        <w:rPr>
          <w:b/>
        </w:rPr>
        <w:t xml:space="preserve">Country </w:t>
      </w:r>
      <w:r>
        <w:rPr>
          <w:b/>
        </w:rPr>
        <w:t xml:space="preserve">and Sector </w:t>
      </w:r>
      <w:r w:rsidRPr="00A42474">
        <w:rPr>
          <w:b/>
        </w:rPr>
        <w:t>Background</w:t>
      </w:r>
    </w:p>
    <w:p w14:paraId="35F4733F" w14:textId="77777777" w:rsidR="00A42474" w:rsidRDefault="00A42474"/>
    <w:p w14:paraId="36335E60" w14:textId="77777777" w:rsidR="00AA6313" w:rsidRDefault="00740B68" w:rsidP="00AA6313">
      <w:pPr>
        <w:jc w:val="both"/>
      </w:pPr>
      <w:r>
        <w:t>1.</w:t>
      </w:r>
      <w:r>
        <w:tab/>
      </w:r>
      <w:r w:rsidR="00AA6313">
        <w:t xml:space="preserve">Tajikistan’s economic growth over </w:t>
      </w:r>
      <w:r>
        <w:t>the</w:t>
      </w:r>
      <w:r w:rsidR="00AA6313">
        <w:t xml:space="preserve"> five years </w:t>
      </w:r>
      <w:r>
        <w:t>2010 – 2014</w:t>
      </w:r>
      <w:r w:rsidR="00AA6313">
        <w:t xml:space="preserve"> averaged 7.1 percent. In the first half of 2015 it moderated to 6.4 percent from 6.7 percent a year earlier as activity slowed in almost all sectors. Weaker world economic growth and lower prices for cotton and aluminum adversely affected the major export-oriented industries, pushing total industrial growth below 3 percent from nearly 7 percent a year earlier. The spillover effect from the slowdown in Russia and the continued depreciation of the Russian ruble (RUR) affect Tajikistan largely through the remittances channel, the return of migrant workers, and trade. As a result, the value of remittance inflows in US dollars declined by almost 32 percent in the first seven months of 2015. The slowdown in remittances affected domestic demand, which in turn depressed growth in services, the major contributor to economic growth in the past. </w:t>
      </w:r>
    </w:p>
    <w:p w14:paraId="6BB8675B" w14:textId="77777777" w:rsidR="00AA6313" w:rsidRDefault="00AA6313" w:rsidP="00AA6313">
      <w:pPr>
        <w:jc w:val="both"/>
      </w:pPr>
    </w:p>
    <w:p w14:paraId="7911CEC6" w14:textId="78AD1DEC" w:rsidR="00AA6313" w:rsidRDefault="00AA6313" w:rsidP="00AA6313">
      <w:pPr>
        <w:jc w:val="both"/>
      </w:pPr>
      <w:r>
        <w:t>2.</w:t>
      </w:r>
      <w:r>
        <w:tab/>
        <w:t xml:space="preserve">With a population of 8.2 million and a GNI per capita of US$1,080 (2014), Tajikistan is the poorest country in the ECA region. However poverty substantially declined between 1999 and 2014 (from 81 percent to about 32 percent); extreme poverty dropped even faster—from 73 percent to 14 percent during the same period; and growth benefits were widely shared - consumption by the bottom 40 percent grew faster than that of the population at large. Between 1999 and 2009, the period for which micro data are available, more than one million rural people were lifted out of poverty. While poverty dropped substantially nationwide, Khatlon and Gorno Badakshan Autonomous Oblast lagged, and remain the poorest regions. From a gender perspective, poverty reduction for women was lower than for men, thereby widening an already existing gender gap.  </w:t>
      </w:r>
    </w:p>
    <w:p w14:paraId="2461E178" w14:textId="77777777" w:rsidR="00A42474" w:rsidRDefault="00A42474" w:rsidP="00AA6313">
      <w:pPr>
        <w:jc w:val="both"/>
      </w:pPr>
    </w:p>
    <w:p w14:paraId="3B368DBF" w14:textId="47686F23" w:rsidR="00AA6313" w:rsidRDefault="00933F36" w:rsidP="00AA6313">
      <w:pPr>
        <w:jc w:val="both"/>
      </w:pPr>
      <w:r>
        <w:t>3</w:t>
      </w:r>
      <w:r w:rsidR="00AA6313">
        <w:t>.</w:t>
      </w:r>
      <w:r w:rsidR="00AA6313">
        <w:tab/>
        <w:t>The Bank has been active in the land sector in Tajikistan for more than a decade, beginning in 1999 with the Bank-financed Farm Privatization Support Project (FPSP) and continuing over the past decade with the Land Registration and Cadaster System for Sustainable Agriculture Project (LRCSP, P089566).</w:t>
      </w:r>
      <w:r w:rsidR="00740B68">
        <w:t xml:space="preserve"> </w:t>
      </w:r>
      <w:r w:rsidR="00AA6313">
        <w:t xml:space="preserve">LRCSP supported the issuance of inheritable land use rights certificates for over one hundred thousand families in rural areas with some 40 percent of such certificates issued to women.  The next step for the government is to allow these rights to become tradable and thereby facilitate the functioning of rural land markets, which would also support access to credit.  To support such a market, a reliable, transparent, and efficient land registration system is needed. </w:t>
      </w:r>
    </w:p>
    <w:p w14:paraId="36E8B021" w14:textId="77777777" w:rsidR="00AA6313" w:rsidRDefault="00AA6313" w:rsidP="00AA6313">
      <w:pPr>
        <w:pStyle w:val="ListParagraph"/>
        <w:ind w:left="0"/>
        <w:jc w:val="both"/>
      </w:pPr>
    </w:p>
    <w:p w14:paraId="17B9B05E" w14:textId="1BAA1E99" w:rsidR="00AA6313" w:rsidRDefault="00933F36" w:rsidP="00AA6313">
      <w:pPr>
        <w:jc w:val="both"/>
      </w:pPr>
      <w:r>
        <w:rPr>
          <w:sz w:val="23"/>
          <w:szCs w:val="23"/>
        </w:rPr>
        <w:t>4</w:t>
      </w:r>
      <w:r w:rsidR="00AA6313">
        <w:rPr>
          <w:sz w:val="23"/>
          <w:szCs w:val="23"/>
        </w:rPr>
        <w:t>.</w:t>
      </w:r>
      <w:r w:rsidR="00AA6313">
        <w:rPr>
          <w:sz w:val="23"/>
          <w:szCs w:val="23"/>
        </w:rPr>
        <w:tab/>
      </w:r>
      <w:r w:rsidR="00AA6313">
        <w:t>While all land in Tajikistan remains in state ownership, the rights to immovable property in urban and rural areas (houses, apartments) have been privatized and are currently bought and sold.  However the current system offers little tenure security as the legal rights are not registered, nor is the current information connected to the cadaster which records the location of all parcels and buildings. Both foreign and domestic investment remains low in Tajikistan compared to the region, averaging about 2.8 percent (net inflows as percentage of GDP)</w:t>
      </w:r>
      <w:r w:rsidR="00AA6313">
        <w:rPr>
          <w:rStyle w:val="FootnoteReference"/>
        </w:rPr>
        <w:footnoteReference w:id="1"/>
      </w:r>
      <w:r w:rsidR="00AA6313">
        <w:t xml:space="preserve"> for the period 2010 - 2014. One of the obstacles cited </w:t>
      </w:r>
      <w:r w:rsidR="00AA6313">
        <w:lastRenderedPageBreak/>
        <w:t xml:space="preserve">by investors for this low investment is weak rule of law, especially as regards property rights. Creating a registration system will strengthen the legal enforcement of property rights by providing a system for registration of all legal rights to land and property (inheritance, ownership and use) that is connected to the properties physical location, and that is transparent, efficient and accessible to all.  </w:t>
      </w:r>
    </w:p>
    <w:p w14:paraId="49AFB979" w14:textId="77777777" w:rsidR="00740B68" w:rsidRDefault="00740B68" w:rsidP="00AA6313">
      <w:pPr>
        <w:jc w:val="both"/>
      </w:pPr>
    </w:p>
    <w:p w14:paraId="756B410D" w14:textId="7510EB6F" w:rsidR="00AA6313" w:rsidRDefault="00933F36" w:rsidP="00AA6313">
      <w:pPr>
        <w:jc w:val="both"/>
      </w:pPr>
      <w:r>
        <w:t>5</w:t>
      </w:r>
      <w:r w:rsidR="00AA6313">
        <w:t>.</w:t>
      </w:r>
      <w:r w:rsidR="00AA6313">
        <w:tab/>
        <w:t xml:space="preserve">Until 2008 the competencies for land administration (property registry and cadastre) activities were divided among various institutions, namely the State Committee for Land Management and Geodesy (SCLMG), the Bureau of Technical Inventory (BTI), and the State Enterprise Markaz Zamin (MZ). The Law on State Registration of 2008 created the possibility to establish a unitary property registration entity. Based on the 2008 Law on State Registration, BTIs that maintain an inventory of property records (but not legal rights) and the MZ that managed the cadastre were merged to create the State Unitary Enterprise for Registration of Immovable Property (SUERIP), established in January 2015. </w:t>
      </w:r>
    </w:p>
    <w:p w14:paraId="02ED6005" w14:textId="77777777" w:rsidR="00A42474" w:rsidRDefault="00A42474" w:rsidP="00AA6313">
      <w:pPr>
        <w:jc w:val="both"/>
      </w:pPr>
    </w:p>
    <w:p w14:paraId="6789540A" w14:textId="1A69F4A1" w:rsidR="00A42474" w:rsidRPr="00A42474" w:rsidRDefault="00A42474" w:rsidP="00AA6313">
      <w:pPr>
        <w:jc w:val="both"/>
        <w:rPr>
          <w:b/>
        </w:rPr>
      </w:pPr>
      <w:r w:rsidRPr="00A42474">
        <w:rPr>
          <w:b/>
        </w:rPr>
        <w:t>Project Development Objective and Components</w:t>
      </w:r>
    </w:p>
    <w:p w14:paraId="2EAB97B8" w14:textId="77777777" w:rsidR="00740B68" w:rsidRDefault="00740B68" w:rsidP="00AA6313">
      <w:pPr>
        <w:jc w:val="both"/>
      </w:pPr>
    </w:p>
    <w:p w14:paraId="07AC6F36" w14:textId="18790134" w:rsidR="00740B68" w:rsidRDefault="00933F36" w:rsidP="004568E8">
      <w:pPr>
        <w:jc w:val="both"/>
      </w:pPr>
      <w:r>
        <w:t>6</w:t>
      </w:r>
      <w:r w:rsidR="00740B68">
        <w:t>.</w:t>
      </w:r>
      <w:r w:rsidR="00740B68">
        <w:tab/>
        <w:t>To support the broader goal of providing enhanced tenure security and support to the property market, t</w:t>
      </w:r>
      <w:r w:rsidR="00740B68" w:rsidRPr="009D110D">
        <w:t xml:space="preserve">he </w:t>
      </w:r>
      <w:r w:rsidR="00740B68">
        <w:t xml:space="preserve">specific </w:t>
      </w:r>
      <w:r w:rsidR="00740B68" w:rsidRPr="009D110D">
        <w:t xml:space="preserve">development objective of the Project </w:t>
      </w:r>
      <w:r w:rsidR="00740B68">
        <w:t>is:</w:t>
      </w:r>
      <w:r w:rsidR="00740B68" w:rsidRPr="009D110D">
        <w:t xml:space="preserve"> </w:t>
      </w:r>
      <w:r w:rsidR="00740B68" w:rsidRPr="00346986">
        <w:rPr>
          <w:b/>
          <w:i/>
        </w:rPr>
        <w:t>to support the implementation of a reliable, transparent and efficient real estate registration system nationwide</w:t>
      </w:r>
      <w:r w:rsidR="00740B68" w:rsidRPr="00346986">
        <w:t>.</w:t>
      </w:r>
      <w:r w:rsidR="00740B68" w:rsidRPr="00B56753">
        <w:t xml:space="preserve"> </w:t>
      </w:r>
    </w:p>
    <w:p w14:paraId="7D332E20" w14:textId="77777777" w:rsidR="00740B68" w:rsidRDefault="00740B68" w:rsidP="00740B68">
      <w:pPr>
        <w:jc w:val="both"/>
      </w:pPr>
    </w:p>
    <w:p w14:paraId="2F7D74B7" w14:textId="48E28C9A" w:rsidR="00740B68" w:rsidRPr="00DC1074" w:rsidRDefault="00933F36" w:rsidP="00740B68">
      <w:pPr>
        <w:jc w:val="both"/>
      </w:pPr>
      <w:bookmarkStart w:id="69" w:name="_Toc40780173"/>
      <w:r>
        <w:t>7</w:t>
      </w:r>
      <w:r w:rsidR="00740B68">
        <w:t>.</w:t>
      </w:r>
      <w:r w:rsidR="00740B68">
        <w:tab/>
      </w:r>
      <w:r w:rsidR="00740B68" w:rsidRPr="00DC1074">
        <w:t xml:space="preserve">The </w:t>
      </w:r>
      <w:r w:rsidR="00740B68">
        <w:t>Project</w:t>
      </w:r>
      <w:r w:rsidR="00740B68" w:rsidRPr="00DC1074">
        <w:t xml:space="preserve"> components include</w:t>
      </w:r>
      <w:r w:rsidR="00740B68">
        <w:t>d</w:t>
      </w:r>
      <w:r w:rsidR="00740B68" w:rsidRPr="00DC1074">
        <w:t>:</w:t>
      </w:r>
    </w:p>
    <w:p w14:paraId="7AF36A51" w14:textId="77777777" w:rsidR="00740B68" w:rsidRDefault="00740B68" w:rsidP="00740B68">
      <w:pPr>
        <w:jc w:val="both"/>
        <w:rPr>
          <w:u w:val="single"/>
        </w:rPr>
      </w:pPr>
    </w:p>
    <w:p w14:paraId="67429D75" w14:textId="3ADB5FAF" w:rsidR="00740B68" w:rsidRDefault="00740B68" w:rsidP="00740B68">
      <w:pPr>
        <w:ind w:left="720"/>
        <w:jc w:val="both"/>
      </w:pPr>
      <w:r>
        <w:rPr>
          <w:u w:val="single"/>
        </w:rPr>
        <w:t xml:space="preserve">A) </w:t>
      </w:r>
      <w:r w:rsidRPr="00B76CDF">
        <w:rPr>
          <w:u w:val="single"/>
        </w:rPr>
        <w:t>Real Estate Registration System Development</w:t>
      </w:r>
      <w:r>
        <w:t xml:space="preserve"> </w:t>
      </w:r>
      <w:r w:rsidR="00F44833">
        <w:t>to</w:t>
      </w:r>
      <w:r w:rsidRPr="00FA5633">
        <w:t xml:space="preserve"> support the establishment of a national real estate registration system and the institutional development of SUERIP. The component would include: physical infrastructure improvements, improving customer services and transparency, support to planning and institutional sustainability, support further development of policy and the regulatory framework for registration, and support training activities.</w:t>
      </w:r>
    </w:p>
    <w:p w14:paraId="019F9169" w14:textId="77777777" w:rsidR="00740B68" w:rsidRPr="00FA5633" w:rsidRDefault="00740B68" w:rsidP="00740B68">
      <w:pPr>
        <w:ind w:left="720"/>
        <w:jc w:val="both"/>
      </w:pPr>
    </w:p>
    <w:p w14:paraId="619A1EF1" w14:textId="0C77F79F" w:rsidR="00740B68" w:rsidRDefault="00740B68" w:rsidP="00740B68">
      <w:pPr>
        <w:ind w:left="720"/>
        <w:jc w:val="both"/>
      </w:pPr>
      <w:r>
        <w:rPr>
          <w:u w:val="single"/>
        </w:rPr>
        <w:t xml:space="preserve">B) Software </w:t>
      </w:r>
      <w:r w:rsidRPr="00B76CDF">
        <w:rPr>
          <w:u w:val="single"/>
        </w:rPr>
        <w:t>Development and Data Management</w:t>
      </w:r>
      <w:r>
        <w:t xml:space="preserve"> </w:t>
      </w:r>
      <w:r w:rsidR="004568E8">
        <w:t>t</w:t>
      </w:r>
      <w:r w:rsidR="00F44833">
        <w:t>o</w:t>
      </w:r>
      <w:r w:rsidRPr="00FA5633">
        <w:t xml:space="preserve"> support </w:t>
      </w:r>
      <w:r>
        <w:t>the design, development, testing and implementation of softwar</w:t>
      </w:r>
      <w:r w:rsidRPr="008854CE">
        <w:t xml:space="preserve">e </w:t>
      </w:r>
      <w:r>
        <w:t xml:space="preserve">for immovable property registration, and the </w:t>
      </w:r>
      <w:r w:rsidRPr="008854CE">
        <w:t>provision of the requ</w:t>
      </w:r>
      <w:r>
        <w:t xml:space="preserve">ired hardware for the end users, and launch a </w:t>
      </w:r>
      <w:r w:rsidRPr="00C56EEB">
        <w:t>web portal for</w:t>
      </w:r>
      <w:r>
        <w:t xml:space="preserve"> access to immovable property information by </w:t>
      </w:r>
      <w:r w:rsidRPr="00C56EEB">
        <w:t>professionals and the public</w:t>
      </w:r>
      <w:r>
        <w:t xml:space="preserve">. This Component will also support data management activities such as </w:t>
      </w:r>
      <w:r w:rsidRPr="00FA5633">
        <w:t xml:space="preserve">digitizing/conversion of paper documents to </w:t>
      </w:r>
      <w:r>
        <w:t xml:space="preserve">electronic format for integration into </w:t>
      </w:r>
      <w:r w:rsidRPr="00FA5633">
        <w:t xml:space="preserve">a </w:t>
      </w:r>
      <w:r>
        <w:t xml:space="preserve">database management system and for migration of the data into the immovable property registration system.  </w:t>
      </w:r>
    </w:p>
    <w:p w14:paraId="70A1ED6C" w14:textId="77777777" w:rsidR="00740B68" w:rsidRPr="00FA5633" w:rsidRDefault="00740B68" w:rsidP="00740B68">
      <w:pPr>
        <w:ind w:left="720"/>
        <w:jc w:val="both"/>
      </w:pPr>
    </w:p>
    <w:p w14:paraId="0F1E46CB" w14:textId="53A0E34B" w:rsidR="00740B68" w:rsidRDefault="00740B68" w:rsidP="00740B68">
      <w:pPr>
        <w:ind w:left="720"/>
        <w:jc w:val="both"/>
      </w:pPr>
      <w:r>
        <w:rPr>
          <w:u w:val="single"/>
        </w:rPr>
        <w:t xml:space="preserve">C) </w:t>
      </w:r>
      <w:r w:rsidRPr="00B76CDF">
        <w:rPr>
          <w:u w:val="single"/>
        </w:rPr>
        <w:t xml:space="preserve">Public Awareness and Education, Monitoring and Evaluation, </w:t>
      </w:r>
      <w:r>
        <w:rPr>
          <w:u w:val="single"/>
        </w:rPr>
        <w:t xml:space="preserve">and </w:t>
      </w:r>
      <w:r w:rsidRPr="00B76CDF">
        <w:rPr>
          <w:u w:val="single"/>
        </w:rPr>
        <w:t>Project Management</w:t>
      </w:r>
      <w:r>
        <w:t xml:space="preserve"> </w:t>
      </w:r>
      <w:r w:rsidR="00F44833">
        <w:t>to</w:t>
      </w:r>
      <w:r w:rsidRPr="00FA5633">
        <w:t xml:space="preserve"> support SUERIP to manage the project through financing a small </w:t>
      </w:r>
      <w:r>
        <w:t xml:space="preserve">project </w:t>
      </w:r>
      <w:r w:rsidR="00FD55F5">
        <w:t>implementation group</w:t>
      </w:r>
      <w:r w:rsidRPr="00FA5633">
        <w:t>, monitoring and evaluation, and public awareness and education campaigns and outreach activities.</w:t>
      </w:r>
      <w:r>
        <w:t xml:space="preserve"> Public awareness and education</w:t>
      </w:r>
      <w:r w:rsidRPr="00FA5633">
        <w:t xml:space="preserve"> activities would </w:t>
      </w:r>
      <w:r>
        <w:t>explain registration services, requirements and benefits to the public as well as special groups (</w:t>
      </w:r>
      <w:r w:rsidR="00FD55F5">
        <w:t xml:space="preserve">e.g., </w:t>
      </w:r>
      <w:r>
        <w:t>women, rural citizens, and elderly)</w:t>
      </w:r>
      <w:r w:rsidR="00F44833">
        <w:t xml:space="preserve">. </w:t>
      </w:r>
      <w:r w:rsidRPr="00FA5633">
        <w:lastRenderedPageBreak/>
        <w:t xml:space="preserve">Monitoring and evaluation would include gender disaggregated data on registration as </w:t>
      </w:r>
      <w:r w:rsidR="00FD55F5">
        <w:t>are</w:t>
      </w:r>
      <w:r w:rsidRPr="00FA5633">
        <w:t xml:space="preserve"> already collected for issuance of use rights certificates.  Monitoring would also include a citizen feedback mechanism to track improvements in customer service and confidence in the system. The</w:t>
      </w:r>
      <w:r>
        <w:t xml:space="preserve"> component will also support strengthening SUERIP’s</w:t>
      </w:r>
      <w:r w:rsidRPr="00FA5633">
        <w:t xml:space="preserve"> grievance redress mechanism for</w:t>
      </w:r>
      <w:r>
        <w:t xml:space="preserve"> registration.</w:t>
      </w:r>
    </w:p>
    <w:bookmarkEnd w:id="69"/>
    <w:p w14:paraId="178E8548" w14:textId="77777777" w:rsidR="00740B68" w:rsidRDefault="00740B68" w:rsidP="00740B68">
      <w:pPr>
        <w:jc w:val="both"/>
      </w:pPr>
    </w:p>
    <w:p w14:paraId="1AD2DE01" w14:textId="77777777" w:rsidR="00A42474" w:rsidRDefault="00A42474" w:rsidP="00A42474">
      <w:pPr>
        <w:pStyle w:val="PDSHeading2"/>
        <w:numPr>
          <w:ilvl w:val="0"/>
          <w:numId w:val="0"/>
        </w:numPr>
        <w:spacing w:after="240"/>
        <w:rPr>
          <w:bCs/>
        </w:rPr>
      </w:pPr>
      <w:bookmarkStart w:id="70" w:name="_Toc295296817"/>
      <w:bookmarkStart w:id="71" w:name="_Toc411603386"/>
      <w:bookmarkStart w:id="72" w:name="PADLendingInstrument"/>
      <w:r w:rsidRPr="007C62E9">
        <w:rPr>
          <w:bCs/>
        </w:rPr>
        <w:t xml:space="preserve">Project </w:t>
      </w:r>
      <w:r>
        <w:rPr>
          <w:bCs/>
        </w:rPr>
        <w:t xml:space="preserve">Cost and </w:t>
      </w:r>
      <w:r w:rsidRPr="007C62E9">
        <w:rPr>
          <w:bCs/>
        </w:rPr>
        <w:t>Financing</w:t>
      </w:r>
      <w:bookmarkEnd w:id="70"/>
      <w:bookmarkEnd w:id="71"/>
    </w:p>
    <w:bookmarkEnd w:id="72"/>
    <w:p w14:paraId="325A1262" w14:textId="7252187B" w:rsidR="00A42474" w:rsidRDefault="00933F36" w:rsidP="00740B68">
      <w:pPr>
        <w:jc w:val="both"/>
      </w:pPr>
      <w:r>
        <w:t>8</w:t>
      </w:r>
      <w:r w:rsidR="00740B68">
        <w:t>.</w:t>
      </w:r>
      <w:r w:rsidR="00740B68">
        <w:tab/>
        <w:t xml:space="preserve">The Project was to be financed with a </w:t>
      </w:r>
      <w:r w:rsidR="00A42474">
        <w:t>SRD 7.3 million (</w:t>
      </w:r>
      <w:r w:rsidR="00740B68">
        <w:t>US$10.0 million</w:t>
      </w:r>
      <w:r w:rsidR="00A42474">
        <w:t xml:space="preserve"> equivalent)</w:t>
      </w:r>
      <w:r w:rsidR="00740B68">
        <w:t xml:space="preserve"> credit from the International Development Association (IDA)</w:t>
      </w:r>
      <w:r w:rsidR="00A42474">
        <w:t xml:space="preserve"> and was an investment project</w:t>
      </w:r>
      <w:r w:rsidR="00740B68">
        <w:t>.</w:t>
      </w:r>
      <w:r w:rsidR="00F44833">
        <w:t xml:space="preserve"> </w:t>
      </w:r>
    </w:p>
    <w:p w14:paraId="74A7B699" w14:textId="77777777" w:rsidR="00A42474" w:rsidRDefault="00A42474" w:rsidP="00740B68">
      <w:pPr>
        <w:jc w:val="both"/>
      </w:pPr>
    </w:p>
    <w:p w14:paraId="18425861" w14:textId="77777777" w:rsidR="00A42474" w:rsidRDefault="00A42474" w:rsidP="00A42474"/>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3"/>
        <w:gridCol w:w="1688"/>
        <w:gridCol w:w="1661"/>
        <w:gridCol w:w="1690"/>
      </w:tblGrid>
      <w:tr w:rsidR="00A42474" w:rsidRPr="00813941" w14:paraId="466C475C" w14:textId="77777777" w:rsidTr="00806EFB">
        <w:tc>
          <w:tcPr>
            <w:tcW w:w="3600" w:type="dxa"/>
            <w:tcBorders>
              <w:top w:val="single" w:sz="4" w:space="0" w:color="auto"/>
              <w:left w:val="single" w:sz="4" w:space="0" w:color="auto"/>
              <w:right w:val="single" w:sz="4" w:space="0" w:color="auto"/>
            </w:tcBorders>
            <w:vAlign w:val="center"/>
          </w:tcPr>
          <w:p w14:paraId="444548DF" w14:textId="77777777" w:rsidR="00A42474" w:rsidRPr="00813941" w:rsidRDefault="00A42474" w:rsidP="00806EFB">
            <w:pPr>
              <w:jc w:val="center"/>
              <w:rPr>
                <w:b/>
                <w:sz w:val="22"/>
                <w:szCs w:val="22"/>
              </w:rPr>
            </w:pPr>
            <w:r w:rsidRPr="00813941">
              <w:rPr>
                <w:b/>
                <w:sz w:val="22"/>
                <w:szCs w:val="22"/>
              </w:rPr>
              <w:t>Project Components</w:t>
            </w:r>
          </w:p>
        </w:tc>
        <w:tc>
          <w:tcPr>
            <w:tcW w:w="1890" w:type="dxa"/>
            <w:tcBorders>
              <w:top w:val="single" w:sz="4" w:space="0" w:color="auto"/>
              <w:left w:val="single" w:sz="4" w:space="0" w:color="auto"/>
              <w:right w:val="single" w:sz="4" w:space="0" w:color="auto"/>
            </w:tcBorders>
            <w:vAlign w:val="center"/>
          </w:tcPr>
          <w:p w14:paraId="31095F5D" w14:textId="77777777" w:rsidR="00A42474" w:rsidRPr="00813941" w:rsidRDefault="00A42474" w:rsidP="00806EFB">
            <w:pPr>
              <w:ind w:left="-18"/>
              <w:jc w:val="center"/>
              <w:rPr>
                <w:b/>
                <w:sz w:val="22"/>
                <w:szCs w:val="22"/>
              </w:rPr>
            </w:pPr>
            <w:r w:rsidRPr="00813941">
              <w:rPr>
                <w:b/>
                <w:sz w:val="22"/>
                <w:szCs w:val="22"/>
              </w:rPr>
              <w:t>Project cost (in USD Million)</w:t>
            </w:r>
          </w:p>
        </w:tc>
        <w:tc>
          <w:tcPr>
            <w:tcW w:w="1800" w:type="dxa"/>
            <w:tcBorders>
              <w:top w:val="single" w:sz="4" w:space="0" w:color="auto"/>
              <w:left w:val="single" w:sz="4" w:space="0" w:color="auto"/>
              <w:right w:val="single" w:sz="4" w:space="0" w:color="auto"/>
            </w:tcBorders>
            <w:vAlign w:val="center"/>
          </w:tcPr>
          <w:p w14:paraId="4F9C5025" w14:textId="77777777" w:rsidR="00A42474" w:rsidRPr="00813941" w:rsidRDefault="00A42474" w:rsidP="00806EFB">
            <w:pPr>
              <w:jc w:val="center"/>
              <w:rPr>
                <w:b/>
                <w:sz w:val="22"/>
                <w:szCs w:val="22"/>
              </w:rPr>
            </w:pPr>
            <w:r w:rsidRPr="00813941">
              <w:rPr>
                <w:b/>
                <w:sz w:val="22"/>
                <w:szCs w:val="22"/>
              </w:rPr>
              <w:t xml:space="preserve">IDA Financing </w:t>
            </w:r>
            <w:r>
              <w:rPr>
                <w:b/>
                <w:sz w:val="22"/>
                <w:szCs w:val="22"/>
              </w:rPr>
              <w:t>(</w:t>
            </w:r>
            <w:r w:rsidRPr="00813941">
              <w:rPr>
                <w:b/>
                <w:sz w:val="22"/>
                <w:szCs w:val="22"/>
              </w:rPr>
              <w:t>in USD Million)</w:t>
            </w:r>
          </w:p>
        </w:tc>
        <w:tc>
          <w:tcPr>
            <w:tcW w:w="1818" w:type="dxa"/>
            <w:tcBorders>
              <w:top w:val="single" w:sz="4" w:space="0" w:color="auto"/>
              <w:left w:val="single" w:sz="4" w:space="0" w:color="auto"/>
              <w:right w:val="single" w:sz="4" w:space="0" w:color="auto"/>
            </w:tcBorders>
            <w:vAlign w:val="center"/>
          </w:tcPr>
          <w:p w14:paraId="3ABB81B8" w14:textId="77777777" w:rsidR="00A42474" w:rsidRPr="00813941" w:rsidRDefault="00A42474" w:rsidP="00806EFB">
            <w:pPr>
              <w:jc w:val="center"/>
              <w:rPr>
                <w:b/>
                <w:sz w:val="22"/>
                <w:szCs w:val="22"/>
              </w:rPr>
            </w:pPr>
            <w:r w:rsidRPr="00813941">
              <w:rPr>
                <w:b/>
                <w:sz w:val="22"/>
                <w:szCs w:val="22"/>
              </w:rPr>
              <w:t>% Financing</w:t>
            </w:r>
            <w:r>
              <w:rPr>
                <w:rStyle w:val="FootnoteReference"/>
                <w:b/>
                <w:sz w:val="22"/>
                <w:szCs w:val="22"/>
              </w:rPr>
              <w:footnoteReference w:id="2"/>
            </w:r>
          </w:p>
        </w:tc>
      </w:tr>
      <w:tr w:rsidR="00A42474" w:rsidRPr="00813941" w14:paraId="793EE4B9" w14:textId="77777777" w:rsidTr="00806EFB">
        <w:trPr>
          <w:trHeight w:val="2762"/>
        </w:trPr>
        <w:tc>
          <w:tcPr>
            <w:tcW w:w="3600" w:type="dxa"/>
            <w:tcBorders>
              <w:left w:val="single" w:sz="4" w:space="0" w:color="auto"/>
              <w:bottom w:val="nil"/>
              <w:right w:val="single" w:sz="4" w:space="0" w:color="auto"/>
            </w:tcBorders>
          </w:tcPr>
          <w:p w14:paraId="42FA7441" w14:textId="77777777" w:rsidR="00A42474" w:rsidRPr="00813941" w:rsidRDefault="00A42474" w:rsidP="00806EFB">
            <w:pPr>
              <w:rPr>
                <w:sz w:val="22"/>
                <w:szCs w:val="22"/>
              </w:rPr>
            </w:pPr>
            <w:r w:rsidRPr="00813941">
              <w:rPr>
                <w:sz w:val="22"/>
                <w:szCs w:val="22"/>
              </w:rPr>
              <w:t xml:space="preserve">1. Real Estate </w:t>
            </w:r>
            <w:r>
              <w:rPr>
                <w:sz w:val="22"/>
                <w:szCs w:val="22"/>
              </w:rPr>
              <w:t xml:space="preserve">Registration </w:t>
            </w:r>
            <w:r w:rsidRPr="00813941">
              <w:rPr>
                <w:sz w:val="22"/>
                <w:szCs w:val="22"/>
              </w:rPr>
              <w:t>System Development</w:t>
            </w:r>
          </w:p>
          <w:p w14:paraId="1D4AC7AB" w14:textId="77777777" w:rsidR="00A42474" w:rsidRPr="00813941" w:rsidRDefault="00A42474" w:rsidP="00806EFB">
            <w:pPr>
              <w:rPr>
                <w:sz w:val="22"/>
                <w:szCs w:val="22"/>
              </w:rPr>
            </w:pPr>
          </w:p>
          <w:p w14:paraId="58DAADBB" w14:textId="77777777" w:rsidR="00A42474" w:rsidRPr="00DD799F" w:rsidRDefault="00A42474" w:rsidP="00806EFB">
            <w:pPr>
              <w:rPr>
                <w:bCs/>
                <w:sz w:val="22"/>
                <w:szCs w:val="22"/>
                <w:shd w:val="clear" w:color="auto" w:fill="FFFFFF"/>
              </w:rPr>
            </w:pPr>
            <w:r w:rsidRPr="00B60DB3">
              <w:rPr>
                <w:sz w:val="22"/>
                <w:szCs w:val="22"/>
              </w:rPr>
              <w:t>2.</w:t>
            </w:r>
            <w:r w:rsidRPr="00DD799F">
              <w:rPr>
                <w:bCs/>
                <w:sz w:val="22"/>
                <w:szCs w:val="22"/>
                <w:shd w:val="clear" w:color="auto" w:fill="FFFFFF"/>
              </w:rPr>
              <w:t xml:space="preserve"> Software Development and Data Management</w:t>
            </w:r>
          </w:p>
          <w:p w14:paraId="5847CB21" w14:textId="77777777" w:rsidR="00A42474" w:rsidRPr="00744604" w:rsidRDefault="00A42474" w:rsidP="00806EFB">
            <w:pPr>
              <w:rPr>
                <w:sz w:val="22"/>
                <w:szCs w:val="22"/>
              </w:rPr>
            </w:pPr>
          </w:p>
          <w:p w14:paraId="554895EA" w14:textId="77777777" w:rsidR="00A42474" w:rsidRPr="00744604" w:rsidRDefault="00A42474" w:rsidP="00806EFB">
            <w:pPr>
              <w:rPr>
                <w:sz w:val="22"/>
                <w:szCs w:val="22"/>
              </w:rPr>
            </w:pPr>
            <w:r w:rsidRPr="00744604">
              <w:rPr>
                <w:sz w:val="22"/>
                <w:szCs w:val="22"/>
              </w:rPr>
              <w:t>3. Public Awareness and Education, Monitoring and Evaluation, Project Management</w:t>
            </w:r>
          </w:p>
          <w:p w14:paraId="5CAC258C" w14:textId="77777777" w:rsidR="00A42474" w:rsidRPr="00813941" w:rsidRDefault="00A42474" w:rsidP="00806EFB">
            <w:pPr>
              <w:rPr>
                <w:sz w:val="22"/>
                <w:szCs w:val="22"/>
              </w:rPr>
            </w:pPr>
          </w:p>
          <w:p w14:paraId="53294925" w14:textId="77777777" w:rsidR="00A42474" w:rsidRPr="00813941" w:rsidRDefault="00A42474" w:rsidP="00806EFB">
            <w:pPr>
              <w:rPr>
                <w:b/>
                <w:sz w:val="22"/>
                <w:szCs w:val="22"/>
              </w:rPr>
            </w:pPr>
            <w:r w:rsidRPr="00813941">
              <w:rPr>
                <w:b/>
                <w:sz w:val="22"/>
                <w:szCs w:val="22"/>
              </w:rPr>
              <w:t>Total Costs</w:t>
            </w:r>
          </w:p>
        </w:tc>
        <w:tc>
          <w:tcPr>
            <w:tcW w:w="1890" w:type="dxa"/>
            <w:tcBorders>
              <w:left w:val="single" w:sz="4" w:space="0" w:color="auto"/>
              <w:bottom w:val="nil"/>
              <w:right w:val="single" w:sz="4" w:space="0" w:color="auto"/>
            </w:tcBorders>
          </w:tcPr>
          <w:p w14:paraId="71E7EFBF" w14:textId="77777777" w:rsidR="00A42474" w:rsidRDefault="00A42474" w:rsidP="00806EFB">
            <w:pPr>
              <w:jc w:val="center"/>
              <w:rPr>
                <w:sz w:val="22"/>
                <w:szCs w:val="22"/>
              </w:rPr>
            </w:pPr>
            <w:r>
              <w:rPr>
                <w:sz w:val="22"/>
                <w:szCs w:val="22"/>
              </w:rPr>
              <w:t>2.80</w:t>
            </w:r>
          </w:p>
          <w:p w14:paraId="69E57463" w14:textId="77777777" w:rsidR="00A42474" w:rsidRDefault="00A42474" w:rsidP="00806EFB">
            <w:pPr>
              <w:jc w:val="center"/>
              <w:rPr>
                <w:sz w:val="22"/>
                <w:szCs w:val="22"/>
              </w:rPr>
            </w:pPr>
          </w:p>
          <w:p w14:paraId="22AED980" w14:textId="77777777" w:rsidR="00A42474" w:rsidRDefault="00A42474" w:rsidP="00806EFB">
            <w:pPr>
              <w:jc w:val="center"/>
              <w:rPr>
                <w:sz w:val="22"/>
                <w:szCs w:val="22"/>
              </w:rPr>
            </w:pPr>
          </w:p>
          <w:p w14:paraId="28DACDAE" w14:textId="77777777" w:rsidR="00A42474" w:rsidRDefault="00A42474" w:rsidP="00806EFB">
            <w:pPr>
              <w:jc w:val="center"/>
              <w:rPr>
                <w:sz w:val="22"/>
                <w:szCs w:val="22"/>
              </w:rPr>
            </w:pPr>
            <w:r>
              <w:rPr>
                <w:sz w:val="22"/>
                <w:szCs w:val="22"/>
              </w:rPr>
              <w:t>5.90</w:t>
            </w:r>
          </w:p>
          <w:p w14:paraId="6D115F4E" w14:textId="77777777" w:rsidR="00A42474" w:rsidRDefault="00A42474" w:rsidP="00806EFB">
            <w:pPr>
              <w:jc w:val="center"/>
              <w:rPr>
                <w:sz w:val="22"/>
                <w:szCs w:val="22"/>
              </w:rPr>
            </w:pPr>
          </w:p>
          <w:p w14:paraId="4E821E09" w14:textId="77777777" w:rsidR="00A42474" w:rsidRDefault="00A42474" w:rsidP="00806EFB">
            <w:pPr>
              <w:jc w:val="center"/>
              <w:rPr>
                <w:sz w:val="22"/>
                <w:szCs w:val="22"/>
              </w:rPr>
            </w:pPr>
          </w:p>
          <w:p w14:paraId="70C70BEB" w14:textId="77777777" w:rsidR="00A42474" w:rsidRPr="00813941" w:rsidRDefault="00A42474" w:rsidP="00806EFB">
            <w:pPr>
              <w:jc w:val="center"/>
              <w:rPr>
                <w:sz w:val="22"/>
                <w:szCs w:val="22"/>
              </w:rPr>
            </w:pPr>
            <w:r>
              <w:rPr>
                <w:sz w:val="22"/>
                <w:szCs w:val="22"/>
              </w:rPr>
              <w:t>1.30</w:t>
            </w:r>
          </w:p>
        </w:tc>
        <w:tc>
          <w:tcPr>
            <w:tcW w:w="1800" w:type="dxa"/>
            <w:tcBorders>
              <w:left w:val="single" w:sz="4" w:space="0" w:color="auto"/>
              <w:bottom w:val="nil"/>
              <w:right w:val="single" w:sz="4" w:space="0" w:color="auto"/>
            </w:tcBorders>
          </w:tcPr>
          <w:p w14:paraId="1F212F9B" w14:textId="77777777" w:rsidR="00A42474" w:rsidRDefault="00A42474" w:rsidP="00806EFB">
            <w:pPr>
              <w:jc w:val="center"/>
              <w:rPr>
                <w:sz w:val="22"/>
                <w:szCs w:val="22"/>
              </w:rPr>
            </w:pPr>
            <w:r>
              <w:rPr>
                <w:sz w:val="22"/>
                <w:szCs w:val="22"/>
              </w:rPr>
              <w:t>2.80</w:t>
            </w:r>
          </w:p>
          <w:p w14:paraId="572C2340" w14:textId="77777777" w:rsidR="00A42474" w:rsidRDefault="00A42474" w:rsidP="00806EFB">
            <w:pPr>
              <w:jc w:val="center"/>
              <w:rPr>
                <w:sz w:val="22"/>
                <w:szCs w:val="22"/>
              </w:rPr>
            </w:pPr>
          </w:p>
          <w:p w14:paraId="53513533" w14:textId="77777777" w:rsidR="00A42474" w:rsidRDefault="00A42474" w:rsidP="00806EFB">
            <w:pPr>
              <w:jc w:val="center"/>
              <w:rPr>
                <w:sz w:val="22"/>
                <w:szCs w:val="22"/>
              </w:rPr>
            </w:pPr>
          </w:p>
          <w:p w14:paraId="6D72D565" w14:textId="77777777" w:rsidR="00A42474" w:rsidRDefault="00A42474" w:rsidP="00806EFB">
            <w:pPr>
              <w:jc w:val="center"/>
              <w:rPr>
                <w:sz w:val="22"/>
                <w:szCs w:val="22"/>
              </w:rPr>
            </w:pPr>
            <w:r>
              <w:rPr>
                <w:sz w:val="22"/>
                <w:szCs w:val="22"/>
              </w:rPr>
              <w:t>5.90</w:t>
            </w:r>
          </w:p>
          <w:p w14:paraId="697164CC" w14:textId="77777777" w:rsidR="00A42474" w:rsidRDefault="00A42474" w:rsidP="00806EFB">
            <w:pPr>
              <w:jc w:val="center"/>
              <w:rPr>
                <w:sz w:val="22"/>
                <w:szCs w:val="22"/>
              </w:rPr>
            </w:pPr>
          </w:p>
          <w:p w14:paraId="3E34CF89" w14:textId="77777777" w:rsidR="00A42474" w:rsidRDefault="00A42474" w:rsidP="00806EFB">
            <w:pPr>
              <w:jc w:val="center"/>
              <w:rPr>
                <w:sz w:val="22"/>
                <w:szCs w:val="22"/>
              </w:rPr>
            </w:pPr>
          </w:p>
          <w:p w14:paraId="0B0A840E" w14:textId="77777777" w:rsidR="00A42474" w:rsidRPr="00813941" w:rsidRDefault="00A42474" w:rsidP="00806EFB">
            <w:pPr>
              <w:jc w:val="center"/>
              <w:rPr>
                <w:sz w:val="22"/>
                <w:szCs w:val="22"/>
              </w:rPr>
            </w:pPr>
            <w:r>
              <w:rPr>
                <w:sz w:val="22"/>
                <w:szCs w:val="22"/>
              </w:rPr>
              <w:t>1.30</w:t>
            </w:r>
          </w:p>
        </w:tc>
        <w:tc>
          <w:tcPr>
            <w:tcW w:w="1818" w:type="dxa"/>
            <w:tcBorders>
              <w:left w:val="single" w:sz="4" w:space="0" w:color="auto"/>
              <w:bottom w:val="nil"/>
              <w:right w:val="single" w:sz="4" w:space="0" w:color="auto"/>
            </w:tcBorders>
          </w:tcPr>
          <w:p w14:paraId="2D78B2ED" w14:textId="77777777" w:rsidR="00A42474" w:rsidRPr="00744604" w:rsidRDefault="00A42474" w:rsidP="00806EFB">
            <w:pPr>
              <w:jc w:val="center"/>
              <w:rPr>
                <w:sz w:val="22"/>
                <w:szCs w:val="22"/>
              </w:rPr>
            </w:pPr>
            <w:r w:rsidRPr="00744604">
              <w:rPr>
                <w:sz w:val="22"/>
                <w:szCs w:val="22"/>
              </w:rPr>
              <w:t>100%</w:t>
            </w:r>
          </w:p>
          <w:p w14:paraId="0A74FD86" w14:textId="77777777" w:rsidR="00A42474" w:rsidRPr="00744604" w:rsidRDefault="00A42474" w:rsidP="00806EFB">
            <w:pPr>
              <w:rPr>
                <w:sz w:val="22"/>
                <w:szCs w:val="22"/>
              </w:rPr>
            </w:pPr>
          </w:p>
          <w:p w14:paraId="452EC5D6" w14:textId="77777777" w:rsidR="00A42474" w:rsidRDefault="00A42474" w:rsidP="00806EFB">
            <w:pPr>
              <w:jc w:val="center"/>
              <w:rPr>
                <w:sz w:val="22"/>
                <w:szCs w:val="22"/>
              </w:rPr>
            </w:pPr>
          </w:p>
          <w:p w14:paraId="2E687983" w14:textId="77777777" w:rsidR="00A42474" w:rsidRPr="00744604" w:rsidRDefault="00A42474" w:rsidP="00806EFB">
            <w:pPr>
              <w:jc w:val="center"/>
              <w:rPr>
                <w:sz w:val="22"/>
                <w:szCs w:val="22"/>
              </w:rPr>
            </w:pPr>
            <w:r w:rsidRPr="00744604">
              <w:rPr>
                <w:sz w:val="22"/>
                <w:szCs w:val="22"/>
              </w:rPr>
              <w:t>100%</w:t>
            </w:r>
          </w:p>
          <w:p w14:paraId="790A571A" w14:textId="77777777" w:rsidR="00A42474" w:rsidRPr="00744604" w:rsidRDefault="00A42474" w:rsidP="00806EFB">
            <w:pPr>
              <w:jc w:val="center"/>
              <w:rPr>
                <w:sz w:val="22"/>
                <w:szCs w:val="22"/>
              </w:rPr>
            </w:pPr>
          </w:p>
          <w:p w14:paraId="1CBC6959" w14:textId="77777777" w:rsidR="00A42474" w:rsidRPr="00744604" w:rsidRDefault="00A42474" w:rsidP="00806EFB">
            <w:pPr>
              <w:jc w:val="center"/>
              <w:rPr>
                <w:sz w:val="22"/>
                <w:szCs w:val="22"/>
              </w:rPr>
            </w:pPr>
          </w:p>
          <w:p w14:paraId="03223A33" w14:textId="77777777" w:rsidR="00A42474" w:rsidRPr="00813941" w:rsidRDefault="00A42474" w:rsidP="00806EFB">
            <w:pPr>
              <w:jc w:val="center"/>
              <w:rPr>
                <w:sz w:val="22"/>
                <w:szCs w:val="22"/>
              </w:rPr>
            </w:pPr>
            <w:r w:rsidRPr="00744604">
              <w:rPr>
                <w:sz w:val="22"/>
                <w:szCs w:val="22"/>
              </w:rPr>
              <w:t>100%</w:t>
            </w:r>
          </w:p>
          <w:p w14:paraId="531F7936" w14:textId="77777777" w:rsidR="00A42474" w:rsidRPr="00813941" w:rsidRDefault="00A42474" w:rsidP="00806EFB">
            <w:pPr>
              <w:jc w:val="center"/>
              <w:rPr>
                <w:sz w:val="22"/>
                <w:szCs w:val="22"/>
              </w:rPr>
            </w:pPr>
          </w:p>
          <w:p w14:paraId="7979FFC8" w14:textId="77777777" w:rsidR="00A42474" w:rsidRPr="00813941" w:rsidRDefault="00A42474" w:rsidP="00806EFB">
            <w:pPr>
              <w:jc w:val="center"/>
              <w:rPr>
                <w:sz w:val="22"/>
                <w:szCs w:val="22"/>
              </w:rPr>
            </w:pPr>
          </w:p>
          <w:p w14:paraId="58569377" w14:textId="77777777" w:rsidR="00A42474" w:rsidRPr="00813941" w:rsidRDefault="00A42474" w:rsidP="00806EFB">
            <w:pPr>
              <w:jc w:val="center"/>
              <w:rPr>
                <w:sz w:val="22"/>
                <w:szCs w:val="22"/>
              </w:rPr>
            </w:pPr>
          </w:p>
          <w:p w14:paraId="0C642728" w14:textId="77777777" w:rsidR="00A42474" w:rsidRPr="00813941" w:rsidRDefault="00A42474" w:rsidP="00806EFB">
            <w:pPr>
              <w:jc w:val="center"/>
              <w:rPr>
                <w:sz w:val="22"/>
                <w:szCs w:val="22"/>
              </w:rPr>
            </w:pPr>
          </w:p>
        </w:tc>
      </w:tr>
      <w:tr w:rsidR="00A42474" w:rsidRPr="00813941" w14:paraId="1B3320B3" w14:textId="77777777" w:rsidTr="00806EFB">
        <w:trPr>
          <w:trHeight w:val="558"/>
        </w:trPr>
        <w:tc>
          <w:tcPr>
            <w:tcW w:w="3600" w:type="dxa"/>
            <w:tcBorders>
              <w:top w:val="nil"/>
              <w:left w:val="single" w:sz="4" w:space="0" w:color="auto"/>
              <w:bottom w:val="single" w:sz="4" w:space="0" w:color="auto"/>
              <w:right w:val="single" w:sz="4" w:space="0" w:color="auto"/>
            </w:tcBorders>
          </w:tcPr>
          <w:p w14:paraId="7CD97A13" w14:textId="77777777" w:rsidR="00A42474" w:rsidRPr="00813941" w:rsidRDefault="00A42474" w:rsidP="00806EFB">
            <w:pPr>
              <w:jc w:val="right"/>
              <w:rPr>
                <w:sz w:val="22"/>
                <w:szCs w:val="22"/>
              </w:rPr>
            </w:pPr>
            <w:r w:rsidRPr="00813941">
              <w:rPr>
                <w:sz w:val="22"/>
                <w:szCs w:val="22"/>
              </w:rPr>
              <w:t>Total Project Costs</w:t>
            </w:r>
          </w:p>
          <w:p w14:paraId="3E2D2842" w14:textId="77777777" w:rsidR="00A42474" w:rsidRPr="00813941" w:rsidRDefault="00A42474" w:rsidP="00806EFB">
            <w:pPr>
              <w:jc w:val="right"/>
              <w:rPr>
                <w:b/>
                <w:sz w:val="22"/>
                <w:szCs w:val="22"/>
              </w:rPr>
            </w:pPr>
            <w:r w:rsidRPr="00813941">
              <w:rPr>
                <w:b/>
                <w:sz w:val="22"/>
                <w:szCs w:val="22"/>
              </w:rPr>
              <w:t>Total Financing Required</w:t>
            </w:r>
          </w:p>
        </w:tc>
        <w:tc>
          <w:tcPr>
            <w:tcW w:w="1890" w:type="dxa"/>
            <w:tcBorders>
              <w:top w:val="nil"/>
              <w:left w:val="single" w:sz="4" w:space="0" w:color="auto"/>
              <w:bottom w:val="single" w:sz="4" w:space="0" w:color="auto"/>
              <w:right w:val="single" w:sz="4" w:space="0" w:color="auto"/>
            </w:tcBorders>
          </w:tcPr>
          <w:p w14:paraId="656E4178" w14:textId="77777777" w:rsidR="00A42474" w:rsidRPr="00813941" w:rsidRDefault="00A42474" w:rsidP="00806EFB">
            <w:pPr>
              <w:jc w:val="center"/>
              <w:rPr>
                <w:sz w:val="22"/>
                <w:szCs w:val="22"/>
              </w:rPr>
            </w:pPr>
            <w:r w:rsidRPr="00813941">
              <w:rPr>
                <w:sz w:val="22"/>
                <w:szCs w:val="22"/>
              </w:rPr>
              <w:t>10.00</w:t>
            </w:r>
          </w:p>
          <w:p w14:paraId="51D27C19" w14:textId="77777777" w:rsidR="00A42474" w:rsidRPr="00813941" w:rsidRDefault="00A42474" w:rsidP="00806EFB">
            <w:pPr>
              <w:jc w:val="center"/>
              <w:rPr>
                <w:sz w:val="22"/>
                <w:szCs w:val="22"/>
              </w:rPr>
            </w:pPr>
            <w:r>
              <w:rPr>
                <w:sz w:val="22"/>
                <w:szCs w:val="22"/>
              </w:rPr>
              <w:t>10.00</w:t>
            </w:r>
          </w:p>
        </w:tc>
        <w:tc>
          <w:tcPr>
            <w:tcW w:w="1800" w:type="dxa"/>
            <w:tcBorders>
              <w:top w:val="nil"/>
              <w:left w:val="single" w:sz="4" w:space="0" w:color="auto"/>
              <w:bottom w:val="single" w:sz="4" w:space="0" w:color="auto"/>
              <w:right w:val="single" w:sz="4" w:space="0" w:color="auto"/>
            </w:tcBorders>
          </w:tcPr>
          <w:p w14:paraId="12EFAD51" w14:textId="77777777" w:rsidR="00A42474" w:rsidRPr="00813941" w:rsidRDefault="00A42474" w:rsidP="00806EFB">
            <w:pPr>
              <w:jc w:val="center"/>
              <w:rPr>
                <w:sz w:val="22"/>
                <w:szCs w:val="22"/>
              </w:rPr>
            </w:pPr>
            <w:r w:rsidRPr="00813941">
              <w:rPr>
                <w:sz w:val="22"/>
                <w:szCs w:val="22"/>
              </w:rPr>
              <w:t>10.00</w:t>
            </w:r>
          </w:p>
          <w:p w14:paraId="0FD8B4ED" w14:textId="77777777" w:rsidR="00A42474" w:rsidRPr="00813941" w:rsidRDefault="00A42474" w:rsidP="00806EFB">
            <w:pPr>
              <w:jc w:val="center"/>
              <w:rPr>
                <w:sz w:val="22"/>
                <w:szCs w:val="22"/>
              </w:rPr>
            </w:pPr>
            <w:r>
              <w:rPr>
                <w:sz w:val="22"/>
                <w:szCs w:val="22"/>
              </w:rPr>
              <w:t>10.00</w:t>
            </w:r>
          </w:p>
        </w:tc>
        <w:tc>
          <w:tcPr>
            <w:tcW w:w="1818" w:type="dxa"/>
            <w:tcBorders>
              <w:top w:val="nil"/>
              <w:left w:val="single" w:sz="4" w:space="0" w:color="auto"/>
              <w:bottom w:val="single" w:sz="4" w:space="0" w:color="auto"/>
              <w:right w:val="single" w:sz="4" w:space="0" w:color="auto"/>
            </w:tcBorders>
          </w:tcPr>
          <w:p w14:paraId="07A199EE" w14:textId="77777777" w:rsidR="00A42474" w:rsidRPr="00813941" w:rsidRDefault="00A42474" w:rsidP="00806EFB">
            <w:pPr>
              <w:jc w:val="center"/>
              <w:rPr>
                <w:sz w:val="22"/>
                <w:szCs w:val="22"/>
              </w:rPr>
            </w:pPr>
          </w:p>
          <w:p w14:paraId="5D9AEAEB" w14:textId="77777777" w:rsidR="00A42474" w:rsidRPr="00813941" w:rsidRDefault="00A42474" w:rsidP="00806EFB">
            <w:pPr>
              <w:jc w:val="center"/>
              <w:rPr>
                <w:sz w:val="22"/>
                <w:szCs w:val="22"/>
              </w:rPr>
            </w:pPr>
          </w:p>
        </w:tc>
      </w:tr>
    </w:tbl>
    <w:p w14:paraId="6114F1C9" w14:textId="77777777" w:rsidR="00A42474" w:rsidRDefault="00A42474" w:rsidP="00740B68">
      <w:pPr>
        <w:jc w:val="both"/>
      </w:pPr>
    </w:p>
    <w:p w14:paraId="012E9F73" w14:textId="0128D0B4" w:rsidR="00A42474" w:rsidRPr="00A42474" w:rsidRDefault="00A42474" w:rsidP="00740B68">
      <w:pPr>
        <w:jc w:val="both"/>
        <w:rPr>
          <w:b/>
        </w:rPr>
      </w:pPr>
      <w:r w:rsidRPr="00A42474">
        <w:rPr>
          <w:b/>
        </w:rPr>
        <w:t>Implementation Arrangements</w:t>
      </w:r>
    </w:p>
    <w:p w14:paraId="7F8DE220" w14:textId="77777777" w:rsidR="00A42474" w:rsidRDefault="00A42474" w:rsidP="00740B68">
      <w:pPr>
        <w:jc w:val="both"/>
      </w:pPr>
    </w:p>
    <w:p w14:paraId="518D9F22" w14:textId="528208D7" w:rsidR="00A42474" w:rsidRDefault="00933F36" w:rsidP="00A42474">
      <w:pPr>
        <w:jc w:val="both"/>
      </w:pPr>
      <w:r>
        <w:t>9.</w:t>
      </w:r>
      <w:r>
        <w:tab/>
      </w:r>
      <w:r w:rsidR="00F44833">
        <w:t xml:space="preserve">The Project was to be implemented by SUERIP as the sole entity in Tajikistan responsible for land registration.  SUERIP had the mandate, technical staff and local offices needed for a national registration system. </w:t>
      </w:r>
      <w:r w:rsidR="00A42474">
        <w:t xml:space="preserve">SUERIP was to implement the Project and its parent entity, the State Committee for Land Management and Geodesy (SCLMG) would chair the Steering Committee. </w:t>
      </w:r>
      <w:r w:rsidR="00A42474" w:rsidRPr="00374339">
        <w:t xml:space="preserve">The Steering Committee will include membership from SLCMG, SUERIP, Ministry of Finance (MOF) and others as agreed with the </w:t>
      </w:r>
      <w:r w:rsidR="00A42474">
        <w:t>Bank, and would approve annual work plans and budgets and deal with overarching policy issues.</w:t>
      </w:r>
    </w:p>
    <w:p w14:paraId="541F5331" w14:textId="77777777" w:rsidR="00A42474" w:rsidRDefault="00A42474" w:rsidP="00A42474">
      <w:pPr>
        <w:jc w:val="both"/>
      </w:pPr>
    </w:p>
    <w:p w14:paraId="2FEB6899" w14:textId="6199F825" w:rsidR="00A42474" w:rsidRDefault="00933F36" w:rsidP="00A42474">
      <w:pPr>
        <w:jc w:val="both"/>
      </w:pPr>
      <w:r>
        <w:t>10.</w:t>
      </w:r>
      <w:r>
        <w:tab/>
      </w:r>
      <w:r w:rsidR="00A42474">
        <w:t xml:space="preserve">The SCLMG was to appoint a Project Director who was a SUERIP employee and who would report to the SUERIP Director.  SUERIP was also to appoint Component Coordinators for each of the three project components. To support project implementation SUERIP was to be supported by a small Project Implementation Group (IG) located within SUERIP to provide specialized project management assistance, specifically financial </w:t>
      </w:r>
      <w:r w:rsidR="00A42474">
        <w:lastRenderedPageBreak/>
        <w:t>management, procurement, and monitoring and evaluation (M&amp;E).  Other specialists may be hired on an as needed basis to supplement SUERIP’s capacity (for example, an IT specialist). These specialists were to be hired as consultants under the consulting services category.</w:t>
      </w:r>
    </w:p>
    <w:p w14:paraId="6463AB37" w14:textId="77777777" w:rsidR="00740B68" w:rsidRDefault="00740B68" w:rsidP="00AA6313">
      <w:pPr>
        <w:jc w:val="both"/>
      </w:pPr>
    </w:p>
    <w:p w14:paraId="15DB2C3C" w14:textId="41A134B2" w:rsidR="00A42474" w:rsidRPr="00A42474" w:rsidRDefault="00A42474" w:rsidP="00AA6313">
      <w:pPr>
        <w:jc w:val="both"/>
        <w:rPr>
          <w:b/>
        </w:rPr>
      </w:pPr>
      <w:r w:rsidRPr="00A42474">
        <w:rPr>
          <w:b/>
        </w:rPr>
        <w:t>Risks</w:t>
      </w:r>
    </w:p>
    <w:p w14:paraId="143CBF09" w14:textId="77777777" w:rsidR="00A42474" w:rsidRDefault="00A42474" w:rsidP="00AA6313">
      <w:pPr>
        <w:jc w:val="both"/>
      </w:pPr>
    </w:p>
    <w:p w14:paraId="5EAC5038" w14:textId="04358882" w:rsidR="00F44833" w:rsidRPr="00834AB6" w:rsidRDefault="00933F36" w:rsidP="00F44833">
      <w:pPr>
        <w:pStyle w:val="ListParagraph"/>
        <w:ind w:left="0"/>
        <w:jc w:val="both"/>
      </w:pPr>
      <w:r>
        <w:t>11</w:t>
      </w:r>
      <w:r w:rsidR="00F44833">
        <w:t>.</w:t>
      </w:r>
      <w:r w:rsidR="00F44833">
        <w:tab/>
        <w:t xml:space="preserve">The risks were assessed as substantial, but moderate after mitigation. In terms of country level risks, the government had shown strong commitment to the land sector through 10+ years of engagement with the Bank and its interest in continuing the cooperation. The long term engagement of other donors, </w:t>
      </w:r>
      <w:r w:rsidR="00F44833" w:rsidRPr="00834AB6">
        <w:t xml:space="preserve">particularly USAID </w:t>
      </w:r>
      <w:r w:rsidR="00F44833">
        <w:t>(which plans to continue its support)</w:t>
      </w:r>
      <w:r w:rsidR="00F44833" w:rsidRPr="00834AB6">
        <w:t xml:space="preserve"> </w:t>
      </w:r>
      <w:r w:rsidR="00F44833">
        <w:t xml:space="preserve">was also considered important. </w:t>
      </w:r>
    </w:p>
    <w:p w14:paraId="138E5C1F" w14:textId="77777777" w:rsidR="00F44833" w:rsidRPr="00834AB6" w:rsidRDefault="00F44833" w:rsidP="00F44833">
      <w:pPr>
        <w:pStyle w:val="ListParagraph"/>
        <w:ind w:left="0"/>
        <w:jc w:val="both"/>
      </w:pPr>
    </w:p>
    <w:p w14:paraId="5770DAB1" w14:textId="0AC86A49" w:rsidR="00F44833" w:rsidRDefault="00933F36" w:rsidP="00F44833">
      <w:pPr>
        <w:jc w:val="both"/>
      </w:pPr>
      <w:r>
        <w:t>12</w:t>
      </w:r>
      <w:r w:rsidR="00F44833" w:rsidRPr="00834AB6">
        <w:t>.</w:t>
      </w:r>
      <w:r w:rsidR="00F44833" w:rsidRPr="00834AB6">
        <w:tab/>
        <w:t xml:space="preserve">Project level risks </w:t>
      </w:r>
      <w:r w:rsidR="00051065">
        <w:t>were assessed as</w:t>
      </w:r>
      <w:r w:rsidR="00F44833" w:rsidRPr="00834AB6">
        <w:t xml:space="preserve">: a) a new institution with insufficient human capacity to implement the Project; b) technical capacity is weak and the resources for the Project are limited (US$10 million); and c) exclusion of vulnerable groups from registration benefits. The institutional and capacity risks are substantial, particularly for IT related activities. The project design </w:t>
      </w:r>
      <w:r w:rsidR="00051065">
        <w:t>was</w:t>
      </w:r>
      <w:r w:rsidR="00F44833">
        <w:t xml:space="preserve"> </w:t>
      </w:r>
      <w:r w:rsidR="00F44833" w:rsidRPr="00834AB6">
        <w:t>focus</w:t>
      </w:r>
      <w:r w:rsidR="00F44833">
        <w:t>ed</w:t>
      </w:r>
      <w:r w:rsidR="00F44833" w:rsidRPr="00834AB6">
        <w:t xml:space="preserve"> on building capacity and sustainability for IT and other technical activities</w:t>
      </w:r>
      <w:r w:rsidR="00F44833">
        <w:t xml:space="preserve"> throughout implementation</w:t>
      </w:r>
      <w:r w:rsidR="00F44833" w:rsidRPr="00834AB6">
        <w:t xml:space="preserve">. Training needs </w:t>
      </w:r>
      <w:r w:rsidR="00051065">
        <w:t>were</w:t>
      </w:r>
      <w:r w:rsidR="00F44833" w:rsidRPr="00834AB6">
        <w:t xml:space="preserve"> assessed and substantial training planned throughout th</w:t>
      </w:r>
      <w:r w:rsidR="00051065">
        <w:t xml:space="preserve">e Project. The technical risks were </w:t>
      </w:r>
      <w:r w:rsidR="00F44833" w:rsidRPr="00834AB6">
        <w:t xml:space="preserve">mitigated through the project design by focusing on human capacity development throughout the life cycle of the Project, as well as keeping the design focused </w:t>
      </w:r>
      <w:r w:rsidR="00F44833">
        <w:t xml:space="preserve">on </w:t>
      </w:r>
      <w:r w:rsidR="00F44833" w:rsidRPr="00834AB6">
        <w:t xml:space="preserve">the key activity of setting up a well-functioning registration service. </w:t>
      </w:r>
      <w:r w:rsidR="00F44833">
        <w:t xml:space="preserve"> Fiduciary risks </w:t>
      </w:r>
      <w:r w:rsidR="00051065">
        <w:t>were</w:t>
      </w:r>
      <w:r w:rsidR="00F44833">
        <w:t xml:space="preserve"> rated substantial and mitigation measures include</w:t>
      </w:r>
      <w:r w:rsidR="00051065">
        <w:t>d</w:t>
      </w:r>
      <w:r w:rsidR="00F44833">
        <w:t xml:space="preserve"> the hiring of experienced FM and procurement consultants in the IG, </w:t>
      </w:r>
      <w:r w:rsidR="00051065">
        <w:t xml:space="preserve">and </w:t>
      </w:r>
      <w:r w:rsidR="00F44833">
        <w:t>installation of proper accounting s</w:t>
      </w:r>
      <w:r w:rsidR="00051065">
        <w:t>oftware in SUERIP</w:t>
      </w:r>
      <w:r w:rsidR="00F44833">
        <w:t>.</w:t>
      </w:r>
    </w:p>
    <w:p w14:paraId="1F829271" w14:textId="77777777" w:rsidR="00F44833" w:rsidRDefault="00F44833" w:rsidP="00F44833">
      <w:pPr>
        <w:jc w:val="both"/>
      </w:pPr>
    </w:p>
    <w:p w14:paraId="6F38C03B" w14:textId="77777777" w:rsidR="00F44833" w:rsidRDefault="00F44833" w:rsidP="00F44833">
      <w:pPr>
        <w:jc w:val="both"/>
      </w:pPr>
      <w:r>
        <w:t>13.</w:t>
      </w:r>
      <w:r>
        <w:tab/>
      </w:r>
      <w:r w:rsidRPr="00834AB6">
        <w:t>Regarding social and stakeholder risks, a Social Assessment</w:t>
      </w:r>
      <w:r>
        <w:t xml:space="preserve"> (SA)</w:t>
      </w:r>
      <w:r w:rsidRPr="00834AB6">
        <w:t xml:space="preserve"> </w:t>
      </w:r>
      <w:r>
        <w:t xml:space="preserve">was prepared </w:t>
      </w:r>
      <w:r w:rsidRPr="00834AB6">
        <w:t xml:space="preserve">to </w:t>
      </w:r>
      <w:r>
        <w:t xml:space="preserve">better </w:t>
      </w:r>
      <w:r w:rsidRPr="00834AB6">
        <w:t xml:space="preserve">understand the social context of land, potential vulnerable groups and potential unintended outcomes. The </w:t>
      </w:r>
      <w:r>
        <w:t>SA</w:t>
      </w:r>
      <w:r w:rsidRPr="00834AB6">
        <w:t xml:space="preserve"> identif</w:t>
      </w:r>
      <w:r>
        <w:t>ied</w:t>
      </w:r>
      <w:r w:rsidRPr="00834AB6">
        <w:t xml:space="preserve"> specific design elements (</w:t>
      </w:r>
      <w:r>
        <w:t>which were</w:t>
      </w:r>
      <w:r w:rsidRPr="00834AB6">
        <w:t xml:space="preserve"> detailed in the </w:t>
      </w:r>
      <w:r>
        <w:t xml:space="preserve">Project </w:t>
      </w:r>
      <w:r w:rsidRPr="00834AB6">
        <w:t>Operations Manual</w:t>
      </w:r>
      <w:r>
        <w:t xml:space="preserve"> - POM</w:t>
      </w:r>
      <w:r w:rsidRPr="00834AB6">
        <w:t>) t</w:t>
      </w:r>
      <w:r>
        <w:t>o</w:t>
      </w:r>
      <w:r w:rsidRPr="00834AB6">
        <w:t xml:space="preserve"> promote inclusion in a context-responsive manner such as public awareness, customer service, a</w:t>
      </w:r>
      <w:r>
        <w:t xml:space="preserve">nd transparency in operations. </w:t>
      </w:r>
      <w:r w:rsidRPr="00834AB6">
        <w:t xml:space="preserve">The Project </w:t>
      </w:r>
      <w:r>
        <w:t>design also focused</w:t>
      </w:r>
      <w:r w:rsidRPr="00834AB6">
        <w:t xml:space="preserve"> on building SUERIP’s capacity for public awareness and education</w:t>
      </w:r>
      <w:r>
        <w:t>,</w:t>
      </w:r>
      <w:r w:rsidRPr="00834AB6">
        <w:t xml:space="preserve"> and engaging citizens and customers, so that these activities </w:t>
      </w:r>
      <w:r>
        <w:t>were</w:t>
      </w:r>
      <w:r w:rsidRPr="00834AB6">
        <w:t xml:space="preserve"> sustainable. Forms of engagement planned for project implementation include a customer satisfaction survey and associated focus group discussions and a Public Awareness and Education Campaign (PAC).  </w:t>
      </w:r>
    </w:p>
    <w:p w14:paraId="606F6B2D" w14:textId="77777777" w:rsidR="00A42474" w:rsidRDefault="00A42474" w:rsidP="00F44833">
      <w:pPr>
        <w:jc w:val="both"/>
      </w:pPr>
    </w:p>
    <w:p w14:paraId="2D6F875F" w14:textId="2AA9222D" w:rsidR="00A42474" w:rsidRPr="00A42474" w:rsidRDefault="00A42474" w:rsidP="00F44833">
      <w:pPr>
        <w:jc w:val="both"/>
        <w:rPr>
          <w:b/>
        </w:rPr>
      </w:pPr>
      <w:r w:rsidRPr="00A42474">
        <w:rPr>
          <w:b/>
        </w:rPr>
        <w:t>Quality at Entry</w:t>
      </w:r>
    </w:p>
    <w:p w14:paraId="6F3386B3" w14:textId="77777777" w:rsidR="00F44833" w:rsidRDefault="00F44833" w:rsidP="00F44833">
      <w:pPr>
        <w:jc w:val="both"/>
      </w:pPr>
    </w:p>
    <w:p w14:paraId="26C37731" w14:textId="77777777" w:rsidR="00F44833" w:rsidRPr="00834AB6" w:rsidRDefault="00F44833" w:rsidP="00F44833">
      <w:pPr>
        <w:jc w:val="both"/>
      </w:pPr>
      <w:r>
        <w:t>14.</w:t>
      </w:r>
      <w:r>
        <w:tab/>
      </w:r>
      <w:r w:rsidR="00356E1C">
        <w:t xml:space="preserve">Building on the Bank’s experience in Tajikistan in the land sector, the Bank team carried out extensive assessments including the social assessment, a capacity assessment and training plan, a legal review, and a financial assessment of SUERIP which was to be responsible for repayment of the credit through an on-lending arrangement with the Ministry of Finance. </w:t>
      </w:r>
      <w:r>
        <w:t xml:space="preserve">The Bank team worked closely with SUERIP over the course of eight months to </w:t>
      </w:r>
      <w:r w:rsidR="00356E1C">
        <w:t xml:space="preserve">design and </w:t>
      </w:r>
      <w:r>
        <w:t>prepare the Project</w:t>
      </w:r>
      <w:r w:rsidR="00356E1C">
        <w:t xml:space="preserve"> in a fully collaborative manner.  SUERIP </w:t>
      </w:r>
      <w:r w:rsidR="00356E1C">
        <w:lastRenderedPageBreak/>
        <w:t xml:space="preserve">management participated in the social assessment consultations and demonstrated its commitment to responding to social issues. SUERIP also prepared all of the necessary documents and met the effectiveness conditions (but one to be discussed below).  </w:t>
      </w:r>
    </w:p>
    <w:p w14:paraId="33C05783" w14:textId="77777777" w:rsidR="0024514C" w:rsidRDefault="0024514C">
      <w:pPr>
        <w:rPr>
          <w:vanish/>
        </w:rPr>
      </w:pPr>
    </w:p>
    <w:p w14:paraId="74EA05B8" w14:textId="77777777" w:rsidR="0024514C" w:rsidRDefault="0024514C"/>
    <w:p w14:paraId="50EA4879" w14:textId="7105AB4C" w:rsidR="0024514C" w:rsidRPr="00CB4A5C" w:rsidRDefault="0024514C" w:rsidP="00CB4A5C">
      <w:pPr>
        <w:pStyle w:val="Heading2"/>
        <w:rPr>
          <w:sz w:val="22"/>
          <w:szCs w:val="22"/>
        </w:rPr>
      </w:pPr>
      <w:bookmarkStart w:id="73" w:name="_IL7"/>
      <w:bookmarkStart w:id="74" w:name="_Toc156898582"/>
      <w:r>
        <w:t>2</w:t>
      </w:r>
      <w:r w:rsidRPr="00806EFB">
        <w:t xml:space="preserve">. </w:t>
      </w:r>
      <w:bookmarkEnd w:id="73"/>
      <w:r w:rsidRPr="00806EFB">
        <w:t>Post-Approval Experience and Reasons for Cancellation</w:t>
      </w:r>
      <w:bookmarkEnd w:id="74"/>
      <w:r w:rsidR="00CB4A5C">
        <w:rPr>
          <w:sz w:val="22"/>
          <w:szCs w:val="22"/>
        </w:rPr>
        <w:t xml:space="preserve">  </w:t>
      </w:r>
    </w:p>
    <w:p w14:paraId="242F0FE8" w14:textId="77777777" w:rsidR="00E03E2A" w:rsidRDefault="00E03E2A" w:rsidP="00E03E2A">
      <w:pPr>
        <w:pStyle w:val="ListParagraph"/>
        <w:ind w:left="0"/>
        <w:jc w:val="both"/>
      </w:pPr>
    </w:p>
    <w:p w14:paraId="0377C0E0" w14:textId="7AD67F21" w:rsidR="00E03E2A" w:rsidRDefault="00933F36" w:rsidP="00E03E2A">
      <w:pPr>
        <w:pStyle w:val="ListParagraph"/>
        <w:ind w:left="0"/>
        <w:jc w:val="both"/>
      </w:pPr>
      <w:r>
        <w:t>15.</w:t>
      </w:r>
      <w:r>
        <w:tab/>
      </w:r>
      <w:r w:rsidR="00E03E2A">
        <w:t>At the start of Project preparation, Tajikistan was a recipient of IDA grants</w:t>
      </w:r>
      <w:r w:rsidR="002B5C34">
        <w:t>,</w:t>
      </w:r>
      <w:r w:rsidR="00E03E2A">
        <w:t xml:space="preserve"> and Project design </w:t>
      </w:r>
      <w:r w:rsidR="002B5C34">
        <w:t>began under</w:t>
      </w:r>
      <w:r w:rsidR="00E03E2A">
        <w:t xml:space="preserve"> financing terms</w:t>
      </w:r>
      <w:r w:rsidR="002B5C34">
        <w:t xml:space="preserve"> of a blend of IDA grant and credit</w:t>
      </w:r>
      <w:r w:rsidR="00E03E2A">
        <w:t>. However, in Ju</w:t>
      </w:r>
      <w:r w:rsidR="00D11BF8">
        <w:t>ne</w:t>
      </w:r>
      <w:r w:rsidR="00E03E2A">
        <w:t xml:space="preserve"> 2015 prior to Project Appraisal, Tajikistan’s IDA borrowing terms changed to 100% credit. </w:t>
      </w:r>
    </w:p>
    <w:p w14:paraId="189B4FBE" w14:textId="77777777" w:rsidR="00E03E2A" w:rsidRDefault="00E03E2A" w:rsidP="00356E1C">
      <w:pPr>
        <w:pStyle w:val="ListParagraph"/>
        <w:autoSpaceDE w:val="0"/>
        <w:autoSpaceDN w:val="0"/>
        <w:adjustRightInd w:val="0"/>
        <w:ind w:left="0"/>
        <w:jc w:val="both"/>
      </w:pPr>
    </w:p>
    <w:p w14:paraId="3F61AF1C" w14:textId="0F0AE3FC" w:rsidR="00356E1C" w:rsidRDefault="00A42474" w:rsidP="00356E1C">
      <w:pPr>
        <w:pStyle w:val="ListParagraph"/>
        <w:autoSpaceDE w:val="0"/>
        <w:autoSpaceDN w:val="0"/>
        <w:adjustRightInd w:val="0"/>
        <w:ind w:left="0"/>
        <w:jc w:val="both"/>
        <w:rPr>
          <w:color w:val="000000"/>
        </w:rPr>
      </w:pPr>
      <w:r>
        <w:t>1</w:t>
      </w:r>
      <w:r w:rsidR="00933F36">
        <w:t>6</w:t>
      </w:r>
      <w:r w:rsidR="00356E1C">
        <w:t>.</w:t>
      </w:r>
      <w:r w:rsidR="00356E1C">
        <w:tab/>
        <w:t>The Ministry of Finance</w:t>
      </w:r>
      <w:r w:rsidR="00A51D28">
        <w:t xml:space="preserve"> (MOF)</w:t>
      </w:r>
      <w:r w:rsidR="00356E1C">
        <w:t xml:space="preserve"> requested an on-lending arrangement with SUERIP – a state enterprise – to repay </w:t>
      </w:r>
      <w:r w:rsidR="006D796A">
        <w:t>the</w:t>
      </w:r>
      <w:r w:rsidR="00356E1C">
        <w:t xml:space="preserve"> IDA credit. </w:t>
      </w:r>
      <w:r w:rsidR="00356E1C" w:rsidRPr="006652EA">
        <w:rPr>
          <w:color w:val="000000"/>
        </w:rPr>
        <w:t xml:space="preserve">Since SUERIP is a revenue-earning entity a financial analysis </w:t>
      </w:r>
      <w:r w:rsidR="00356E1C">
        <w:rPr>
          <w:color w:val="000000"/>
        </w:rPr>
        <w:t xml:space="preserve">was undertaken </w:t>
      </w:r>
      <w:r w:rsidR="00356E1C" w:rsidRPr="006652EA">
        <w:rPr>
          <w:color w:val="000000"/>
        </w:rPr>
        <w:t xml:space="preserve">as per Bank requirements </w:t>
      </w:r>
      <w:r w:rsidR="00356E1C">
        <w:rPr>
          <w:color w:val="000000"/>
        </w:rPr>
        <w:t xml:space="preserve">to develop </w:t>
      </w:r>
      <w:r w:rsidR="00356E1C" w:rsidRPr="006652EA">
        <w:rPr>
          <w:color w:val="000000"/>
        </w:rPr>
        <w:t xml:space="preserve">projections for </w:t>
      </w:r>
      <w:r w:rsidR="00356E1C">
        <w:rPr>
          <w:color w:val="000000"/>
        </w:rPr>
        <w:t xml:space="preserve">revenues and expenditures. </w:t>
      </w:r>
      <w:r w:rsidR="00356E1C">
        <w:t xml:space="preserve">These revenues are derived from fees charged for SUERIP’s services, including registration, technical inventory, and other related services. </w:t>
      </w:r>
      <w:r w:rsidR="00356E1C">
        <w:rPr>
          <w:color w:val="000000"/>
        </w:rPr>
        <w:t>The results of the analysis indicated that SUERIP would generate a positive cash balance for the forecast period covering 2015-2027. Therefore, internally generated SUERIP savings over the first 12 to 15 years would most likely be sufficient to cover the principal of the government sub-loan of US$10 million (the IDA credit on-lent by MOF to SUERIP). The analysis further found that if an interest rate of some 5% were applied to the on-lent funds by the government, repayment would take up to 17 years, but would still be feasible.</w:t>
      </w:r>
    </w:p>
    <w:p w14:paraId="218788E9" w14:textId="77777777" w:rsidR="00356E1C" w:rsidRDefault="00356E1C" w:rsidP="00356E1C">
      <w:pPr>
        <w:pStyle w:val="ListParagraph"/>
        <w:autoSpaceDE w:val="0"/>
        <w:autoSpaceDN w:val="0"/>
        <w:adjustRightInd w:val="0"/>
        <w:ind w:left="0"/>
        <w:jc w:val="both"/>
        <w:rPr>
          <w:color w:val="000000"/>
        </w:rPr>
      </w:pPr>
    </w:p>
    <w:p w14:paraId="679C0DE9" w14:textId="58B947B5" w:rsidR="00356E1C" w:rsidRDefault="00933F36" w:rsidP="00356E1C">
      <w:pPr>
        <w:jc w:val="both"/>
      </w:pPr>
      <w:r>
        <w:rPr>
          <w:color w:val="000000"/>
        </w:rPr>
        <w:t>17</w:t>
      </w:r>
      <w:r w:rsidR="00356E1C">
        <w:rPr>
          <w:color w:val="000000"/>
        </w:rPr>
        <w:t>.</w:t>
      </w:r>
      <w:r w:rsidR="00356E1C">
        <w:rPr>
          <w:color w:val="000000"/>
        </w:rPr>
        <w:tab/>
        <w:t xml:space="preserve"> </w:t>
      </w:r>
      <w:r w:rsidR="0010757B">
        <w:rPr>
          <w:color w:val="000000"/>
        </w:rPr>
        <w:t>Prior to negotiations draft terms for the subsidiary agreement were proposed and clearly communicated to all parties. During the</w:t>
      </w:r>
      <w:r w:rsidR="00356E1C">
        <w:rPr>
          <w:color w:val="000000"/>
        </w:rPr>
        <w:t xml:space="preserve"> negotiations </w:t>
      </w:r>
      <w:r w:rsidR="0010757B">
        <w:rPr>
          <w:color w:val="000000"/>
        </w:rPr>
        <w:t xml:space="preserve">of the IDA Financing Agreement (FA) </w:t>
      </w:r>
      <w:r w:rsidR="00356E1C">
        <w:rPr>
          <w:color w:val="000000"/>
        </w:rPr>
        <w:t>the proposed terms were</w:t>
      </w:r>
      <w:r w:rsidR="0010757B">
        <w:rPr>
          <w:color w:val="000000"/>
        </w:rPr>
        <w:t xml:space="preserve"> negotiated and</w:t>
      </w:r>
      <w:r w:rsidR="00356E1C">
        <w:rPr>
          <w:color w:val="000000"/>
        </w:rPr>
        <w:t xml:space="preserve"> </w:t>
      </w:r>
      <w:r w:rsidR="00A51D28">
        <w:rPr>
          <w:color w:val="000000"/>
        </w:rPr>
        <w:t>included</w:t>
      </w:r>
      <w:r w:rsidR="00356E1C">
        <w:rPr>
          <w:color w:val="000000"/>
        </w:rPr>
        <w:t xml:space="preserve"> in the </w:t>
      </w:r>
      <w:r w:rsidR="0010757B">
        <w:rPr>
          <w:color w:val="000000"/>
        </w:rPr>
        <w:t>FA</w:t>
      </w:r>
      <w:r w:rsidR="00356E1C">
        <w:rPr>
          <w:color w:val="000000"/>
        </w:rPr>
        <w:t xml:space="preserve">:  </w:t>
      </w:r>
      <w:r w:rsidR="00356E1C" w:rsidRPr="00E54631">
        <w:t xml:space="preserve">total </w:t>
      </w:r>
      <w:r w:rsidR="00356E1C">
        <w:t>credit</w:t>
      </w:r>
      <w:r w:rsidR="00356E1C" w:rsidRPr="00E54631">
        <w:t xml:space="preserve"> amount </w:t>
      </w:r>
      <w:r w:rsidR="00356E1C">
        <w:t xml:space="preserve">denominated </w:t>
      </w:r>
      <w:r w:rsidR="00356E1C" w:rsidRPr="00E54631">
        <w:t xml:space="preserve">in </w:t>
      </w:r>
      <w:r w:rsidR="00356E1C">
        <w:t>USD</w:t>
      </w:r>
      <w:r w:rsidR="00356E1C" w:rsidRPr="00E54631">
        <w:t xml:space="preserve">, </w:t>
      </w:r>
      <w:r w:rsidR="00356E1C" w:rsidRPr="00BB65D4">
        <w:t>on IDA terms (75 basis points) plus 4.25% mark-up</w:t>
      </w:r>
      <w:r w:rsidR="00356E1C" w:rsidRPr="00795F19">
        <w:t xml:space="preserve">, </w:t>
      </w:r>
      <w:r w:rsidR="00356E1C" w:rsidRPr="00395C59">
        <w:t>to take into account currency fluctuations,</w:t>
      </w:r>
      <w:r w:rsidR="00356E1C" w:rsidRPr="00E54631">
        <w:t xml:space="preserve"> payable over </w:t>
      </w:r>
      <w:r w:rsidR="00356E1C" w:rsidRPr="00395C59">
        <w:t>1</w:t>
      </w:r>
      <w:r w:rsidR="00356E1C">
        <w:t>6</w:t>
      </w:r>
      <w:r w:rsidR="00356E1C" w:rsidRPr="00E54631">
        <w:t xml:space="preserve"> years</w:t>
      </w:r>
      <w:r w:rsidR="00A51D28">
        <w:t>, inclusive of a</w:t>
      </w:r>
      <w:r w:rsidR="00356E1C" w:rsidRPr="00395C59">
        <w:t xml:space="preserve"> 4 year grace period.</w:t>
      </w:r>
      <w:r w:rsidR="00356E1C" w:rsidRPr="003843EE">
        <w:t xml:space="preserve"> A subsidiary agreement </w:t>
      </w:r>
      <w:r w:rsidR="00356E1C">
        <w:t>was to</w:t>
      </w:r>
      <w:r w:rsidR="00356E1C" w:rsidRPr="003843EE">
        <w:t xml:space="preserve"> be signed </w:t>
      </w:r>
      <w:r w:rsidR="00356E1C">
        <w:t>between</w:t>
      </w:r>
      <w:r w:rsidR="00356E1C" w:rsidRPr="003843EE">
        <w:t xml:space="preserve"> MO</w:t>
      </w:r>
      <w:r w:rsidR="00A51D28">
        <w:t xml:space="preserve">F, on behalf of the government </w:t>
      </w:r>
      <w:r w:rsidR="00356E1C" w:rsidRPr="003843EE">
        <w:t xml:space="preserve">and SUERIP according to the above terms.  </w:t>
      </w:r>
      <w:r w:rsidR="00A51D28">
        <w:t>The signing of the subsidiary agreement was further agreed as an effectiveness condition.</w:t>
      </w:r>
    </w:p>
    <w:p w14:paraId="68CE977B" w14:textId="77777777" w:rsidR="009F5D85" w:rsidRDefault="009F5D85" w:rsidP="00356E1C">
      <w:pPr>
        <w:jc w:val="both"/>
      </w:pPr>
    </w:p>
    <w:p w14:paraId="589642D7" w14:textId="05D15FCB" w:rsidR="009F5D85" w:rsidRPr="00275971" w:rsidRDefault="00933F36" w:rsidP="00356E1C">
      <w:pPr>
        <w:jc w:val="both"/>
      </w:pPr>
      <w:r>
        <w:t>18</w:t>
      </w:r>
      <w:r w:rsidR="00275971">
        <w:t>.</w:t>
      </w:r>
      <w:r w:rsidR="00275971">
        <w:tab/>
      </w:r>
      <w:r w:rsidR="009F5D85" w:rsidRPr="00275971">
        <w:t>The original effectiveness deadline was 5 September 2016 and over the course of the summer the Bank team and SERUIP worked to meet the effectiveness conditions including the preparation of an Operations Manual, installation of necessary financial management software in SUERIP and the contracting of a qualified FM specialist. These conditions were all effectively met by the deadline, however the subsidiary agreement had not been signed and SUEIRP was questioning the terms.</w:t>
      </w:r>
    </w:p>
    <w:p w14:paraId="178F274C" w14:textId="77777777" w:rsidR="00275971" w:rsidRPr="00275971" w:rsidRDefault="00275971" w:rsidP="00356E1C">
      <w:pPr>
        <w:jc w:val="both"/>
      </w:pPr>
    </w:p>
    <w:p w14:paraId="69E34561" w14:textId="64CC42CB" w:rsidR="00275971" w:rsidRPr="00275971" w:rsidRDefault="00933F36" w:rsidP="00356E1C">
      <w:pPr>
        <w:jc w:val="both"/>
      </w:pPr>
      <w:r>
        <w:t>19</w:t>
      </w:r>
      <w:r w:rsidR="00275971">
        <w:t>.</w:t>
      </w:r>
      <w:r w:rsidR="00275971">
        <w:tab/>
      </w:r>
      <w:r w:rsidR="00275971" w:rsidRPr="00275971">
        <w:t>The effectiveness deadline was extended twice more to October 5, 2016 and again to January 5, 2017 during which time numerous meetings were held with MOF and SUERIP to discuss the terms of the subsidiary agreement and possible solutions.  MOF was firm that the subsidiary agreement terms remain as negotiated in the financing agreement and SUERIP was equally firm that they could not meet these conditions, however</w:t>
      </w:r>
      <w:r w:rsidR="00D36C43">
        <w:t>,</w:t>
      </w:r>
      <w:r w:rsidR="00275971" w:rsidRPr="00275971">
        <w:t xml:space="preserve"> SUERIP failed to provide any data to support th</w:t>
      </w:r>
      <w:r w:rsidR="006554B4">
        <w:t>eir</w:t>
      </w:r>
      <w:r w:rsidR="00275971" w:rsidRPr="00275971">
        <w:t xml:space="preserve"> claim. </w:t>
      </w:r>
    </w:p>
    <w:p w14:paraId="4EE991F9" w14:textId="77777777" w:rsidR="00275971" w:rsidRPr="00275971" w:rsidRDefault="00275971" w:rsidP="00356E1C">
      <w:pPr>
        <w:jc w:val="both"/>
      </w:pPr>
    </w:p>
    <w:p w14:paraId="7191E155" w14:textId="74245819" w:rsidR="00275971" w:rsidRPr="00B2086B" w:rsidRDefault="00933F36" w:rsidP="00356E1C">
      <w:pPr>
        <w:jc w:val="both"/>
      </w:pPr>
      <w:r>
        <w:t>20</w:t>
      </w:r>
      <w:r w:rsidR="00275971">
        <w:t>.</w:t>
      </w:r>
      <w:r w:rsidR="00275971">
        <w:tab/>
      </w:r>
      <w:r w:rsidR="00275971" w:rsidRPr="00B2086B">
        <w:t>In a letter of January 4, 2017 MOF reiterated that SUERIP was “not able to accept the terms and conditions of the Subsidiary Agreement under the above-mentioned Project” (RERP) and that MOF wished to ‘redirect’ the funds from RERP to a</w:t>
      </w:r>
      <w:r w:rsidR="00271367" w:rsidRPr="00B2086B">
        <w:t xml:space="preserve">nother project.  This was later discussed </w:t>
      </w:r>
      <w:r w:rsidR="0089502F" w:rsidRPr="00B2086B">
        <w:t>with</w:t>
      </w:r>
      <w:r w:rsidR="00275971" w:rsidRPr="00B2086B">
        <w:t xml:space="preserve"> the ECA Vice President in a meeting on January </w:t>
      </w:r>
      <w:r w:rsidR="0089502F" w:rsidRPr="00B2086B">
        <w:t>17</w:t>
      </w:r>
      <w:r w:rsidR="00275971" w:rsidRPr="00B2086B">
        <w:t xml:space="preserve">, 2017 with </w:t>
      </w:r>
      <w:r w:rsidR="0089502F" w:rsidRPr="00B2086B">
        <w:t>the First Deputy Prime Minis</w:t>
      </w:r>
      <w:r w:rsidR="001E6B6E" w:rsidRPr="00B2086B">
        <w:t>t</w:t>
      </w:r>
      <w:r w:rsidR="0089502F" w:rsidRPr="00B2086B">
        <w:t>er</w:t>
      </w:r>
      <w:r w:rsidR="00044B52" w:rsidRPr="00B2086B">
        <w:t>, and again during a meeting between the Country Manager and the Chairman of the SCLMG on February</w:t>
      </w:r>
      <w:r w:rsidR="00454D86" w:rsidRPr="00B2086B">
        <w:t xml:space="preserve"> 13, 2017</w:t>
      </w:r>
      <w:r w:rsidR="00044B52" w:rsidRPr="00B2086B">
        <w:t xml:space="preserve">.  </w:t>
      </w:r>
      <w:r w:rsidR="00271367" w:rsidRPr="00B2086B">
        <w:t xml:space="preserve">During the latter meeting, it was confirmed that the Government of Tajikistan did not wish to proceed with the Project. </w:t>
      </w:r>
      <w:r w:rsidR="00044B52" w:rsidRPr="00B2086B">
        <w:t xml:space="preserve">Based on the </w:t>
      </w:r>
      <w:r w:rsidR="00D11BF8" w:rsidRPr="00B2086B">
        <w:t xml:space="preserve">Project’s failure to become effective a cancelation notice was sent on March </w:t>
      </w:r>
      <w:r w:rsidR="006D796A" w:rsidRPr="00B2086B">
        <w:t>17,</w:t>
      </w:r>
      <w:r w:rsidR="00044B52" w:rsidRPr="00B2086B">
        <w:t xml:space="preserve"> 2017 effective January 5, 2017.</w:t>
      </w:r>
    </w:p>
    <w:p w14:paraId="047E7EF5" w14:textId="77777777" w:rsidR="00275971" w:rsidRPr="00B2086B" w:rsidRDefault="00275971" w:rsidP="00356E1C">
      <w:pPr>
        <w:jc w:val="both"/>
      </w:pPr>
    </w:p>
    <w:p w14:paraId="488BCE56" w14:textId="57969EBD" w:rsidR="009F5D85" w:rsidRPr="00B2086B" w:rsidRDefault="00933F36" w:rsidP="00356E1C">
      <w:pPr>
        <w:jc w:val="both"/>
      </w:pPr>
      <w:r w:rsidRPr="00B2086B">
        <w:t>21</w:t>
      </w:r>
      <w:r w:rsidR="0010757B" w:rsidRPr="00B2086B">
        <w:t>.</w:t>
      </w:r>
      <w:r w:rsidR="00CF03BC" w:rsidRPr="00B2086B">
        <w:tab/>
      </w:r>
      <w:r w:rsidR="00306FA2" w:rsidRPr="00B2086B">
        <w:t>T</w:t>
      </w:r>
      <w:r w:rsidR="00CF03BC" w:rsidRPr="00B2086B">
        <w:t xml:space="preserve">he main implication of the failure of the Project to become effective is that SUERIP and the citizens of Tajikistan will not benefit from the </w:t>
      </w:r>
      <w:r w:rsidR="00DF3331" w:rsidRPr="00B2086B">
        <w:t>project activities to implem</w:t>
      </w:r>
      <w:r w:rsidR="00CF03BC" w:rsidRPr="00B2086B">
        <w:t>ent</w:t>
      </w:r>
      <w:r w:rsidR="00DF3331" w:rsidRPr="00B2086B">
        <w:t xml:space="preserve"> a land administration</w:t>
      </w:r>
      <w:r w:rsidR="00CF03BC" w:rsidRPr="00B2086B">
        <w:t xml:space="preserve"> system</w:t>
      </w:r>
      <w:r w:rsidR="00306FA2" w:rsidRPr="00B2086B">
        <w:t xml:space="preserve"> and the </w:t>
      </w:r>
      <w:r w:rsidR="002B5C34" w:rsidRPr="00B2086B">
        <w:t>i</w:t>
      </w:r>
      <w:r w:rsidR="00306FA2" w:rsidRPr="00B2086B">
        <w:t>nvestment the Project would have provided to modernize the system</w:t>
      </w:r>
      <w:r w:rsidR="00CF03BC" w:rsidRPr="00B2086B">
        <w:t xml:space="preserve">. </w:t>
      </w:r>
      <w:r w:rsidR="00306FA2" w:rsidRPr="00B2086B">
        <w:t>While the SUERIP management is committed to its task (as demonstrated by their efforts to meet all other effectiveness conditions) and SUERIP has continued with its activities to support the new registration system in Tajikistan, the results of SUERIP’s efforts will lack the technical assistance and investment the Project would have provided.</w:t>
      </w:r>
    </w:p>
    <w:p w14:paraId="247A9C7E" w14:textId="77777777" w:rsidR="0024514C" w:rsidRPr="00B2086B" w:rsidRDefault="0024514C">
      <w:pPr>
        <w:pStyle w:val="Heading2"/>
      </w:pPr>
      <w:bookmarkStart w:id="75" w:name="_IL8"/>
      <w:bookmarkStart w:id="76" w:name="_Toc156898583"/>
      <w:r w:rsidRPr="00B2086B">
        <w:t xml:space="preserve">3. Assessment of </w:t>
      </w:r>
      <w:bookmarkEnd w:id="75"/>
      <w:r w:rsidRPr="00B2086B">
        <w:t>Bank Performance</w:t>
      </w:r>
      <w:bookmarkEnd w:id="76"/>
      <w:r w:rsidRPr="00B2086B">
        <w:t xml:space="preserve"> </w:t>
      </w:r>
    </w:p>
    <w:p w14:paraId="35E6E5DA" w14:textId="77777777" w:rsidR="00CB4A5C" w:rsidRPr="00B2086B" w:rsidRDefault="00CB4A5C"/>
    <w:p w14:paraId="760C9D01" w14:textId="12C4C4FC" w:rsidR="0024514C" w:rsidRPr="00B2086B" w:rsidRDefault="00A335F1">
      <w:r w:rsidRPr="00B2086B">
        <w:t>Rating:</w:t>
      </w:r>
      <w:r w:rsidR="00777742" w:rsidRPr="00B2086B">
        <w:t xml:space="preserve">  </w:t>
      </w:r>
      <w:r w:rsidR="00DB7593" w:rsidRPr="00B2086B">
        <w:t>Moderately Satisfactory</w:t>
      </w:r>
    </w:p>
    <w:p w14:paraId="70ED259B" w14:textId="77777777" w:rsidR="00E03E2A" w:rsidRPr="00B2086B" w:rsidRDefault="00E03E2A" w:rsidP="00E03E2A">
      <w:pPr>
        <w:pStyle w:val="CommentText"/>
      </w:pPr>
    </w:p>
    <w:p w14:paraId="293E7858" w14:textId="181077F0" w:rsidR="00E03E2A" w:rsidRPr="00B2086B" w:rsidRDefault="00933F36" w:rsidP="00E03E2A">
      <w:pPr>
        <w:jc w:val="both"/>
      </w:pPr>
      <w:r w:rsidRPr="00B2086B">
        <w:t>2</w:t>
      </w:r>
      <w:r w:rsidR="00D11BF8" w:rsidRPr="00B2086B">
        <w:t>2</w:t>
      </w:r>
      <w:r w:rsidRPr="00B2086B">
        <w:t>.</w:t>
      </w:r>
      <w:r w:rsidRPr="00B2086B">
        <w:tab/>
      </w:r>
      <w:r w:rsidR="00E03E2A" w:rsidRPr="00B2086B">
        <w:t>The Country Partnership Strategy (CPS) for 2015-2018 stresses the need to alter the current consumption-driven growth model to achieve the authorities’ objectives by creating jobs that will absorb the employable youth and create economic wealth and the Project was provided for under the Private</w:t>
      </w:r>
      <w:r w:rsidR="00E03E2A" w:rsidRPr="00B2086B">
        <w:rPr>
          <w:sz w:val="22"/>
          <w:szCs w:val="22"/>
        </w:rPr>
        <w:t xml:space="preserve"> </w:t>
      </w:r>
      <w:r w:rsidR="00E03E2A" w:rsidRPr="00B2086B">
        <w:t xml:space="preserve">Sector Led Growth Pillar of the CPS. By strengthening the role of the private sector, the objective was to create enabling conditions to expand micro, small and medium-sized enterprises and thereby create jobs. The Project was to directly contribute to this outcome by supporting the implementation of a unified registration system nationwide, which would improve tenure security and reduce transaction costs for property transactions. </w:t>
      </w:r>
    </w:p>
    <w:p w14:paraId="3C441666" w14:textId="77777777" w:rsidR="00E03E2A" w:rsidRPr="00B2086B" w:rsidRDefault="00E03E2A" w:rsidP="00E03E2A">
      <w:pPr>
        <w:jc w:val="both"/>
      </w:pPr>
    </w:p>
    <w:p w14:paraId="1B1C2923" w14:textId="539F1424" w:rsidR="00E03E2A" w:rsidRPr="00B2086B" w:rsidRDefault="00933F36" w:rsidP="00E03E2A">
      <w:pPr>
        <w:jc w:val="both"/>
      </w:pPr>
      <w:r w:rsidRPr="00B2086B">
        <w:t>2</w:t>
      </w:r>
      <w:r w:rsidR="00D11BF8" w:rsidRPr="00B2086B">
        <w:t>3</w:t>
      </w:r>
      <w:r w:rsidRPr="00B2086B">
        <w:t>.</w:t>
      </w:r>
      <w:r w:rsidRPr="00B2086B">
        <w:tab/>
      </w:r>
      <w:r w:rsidR="00E03E2A" w:rsidRPr="00B2086B">
        <w:t xml:space="preserve">The Bank team worked </w:t>
      </w:r>
      <w:r w:rsidR="00D11BF8" w:rsidRPr="00B2086B">
        <w:t>diligently</w:t>
      </w:r>
      <w:r w:rsidR="00E03E2A" w:rsidRPr="00B2086B">
        <w:t xml:space="preserve"> with SUERIP to design a project that was implementable given the extreme capacity constraints and that would deliver quick results for SUERIP, the government of Tajikistan, the private sector and citizens.  The Project was designed to build a professional registration system to serve</w:t>
      </w:r>
      <w:r w:rsidR="002B5C34" w:rsidRPr="00B2086B">
        <w:t xml:space="preserve"> a wide range of beneficiaries. The social assessment identified key issues and the Project was </w:t>
      </w:r>
      <w:r w:rsidR="00E03E2A" w:rsidRPr="00B2086B">
        <w:t>design</w:t>
      </w:r>
      <w:r w:rsidR="002B5C34" w:rsidRPr="00B2086B">
        <w:t>ed</w:t>
      </w:r>
      <w:r w:rsidR="00E03E2A" w:rsidRPr="00B2086B">
        <w:t xml:space="preserve"> to ensure all groups benefitted.  Numerous assessment</w:t>
      </w:r>
      <w:r w:rsidR="002B5C34" w:rsidRPr="00B2086B">
        <w:t>s</w:t>
      </w:r>
      <w:r w:rsidR="00E03E2A" w:rsidRPr="00B2086B">
        <w:t xml:space="preserve"> were prepared by the Bank team and the Project was well designed and followed </w:t>
      </w:r>
      <w:r w:rsidR="002B5C34" w:rsidRPr="00B2086B">
        <w:t>good</w:t>
      </w:r>
      <w:r w:rsidR="00E03E2A" w:rsidRPr="00B2086B">
        <w:t xml:space="preserve"> practice</w:t>
      </w:r>
      <w:r w:rsidR="002B5C34" w:rsidRPr="00B2086B">
        <w:t xml:space="preserve">s for </w:t>
      </w:r>
      <w:r w:rsidR="00E03E2A" w:rsidRPr="00B2086B">
        <w:t>land projects in the region.</w:t>
      </w:r>
    </w:p>
    <w:p w14:paraId="06CA8331" w14:textId="77777777" w:rsidR="00E03E2A" w:rsidRPr="00B2086B" w:rsidRDefault="00E03E2A" w:rsidP="00E03E2A">
      <w:pPr>
        <w:pStyle w:val="CommentText"/>
      </w:pPr>
    </w:p>
    <w:p w14:paraId="060CF776" w14:textId="00A6099C" w:rsidR="00777742" w:rsidRPr="00B2086B" w:rsidRDefault="00D11BF8" w:rsidP="00092633">
      <w:pPr>
        <w:jc w:val="both"/>
      </w:pPr>
      <w:r w:rsidRPr="00B2086B">
        <w:t>24</w:t>
      </w:r>
      <w:r w:rsidR="00933F36" w:rsidRPr="00B2086B">
        <w:t>.</w:t>
      </w:r>
      <w:r w:rsidR="00933F36" w:rsidRPr="00B2086B">
        <w:tab/>
      </w:r>
      <w:r w:rsidRPr="00B2086B">
        <w:t>I</w:t>
      </w:r>
      <w:r w:rsidR="0010757B" w:rsidRPr="00B2086B">
        <w:t xml:space="preserve">n retrospect </w:t>
      </w:r>
      <w:r w:rsidR="00BE7554" w:rsidRPr="00B2086B">
        <w:t xml:space="preserve">the Bank could have more </w:t>
      </w:r>
      <w:r w:rsidR="0010757B" w:rsidRPr="00B2086B">
        <w:t>close</w:t>
      </w:r>
      <w:r w:rsidR="00BE7554" w:rsidRPr="00B2086B">
        <w:t>ly</w:t>
      </w:r>
      <w:r w:rsidR="0010757B" w:rsidRPr="00B2086B">
        <w:t xml:space="preserve"> monitor</w:t>
      </w:r>
      <w:r w:rsidR="00BE7554" w:rsidRPr="00B2086B">
        <w:t>ed</w:t>
      </w:r>
      <w:r w:rsidR="0010757B" w:rsidRPr="00B2086B">
        <w:t xml:space="preserve"> the discussions between MOF and SUERIP </w:t>
      </w:r>
      <w:r w:rsidR="00BE7554" w:rsidRPr="00B2086B">
        <w:t xml:space="preserve">on </w:t>
      </w:r>
      <w:r w:rsidR="00777742" w:rsidRPr="00B2086B">
        <w:t>the te</w:t>
      </w:r>
      <w:r w:rsidR="00E03E2A" w:rsidRPr="00B2086B">
        <w:t>r</w:t>
      </w:r>
      <w:r w:rsidR="00BE7554" w:rsidRPr="00B2086B">
        <w:t>ms of the subsidiary agreement</w:t>
      </w:r>
      <w:r w:rsidRPr="00B2086B">
        <w:t>. This</w:t>
      </w:r>
      <w:r w:rsidR="00BE7554" w:rsidRPr="00B2086B">
        <w:t xml:space="preserve"> might have alerted the Bank to the lack of agreement earlier and allowed time for resolution before the negotiations of the FA. </w:t>
      </w:r>
    </w:p>
    <w:p w14:paraId="3B98F138" w14:textId="77777777" w:rsidR="0010757B" w:rsidRPr="00B2086B" w:rsidRDefault="0010757B">
      <w:pPr>
        <w:pStyle w:val="Heading2"/>
        <w:rPr>
          <w:sz w:val="24"/>
          <w:szCs w:val="24"/>
        </w:rPr>
      </w:pPr>
      <w:bookmarkStart w:id="77" w:name="_IL9"/>
      <w:bookmarkStart w:id="78" w:name="_Toc156898584"/>
    </w:p>
    <w:p w14:paraId="30926B89" w14:textId="77777777" w:rsidR="0024514C" w:rsidRPr="00B2086B" w:rsidRDefault="0024514C">
      <w:pPr>
        <w:pStyle w:val="Heading2"/>
      </w:pPr>
      <w:r w:rsidRPr="00B2086B">
        <w:t xml:space="preserve">4. Assessment of </w:t>
      </w:r>
      <w:bookmarkEnd w:id="77"/>
      <w:r w:rsidRPr="00B2086B">
        <w:t>Borrower Performance</w:t>
      </w:r>
      <w:bookmarkEnd w:id="78"/>
    </w:p>
    <w:p w14:paraId="21C5C121" w14:textId="77777777" w:rsidR="00DB7593" w:rsidRPr="00B2086B" w:rsidRDefault="00DB7593">
      <w:pPr>
        <w:spacing w:line="200" w:lineRule="atLeast"/>
        <w:rPr>
          <w:color w:val="000000"/>
        </w:rPr>
      </w:pPr>
      <w:bookmarkStart w:id="79" w:name="_IL10" w:colFirst="0" w:colLast="-1"/>
    </w:p>
    <w:p w14:paraId="6FC6C85B" w14:textId="50001299" w:rsidR="0024514C" w:rsidRPr="00B2086B" w:rsidRDefault="00A335F1">
      <w:pPr>
        <w:spacing w:line="200" w:lineRule="atLeast"/>
        <w:rPr>
          <w:color w:val="000000"/>
        </w:rPr>
      </w:pPr>
      <w:r w:rsidRPr="00B2086B">
        <w:rPr>
          <w:color w:val="000000"/>
        </w:rPr>
        <w:t>Rating:</w:t>
      </w:r>
      <w:r w:rsidR="00DB7593" w:rsidRPr="00B2086B">
        <w:rPr>
          <w:color w:val="000000"/>
        </w:rPr>
        <w:t xml:space="preserve">  Moderately Unsatisfactory</w:t>
      </w:r>
    </w:p>
    <w:p w14:paraId="38013F6C" w14:textId="77777777" w:rsidR="00092633" w:rsidRPr="00B2086B" w:rsidRDefault="00092633">
      <w:pPr>
        <w:spacing w:line="200" w:lineRule="atLeast"/>
        <w:rPr>
          <w:color w:val="000000"/>
        </w:rPr>
      </w:pPr>
    </w:p>
    <w:p w14:paraId="3F349A18" w14:textId="70E0D78C" w:rsidR="001D08EC" w:rsidRPr="00B2086B" w:rsidRDefault="00B16792" w:rsidP="001D08EC">
      <w:pPr>
        <w:spacing w:line="200" w:lineRule="atLeast"/>
        <w:jc w:val="both"/>
        <w:rPr>
          <w:color w:val="000000"/>
        </w:rPr>
      </w:pPr>
      <w:r w:rsidRPr="00B2086B">
        <w:rPr>
          <w:color w:val="000000"/>
        </w:rPr>
        <w:t>26.</w:t>
      </w:r>
      <w:r w:rsidRPr="00B2086B">
        <w:rPr>
          <w:color w:val="000000"/>
        </w:rPr>
        <w:tab/>
      </w:r>
      <w:r w:rsidR="001D08EC" w:rsidRPr="00B2086B">
        <w:rPr>
          <w:color w:val="000000"/>
        </w:rPr>
        <w:t xml:space="preserve">SUERIP was a good partner in the preparation of the Project and worked hard to meet all deadlines and requirements. SUERIP also demonstrated its continued </w:t>
      </w:r>
      <w:r w:rsidRPr="00B2086B">
        <w:rPr>
          <w:color w:val="000000"/>
        </w:rPr>
        <w:t>commitment to</w:t>
      </w:r>
      <w:r w:rsidR="001D08EC" w:rsidRPr="00B2086B">
        <w:rPr>
          <w:color w:val="000000"/>
        </w:rPr>
        <w:t xml:space="preserve"> the Project by meeting all of the effectiveness conditions on time</w:t>
      </w:r>
      <w:r w:rsidR="00723383">
        <w:rPr>
          <w:color w:val="000000"/>
        </w:rPr>
        <w:t>, other than the signing of the subsidiary agreement</w:t>
      </w:r>
      <w:r w:rsidR="001D08EC" w:rsidRPr="00B2086B">
        <w:rPr>
          <w:color w:val="000000"/>
        </w:rPr>
        <w:t>.</w:t>
      </w:r>
    </w:p>
    <w:p w14:paraId="7AC3F18D" w14:textId="748B8581" w:rsidR="002B799F" w:rsidRPr="00B2086B" w:rsidRDefault="002B799F" w:rsidP="002B799F">
      <w:pPr>
        <w:spacing w:line="200" w:lineRule="atLeast"/>
        <w:jc w:val="both"/>
        <w:rPr>
          <w:color w:val="000000"/>
        </w:rPr>
      </w:pPr>
      <w:r w:rsidRPr="00B2086B">
        <w:rPr>
          <w:color w:val="000000"/>
        </w:rPr>
        <w:t xml:space="preserve"> </w:t>
      </w:r>
    </w:p>
    <w:p w14:paraId="29F3A0A0" w14:textId="77777777" w:rsidR="0024514C" w:rsidRPr="00B2086B" w:rsidRDefault="0024514C">
      <w:pPr>
        <w:pStyle w:val="Heading2"/>
      </w:pPr>
      <w:bookmarkStart w:id="80" w:name="_IL11"/>
      <w:bookmarkStart w:id="81" w:name="_Toc156898585"/>
      <w:bookmarkEnd w:id="79"/>
      <w:r w:rsidRPr="00B2086B">
        <w:t>5. Lessons Learned</w:t>
      </w:r>
      <w:bookmarkEnd w:id="80"/>
      <w:bookmarkEnd w:id="81"/>
      <w:r w:rsidRPr="00B2086B">
        <w:t xml:space="preserve"> </w:t>
      </w:r>
    </w:p>
    <w:p w14:paraId="2BE16230" w14:textId="207AE3B8" w:rsidR="00092633" w:rsidRPr="00B2086B" w:rsidRDefault="00092633"/>
    <w:p w14:paraId="7B61795B" w14:textId="278DA984" w:rsidR="002B5C34" w:rsidRPr="00B2086B" w:rsidRDefault="00723383" w:rsidP="002C33E2">
      <w:pPr>
        <w:pStyle w:val="ListParagraph"/>
        <w:ind w:left="0"/>
        <w:jc w:val="both"/>
      </w:pPr>
      <w:r>
        <w:t>27.</w:t>
      </w:r>
      <w:r>
        <w:tab/>
      </w:r>
      <w:r w:rsidR="002B5C34" w:rsidRPr="00B2086B">
        <w:t>As the Project was never implemented there are limited lessons learned, however the two below may be relevant to other similar situations.</w:t>
      </w:r>
    </w:p>
    <w:p w14:paraId="01271E4E" w14:textId="77777777" w:rsidR="002B5C34" w:rsidRPr="00B2086B" w:rsidRDefault="002B5C34" w:rsidP="002C33E2">
      <w:pPr>
        <w:pStyle w:val="ListParagraph"/>
        <w:ind w:left="0"/>
        <w:jc w:val="both"/>
      </w:pPr>
    </w:p>
    <w:p w14:paraId="5EA144C1" w14:textId="00ACE5FA" w:rsidR="00E03E2A" w:rsidRDefault="00723383" w:rsidP="002C33E2">
      <w:pPr>
        <w:pStyle w:val="ListParagraph"/>
        <w:ind w:left="0"/>
        <w:jc w:val="both"/>
      </w:pPr>
      <w:r>
        <w:t>28.</w:t>
      </w:r>
      <w:r>
        <w:tab/>
      </w:r>
      <w:r w:rsidR="00BE7554" w:rsidRPr="00B2086B">
        <w:t>T</w:t>
      </w:r>
      <w:r w:rsidR="002B5C34" w:rsidRPr="00B2086B">
        <w:t xml:space="preserve">he change in financing terms </w:t>
      </w:r>
      <w:r w:rsidR="00ED69FF" w:rsidRPr="00B2086B">
        <w:t>during project preparation</w:t>
      </w:r>
      <w:r w:rsidR="002B5C34" w:rsidRPr="00B2086B">
        <w:t xml:space="preserve"> from a blend of grant and c</w:t>
      </w:r>
      <w:r w:rsidR="00BE7554" w:rsidRPr="00B2086B">
        <w:t>redit to full credit</w:t>
      </w:r>
      <w:r w:rsidR="00ED69FF" w:rsidRPr="00B2086B">
        <w:t xml:space="preserve"> created </w:t>
      </w:r>
      <w:r w:rsidR="00922A55" w:rsidRPr="00B2086B">
        <w:t>a changing landscape for SUERIP in terms of its need to repay – going from 55% credit funds to 100%</w:t>
      </w:r>
      <w:r w:rsidR="00BE7554" w:rsidRPr="00B2086B">
        <w:t xml:space="preserve">. </w:t>
      </w:r>
      <w:r w:rsidR="00044B52" w:rsidRPr="00B2086B">
        <w:t xml:space="preserve"> </w:t>
      </w:r>
      <w:r w:rsidR="00BE7554" w:rsidRPr="00B2086B">
        <w:t>Such macro considerations can have a direct impact on projects beyond what technical teams can manage.</w:t>
      </w:r>
      <w:r w:rsidR="00891058">
        <w:t xml:space="preserve"> </w:t>
      </w:r>
    </w:p>
    <w:p w14:paraId="6BD78411" w14:textId="77777777" w:rsidR="00E03E2A" w:rsidRDefault="00E03E2A" w:rsidP="00E03E2A">
      <w:pPr>
        <w:jc w:val="both"/>
      </w:pPr>
    </w:p>
    <w:p w14:paraId="592BBB1D" w14:textId="03FF6411" w:rsidR="0012232F" w:rsidRDefault="00723383" w:rsidP="00933F36">
      <w:pPr>
        <w:pStyle w:val="CommentText"/>
        <w:jc w:val="both"/>
      </w:pPr>
      <w:r>
        <w:t>29.</w:t>
      </w:r>
      <w:r>
        <w:tab/>
      </w:r>
      <w:r w:rsidR="00D11BF8">
        <w:t>The inclusion of the on-lending terms in the IDA Financing Agreement made it much more difficult for SUERIP and MOF to re-negotiate the terms later on, particularly as they were not prepared for the discussion at the IDA negotiations</w:t>
      </w:r>
      <w:r w:rsidR="002B5C34">
        <w:t>.</w:t>
      </w:r>
      <w:r w:rsidR="00D11BF8">
        <w:t xml:space="preserve">  In retrospect it would have allowed more flexibility for all if the specific terms were not included in the FA – only the condition to have a subsidiary agreement signed and acceptable to the Bank.</w:t>
      </w:r>
    </w:p>
    <w:p w14:paraId="1F3C1B72" w14:textId="77777777" w:rsidR="0012232F" w:rsidRDefault="0012232F" w:rsidP="0012232F">
      <w:pPr>
        <w:jc w:val="both"/>
      </w:pPr>
    </w:p>
    <w:p w14:paraId="0080934C" w14:textId="77777777" w:rsidR="0024514C" w:rsidRPr="00092633" w:rsidRDefault="0024514C"/>
    <w:p w14:paraId="5F9F8580" w14:textId="77777777" w:rsidR="00E03DE1" w:rsidRPr="00092633" w:rsidRDefault="00E03DE1">
      <w:pPr>
        <w:rPr>
          <w:vanish/>
        </w:rPr>
      </w:pPr>
    </w:p>
    <w:p w14:paraId="05D176DE" w14:textId="77777777" w:rsidR="003A34EC" w:rsidRDefault="006B724A" w:rsidP="003A34EC">
      <w:pPr>
        <w:pStyle w:val="Heading2"/>
      </w:pPr>
      <w:bookmarkStart w:id="82" w:name="_IL16"/>
      <w:r w:rsidRPr="00092633">
        <w:rPr>
          <w:b w:val="0"/>
          <w:bCs w:val="0"/>
          <w:sz w:val="24"/>
          <w:szCs w:val="24"/>
        </w:rPr>
        <w:br w:type="page"/>
      </w:r>
      <w:bookmarkStart w:id="83" w:name="_IL18"/>
      <w:bookmarkStart w:id="84" w:name="_Toc156015297"/>
      <w:bookmarkStart w:id="85" w:name="_Toc156898586"/>
      <w:r w:rsidR="003A34EC">
        <w:lastRenderedPageBreak/>
        <w:t>Annex 1. Bank Lending and Implementation Support/Supervision Processes</w:t>
      </w:r>
      <w:bookmarkEnd w:id="83"/>
      <w:bookmarkEnd w:id="84"/>
      <w:bookmarkEnd w:id="85"/>
      <w:r w:rsidR="003A34EC">
        <w:t xml:space="preserve"> </w:t>
      </w:r>
    </w:p>
    <w:p w14:paraId="334DAB76" w14:textId="787C4949" w:rsidR="003A34EC" w:rsidRPr="0004394F" w:rsidRDefault="003A34EC" w:rsidP="0004394F">
      <w:pPr>
        <w:pStyle w:val="Heading3"/>
      </w:pPr>
      <w:r>
        <w:t>(a) Task Team members</w:t>
      </w:r>
      <w:r w:rsidR="0004394F">
        <w:t xml:space="preserve"> - Preparation</w:t>
      </w:r>
    </w:p>
    <w:p w14:paraId="13C9EFC0" w14:textId="77777777" w:rsidR="003A34EC" w:rsidRDefault="003A34EC" w:rsidP="003A34EC">
      <w:bookmarkStart w:id="86" w:name="TEAM_SUP"/>
      <w:bookmarkEnd w:id="86"/>
    </w:p>
    <w:tbl>
      <w:tblPr>
        <w:tblW w:w="9362"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340"/>
        <w:gridCol w:w="1930"/>
        <w:gridCol w:w="1800"/>
        <w:gridCol w:w="15"/>
        <w:gridCol w:w="1872"/>
        <w:gridCol w:w="1405"/>
      </w:tblGrid>
      <w:tr w:rsidR="0004394F" w:rsidRPr="006D796A" w14:paraId="1919926A" w14:textId="77777777" w:rsidTr="0004394F">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8F885E4" w14:textId="77777777" w:rsidR="0004394F" w:rsidRDefault="0004394F" w:rsidP="00806EFB">
            <w:pPr>
              <w:rPr>
                <w:sz w:val="22"/>
                <w:szCs w:val="22"/>
              </w:rPr>
            </w:pPr>
            <w:r>
              <w:rPr>
                <w:b/>
                <w:bCs/>
                <w:sz w:val="22"/>
                <w:szCs w:val="22"/>
              </w:rPr>
              <w:t>Name</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13555E4" w14:textId="77777777" w:rsidR="0004394F" w:rsidRDefault="0004394F" w:rsidP="00806EFB">
            <w:pPr>
              <w:rPr>
                <w:sz w:val="22"/>
                <w:szCs w:val="22"/>
              </w:rPr>
            </w:pPr>
            <w:r>
              <w:rPr>
                <w:b/>
                <w:bCs/>
                <w:sz w:val="22"/>
                <w:szCs w:val="22"/>
              </w:rPr>
              <w:t>Role</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62CF267" w14:textId="77777777" w:rsidR="0004394F" w:rsidRDefault="0004394F" w:rsidP="00806EFB">
            <w:pPr>
              <w:rPr>
                <w:sz w:val="22"/>
                <w:szCs w:val="22"/>
              </w:rPr>
            </w:pPr>
            <w:r>
              <w:rPr>
                <w:b/>
                <w:bCs/>
                <w:sz w:val="22"/>
                <w:szCs w:val="22"/>
              </w:rPr>
              <w:t>Title</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55C4CCF" w14:textId="77777777" w:rsidR="0004394F" w:rsidRDefault="0004394F" w:rsidP="00806EFB">
            <w:pPr>
              <w:rPr>
                <w:sz w:val="22"/>
                <w:szCs w:val="22"/>
              </w:rPr>
            </w:pPr>
            <w:r>
              <w:rPr>
                <w:b/>
                <w:bCs/>
                <w:sz w:val="22"/>
                <w:szCs w:val="22"/>
              </w:rPr>
              <w:t>Specialization</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0FB708D" w14:textId="77777777" w:rsidR="0004394F" w:rsidRDefault="0004394F" w:rsidP="00806EFB">
            <w:pPr>
              <w:rPr>
                <w:sz w:val="22"/>
                <w:szCs w:val="22"/>
              </w:rPr>
            </w:pPr>
            <w:r>
              <w:rPr>
                <w:b/>
                <w:bCs/>
                <w:sz w:val="22"/>
                <w:szCs w:val="22"/>
              </w:rPr>
              <w:t>Unit</w:t>
            </w:r>
          </w:p>
        </w:tc>
      </w:tr>
      <w:tr w:rsidR="0004394F" w:rsidRPr="006D796A" w14:paraId="6BF6C9FD" w14:textId="77777777" w:rsidTr="0004394F">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512A109" w14:textId="77777777" w:rsidR="0004394F" w:rsidRDefault="0004394F" w:rsidP="00806EFB">
            <w:pPr>
              <w:rPr>
                <w:sz w:val="22"/>
                <w:szCs w:val="22"/>
              </w:rPr>
            </w:pPr>
            <w:r>
              <w:rPr>
                <w:sz w:val="22"/>
                <w:szCs w:val="22"/>
              </w:rPr>
              <w:t>Victoria Stanley</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6B89669" w14:textId="77777777" w:rsidR="0004394F" w:rsidRDefault="0004394F" w:rsidP="00806EFB">
            <w:pPr>
              <w:rPr>
                <w:sz w:val="22"/>
                <w:szCs w:val="22"/>
              </w:rPr>
            </w:pPr>
            <w:r>
              <w:rPr>
                <w:sz w:val="22"/>
                <w:szCs w:val="22"/>
              </w:rPr>
              <w:t>Team Leader (ADM Responsible)</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26F0033" w14:textId="77777777" w:rsidR="0004394F" w:rsidRDefault="0004394F" w:rsidP="00806EFB">
            <w:pPr>
              <w:rPr>
                <w:sz w:val="22"/>
                <w:szCs w:val="22"/>
              </w:rPr>
            </w:pPr>
            <w:r>
              <w:rPr>
                <w:sz w:val="22"/>
                <w:szCs w:val="22"/>
              </w:rPr>
              <w:t>Senior Rural Development Specialist</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7679E5C" w14:textId="77777777" w:rsidR="0004394F" w:rsidRDefault="0004394F" w:rsidP="00806EFB"/>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D331699" w14:textId="77777777" w:rsidR="0004394F" w:rsidRDefault="0004394F" w:rsidP="00806EFB">
            <w:pPr>
              <w:rPr>
                <w:sz w:val="22"/>
                <w:szCs w:val="22"/>
              </w:rPr>
            </w:pPr>
            <w:r>
              <w:rPr>
                <w:sz w:val="22"/>
                <w:szCs w:val="22"/>
              </w:rPr>
              <w:t>GSULN</w:t>
            </w:r>
          </w:p>
        </w:tc>
      </w:tr>
      <w:tr w:rsidR="0004394F" w:rsidRPr="006D796A" w14:paraId="24956AAE" w14:textId="77777777" w:rsidTr="0004394F">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5AFEA04" w14:textId="77777777" w:rsidR="0004394F" w:rsidRDefault="0004394F" w:rsidP="00806EFB">
            <w:pPr>
              <w:rPr>
                <w:sz w:val="22"/>
                <w:szCs w:val="22"/>
              </w:rPr>
            </w:pPr>
            <w:r>
              <w:rPr>
                <w:sz w:val="22"/>
                <w:szCs w:val="22"/>
              </w:rPr>
              <w:t>Dilshod Karimova</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8B18613" w14:textId="77777777" w:rsidR="0004394F" w:rsidRDefault="0004394F" w:rsidP="00806EFB">
            <w:pPr>
              <w:rPr>
                <w:sz w:val="22"/>
                <w:szCs w:val="22"/>
              </w:rPr>
            </w:pPr>
            <w:r>
              <w:rPr>
                <w:sz w:val="22"/>
                <w:szCs w:val="22"/>
              </w:rPr>
              <w:t>Procurement Specialist (ADM Responsible)</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D717306" w14:textId="77777777" w:rsidR="0004394F" w:rsidRDefault="0004394F" w:rsidP="00806EFB">
            <w:pPr>
              <w:rPr>
                <w:sz w:val="22"/>
                <w:szCs w:val="22"/>
              </w:rPr>
            </w:pPr>
            <w:r>
              <w:rPr>
                <w:sz w:val="22"/>
                <w:szCs w:val="22"/>
              </w:rPr>
              <w:t>Procurement Specialist</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4568B38" w14:textId="77777777" w:rsidR="0004394F" w:rsidRDefault="0004394F" w:rsidP="00806EFB">
            <w:pPr>
              <w:rPr>
                <w:sz w:val="22"/>
                <w:szCs w:val="22"/>
              </w:rPr>
            </w:pPr>
            <w:r>
              <w:rPr>
                <w:sz w:val="22"/>
                <w:szCs w:val="22"/>
              </w:rPr>
              <w:t>Procurement Specialist</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727953F" w14:textId="77777777" w:rsidR="0004394F" w:rsidRDefault="0004394F" w:rsidP="00806EFB">
            <w:pPr>
              <w:rPr>
                <w:sz w:val="22"/>
                <w:szCs w:val="22"/>
              </w:rPr>
            </w:pPr>
            <w:r>
              <w:rPr>
                <w:sz w:val="22"/>
                <w:szCs w:val="22"/>
              </w:rPr>
              <w:t>GGO03</w:t>
            </w:r>
          </w:p>
        </w:tc>
      </w:tr>
      <w:tr w:rsidR="0004394F" w:rsidRPr="006D796A" w14:paraId="1A712B40" w14:textId="77777777" w:rsidTr="0004394F">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2A520E" w14:textId="77777777" w:rsidR="0004394F" w:rsidRDefault="0004394F" w:rsidP="00806EFB">
            <w:pPr>
              <w:rPr>
                <w:sz w:val="22"/>
                <w:szCs w:val="22"/>
              </w:rPr>
            </w:pPr>
            <w:r>
              <w:rPr>
                <w:sz w:val="22"/>
                <w:szCs w:val="22"/>
              </w:rPr>
              <w:t>Niso Bazidova</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99AA971" w14:textId="77777777" w:rsidR="0004394F" w:rsidRDefault="0004394F" w:rsidP="00806EFB">
            <w:pPr>
              <w:rPr>
                <w:sz w:val="22"/>
                <w:szCs w:val="22"/>
              </w:rPr>
            </w:pPr>
            <w:r>
              <w:rPr>
                <w:sz w:val="22"/>
                <w:szCs w:val="22"/>
              </w:rPr>
              <w:t>Financial Management Specialist</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D634366" w14:textId="77777777" w:rsidR="0004394F" w:rsidRDefault="0004394F" w:rsidP="00806EFB">
            <w:pPr>
              <w:rPr>
                <w:sz w:val="22"/>
                <w:szCs w:val="22"/>
              </w:rPr>
            </w:pPr>
            <w:r>
              <w:rPr>
                <w:sz w:val="22"/>
                <w:szCs w:val="22"/>
              </w:rPr>
              <w:t>Financial Management Analyst</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41D5063" w14:textId="77777777" w:rsidR="0004394F" w:rsidRDefault="0004394F" w:rsidP="00806EFB"/>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3A19F82" w14:textId="77777777" w:rsidR="0004394F" w:rsidRDefault="0004394F" w:rsidP="00806EFB">
            <w:pPr>
              <w:rPr>
                <w:sz w:val="22"/>
                <w:szCs w:val="22"/>
              </w:rPr>
            </w:pPr>
            <w:r>
              <w:rPr>
                <w:sz w:val="22"/>
                <w:szCs w:val="22"/>
              </w:rPr>
              <w:t>GGO21</w:t>
            </w:r>
          </w:p>
        </w:tc>
      </w:tr>
      <w:tr w:rsidR="0004394F" w:rsidRPr="006D796A" w14:paraId="4CD898F0" w14:textId="77777777" w:rsidTr="0004394F">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294F4D2" w14:textId="77777777" w:rsidR="0004394F" w:rsidRDefault="0004394F" w:rsidP="00806EFB">
            <w:pPr>
              <w:rPr>
                <w:sz w:val="22"/>
                <w:szCs w:val="22"/>
              </w:rPr>
            </w:pPr>
            <w:r>
              <w:rPr>
                <w:sz w:val="22"/>
                <w:szCs w:val="22"/>
              </w:rPr>
              <w:t>Alexander Rukavishnikov</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780C31B" w14:textId="77777777" w:rsidR="0004394F" w:rsidRDefault="0004394F" w:rsidP="00806EFB">
            <w:pPr>
              <w:rPr>
                <w:sz w:val="22"/>
                <w:szCs w:val="22"/>
              </w:rPr>
            </w:pPr>
            <w:r>
              <w:rPr>
                <w:sz w:val="22"/>
                <w:szCs w:val="22"/>
              </w:rPr>
              <w:t>Team Member</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1C999BD" w14:textId="77777777" w:rsidR="0004394F" w:rsidRDefault="0004394F" w:rsidP="00806EFB">
            <w:pPr>
              <w:rPr>
                <w:sz w:val="22"/>
                <w:szCs w:val="22"/>
              </w:rPr>
            </w:pPr>
            <w:r>
              <w:rPr>
                <w:sz w:val="22"/>
                <w:szCs w:val="22"/>
              </w:rPr>
              <w:t>Senior Procurement Specialist</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1B913E" w14:textId="77777777" w:rsidR="0004394F" w:rsidRDefault="0004394F" w:rsidP="00806EFB"/>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29FF076" w14:textId="77777777" w:rsidR="0004394F" w:rsidRDefault="0004394F" w:rsidP="00806EFB">
            <w:pPr>
              <w:rPr>
                <w:sz w:val="22"/>
                <w:szCs w:val="22"/>
              </w:rPr>
            </w:pPr>
            <w:r>
              <w:rPr>
                <w:sz w:val="22"/>
                <w:szCs w:val="22"/>
              </w:rPr>
              <w:t>GGO03</w:t>
            </w:r>
          </w:p>
        </w:tc>
      </w:tr>
      <w:tr w:rsidR="0004394F" w:rsidRPr="006D796A" w14:paraId="0DA2E675" w14:textId="77777777" w:rsidTr="0004394F">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C700044" w14:textId="77777777" w:rsidR="0004394F" w:rsidRDefault="0004394F" w:rsidP="00806EFB">
            <w:pPr>
              <w:rPr>
                <w:sz w:val="22"/>
                <w:szCs w:val="22"/>
              </w:rPr>
            </w:pPr>
            <w:r>
              <w:rPr>
                <w:sz w:val="22"/>
                <w:szCs w:val="22"/>
              </w:rPr>
              <w:t>Angela Nyawira Khaminwa</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FC6E959" w14:textId="77777777" w:rsidR="0004394F" w:rsidRDefault="0004394F" w:rsidP="00806EFB">
            <w:pPr>
              <w:rPr>
                <w:sz w:val="22"/>
                <w:szCs w:val="22"/>
              </w:rPr>
            </w:pPr>
            <w:r>
              <w:rPr>
                <w:sz w:val="22"/>
                <w:szCs w:val="22"/>
              </w:rPr>
              <w:t>Safeguards Specialist</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CF2E175" w14:textId="77777777" w:rsidR="0004394F" w:rsidRDefault="0004394F" w:rsidP="00806EFB">
            <w:pPr>
              <w:rPr>
                <w:sz w:val="22"/>
                <w:szCs w:val="22"/>
              </w:rPr>
            </w:pPr>
            <w:r>
              <w:rPr>
                <w:sz w:val="22"/>
                <w:szCs w:val="22"/>
              </w:rPr>
              <w:t>Senior Social Development Specialist</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CC03573" w14:textId="77777777" w:rsidR="0004394F" w:rsidRDefault="0004394F" w:rsidP="00806EFB">
            <w:pPr>
              <w:rPr>
                <w:sz w:val="22"/>
                <w:szCs w:val="22"/>
              </w:rPr>
            </w:pPr>
            <w:r>
              <w:rPr>
                <w:sz w:val="22"/>
                <w:szCs w:val="22"/>
              </w:rPr>
              <w:t>Social Specialist</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4CF3EA4" w14:textId="77777777" w:rsidR="0004394F" w:rsidRDefault="0004394F" w:rsidP="00806EFB">
            <w:pPr>
              <w:rPr>
                <w:sz w:val="22"/>
                <w:szCs w:val="22"/>
              </w:rPr>
            </w:pPr>
            <w:r>
              <w:rPr>
                <w:sz w:val="22"/>
                <w:szCs w:val="22"/>
              </w:rPr>
              <w:t>GSU03</w:t>
            </w:r>
          </w:p>
        </w:tc>
      </w:tr>
      <w:tr w:rsidR="0004394F" w:rsidRPr="006D796A" w14:paraId="7414E2F9" w14:textId="77777777" w:rsidTr="0004394F">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D6FD7EB" w14:textId="77777777" w:rsidR="0004394F" w:rsidRDefault="0004394F" w:rsidP="00806EFB">
            <w:pPr>
              <w:rPr>
                <w:sz w:val="22"/>
                <w:szCs w:val="22"/>
              </w:rPr>
            </w:pPr>
            <w:r>
              <w:rPr>
                <w:sz w:val="22"/>
                <w:szCs w:val="22"/>
              </w:rPr>
              <w:t>Anthony John Lamb</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6BB1BCE" w14:textId="77777777" w:rsidR="0004394F" w:rsidRDefault="0004394F" w:rsidP="00806EFB">
            <w:pPr>
              <w:rPr>
                <w:sz w:val="22"/>
                <w:szCs w:val="22"/>
              </w:rPr>
            </w:pPr>
            <w:r>
              <w:rPr>
                <w:sz w:val="22"/>
                <w:szCs w:val="22"/>
              </w:rPr>
              <w:t>Team Member</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26619C" w14:textId="77777777" w:rsidR="0004394F" w:rsidRDefault="0004394F" w:rsidP="00806EFB">
            <w:pPr>
              <w:rPr>
                <w:sz w:val="22"/>
                <w:szCs w:val="22"/>
              </w:rPr>
            </w:pPr>
            <w:r>
              <w:rPr>
                <w:sz w:val="22"/>
                <w:szCs w:val="22"/>
              </w:rPr>
              <w:t>Consultant</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27B8B39" w14:textId="77777777" w:rsidR="0004394F" w:rsidRDefault="0004394F" w:rsidP="00806EFB">
            <w:pPr>
              <w:rPr>
                <w:sz w:val="22"/>
                <w:szCs w:val="22"/>
              </w:rPr>
            </w:pPr>
            <w:r>
              <w:rPr>
                <w:sz w:val="22"/>
                <w:szCs w:val="22"/>
              </w:rPr>
              <w:t>Registration Specialist</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898AC3F" w14:textId="77777777" w:rsidR="0004394F" w:rsidRDefault="0004394F" w:rsidP="00806EFB">
            <w:pPr>
              <w:rPr>
                <w:sz w:val="22"/>
                <w:szCs w:val="22"/>
              </w:rPr>
            </w:pPr>
            <w:r>
              <w:rPr>
                <w:sz w:val="22"/>
                <w:szCs w:val="22"/>
              </w:rPr>
              <w:t>GSULN</w:t>
            </w:r>
          </w:p>
        </w:tc>
      </w:tr>
      <w:tr w:rsidR="0004394F" w:rsidRPr="006D796A" w14:paraId="7B695599" w14:textId="77777777" w:rsidTr="0004394F">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054657D" w14:textId="77777777" w:rsidR="0004394F" w:rsidRDefault="0004394F" w:rsidP="00806EFB">
            <w:pPr>
              <w:rPr>
                <w:sz w:val="22"/>
                <w:szCs w:val="22"/>
              </w:rPr>
            </w:pPr>
            <w:r>
              <w:rPr>
                <w:sz w:val="22"/>
                <w:szCs w:val="22"/>
              </w:rPr>
              <w:t>Bobojon Yatimov</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0C65024" w14:textId="77777777" w:rsidR="0004394F" w:rsidRDefault="0004394F" w:rsidP="00806EFB">
            <w:pPr>
              <w:rPr>
                <w:sz w:val="22"/>
                <w:szCs w:val="22"/>
              </w:rPr>
            </w:pPr>
            <w:r>
              <w:rPr>
                <w:sz w:val="22"/>
                <w:szCs w:val="22"/>
              </w:rPr>
              <w:t>Team Member</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2FD45D9" w14:textId="77777777" w:rsidR="0004394F" w:rsidRDefault="0004394F" w:rsidP="00806EFB">
            <w:pPr>
              <w:rPr>
                <w:sz w:val="22"/>
                <w:szCs w:val="22"/>
              </w:rPr>
            </w:pPr>
            <w:r>
              <w:rPr>
                <w:sz w:val="22"/>
                <w:szCs w:val="22"/>
              </w:rPr>
              <w:t>Sr Agricultural Spec.</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96D8EB0" w14:textId="77777777" w:rsidR="0004394F" w:rsidRDefault="0004394F" w:rsidP="00806EFB"/>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B07F5B0" w14:textId="77777777" w:rsidR="0004394F" w:rsidRDefault="0004394F" w:rsidP="00806EFB">
            <w:pPr>
              <w:rPr>
                <w:sz w:val="22"/>
                <w:szCs w:val="22"/>
              </w:rPr>
            </w:pPr>
            <w:r>
              <w:rPr>
                <w:sz w:val="22"/>
                <w:szCs w:val="22"/>
              </w:rPr>
              <w:t>GFA03</w:t>
            </w:r>
          </w:p>
        </w:tc>
      </w:tr>
      <w:tr w:rsidR="0004394F" w:rsidRPr="006D796A" w14:paraId="444A4740" w14:textId="77777777" w:rsidTr="0004394F">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05C7BF" w14:textId="77777777" w:rsidR="0004394F" w:rsidRDefault="0004394F" w:rsidP="00806EFB">
            <w:pPr>
              <w:rPr>
                <w:sz w:val="22"/>
                <w:szCs w:val="22"/>
              </w:rPr>
            </w:pPr>
            <w:r>
              <w:rPr>
                <w:sz w:val="22"/>
                <w:szCs w:val="22"/>
              </w:rPr>
              <w:t>German Stanislavovich Kust</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FCC92EC" w14:textId="77777777" w:rsidR="0004394F" w:rsidRDefault="0004394F" w:rsidP="00806EFB">
            <w:pPr>
              <w:rPr>
                <w:sz w:val="22"/>
                <w:szCs w:val="22"/>
              </w:rPr>
            </w:pPr>
            <w:r>
              <w:rPr>
                <w:sz w:val="22"/>
                <w:szCs w:val="22"/>
              </w:rPr>
              <w:t>Environmental Specialist</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62D4BD7" w14:textId="77777777" w:rsidR="0004394F" w:rsidRDefault="0004394F" w:rsidP="00806EFB">
            <w:pPr>
              <w:rPr>
                <w:sz w:val="22"/>
                <w:szCs w:val="22"/>
              </w:rPr>
            </w:pPr>
            <w:r>
              <w:rPr>
                <w:sz w:val="22"/>
                <w:szCs w:val="22"/>
              </w:rPr>
              <w:t>Consultant</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2C3445B" w14:textId="77777777" w:rsidR="0004394F" w:rsidRDefault="0004394F" w:rsidP="00806EFB">
            <w:pPr>
              <w:rPr>
                <w:sz w:val="22"/>
                <w:szCs w:val="22"/>
              </w:rPr>
            </w:pPr>
            <w:r>
              <w:rPr>
                <w:sz w:val="22"/>
                <w:szCs w:val="22"/>
              </w:rPr>
              <w:t>Environmental Specialist</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8223B50" w14:textId="77777777" w:rsidR="0004394F" w:rsidRDefault="0004394F" w:rsidP="00806EFB">
            <w:pPr>
              <w:rPr>
                <w:sz w:val="22"/>
                <w:szCs w:val="22"/>
              </w:rPr>
            </w:pPr>
            <w:r>
              <w:rPr>
                <w:sz w:val="22"/>
                <w:szCs w:val="22"/>
              </w:rPr>
              <w:t>GENDR</w:t>
            </w:r>
          </w:p>
        </w:tc>
      </w:tr>
      <w:tr w:rsidR="0004394F" w:rsidRPr="006D796A" w14:paraId="3FA45ECA" w14:textId="77777777" w:rsidTr="0004394F">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09C3E42" w14:textId="77777777" w:rsidR="0004394F" w:rsidRDefault="0004394F" w:rsidP="00806EFB">
            <w:pPr>
              <w:rPr>
                <w:sz w:val="22"/>
                <w:szCs w:val="22"/>
              </w:rPr>
            </w:pPr>
            <w:r>
              <w:rPr>
                <w:sz w:val="22"/>
                <w:szCs w:val="22"/>
              </w:rPr>
              <w:t>Igor Popiv</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50D6C47" w14:textId="77777777" w:rsidR="0004394F" w:rsidRDefault="0004394F" w:rsidP="00806EFB">
            <w:pPr>
              <w:rPr>
                <w:sz w:val="22"/>
                <w:szCs w:val="22"/>
              </w:rPr>
            </w:pPr>
            <w:r>
              <w:rPr>
                <w:sz w:val="22"/>
                <w:szCs w:val="22"/>
              </w:rPr>
              <w:t>Team Member</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EFFB4D6" w14:textId="77777777" w:rsidR="0004394F" w:rsidRDefault="0004394F" w:rsidP="00806EFB">
            <w:pPr>
              <w:rPr>
                <w:sz w:val="22"/>
                <w:szCs w:val="22"/>
              </w:rPr>
            </w:pPr>
            <w:r>
              <w:rPr>
                <w:sz w:val="22"/>
                <w:szCs w:val="22"/>
              </w:rPr>
              <w:t>Consultant</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2C955CE" w14:textId="77777777" w:rsidR="0004394F" w:rsidRDefault="0004394F" w:rsidP="00806EFB">
            <w:pPr>
              <w:rPr>
                <w:sz w:val="22"/>
                <w:szCs w:val="22"/>
              </w:rPr>
            </w:pPr>
            <w:r>
              <w:rPr>
                <w:sz w:val="22"/>
                <w:szCs w:val="22"/>
              </w:rPr>
              <w:t>IT Specialist</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0ED6E11" w14:textId="77777777" w:rsidR="0004394F" w:rsidRDefault="0004394F" w:rsidP="00806EFB">
            <w:pPr>
              <w:rPr>
                <w:sz w:val="22"/>
                <w:szCs w:val="22"/>
              </w:rPr>
            </w:pPr>
            <w:r>
              <w:rPr>
                <w:sz w:val="22"/>
                <w:szCs w:val="22"/>
              </w:rPr>
              <w:t>GSULN</w:t>
            </w:r>
          </w:p>
        </w:tc>
      </w:tr>
      <w:tr w:rsidR="0004394F" w:rsidRPr="006D796A" w14:paraId="35B70A5A" w14:textId="77777777" w:rsidTr="0004394F">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FD53258" w14:textId="77777777" w:rsidR="0004394F" w:rsidRDefault="0004394F" w:rsidP="00806EFB">
            <w:pPr>
              <w:rPr>
                <w:sz w:val="22"/>
                <w:szCs w:val="22"/>
              </w:rPr>
            </w:pPr>
            <w:r>
              <w:rPr>
                <w:sz w:val="22"/>
                <w:szCs w:val="22"/>
              </w:rPr>
              <w:t>Jasna Mestnik</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0F90DF8" w14:textId="77777777" w:rsidR="0004394F" w:rsidRDefault="0004394F" w:rsidP="00806EFB">
            <w:pPr>
              <w:rPr>
                <w:sz w:val="22"/>
                <w:szCs w:val="22"/>
              </w:rPr>
            </w:pPr>
            <w:r>
              <w:rPr>
                <w:sz w:val="22"/>
                <w:szCs w:val="22"/>
              </w:rPr>
              <w:t>Team Member</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D99BF2D" w14:textId="77777777" w:rsidR="0004394F" w:rsidRDefault="0004394F" w:rsidP="00806EFB">
            <w:pPr>
              <w:rPr>
                <w:sz w:val="22"/>
                <w:szCs w:val="22"/>
              </w:rPr>
            </w:pPr>
            <w:r>
              <w:rPr>
                <w:sz w:val="22"/>
                <w:szCs w:val="22"/>
              </w:rPr>
              <w:t>Finance Officer</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E482A9F" w14:textId="77777777" w:rsidR="0004394F" w:rsidRDefault="0004394F" w:rsidP="00806EFB">
            <w:pPr>
              <w:rPr>
                <w:sz w:val="22"/>
                <w:szCs w:val="22"/>
              </w:rPr>
            </w:pPr>
            <w:r>
              <w:rPr>
                <w:sz w:val="22"/>
                <w:szCs w:val="22"/>
              </w:rPr>
              <w:t>Finance Officer</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197C040" w14:textId="77777777" w:rsidR="0004394F" w:rsidRDefault="0004394F" w:rsidP="00806EFB">
            <w:pPr>
              <w:rPr>
                <w:sz w:val="22"/>
                <w:szCs w:val="22"/>
              </w:rPr>
            </w:pPr>
            <w:r>
              <w:rPr>
                <w:sz w:val="22"/>
                <w:szCs w:val="22"/>
              </w:rPr>
              <w:t>WFALA</w:t>
            </w:r>
          </w:p>
        </w:tc>
      </w:tr>
      <w:tr w:rsidR="0004394F" w:rsidRPr="006D796A" w14:paraId="7CC52B17" w14:textId="77777777" w:rsidTr="0004394F">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A14F3E4" w14:textId="77777777" w:rsidR="0004394F" w:rsidRDefault="0004394F" w:rsidP="00806EFB">
            <w:pPr>
              <w:rPr>
                <w:sz w:val="22"/>
                <w:szCs w:val="22"/>
              </w:rPr>
            </w:pPr>
            <w:r>
              <w:rPr>
                <w:sz w:val="22"/>
                <w:szCs w:val="22"/>
              </w:rPr>
              <w:t>Lisa Lui</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0DD44ED" w14:textId="77777777" w:rsidR="0004394F" w:rsidRDefault="0004394F" w:rsidP="00806EFB">
            <w:pPr>
              <w:rPr>
                <w:sz w:val="22"/>
                <w:szCs w:val="22"/>
              </w:rPr>
            </w:pPr>
            <w:r>
              <w:rPr>
                <w:sz w:val="22"/>
                <w:szCs w:val="22"/>
              </w:rPr>
              <w:t>Counsel</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3A9FC6E" w14:textId="77777777" w:rsidR="0004394F" w:rsidRDefault="0004394F" w:rsidP="00806EFB">
            <w:pPr>
              <w:rPr>
                <w:sz w:val="22"/>
                <w:szCs w:val="22"/>
              </w:rPr>
            </w:pPr>
            <w:r>
              <w:rPr>
                <w:sz w:val="22"/>
                <w:szCs w:val="22"/>
              </w:rPr>
              <w:t>Lead Counsel</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B45FAFB" w14:textId="77777777" w:rsidR="0004394F" w:rsidRDefault="0004394F" w:rsidP="00806EFB"/>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6BA1BB2" w14:textId="77777777" w:rsidR="0004394F" w:rsidRDefault="0004394F" w:rsidP="00806EFB">
            <w:pPr>
              <w:rPr>
                <w:sz w:val="22"/>
                <w:szCs w:val="22"/>
              </w:rPr>
            </w:pPr>
            <w:r>
              <w:rPr>
                <w:sz w:val="22"/>
                <w:szCs w:val="22"/>
              </w:rPr>
              <w:t>LEGLE</w:t>
            </w:r>
          </w:p>
        </w:tc>
      </w:tr>
      <w:tr w:rsidR="0004394F" w:rsidRPr="006D796A" w14:paraId="25422E34" w14:textId="77777777" w:rsidTr="0004394F">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31310BC" w14:textId="77777777" w:rsidR="0004394F" w:rsidRDefault="0004394F" w:rsidP="00806EFB">
            <w:pPr>
              <w:rPr>
                <w:sz w:val="22"/>
                <w:szCs w:val="22"/>
              </w:rPr>
            </w:pPr>
            <w:r>
              <w:rPr>
                <w:sz w:val="22"/>
                <w:szCs w:val="22"/>
              </w:rPr>
              <w:t>Nandita Jain</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D75CE0A" w14:textId="77777777" w:rsidR="0004394F" w:rsidRDefault="0004394F" w:rsidP="00806EFB">
            <w:pPr>
              <w:rPr>
                <w:sz w:val="22"/>
                <w:szCs w:val="22"/>
              </w:rPr>
            </w:pPr>
            <w:r>
              <w:rPr>
                <w:sz w:val="22"/>
                <w:szCs w:val="22"/>
              </w:rPr>
              <w:t>Team Member</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B6E5C5B" w14:textId="77777777" w:rsidR="0004394F" w:rsidRDefault="0004394F" w:rsidP="00806EFB">
            <w:pPr>
              <w:rPr>
                <w:sz w:val="22"/>
                <w:szCs w:val="22"/>
              </w:rPr>
            </w:pPr>
            <w:r>
              <w:rPr>
                <w:sz w:val="22"/>
                <w:szCs w:val="22"/>
              </w:rPr>
              <w:t>Consultant</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3D9D950" w14:textId="77777777" w:rsidR="0004394F" w:rsidRDefault="0004394F" w:rsidP="00806EFB">
            <w:pPr>
              <w:rPr>
                <w:sz w:val="22"/>
                <w:szCs w:val="22"/>
              </w:rPr>
            </w:pPr>
            <w:r>
              <w:rPr>
                <w:sz w:val="22"/>
                <w:szCs w:val="22"/>
              </w:rPr>
              <w:t>M&amp;E Specialist</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772AC21" w14:textId="77777777" w:rsidR="0004394F" w:rsidRDefault="0004394F" w:rsidP="00806EFB">
            <w:pPr>
              <w:rPr>
                <w:sz w:val="22"/>
                <w:szCs w:val="22"/>
              </w:rPr>
            </w:pPr>
            <w:r>
              <w:rPr>
                <w:sz w:val="22"/>
                <w:szCs w:val="22"/>
              </w:rPr>
              <w:t>GEN03</w:t>
            </w:r>
          </w:p>
        </w:tc>
      </w:tr>
      <w:tr w:rsidR="0004394F" w:rsidRPr="006D796A" w14:paraId="6EA65137" w14:textId="77777777" w:rsidTr="0004394F">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6F34DEA" w14:textId="77777777" w:rsidR="0004394F" w:rsidRDefault="0004394F" w:rsidP="00806EFB">
            <w:pPr>
              <w:rPr>
                <w:sz w:val="22"/>
                <w:szCs w:val="22"/>
              </w:rPr>
            </w:pPr>
            <w:r>
              <w:rPr>
                <w:sz w:val="22"/>
                <w:szCs w:val="22"/>
              </w:rPr>
              <w:t>Nodira Pirmanova</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F00FFB8" w14:textId="77777777" w:rsidR="0004394F" w:rsidRDefault="0004394F" w:rsidP="00806EFB">
            <w:pPr>
              <w:rPr>
                <w:sz w:val="22"/>
                <w:szCs w:val="22"/>
              </w:rPr>
            </w:pPr>
            <w:r>
              <w:rPr>
                <w:sz w:val="22"/>
                <w:szCs w:val="22"/>
              </w:rPr>
              <w:t>Team Member</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45F1D79" w14:textId="77777777" w:rsidR="0004394F" w:rsidRDefault="0004394F" w:rsidP="00806EFB">
            <w:pPr>
              <w:rPr>
                <w:sz w:val="22"/>
                <w:szCs w:val="22"/>
              </w:rPr>
            </w:pPr>
            <w:r>
              <w:rPr>
                <w:sz w:val="22"/>
                <w:szCs w:val="22"/>
              </w:rPr>
              <w:t>Temporary</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FFA6687" w14:textId="77777777" w:rsidR="0004394F" w:rsidRDefault="0004394F" w:rsidP="00806EFB"/>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43C0C07" w14:textId="77777777" w:rsidR="0004394F" w:rsidRDefault="0004394F" w:rsidP="00806EFB">
            <w:pPr>
              <w:rPr>
                <w:sz w:val="22"/>
                <w:szCs w:val="22"/>
              </w:rPr>
            </w:pPr>
            <w:r>
              <w:rPr>
                <w:sz w:val="22"/>
                <w:szCs w:val="22"/>
              </w:rPr>
              <w:t>ECCTJ</w:t>
            </w:r>
          </w:p>
        </w:tc>
      </w:tr>
      <w:tr w:rsidR="0004394F" w:rsidRPr="006D796A" w14:paraId="2B243B13" w14:textId="77777777" w:rsidTr="0004394F">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CDCE739" w14:textId="77777777" w:rsidR="0004394F" w:rsidRDefault="0004394F" w:rsidP="00806EFB">
            <w:pPr>
              <w:rPr>
                <w:sz w:val="22"/>
                <w:szCs w:val="22"/>
              </w:rPr>
            </w:pPr>
            <w:r>
              <w:rPr>
                <w:sz w:val="22"/>
                <w:szCs w:val="22"/>
              </w:rPr>
              <w:t>Stamatis Kotouzas</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19F44C3" w14:textId="77777777" w:rsidR="0004394F" w:rsidRDefault="0004394F" w:rsidP="00806EFB">
            <w:pPr>
              <w:rPr>
                <w:sz w:val="22"/>
                <w:szCs w:val="22"/>
              </w:rPr>
            </w:pPr>
            <w:r>
              <w:rPr>
                <w:sz w:val="22"/>
                <w:szCs w:val="22"/>
              </w:rPr>
              <w:t>Team Member</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61D9227" w14:textId="77777777" w:rsidR="0004394F" w:rsidRDefault="0004394F" w:rsidP="00806EFB">
            <w:pPr>
              <w:rPr>
                <w:sz w:val="22"/>
                <w:szCs w:val="22"/>
              </w:rPr>
            </w:pPr>
            <w:r>
              <w:rPr>
                <w:sz w:val="22"/>
                <w:szCs w:val="22"/>
              </w:rPr>
              <w:t>Land Administration Specialist</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77CCD8B" w14:textId="77777777" w:rsidR="0004394F" w:rsidRDefault="0004394F" w:rsidP="00806EFB"/>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9E6179A" w14:textId="77777777" w:rsidR="0004394F" w:rsidRDefault="0004394F" w:rsidP="00806EFB">
            <w:pPr>
              <w:rPr>
                <w:sz w:val="22"/>
                <w:szCs w:val="22"/>
              </w:rPr>
            </w:pPr>
            <w:r>
              <w:rPr>
                <w:sz w:val="22"/>
                <w:szCs w:val="22"/>
              </w:rPr>
              <w:t>GSULN</w:t>
            </w:r>
          </w:p>
        </w:tc>
      </w:tr>
      <w:tr w:rsidR="0004394F" w:rsidRPr="006D796A" w14:paraId="77F2D257" w14:textId="77777777" w:rsidTr="0004394F">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3AB8FF8" w14:textId="77777777" w:rsidR="0004394F" w:rsidRDefault="0004394F" w:rsidP="00806EFB">
            <w:pPr>
              <w:rPr>
                <w:sz w:val="22"/>
                <w:szCs w:val="22"/>
              </w:rPr>
            </w:pPr>
            <w:r>
              <w:rPr>
                <w:sz w:val="22"/>
                <w:szCs w:val="22"/>
              </w:rPr>
              <w:t>Ivan Earl Ford</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7BEDDD4" w14:textId="49F35058" w:rsidR="0004394F" w:rsidRDefault="0004394F" w:rsidP="0004394F">
            <w:pPr>
              <w:rPr>
                <w:sz w:val="22"/>
                <w:szCs w:val="22"/>
              </w:rPr>
            </w:pPr>
            <w:r>
              <w:rPr>
                <w:sz w:val="22"/>
                <w:szCs w:val="22"/>
              </w:rPr>
              <w:t>Team Member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0510BD3" w14:textId="4B999D28" w:rsidR="0004394F" w:rsidRDefault="0004394F" w:rsidP="00806EFB">
            <w:r>
              <w:rPr>
                <w:sz w:val="22"/>
                <w:szCs w:val="22"/>
              </w:rPr>
              <w:t>Cadaster and Registration Specialist</w:t>
            </w:r>
          </w:p>
        </w:tc>
        <w:tc>
          <w:tcPr>
            <w:tcW w:w="329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03F5027" w14:textId="4CEB0792" w:rsidR="0004394F" w:rsidRDefault="0004394F" w:rsidP="00806EFB">
            <w:r>
              <w:t>FAO</w:t>
            </w:r>
          </w:p>
        </w:tc>
      </w:tr>
    </w:tbl>
    <w:p w14:paraId="44FF46AE" w14:textId="77777777" w:rsidR="003A34EC" w:rsidRDefault="003A34EC" w:rsidP="003A34EC"/>
    <w:p w14:paraId="10476851" w14:textId="72AECC67" w:rsidR="0004394F" w:rsidRDefault="0004394F">
      <w:r>
        <w:br w:type="page"/>
      </w:r>
    </w:p>
    <w:p w14:paraId="36E47BA9" w14:textId="77777777" w:rsidR="003A34EC" w:rsidRDefault="003A34EC" w:rsidP="003A34EC"/>
    <w:tbl>
      <w:tblPr>
        <w:tblW w:w="5000" w:type="pct"/>
        <w:tblCellMar>
          <w:top w:w="10" w:type="dxa"/>
          <w:left w:w="10" w:type="dxa"/>
          <w:bottom w:w="10" w:type="dxa"/>
          <w:right w:w="10" w:type="dxa"/>
        </w:tblCellMar>
        <w:tblLook w:val="0000" w:firstRow="0" w:lastRow="0" w:firstColumn="0" w:lastColumn="0" w:noHBand="0" w:noVBand="0"/>
      </w:tblPr>
      <w:tblGrid>
        <w:gridCol w:w="3242"/>
        <w:gridCol w:w="2694"/>
        <w:gridCol w:w="2704"/>
      </w:tblGrid>
      <w:tr w:rsidR="003A34EC" w14:paraId="3A75D9BB" w14:textId="77777777" w:rsidTr="003A34EC">
        <w:tc>
          <w:tcPr>
            <w:tcW w:w="0" w:type="auto"/>
            <w:gridSpan w:val="3"/>
            <w:tcBorders>
              <w:top w:val="nil"/>
              <w:left w:val="nil"/>
              <w:bottom w:val="nil"/>
              <w:right w:val="nil"/>
            </w:tcBorders>
            <w:shd w:val="clear" w:color="auto" w:fill="E2E2E2"/>
            <w:vAlign w:val="center"/>
          </w:tcPr>
          <w:p w14:paraId="1E799C82" w14:textId="77777777" w:rsidR="003A34EC" w:rsidRDefault="00CB4A5C" w:rsidP="003A34EC">
            <w:pPr>
              <w:pStyle w:val="Heading3"/>
              <w:rPr>
                <w:shd w:val="clear" w:color="auto" w:fill="E2E2E2"/>
              </w:rPr>
            </w:pPr>
            <w:r>
              <w:rPr>
                <w:shd w:val="clear" w:color="auto" w:fill="E2E2E2"/>
              </w:rPr>
              <w:t>(b</w:t>
            </w:r>
            <w:r w:rsidR="003A34EC">
              <w:rPr>
                <w:shd w:val="clear" w:color="auto" w:fill="E2E2E2"/>
              </w:rPr>
              <w:t>) Staff Time and Cost</w:t>
            </w:r>
          </w:p>
        </w:tc>
      </w:tr>
      <w:tr w:rsidR="003A34EC" w14:paraId="14D30E7C" w14:textId="77777777" w:rsidTr="003A34EC">
        <w:tc>
          <w:tcPr>
            <w:tcW w:w="1876" w:type="pct"/>
            <w:vMerge w:val="restart"/>
            <w:tcBorders>
              <w:top w:val="single" w:sz="4" w:space="0" w:color="B1B1B1"/>
              <w:left w:val="single" w:sz="4" w:space="0" w:color="B1B1B1"/>
              <w:bottom w:val="single" w:sz="4" w:space="0" w:color="B1B1B1"/>
              <w:right w:val="single" w:sz="4" w:space="0" w:color="B1B1B1"/>
            </w:tcBorders>
            <w:shd w:val="clear" w:color="auto" w:fill="F1F1F1"/>
            <w:vAlign w:val="center"/>
          </w:tcPr>
          <w:p w14:paraId="562E9EBE" w14:textId="77777777" w:rsidR="003A34EC" w:rsidRDefault="003A34EC" w:rsidP="003A34EC">
            <w:pPr>
              <w:jc w:val="center"/>
              <w:rPr>
                <w:b/>
                <w:bCs/>
                <w:color w:val="606060"/>
                <w:sz w:val="22"/>
                <w:szCs w:val="22"/>
              </w:rPr>
            </w:pPr>
            <w:r>
              <w:rPr>
                <w:b/>
                <w:bCs/>
                <w:color w:val="606060"/>
                <w:sz w:val="22"/>
                <w:szCs w:val="22"/>
              </w:rPr>
              <w:t>Stage of Project Cycle</w:t>
            </w:r>
          </w:p>
        </w:tc>
        <w:tc>
          <w:tcPr>
            <w:tcW w:w="3124" w:type="pct"/>
            <w:gridSpan w:val="2"/>
            <w:tcBorders>
              <w:top w:val="single" w:sz="4" w:space="0" w:color="B1B1B1"/>
              <w:left w:val="single" w:sz="4" w:space="0" w:color="B1B1B1"/>
              <w:bottom w:val="single" w:sz="4" w:space="0" w:color="B1B1B1"/>
              <w:right w:val="single" w:sz="4" w:space="0" w:color="B1B1B1"/>
            </w:tcBorders>
            <w:shd w:val="clear" w:color="auto" w:fill="F1F1F1"/>
            <w:vAlign w:val="center"/>
          </w:tcPr>
          <w:p w14:paraId="558CC79F" w14:textId="77777777" w:rsidR="003A34EC" w:rsidRDefault="003A34EC" w:rsidP="003A34EC">
            <w:pPr>
              <w:jc w:val="center"/>
              <w:rPr>
                <w:b/>
                <w:bCs/>
                <w:color w:val="606060"/>
                <w:sz w:val="22"/>
                <w:szCs w:val="22"/>
              </w:rPr>
            </w:pPr>
            <w:r>
              <w:rPr>
                <w:b/>
                <w:bCs/>
                <w:color w:val="606060"/>
                <w:sz w:val="22"/>
                <w:szCs w:val="22"/>
              </w:rPr>
              <w:t>Staff Time and Cost (Bank Budget Only)</w:t>
            </w:r>
          </w:p>
        </w:tc>
      </w:tr>
      <w:tr w:rsidR="003A34EC" w14:paraId="624FC20A" w14:textId="77777777" w:rsidTr="003A34EC">
        <w:tc>
          <w:tcPr>
            <w:tcW w:w="1876" w:type="pct"/>
            <w:vMerge/>
            <w:tcBorders>
              <w:top w:val="single" w:sz="4" w:space="0" w:color="B1B1B1"/>
              <w:left w:val="single" w:sz="4" w:space="0" w:color="B1B1B1"/>
              <w:bottom w:val="single" w:sz="4" w:space="0" w:color="B1B1B1"/>
              <w:right w:val="single" w:sz="4" w:space="0" w:color="B1B1B1"/>
            </w:tcBorders>
            <w:vAlign w:val="center"/>
          </w:tcPr>
          <w:p w14:paraId="7FDF57DA" w14:textId="77777777" w:rsidR="003A34EC" w:rsidRDefault="003A34EC" w:rsidP="003A34EC">
            <w:pPr>
              <w:rPr>
                <w:b/>
                <w:bCs/>
                <w:color w:val="606060"/>
                <w:sz w:val="22"/>
                <w:szCs w:val="22"/>
              </w:rPr>
            </w:pPr>
          </w:p>
        </w:tc>
        <w:tc>
          <w:tcPr>
            <w:tcW w:w="1559"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363A37DD" w14:textId="77777777" w:rsidR="003A34EC" w:rsidRDefault="003A34EC" w:rsidP="003A34EC">
            <w:pPr>
              <w:jc w:val="center"/>
              <w:rPr>
                <w:b/>
                <w:bCs/>
                <w:color w:val="606060"/>
                <w:sz w:val="22"/>
                <w:szCs w:val="22"/>
              </w:rPr>
            </w:pPr>
            <w:r>
              <w:rPr>
                <w:b/>
                <w:bCs/>
                <w:color w:val="606060"/>
                <w:sz w:val="22"/>
                <w:szCs w:val="22"/>
              </w:rPr>
              <w:t>No. of staff weeks</w:t>
            </w:r>
          </w:p>
        </w:tc>
        <w:tc>
          <w:tcPr>
            <w:tcW w:w="1565"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727DE1E3" w14:textId="602B49C5" w:rsidR="003A34EC" w:rsidRDefault="003A34EC" w:rsidP="0052208C">
            <w:pPr>
              <w:jc w:val="center"/>
              <w:rPr>
                <w:b/>
                <w:bCs/>
                <w:color w:val="606060"/>
                <w:sz w:val="22"/>
                <w:szCs w:val="22"/>
              </w:rPr>
            </w:pPr>
            <w:r>
              <w:rPr>
                <w:b/>
                <w:bCs/>
                <w:color w:val="606060"/>
                <w:sz w:val="22"/>
                <w:szCs w:val="22"/>
              </w:rPr>
              <w:t>USD (including travel and consultant costs)</w:t>
            </w:r>
          </w:p>
        </w:tc>
      </w:tr>
      <w:tr w:rsidR="003A34EC" w14:paraId="2E616D26" w14:textId="77777777" w:rsidTr="003A34EC">
        <w:tc>
          <w:tcPr>
            <w:tcW w:w="1876" w:type="pct"/>
            <w:tcBorders>
              <w:top w:val="single" w:sz="4" w:space="0" w:color="B1B1B1"/>
              <w:left w:val="single" w:sz="4" w:space="0" w:color="B1B1B1"/>
              <w:bottom w:val="single" w:sz="4" w:space="0" w:color="B1B1B1"/>
              <w:right w:val="single" w:sz="4" w:space="0" w:color="B1B1B1"/>
            </w:tcBorders>
            <w:vAlign w:val="center"/>
          </w:tcPr>
          <w:p w14:paraId="28D3EE26" w14:textId="78A71552" w:rsidR="003A34EC" w:rsidRDefault="003A34EC" w:rsidP="003A34EC">
            <w:pPr>
              <w:spacing w:line="200" w:lineRule="atLeast"/>
              <w:rPr>
                <w:color w:val="000000"/>
                <w:sz w:val="22"/>
                <w:szCs w:val="22"/>
              </w:rPr>
            </w:pPr>
            <w:r>
              <w:rPr>
                <w:rStyle w:val="Strong"/>
                <w:color w:val="000000"/>
                <w:sz w:val="22"/>
                <w:szCs w:val="22"/>
              </w:rPr>
              <w:t>Lending</w:t>
            </w:r>
            <w:r w:rsidR="0052208C">
              <w:rPr>
                <w:rStyle w:val="Strong"/>
                <w:color w:val="000000"/>
                <w:sz w:val="22"/>
                <w:szCs w:val="22"/>
              </w:rPr>
              <w:t xml:space="preserve">                            </w:t>
            </w:r>
          </w:p>
        </w:tc>
        <w:tc>
          <w:tcPr>
            <w:tcW w:w="1559" w:type="pct"/>
            <w:tcBorders>
              <w:top w:val="single" w:sz="4" w:space="0" w:color="B1B1B1"/>
              <w:left w:val="single" w:sz="4" w:space="0" w:color="B1B1B1"/>
              <w:bottom w:val="single" w:sz="4" w:space="0" w:color="B1B1B1"/>
              <w:right w:val="single" w:sz="4" w:space="0" w:color="B1B1B1"/>
            </w:tcBorders>
            <w:vAlign w:val="center"/>
          </w:tcPr>
          <w:p w14:paraId="6563EC96" w14:textId="34BCD387" w:rsidR="003A34EC" w:rsidRDefault="003A34EC" w:rsidP="003A34EC">
            <w:pPr>
              <w:tabs>
                <w:tab w:val="decimal" w:pos="1431"/>
              </w:tabs>
              <w:spacing w:line="200" w:lineRule="atLeast"/>
              <w:rPr>
                <w:color w:val="000000"/>
                <w:sz w:val="22"/>
                <w:szCs w:val="22"/>
              </w:rPr>
            </w:pPr>
          </w:p>
        </w:tc>
        <w:tc>
          <w:tcPr>
            <w:tcW w:w="1565" w:type="pct"/>
            <w:tcBorders>
              <w:top w:val="single" w:sz="4" w:space="0" w:color="B1B1B1"/>
              <w:left w:val="single" w:sz="4" w:space="0" w:color="B1B1B1"/>
              <w:bottom w:val="single" w:sz="4" w:space="0" w:color="B1B1B1"/>
              <w:right w:val="single" w:sz="4" w:space="0" w:color="B1B1B1"/>
            </w:tcBorders>
            <w:vAlign w:val="center"/>
          </w:tcPr>
          <w:p w14:paraId="45782CF4" w14:textId="4B0BA1A8" w:rsidR="003A34EC" w:rsidRDefault="003A34EC" w:rsidP="003A34EC">
            <w:pPr>
              <w:tabs>
                <w:tab w:val="decimal" w:pos="1425"/>
              </w:tabs>
              <w:spacing w:line="200" w:lineRule="atLeast"/>
              <w:rPr>
                <w:color w:val="000000"/>
                <w:sz w:val="22"/>
                <w:szCs w:val="22"/>
              </w:rPr>
            </w:pPr>
          </w:p>
        </w:tc>
      </w:tr>
      <w:tr w:rsidR="0004394F" w14:paraId="4CA0603D" w14:textId="77777777" w:rsidTr="003A34EC">
        <w:tc>
          <w:tcPr>
            <w:tcW w:w="1876" w:type="pct"/>
            <w:tcBorders>
              <w:top w:val="single" w:sz="4" w:space="0" w:color="B1B1B1"/>
              <w:left w:val="single" w:sz="4" w:space="0" w:color="B1B1B1"/>
              <w:bottom w:val="single" w:sz="4" w:space="0" w:color="B1B1B1"/>
              <w:right w:val="single" w:sz="4" w:space="0" w:color="B1B1B1"/>
            </w:tcBorders>
            <w:vAlign w:val="center"/>
          </w:tcPr>
          <w:p w14:paraId="2E9533F6" w14:textId="3CE9D3FD" w:rsidR="0004394F" w:rsidRDefault="0052208C" w:rsidP="003A34EC">
            <w:pPr>
              <w:spacing w:line="200" w:lineRule="atLeast"/>
              <w:rPr>
                <w:rStyle w:val="Strong"/>
                <w:color w:val="000000"/>
                <w:sz w:val="22"/>
                <w:szCs w:val="22"/>
              </w:rPr>
            </w:pPr>
            <w:r>
              <w:rPr>
                <w:rStyle w:val="Strong"/>
                <w:color w:val="000000"/>
                <w:sz w:val="22"/>
                <w:szCs w:val="22"/>
              </w:rPr>
              <w:t>FY15</w:t>
            </w:r>
          </w:p>
        </w:tc>
        <w:tc>
          <w:tcPr>
            <w:tcW w:w="1559" w:type="pct"/>
            <w:tcBorders>
              <w:top w:val="single" w:sz="4" w:space="0" w:color="B1B1B1"/>
              <w:left w:val="single" w:sz="4" w:space="0" w:color="B1B1B1"/>
              <w:bottom w:val="single" w:sz="4" w:space="0" w:color="B1B1B1"/>
              <w:right w:val="single" w:sz="4" w:space="0" w:color="B1B1B1"/>
            </w:tcBorders>
            <w:vAlign w:val="center"/>
          </w:tcPr>
          <w:p w14:paraId="2CF741CE" w14:textId="692B1476" w:rsidR="0004394F" w:rsidRDefault="0052208C" w:rsidP="003A34EC">
            <w:pPr>
              <w:tabs>
                <w:tab w:val="decimal" w:pos="1431"/>
              </w:tabs>
              <w:spacing w:line="200" w:lineRule="atLeast"/>
              <w:rPr>
                <w:color w:val="000000"/>
                <w:sz w:val="22"/>
                <w:szCs w:val="22"/>
              </w:rPr>
            </w:pPr>
            <w:r>
              <w:rPr>
                <w:color w:val="000000"/>
                <w:sz w:val="22"/>
                <w:szCs w:val="22"/>
              </w:rPr>
              <w:t>5.2</w:t>
            </w:r>
          </w:p>
        </w:tc>
        <w:tc>
          <w:tcPr>
            <w:tcW w:w="1565" w:type="pct"/>
            <w:tcBorders>
              <w:top w:val="single" w:sz="4" w:space="0" w:color="B1B1B1"/>
              <w:left w:val="single" w:sz="4" w:space="0" w:color="B1B1B1"/>
              <w:bottom w:val="single" w:sz="4" w:space="0" w:color="B1B1B1"/>
              <w:right w:val="single" w:sz="4" w:space="0" w:color="B1B1B1"/>
            </w:tcBorders>
            <w:vAlign w:val="center"/>
          </w:tcPr>
          <w:p w14:paraId="24A442B8" w14:textId="18458C0A" w:rsidR="0004394F" w:rsidRDefault="0052208C" w:rsidP="003A34EC">
            <w:pPr>
              <w:tabs>
                <w:tab w:val="decimal" w:pos="1425"/>
              </w:tabs>
              <w:spacing w:line="200" w:lineRule="atLeast"/>
              <w:rPr>
                <w:color w:val="000000"/>
                <w:sz w:val="22"/>
                <w:szCs w:val="22"/>
              </w:rPr>
            </w:pPr>
            <w:r>
              <w:rPr>
                <w:color w:val="000000"/>
                <w:sz w:val="22"/>
                <w:szCs w:val="22"/>
              </w:rPr>
              <w:t>127,776</w:t>
            </w:r>
          </w:p>
        </w:tc>
      </w:tr>
      <w:tr w:rsidR="0004394F" w14:paraId="1DB413F5" w14:textId="77777777" w:rsidTr="003A34EC">
        <w:tc>
          <w:tcPr>
            <w:tcW w:w="1876" w:type="pct"/>
            <w:tcBorders>
              <w:top w:val="single" w:sz="4" w:space="0" w:color="B1B1B1"/>
              <w:left w:val="single" w:sz="4" w:space="0" w:color="B1B1B1"/>
              <w:bottom w:val="single" w:sz="4" w:space="0" w:color="B1B1B1"/>
              <w:right w:val="single" w:sz="4" w:space="0" w:color="B1B1B1"/>
            </w:tcBorders>
            <w:vAlign w:val="center"/>
          </w:tcPr>
          <w:p w14:paraId="26522018" w14:textId="71766BA5" w:rsidR="0004394F" w:rsidRDefault="0052208C" w:rsidP="003A34EC">
            <w:pPr>
              <w:spacing w:line="200" w:lineRule="atLeast"/>
              <w:rPr>
                <w:rStyle w:val="Strong"/>
                <w:color w:val="000000"/>
                <w:sz w:val="22"/>
                <w:szCs w:val="22"/>
              </w:rPr>
            </w:pPr>
            <w:r>
              <w:rPr>
                <w:rStyle w:val="Strong"/>
                <w:color w:val="000000"/>
                <w:sz w:val="22"/>
                <w:szCs w:val="22"/>
              </w:rPr>
              <w:t>FY16</w:t>
            </w:r>
          </w:p>
        </w:tc>
        <w:tc>
          <w:tcPr>
            <w:tcW w:w="1559" w:type="pct"/>
            <w:tcBorders>
              <w:top w:val="single" w:sz="4" w:space="0" w:color="B1B1B1"/>
              <w:left w:val="single" w:sz="4" w:space="0" w:color="B1B1B1"/>
              <w:bottom w:val="single" w:sz="4" w:space="0" w:color="B1B1B1"/>
              <w:right w:val="single" w:sz="4" w:space="0" w:color="B1B1B1"/>
            </w:tcBorders>
            <w:vAlign w:val="center"/>
          </w:tcPr>
          <w:p w14:paraId="37A600E0" w14:textId="3F1A2596" w:rsidR="0004394F" w:rsidRDefault="0052208C" w:rsidP="003A34EC">
            <w:pPr>
              <w:tabs>
                <w:tab w:val="decimal" w:pos="1431"/>
              </w:tabs>
              <w:spacing w:line="200" w:lineRule="atLeast"/>
              <w:rPr>
                <w:color w:val="000000"/>
                <w:sz w:val="22"/>
                <w:szCs w:val="22"/>
              </w:rPr>
            </w:pPr>
            <w:r>
              <w:rPr>
                <w:color w:val="000000"/>
                <w:sz w:val="22"/>
                <w:szCs w:val="22"/>
              </w:rPr>
              <w:t>14.7</w:t>
            </w:r>
          </w:p>
        </w:tc>
        <w:tc>
          <w:tcPr>
            <w:tcW w:w="1565" w:type="pct"/>
            <w:tcBorders>
              <w:top w:val="single" w:sz="4" w:space="0" w:color="B1B1B1"/>
              <w:left w:val="single" w:sz="4" w:space="0" w:color="B1B1B1"/>
              <w:bottom w:val="single" w:sz="4" w:space="0" w:color="B1B1B1"/>
              <w:right w:val="single" w:sz="4" w:space="0" w:color="B1B1B1"/>
            </w:tcBorders>
            <w:vAlign w:val="center"/>
          </w:tcPr>
          <w:p w14:paraId="767C6824" w14:textId="0EFF63FB" w:rsidR="0004394F" w:rsidRDefault="0052208C" w:rsidP="003A34EC">
            <w:pPr>
              <w:tabs>
                <w:tab w:val="decimal" w:pos="1425"/>
              </w:tabs>
              <w:spacing w:line="200" w:lineRule="atLeast"/>
              <w:rPr>
                <w:color w:val="000000"/>
                <w:sz w:val="22"/>
                <w:szCs w:val="22"/>
              </w:rPr>
            </w:pPr>
            <w:r>
              <w:rPr>
                <w:color w:val="000000"/>
                <w:sz w:val="22"/>
                <w:szCs w:val="22"/>
              </w:rPr>
              <w:t>147,889</w:t>
            </w:r>
          </w:p>
        </w:tc>
      </w:tr>
    </w:tbl>
    <w:p w14:paraId="6AA522D8" w14:textId="77777777" w:rsidR="003A34EC" w:rsidRPr="00BB1EB2" w:rsidRDefault="003A34EC" w:rsidP="003A34EC">
      <w:pPr>
        <w:tabs>
          <w:tab w:val="decimal" w:pos="3249"/>
          <w:tab w:val="left" w:pos="5949"/>
        </w:tabs>
        <w:rPr>
          <w:color w:val="000000"/>
          <w:sz w:val="2"/>
          <w:szCs w:val="2"/>
        </w:rPr>
      </w:pPr>
      <w:bookmarkStart w:id="87" w:name="TIMECOST_LEN"/>
      <w:bookmarkEnd w:id="87"/>
    </w:p>
    <w:tbl>
      <w:tblPr>
        <w:tblW w:w="5000" w:type="pct"/>
        <w:tblCellMar>
          <w:top w:w="10" w:type="dxa"/>
          <w:left w:w="10" w:type="dxa"/>
          <w:bottom w:w="10" w:type="dxa"/>
          <w:right w:w="10" w:type="dxa"/>
        </w:tblCellMar>
        <w:tblLook w:val="0000" w:firstRow="0" w:lastRow="0" w:firstColumn="0" w:lastColumn="0" w:noHBand="0" w:noVBand="0"/>
      </w:tblPr>
      <w:tblGrid>
        <w:gridCol w:w="3238"/>
        <w:gridCol w:w="2691"/>
        <w:gridCol w:w="2701"/>
      </w:tblGrid>
      <w:tr w:rsidR="003A34EC" w14:paraId="62F16B8C" w14:textId="77777777" w:rsidTr="003A34EC">
        <w:tc>
          <w:tcPr>
            <w:tcW w:w="1876" w:type="pct"/>
            <w:tcBorders>
              <w:top w:val="single" w:sz="4" w:space="0" w:color="B1B1B1"/>
              <w:left w:val="single" w:sz="4" w:space="0" w:color="B1B1B1"/>
              <w:bottom w:val="single" w:sz="4" w:space="0" w:color="B1B1B1"/>
              <w:right w:val="single" w:sz="4" w:space="0" w:color="B1B1B1"/>
            </w:tcBorders>
            <w:vAlign w:val="center"/>
          </w:tcPr>
          <w:p w14:paraId="5C36A2B7" w14:textId="77777777" w:rsidR="003A34EC" w:rsidRDefault="003A34EC" w:rsidP="003A34EC">
            <w:pPr>
              <w:spacing w:line="200" w:lineRule="atLeast"/>
              <w:jc w:val="right"/>
              <w:rPr>
                <w:color w:val="000000"/>
                <w:sz w:val="22"/>
                <w:szCs w:val="22"/>
              </w:rPr>
            </w:pPr>
            <w:r>
              <w:rPr>
                <w:rStyle w:val="Strong"/>
                <w:color w:val="000000"/>
                <w:sz w:val="22"/>
                <w:szCs w:val="22"/>
              </w:rPr>
              <w:t>Total:</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370D360D" w14:textId="2ADA2D0F" w:rsidR="003A34EC" w:rsidRDefault="0052208C" w:rsidP="003A34EC">
            <w:pPr>
              <w:tabs>
                <w:tab w:val="decimal" w:pos="1431"/>
              </w:tabs>
              <w:spacing w:line="200" w:lineRule="atLeast"/>
              <w:rPr>
                <w:color w:val="000000"/>
                <w:sz w:val="22"/>
                <w:szCs w:val="22"/>
              </w:rPr>
            </w:pPr>
            <w:bookmarkStart w:id="88" w:name="LEN_WEEKS"/>
            <w:bookmarkEnd w:id="88"/>
            <w:r>
              <w:rPr>
                <w:color w:val="000000"/>
                <w:sz w:val="22"/>
                <w:szCs w:val="22"/>
              </w:rPr>
              <w:t>19.9</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10DF55F6" w14:textId="77B9EC1F" w:rsidR="003A34EC" w:rsidRDefault="0052208C" w:rsidP="003A34EC">
            <w:pPr>
              <w:tabs>
                <w:tab w:val="decimal" w:pos="1425"/>
              </w:tabs>
              <w:spacing w:line="200" w:lineRule="atLeast"/>
              <w:rPr>
                <w:color w:val="000000"/>
                <w:sz w:val="22"/>
                <w:szCs w:val="22"/>
              </w:rPr>
            </w:pPr>
            <w:r>
              <w:rPr>
                <w:color w:val="000000"/>
                <w:sz w:val="22"/>
                <w:szCs w:val="22"/>
              </w:rPr>
              <w:t>275,665</w:t>
            </w:r>
          </w:p>
        </w:tc>
      </w:tr>
      <w:tr w:rsidR="003A34EC" w14:paraId="46797D0C" w14:textId="77777777" w:rsidTr="003A34EC">
        <w:tc>
          <w:tcPr>
            <w:tcW w:w="1876" w:type="pct"/>
            <w:tcBorders>
              <w:top w:val="single" w:sz="4" w:space="0" w:color="B1B1B1"/>
              <w:left w:val="single" w:sz="4" w:space="0" w:color="B1B1B1"/>
              <w:bottom w:val="single" w:sz="4" w:space="0" w:color="B1B1B1"/>
              <w:right w:val="single" w:sz="4" w:space="0" w:color="B1B1B1"/>
            </w:tcBorders>
            <w:vAlign w:val="center"/>
          </w:tcPr>
          <w:p w14:paraId="62B7C801" w14:textId="7C90FDAD" w:rsidR="003A34EC" w:rsidRDefault="003A34EC" w:rsidP="003A34EC">
            <w:pPr>
              <w:spacing w:line="200" w:lineRule="atLeast"/>
              <w:rPr>
                <w:color w:val="000000"/>
                <w:sz w:val="22"/>
                <w:szCs w:val="22"/>
              </w:rPr>
            </w:pPr>
            <w:r>
              <w:rPr>
                <w:rStyle w:val="Strong"/>
                <w:color w:val="000000"/>
                <w:sz w:val="22"/>
                <w:szCs w:val="22"/>
              </w:rPr>
              <w:t>Supervision</w:t>
            </w:r>
            <w:r w:rsidR="00CB4A5C">
              <w:rPr>
                <w:rStyle w:val="Strong"/>
                <w:color w:val="000000"/>
                <w:sz w:val="22"/>
                <w:szCs w:val="22"/>
              </w:rPr>
              <w:t>/NCO</w:t>
            </w:r>
            <w:r w:rsidR="0052208C">
              <w:rPr>
                <w:rStyle w:val="Strong"/>
                <w:color w:val="000000"/>
                <w:sz w:val="22"/>
                <w:szCs w:val="22"/>
              </w:rPr>
              <w:t xml:space="preserve"> – FY17</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3F80A8A7" w14:textId="32A44E22" w:rsidR="003A34EC" w:rsidRDefault="0052208C" w:rsidP="003A34EC">
            <w:pPr>
              <w:tabs>
                <w:tab w:val="decimal" w:pos="1431"/>
              </w:tabs>
              <w:spacing w:line="200" w:lineRule="atLeast"/>
              <w:rPr>
                <w:color w:val="000000"/>
                <w:sz w:val="22"/>
                <w:szCs w:val="22"/>
              </w:rPr>
            </w:pPr>
            <w:r>
              <w:rPr>
                <w:color w:val="000000"/>
                <w:sz w:val="22"/>
                <w:szCs w:val="22"/>
              </w:rPr>
              <w:t>6.3</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45D2E3C9" w14:textId="6160D7EC" w:rsidR="003A34EC" w:rsidRDefault="0052208C" w:rsidP="003A34EC">
            <w:pPr>
              <w:tabs>
                <w:tab w:val="decimal" w:pos="1425"/>
              </w:tabs>
              <w:spacing w:line="200" w:lineRule="atLeast"/>
              <w:rPr>
                <w:color w:val="000000"/>
                <w:sz w:val="22"/>
                <w:szCs w:val="22"/>
              </w:rPr>
            </w:pPr>
            <w:r>
              <w:rPr>
                <w:color w:val="000000"/>
                <w:sz w:val="22"/>
                <w:szCs w:val="22"/>
              </w:rPr>
              <w:t>49,012</w:t>
            </w:r>
          </w:p>
        </w:tc>
      </w:tr>
    </w:tbl>
    <w:p w14:paraId="3DBF05D5" w14:textId="77777777" w:rsidR="003A34EC" w:rsidRPr="004E51FF" w:rsidRDefault="003A34EC" w:rsidP="003A34EC">
      <w:pPr>
        <w:tabs>
          <w:tab w:val="decimal" w:pos="3249"/>
          <w:tab w:val="left" w:pos="5949"/>
        </w:tabs>
        <w:rPr>
          <w:color w:val="000000"/>
          <w:sz w:val="2"/>
          <w:szCs w:val="2"/>
        </w:rPr>
      </w:pPr>
      <w:bookmarkStart w:id="89" w:name="TIMECOST_SUP"/>
      <w:bookmarkEnd w:id="89"/>
    </w:p>
    <w:tbl>
      <w:tblPr>
        <w:tblW w:w="5000" w:type="pct"/>
        <w:tblCellMar>
          <w:top w:w="10" w:type="dxa"/>
          <w:left w:w="10" w:type="dxa"/>
          <w:bottom w:w="10" w:type="dxa"/>
          <w:right w:w="10" w:type="dxa"/>
        </w:tblCellMar>
        <w:tblLook w:val="0000" w:firstRow="0" w:lastRow="0" w:firstColumn="0" w:lastColumn="0" w:noHBand="0" w:noVBand="0"/>
      </w:tblPr>
      <w:tblGrid>
        <w:gridCol w:w="3238"/>
        <w:gridCol w:w="2691"/>
        <w:gridCol w:w="2701"/>
      </w:tblGrid>
      <w:tr w:rsidR="003A34EC" w14:paraId="73C41335" w14:textId="77777777" w:rsidTr="0004394F">
        <w:trPr>
          <w:trHeight w:val="60"/>
        </w:trPr>
        <w:tc>
          <w:tcPr>
            <w:tcW w:w="1876" w:type="pct"/>
            <w:tcBorders>
              <w:top w:val="single" w:sz="4" w:space="0" w:color="B1B1B1"/>
              <w:left w:val="single" w:sz="4" w:space="0" w:color="B1B1B1"/>
              <w:bottom w:val="single" w:sz="4" w:space="0" w:color="B1B1B1"/>
              <w:right w:val="single" w:sz="4" w:space="0" w:color="B1B1B1"/>
            </w:tcBorders>
            <w:vAlign w:val="center"/>
          </w:tcPr>
          <w:p w14:paraId="644F995D" w14:textId="64564557" w:rsidR="003A34EC" w:rsidRDefault="003A34EC" w:rsidP="0052208C">
            <w:pPr>
              <w:spacing w:line="200" w:lineRule="atLeast"/>
              <w:rPr>
                <w:color w:val="000000"/>
                <w:sz w:val="22"/>
                <w:szCs w:val="22"/>
              </w:rPr>
            </w:pPr>
            <w:r>
              <w:rPr>
                <w:rStyle w:val="Strong"/>
                <w:color w:val="000000"/>
                <w:sz w:val="22"/>
                <w:szCs w:val="22"/>
              </w:rPr>
              <w:t>Total:</w:t>
            </w:r>
          </w:p>
        </w:tc>
        <w:tc>
          <w:tcPr>
            <w:tcW w:w="1559" w:type="pct"/>
            <w:tcBorders>
              <w:top w:val="single" w:sz="4" w:space="0" w:color="B1B1B1"/>
              <w:left w:val="single" w:sz="4" w:space="0" w:color="B1B1B1"/>
              <w:bottom w:val="single" w:sz="4" w:space="0" w:color="B1B1B1"/>
              <w:right w:val="single" w:sz="4" w:space="0" w:color="B1B1B1"/>
            </w:tcBorders>
            <w:vAlign w:val="center"/>
          </w:tcPr>
          <w:p w14:paraId="5CBB6E95" w14:textId="6C2DCD3F" w:rsidR="003A34EC" w:rsidRDefault="0052208C" w:rsidP="003A34EC">
            <w:pPr>
              <w:tabs>
                <w:tab w:val="decimal" w:pos="1431"/>
              </w:tabs>
              <w:spacing w:line="200" w:lineRule="atLeast"/>
              <w:rPr>
                <w:color w:val="000000"/>
                <w:sz w:val="22"/>
                <w:szCs w:val="22"/>
              </w:rPr>
            </w:pPr>
            <w:bookmarkStart w:id="90" w:name="SUP_WEEKS"/>
            <w:bookmarkEnd w:id="90"/>
            <w:r>
              <w:rPr>
                <w:color w:val="000000"/>
                <w:sz w:val="22"/>
                <w:szCs w:val="22"/>
              </w:rPr>
              <w:t>26.3</w:t>
            </w:r>
          </w:p>
        </w:tc>
        <w:tc>
          <w:tcPr>
            <w:tcW w:w="1565" w:type="pct"/>
            <w:tcBorders>
              <w:top w:val="single" w:sz="4" w:space="0" w:color="B1B1B1"/>
              <w:left w:val="single" w:sz="4" w:space="0" w:color="B1B1B1"/>
              <w:bottom w:val="single" w:sz="4" w:space="0" w:color="B1B1B1"/>
              <w:right w:val="single" w:sz="4" w:space="0" w:color="B1B1B1"/>
            </w:tcBorders>
            <w:vAlign w:val="center"/>
          </w:tcPr>
          <w:p w14:paraId="1D8E3641" w14:textId="0D02C290" w:rsidR="003A34EC" w:rsidRDefault="0052208C" w:rsidP="003A34EC">
            <w:pPr>
              <w:tabs>
                <w:tab w:val="decimal" w:pos="1425"/>
              </w:tabs>
              <w:spacing w:line="200" w:lineRule="atLeast"/>
              <w:rPr>
                <w:color w:val="000000"/>
                <w:sz w:val="22"/>
                <w:szCs w:val="22"/>
              </w:rPr>
            </w:pPr>
            <w:r>
              <w:rPr>
                <w:color w:val="000000"/>
                <w:sz w:val="22"/>
                <w:szCs w:val="22"/>
              </w:rPr>
              <w:t>324,677</w:t>
            </w:r>
          </w:p>
        </w:tc>
      </w:tr>
    </w:tbl>
    <w:p w14:paraId="4421CFEA" w14:textId="77777777" w:rsidR="003A34EC" w:rsidRDefault="003A34EC" w:rsidP="003A34EC"/>
    <w:p w14:paraId="603220FE" w14:textId="77777777" w:rsidR="00CD04BC" w:rsidRDefault="00CD04BC"/>
    <w:p w14:paraId="7E289A12" w14:textId="77777777" w:rsidR="006B724A" w:rsidRDefault="006B724A"/>
    <w:bookmarkEnd w:id="82"/>
    <w:p w14:paraId="76AB90A8" w14:textId="77777777" w:rsidR="006B724A" w:rsidRDefault="006B724A"/>
    <w:p w14:paraId="2ED9816E" w14:textId="6DF01F0E" w:rsidR="0024514C" w:rsidRDefault="0024514C">
      <w:pPr>
        <w:pStyle w:val="Heading2"/>
      </w:pPr>
      <w:r>
        <w:t xml:space="preserve"> </w:t>
      </w:r>
    </w:p>
    <w:p w14:paraId="6947314D" w14:textId="77777777" w:rsidR="0024514C" w:rsidRDefault="0024514C"/>
    <w:p w14:paraId="0E1ADE31" w14:textId="77777777" w:rsidR="00E777DC" w:rsidRDefault="00E777DC" w:rsidP="00740FD3">
      <w:pPr>
        <w:sectPr w:rsidR="00E777DC" w:rsidSect="00E777DC">
          <w:headerReference w:type="default" r:id="rId9"/>
          <w:footerReference w:type="default" r:id="rId10"/>
          <w:type w:val="oddPage"/>
          <w:pgSz w:w="12240" w:h="15840"/>
          <w:pgMar w:top="1440" w:right="1800" w:bottom="1440" w:left="1800" w:header="720" w:footer="720" w:gutter="0"/>
          <w:pgNumType w:start="1"/>
          <w:cols w:space="720"/>
          <w:docGrid w:linePitch="360"/>
        </w:sectPr>
      </w:pPr>
    </w:p>
    <w:p w14:paraId="37CAC090" w14:textId="721D68F5" w:rsidR="00E777DC" w:rsidRPr="00740FD3" w:rsidRDefault="00E777DC" w:rsidP="00740FD3">
      <w:r>
        <w:rPr>
          <w:noProof/>
          <w:lang w:eastAsia="en-US"/>
        </w:rPr>
        <w:lastRenderedPageBreak/>
        <w:drawing>
          <wp:inline distT="0" distB="0" distL="0" distR="0" wp14:anchorId="3CA085FB" wp14:editId="0A9E3329">
            <wp:extent cx="7543800" cy="5829300"/>
            <wp:effectExtent l="0" t="0" r="0" b="0"/>
            <wp:docPr id="1" name="Picture 1" descr="http://images.printable.com/nonimpositions/16323/207904/16323_207904_32kyteqf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rintable.com/nonimpositions/16323/207904/16323_207904_32kyteqf_pres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0" cy="5829300"/>
                    </a:xfrm>
                    <a:prstGeom prst="rect">
                      <a:avLst/>
                    </a:prstGeom>
                    <a:noFill/>
                    <a:ln>
                      <a:noFill/>
                    </a:ln>
                  </pic:spPr>
                </pic:pic>
              </a:graphicData>
            </a:graphic>
          </wp:inline>
        </w:drawing>
      </w:r>
    </w:p>
    <w:sectPr w:rsidR="00E777DC" w:rsidRPr="00740FD3" w:rsidSect="00E777DC">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B0A5" w14:textId="77777777" w:rsidR="00AB5CE5" w:rsidRDefault="00AB5CE5">
      <w:pPr>
        <w:spacing w:before="100" w:beforeAutospacing="1" w:after="100" w:afterAutospacing="1"/>
      </w:pPr>
      <w:r>
        <w:separator/>
      </w:r>
    </w:p>
  </w:endnote>
  <w:endnote w:type="continuationSeparator" w:id="0">
    <w:p w14:paraId="54B8EF4B" w14:textId="77777777" w:rsidR="00AB5CE5" w:rsidRDefault="00AB5CE5">
      <w:pPr>
        <w:spacing w:before="100" w:beforeAutospacing="1" w:after="100" w:afterAutospac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066424"/>
      <w:docPartObj>
        <w:docPartGallery w:val="Page Numbers (Bottom of Page)"/>
        <w:docPartUnique/>
      </w:docPartObj>
    </w:sdtPr>
    <w:sdtEndPr>
      <w:rPr>
        <w:noProof/>
      </w:rPr>
    </w:sdtEndPr>
    <w:sdtContent>
      <w:p w14:paraId="3A042543" w14:textId="64594221" w:rsidR="00DD473A" w:rsidRDefault="00DD473A">
        <w:pPr>
          <w:pStyle w:val="Footer"/>
          <w:jc w:val="center"/>
        </w:pPr>
        <w:r>
          <w:fldChar w:fldCharType="begin"/>
        </w:r>
        <w:r>
          <w:instrText xml:space="preserve"> PAGE   \* MERGEFORMAT </w:instrText>
        </w:r>
        <w:r>
          <w:fldChar w:fldCharType="separate"/>
        </w:r>
        <w:r w:rsidR="00997E15">
          <w:rPr>
            <w:noProof/>
          </w:rPr>
          <w:t>v</w:t>
        </w:r>
        <w:r>
          <w:rPr>
            <w:noProof/>
          </w:rPr>
          <w:fldChar w:fldCharType="end"/>
        </w:r>
      </w:p>
    </w:sdtContent>
  </w:sdt>
  <w:p w14:paraId="23E4D4B7" w14:textId="6B125999" w:rsidR="00DD473A" w:rsidRDefault="00DD47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6AED" w14:textId="3290FFB6" w:rsidR="00DD473A" w:rsidRDefault="00DD473A" w:rsidP="00DB08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7E15">
      <w:rPr>
        <w:rStyle w:val="PageNumber"/>
        <w:noProof/>
      </w:rPr>
      <w:t>10</w:t>
    </w:r>
    <w:r>
      <w:rPr>
        <w:rStyle w:val="PageNumber"/>
      </w:rPr>
      <w:fldChar w:fldCharType="end"/>
    </w:r>
  </w:p>
  <w:p w14:paraId="6B74D8BE" w14:textId="77777777" w:rsidR="00DD473A" w:rsidRDefault="00DD473A">
    <w:pPr>
      <w:pStyle w:val="Footer"/>
      <w:ind w:right="360"/>
    </w:pPr>
    <w: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7C392" w14:textId="77777777" w:rsidR="00AB5CE5" w:rsidRDefault="00AB5CE5">
      <w:pPr>
        <w:spacing w:before="100" w:beforeAutospacing="1" w:after="100" w:afterAutospacing="1"/>
      </w:pPr>
      <w:r>
        <w:separator/>
      </w:r>
    </w:p>
  </w:footnote>
  <w:footnote w:type="continuationSeparator" w:id="0">
    <w:p w14:paraId="40517CD2" w14:textId="77777777" w:rsidR="00AB5CE5" w:rsidRDefault="00AB5CE5">
      <w:pPr>
        <w:spacing w:before="100" w:beforeAutospacing="1" w:after="100" w:afterAutospacing="1"/>
      </w:pPr>
      <w:r>
        <w:continuationSeparator/>
      </w:r>
    </w:p>
  </w:footnote>
  <w:footnote w:id="1">
    <w:p w14:paraId="54A0C7A3" w14:textId="77777777" w:rsidR="00DD473A" w:rsidRPr="00740B68" w:rsidRDefault="00DD473A" w:rsidP="00740B68">
      <w:pPr>
        <w:pStyle w:val="FootnoteText"/>
        <w:spacing w:before="0" w:beforeAutospacing="0" w:after="0" w:afterAutospacing="0"/>
        <w:rPr>
          <w:sz w:val="20"/>
          <w:szCs w:val="20"/>
        </w:rPr>
      </w:pPr>
      <w:r w:rsidRPr="00740B68">
        <w:rPr>
          <w:rStyle w:val="FootnoteReference"/>
          <w:sz w:val="20"/>
          <w:szCs w:val="20"/>
        </w:rPr>
        <w:footnoteRef/>
      </w:r>
      <w:r w:rsidRPr="00740B68">
        <w:rPr>
          <w:sz w:val="20"/>
          <w:szCs w:val="20"/>
        </w:rPr>
        <w:t xml:space="preserve"> World Bank Data Bank, http://data.worldbank.org/indicator/BX.KLT.DINV.WD.GD.ZS</w:t>
      </w:r>
    </w:p>
  </w:footnote>
  <w:footnote w:id="2">
    <w:p w14:paraId="52E9F497" w14:textId="77777777" w:rsidR="00DD473A" w:rsidRPr="00A42474" w:rsidRDefault="00DD473A" w:rsidP="00A42474">
      <w:pPr>
        <w:pStyle w:val="FootnoteText"/>
        <w:spacing w:before="0" w:beforeAutospacing="0" w:after="0" w:afterAutospacing="0"/>
        <w:rPr>
          <w:sz w:val="20"/>
          <w:szCs w:val="20"/>
        </w:rPr>
      </w:pPr>
      <w:r w:rsidRPr="00A42474">
        <w:rPr>
          <w:rStyle w:val="FootnoteReference"/>
          <w:sz w:val="20"/>
          <w:szCs w:val="20"/>
        </w:rPr>
        <w:footnoteRef/>
      </w:r>
      <w:r w:rsidRPr="00A42474">
        <w:rPr>
          <w:sz w:val="20"/>
          <w:szCs w:val="20"/>
        </w:rPr>
        <w:t xml:space="preserve"> Exclusive of VAT and customs duties and fees.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8A65" w14:textId="77777777" w:rsidR="00DD473A" w:rsidRDefault="00DD4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93A"/>
    <w:multiLevelType w:val="hybridMultilevel"/>
    <w:tmpl w:val="3EC6AC1E"/>
    <w:lvl w:ilvl="0" w:tplc="3DB84574">
      <w:start w:val="1"/>
      <w:numFmt w:val="decimal"/>
      <w:lvlText w:val="%1."/>
      <w:lvlJc w:val="left"/>
      <w:pPr>
        <w:tabs>
          <w:tab w:val="num" w:pos="360"/>
        </w:tabs>
        <w:ind w:left="0" w:firstLine="0"/>
      </w:pPr>
      <w:rPr>
        <w:rFonts w:hint="default"/>
        <w:b w:val="0"/>
        <w:i w:val="0"/>
        <w:sz w:val="24"/>
        <w:szCs w:val="24"/>
      </w:rPr>
    </w:lvl>
    <w:lvl w:ilvl="1" w:tplc="E4B21D22">
      <w:start w:val="1"/>
      <w:numFmt w:val="lowerLetter"/>
      <w:lvlText w:val="(%2)"/>
      <w:lvlJc w:val="left"/>
      <w:pPr>
        <w:tabs>
          <w:tab w:val="num" w:pos="540"/>
        </w:tabs>
        <w:ind w:left="900" w:firstLine="0"/>
      </w:pPr>
      <w:rPr>
        <w:rFonts w:hint="default"/>
      </w:rPr>
    </w:lvl>
    <w:lvl w:ilvl="2" w:tplc="73C4CA50">
      <w:start w:val="1"/>
      <w:numFmt w:val="lowerRoman"/>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upperLetter"/>
      <w:pStyle w:val="PDSHeading2"/>
      <w:lvlText w:val="%2."/>
      <w:lvlJc w:val="left"/>
      <w:pPr>
        <w:tabs>
          <w:tab w:val="num" w:pos="360"/>
        </w:tabs>
        <w:ind w:left="0" w:firstLine="0"/>
      </w:pPr>
    </w:lvl>
    <w:lvl w:ilvl="2">
      <w:start w:val="1"/>
      <w:numFmt w:val="decimal"/>
      <w:lvlText w:val="%3."/>
      <w:lvlJc w:val="left"/>
      <w:pPr>
        <w:tabs>
          <w:tab w:val="num" w:pos="720"/>
        </w:tabs>
        <w:ind w:left="72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6DD7988"/>
    <w:multiLevelType w:val="multilevel"/>
    <w:tmpl w:val="55E49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A57BB3"/>
    <w:multiLevelType w:val="multilevel"/>
    <w:tmpl w:val="BC46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B5F10"/>
    <w:multiLevelType w:val="multilevel"/>
    <w:tmpl w:val="51BE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76B3A"/>
    <w:multiLevelType w:val="multilevel"/>
    <w:tmpl w:val="BE7C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F5F87"/>
    <w:multiLevelType w:val="multilevel"/>
    <w:tmpl w:val="1990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66321"/>
    <w:multiLevelType w:val="multilevel"/>
    <w:tmpl w:val="674C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2D77ED"/>
    <w:multiLevelType w:val="multilevel"/>
    <w:tmpl w:val="01E6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57488"/>
    <w:multiLevelType w:val="multilevel"/>
    <w:tmpl w:val="C4EE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23E66"/>
    <w:multiLevelType w:val="multilevel"/>
    <w:tmpl w:val="FADA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54B39"/>
    <w:multiLevelType w:val="multilevel"/>
    <w:tmpl w:val="F6DE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B64BF"/>
    <w:multiLevelType w:val="multilevel"/>
    <w:tmpl w:val="9854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D51D9"/>
    <w:multiLevelType w:val="multilevel"/>
    <w:tmpl w:val="6508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C7668"/>
    <w:multiLevelType w:val="multilevel"/>
    <w:tmpl w:val="8DE0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3B1653"/>
    <w:multiLevelType w:val="multilevel"/>
    <w:tmpl w:val="4FC6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73F85"/>
    <w:multiLevelType w:val="multilevel"/>
    <w:tmpl w:val="1542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17759"/>
    <w:multiLevelType w:val="hybridMultilevel"/>
    <w:tmpl w:val="AA006996"/>
    <w:lvl w:ilvl="0" w:tplc="0409000F">
      <w:start w:val="1"/>
      <w:numFmt w:val="decimal"/>
      <w:lvlText w:val="%1."/>
      <w:lvlJc w:val="left"/>
      <w:pPr>
        <w:ind w:left="24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130B49"/>
    <w:multiLevelType w:val="multilevel"/>
    <w:tmpl w:val="4F5E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87AF4"/>
    <w:multiLevelType w:val="multilevel"/>
    <w:tmpl w:val="534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A24F69"/>
    <w:multiLevelType w:val="multilevel"/>
    <w:tmpl w:val="5D1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6E5F07"/>
    <w:multiLevelType w:val="multilevel"/>
    <w:tmpl w:val="C806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B0070F"/>
    <w:multiLevelType w:val="multilevel"/>
    <w:tmpl w:val="E776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F31D1D"/>
    <w:multiLevelType w:val="multilevel"/>
    <w:tmpl w:val="4C58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466AA3"/>
    <w:multiLevelType w:val="multilevel"/>
    <w:tmpl w:val="71C8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001423"/>
    <w:multiLevelType w:val="multilevel"/>
    <w:tmpl w:val="83FC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7A72A0"/>
    <w:multiLevelType w:val="hybridMultilevel"/>
    <w:tmpl w:val="485A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802ED"/>
    <w:multiLevelType w:val="multilevel"/>
    <w:tmpl w:val="B762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E4110F"/>
    <w:multiLevelType w:val="hybridMultilevel"/>
    <w:tmpl w:val="2F74FB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20"/>
  </w:num>
  <w:num w:numId="4">
    <w:abstractNumId w:val="22"/>
  </w:num>
  <w:num w:numId="5">
    <w:abstractNumId w:val="4"/>
  </w:num>
  <w:num w:numId="6">
    <w:abstractNumId w:val="16"/>
  </w:num>
  <w:num w:numId="7">
    <w:abstractNumId w:val="3"/>
  </w:num>
  <w:num w:numId="8">
    <w:abstractNumId w:val="15"/>
  </w:num>
  <w:num w:numId="9">
    <w:abstractNumId w:val="5"/>
  </w:num>
  <w:num w:numId="10">
    <w:abstractNumId w:val="6"/>
  </w:num>
  <w:num w:numId="11">
    <w:abstractNumId w:val="21"/>
  </w:num>
  <w:num w:numId="12">
    <w:abstractNumId w:val="27"/>
  </w:num>
  <w:num w:numId="13">
    <w:abstractNumId w:val="11"/>
  </w:num>
  <w:num w:numId="14">
    <w:abstractNumId w:val="12"/>
  </w:num>
  <w:num w:numId="15">
    <w:abstractNumId w:val="18"/>
  </w:num>
  <w:num w:numId="16">
    <w:abstractNumId w:val="25"/>
  </w:num>
  <w:num w:numId="17">
    <w:abstractNumId w:val="19"/>
  </w:num>
  <w:num w:numId="18">
    <w:abstractNumId w:val="7"/>
  </w:num>
  <w:num w:numId="19">
    <w:abstractNumId w:val="24"/>
  </w:num>
  <w:num w:numId="20">
    <w:abstractNumId w:val="14"/>
  </w:num>
  <w:num w:numId="21">
    <w:abstractNumId w:val="2"/>
  </w:num>
  <w:num w:numId="22">
    <w:abstractNumId w:val="8"/>
  </w:num>
  <w:num w:numId="23">
    <w:abstractNumId w:val="10"/>
  </w:num>
  <w:num w:numId="24">
    <w:abstractNumId w:val="1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8"/>
  </w:num>
  <w:num w:numId="28">
    <w:abstractNumId w:val="26"/>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D1"/>
    <w:rsid w:val="0000217B"/>
    <w:rsid w:val="00043654"/>
    <w:rsid w:val="0004394F"/>
    <w:rsid w:val="00044B52"/>
    <w:rsid w:val="00051065"/>
    <w:rsid w:val="00054C84"/>
    <w:rsid w:val="000867FE"/>
    <w:rsid w:val="00092633"/>
    <w:rsid w:val="000D6E25"/>
    <w:rsid w:val="000F4405"/>
    <w:rsid w:val="00101535"/>
    <w:rsid w:val="0010757B"/>
    <w:rsid w:val="0012232F"/>
    <w:rsid w:val="001A6434"/>
    <w:rsid w:val="001D08EC"/>
    <w:rsid w:val="001E6B6E"/>
    <w:rsid w:val="00212FD8"/>
    <w:rsid w:val="00223EB7"/>
    <w:rsid w:val="00224F76"/>
    <w:rsid w:val="0024514C"/>
    <w:rsid w:val="00271367"/>
    <w:rsid w:val="00275971"/>
    <w:rsid w:val="002B5C34"/>
    <w:rsid w:val="002B799F"/>
    <w:rsid w:val="002C33E2"/>
    <w:rsid w:val="002D6EE9"/>
    <w:rsid w:val="002E12F5"/>
    <w:rsid w:val="00306FA2"/>
    <w:rsid w:val="003168E9"/>
    <w:rsid w:val="00346B18"/>
    <w:rsid w:val="00347220"/>
    <w:rsid w:val="00351F9E"/>
    <w:rsid w:val="0035557B"/>
    <w:rsid w:val="00356E1C"/>
    <w:rsid w:val="00370C06"/>
    <w:rsid w:val="003A34EC"/>
    <w:rsid w:val="003B6448"/>
    <w:rsid w:val="003C6786"/>
    <w:rsid w:val="003D2F2B"/>
    <w:rsid w:val="00410730"/>
    <w:rsid w:val="0042502B"/>
    <w:rsid w:val="004533F6"/>
    <w:rsid w:val="00454D86"/>
    <w:rsid w:val="004568E8"/>
    <w:rsid w:val="00472802"/>
    <w:rsid w:val="004756D4"/>
    <w:rsid w:val="004A6FEB"/>
    <w:rsid w:val="004B4C58"/>
    <w:rsid w:val="004D2F58"/>
    <w:rsid w:val="004E75C6"/>
    <w:rsid w:val="0052208C"/>
    <w:rsid w:val="00560534"/>
    <w:rsid w:val="0059694F"/>
    <w:rsid w:val="006522E2"/>
    <w:rsid w:val="006554B4"/>
    <w:rsid w:val="006B724A"/>
    <w:rsid w:val="006D796A"/>
    <w:rsid w:val="006E0C81"/>
    <w:rsid w:val="006E23CB"/>
    <w:rsid w:val="006E3F84"/>
    <w:rsid w:val="006F35D7"/>
    <w:rsid w:val="00713DA0"/>
    <w:rsid w:val="007154F3"/>
    <w:rsid w:val="00723383"/>
    <w:rsid w:val="00740B68"/>
    <w:rsid w:val="00740FD3"/>
    <w:rsid w:val="00742E9E"/>
    <w:rsid w:val="00744F67"/>
    <w:rsid w:val="00777742"/>
    <w:rsid w:val="00781B41"/>
    <w:rsid w:val="007A2E1F"/>
    <w:rsid w:val="007A39B9"/>
    <w:rsid w:val="007A57E6"/>
    <w:rsid w:val="007C28D4"/>
    <w:rsid w:val="007F5D5D"/>
    <w:rsid w:val="0080570C"/>
    <w:rsid w:val="00806EFB"/>
    <w:rsid w:val="00891058"/>
    <w:rsid w:val="0089502F"/>
    <w:rsid w:val="008A3C69"/>
    <w:rsid w:val="008B3B62"/>
    <w:rsid w:val="008E30D2"/>
    <w:rsid w:val="008F1F6E"/>
    <w:rsid w:val="00915111"/>
    <w:rsid w:val="00917B75"/>
    <w:rsid w:val="00922A55"/>
    <w:rsid w:val="00933403"/>
    <w:rsid w:val="00933F36"/>
    <w:rsid w:val="009900CD"/>
    <w:rsid w:val="00997E15"/>
    <w:rsid w:val="009B7427"/>
    <w:rsid w:val="009F1C5A"/>
    <w:rsid w:val="009F5D85"/>
    <w:rsid w:val="00A0299B"/>
    <w:rsid w:val="00A335F1"/>
    <w:rsid w:val="00A42474"/>
    <w:rsid w:val="00A51D28"/>
    <w:rsid w:val="00AA6313"/>
    <w:rsid w:val="00AB5CE5"/>
    <w:rsid w:val="00AE21D9"/>
    <w:rsid w:val="00B02452"/>
    <w:rsid w:val="00B135F2"/>
    <w:rsid w:val="00B16792"/>
    <w:rsid w:val="00B2086B"/>
    <w:rsid w:val="00B25433"/>
    <w:rsid w:val="00B34AD5"/>
    <w:rsid w:val="00B40427"/>
    <w:rsid w:val="00BE7554"/>
    <w:rsid w:val="00C6468E"/>
    <w:rsid w:val="00C923DB"/>
    <w:rsid w:val="00CB4A5C"/>
    <w:rsid w:val="00CD04BC"/>
    <w:rsid w:val="00CD3651"/>
    <w:rsid w:val="00CE4CD9"/>
    <w:rsid w:val="00CF03BC"/>
    <w:rsid w:val="00D11BF8"/>
    <w:rsid w:val="00D23531"/>
    <w:rsid w:val="00D24F11"/>
    <w:rsid w:val="00D255F5"/>
    <w:rsid w:val="00D36C43"/>
    <w:rsid w:val="00D40967"/>
    <w:rsid w:val="00D4567A"/>
    <w:rsid w:val="00D4640E"/>
    <w:rsid w:val="00D54BD6"/>
    <w:rsid w:val="00DB088C"/>
    <w:rsid w:val="00DB2E79"/>
    <w:rsid w:val="00DB6EDC"/>
    <w:rsid w:val="00DB7593"/>
    <w:rsid w:val="00DC7818"/>
    <w:rsid w:val="00DD2C0B"/>
    <w:rsid w:val="00DD473A"/>
    <w:rsid w:val="00DF3331"/>
    <w:rsid w:val="00E01B51"/>
    <w:rsid w:val="00E03DE1"/>
    <w:rsid w:val="00E03E2A"/>
    <w:rsid w:val="00E37784"/>
    <w:rsid w:val="00E71F52"/>
    <w:rsid w:val="00E777DC"/>
    <w:rsid w:val="00E915D1"/>
    <w:rsid w:val="00E916CA"/>
    <w:rsid w:val="00EB136A"/>
    <w:rsid w:val="00ED69FF"/>
    <w:rsid w:val="00EE30FF"/>
    <w:rsid w:val="00EF3637"/>
    <w:rsid w:val="00EF4171"/>
    <w:rsid w:val="00F44833"/>
    <w:rsid w:val="00F44D14"/>
    <w:rsid w:val="00F94FD3"/>
    <w:rsid w:val="00F97BC2"/>
    <w:rsid w:val="00FA5A8B"/>
    <w:rsid w:val="00FD55F5"/>
    <w:rsid w:val="00FF2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5D6CC"/>
  <w15:docId w15:val="{509DFAE3-AB84-4384-9897-C972FA5B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ja-JP"/>
    </w:rPr>
  </w:style>
  <w:style w:type="paragraph" w:styleId="Heading1">
    <w:name w:val="heading 1"/>
    <w:basedOn w:val="Normal"/>
    <w:link w:val="Heading1Char"/>
    <w:qFormat/>
    <w:pPr>
      <w:spacing w:before="100" w:beforeAutospacing="1"/>
      <w:textAlignment w:val="top"/>
      <w:outlineLvl w:val="0"/>
    </w:pPr>
    <w:rPr>
      <w:b/>
      <w:bCs/>
      <w:color w:val="000000"/>
      <w:kern w:val="36"/>
      <w:sz w:val="31"/>
      <w:szCs w:val="31"/>
    </w:rPr>
  </w:style>
  <w:style w:type="paragraph" w:styleId="Heading2">
    <w:name w:val="heading 2"/>
    <w:basedOn w:val="Normal"/>
    <w:link w:val="Heading2Char"/>
    <w:qFormat/>
    <w:pPr>
      <w:spacing w:before="100" w:beforeAutospacing="1"/>
      <w:textAlignment w:val="top"/>
      <w:outlineLvl w:val="1"/>
    </w:pPr>
    <w:rPr>
      <w:b/>
      <w:bCs/>
      <w:color w:val="000000"/>
      <w:sz w:val="25"/>
      <w:szCs w:val="25"/>
    </w:rPr>
  </w:style>
  <w:style w:type="paragraph" w:styleId="Heading3">
    <w:name w:val="heading 3"/>
    <w:basedOn w:val="Normal"/>
    <w:qFormat/>
    <w:pPr>
      <w:spacing w:before="100" w:beforeAutospacing="1"/>
      <w:textAlignment w:val="top"/>
      <w:outlineLvl w:val="2"/>
    </w:pPr>
    <w:rPr>
      <w:b/>
      <w:bCs/>
      <w:color w:val="000000"/>
      <w:sz w:val="22"/>
      <w:szCs w:val="22"/>
    </w:rPr>
  </w:style>
  <w:style w:type="paragraph" w:styleId="Heading4">
    <w:name w:val="heading 4"/>
    <w:basedOn w:val="Normal"/>
    <w:qFormat/>
    <w:pPr>
      <w:spacing w:before="100" w:beforeAutospacing="1"/>
      <w:textAlignment w:val="top"/>
      <w:outlineLvl w:val="3"/>
    </w:pPr>
    <w:rPr>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0000FF"/>
      <w:u w:val="none"/>
      <w:effect w:val="none"/>
    </w:rPr>
  </w:style>
  <w:style w:type="character" w:styleId="FollowedHyperlink">
    <w:name w:val="FollowedHyperlink"/>
    <w:basedOn w:val="DefaultParagraphFont"/>
    <w:rPr>
      <w:strike w:val="0"/>
      <w:dstrike w:val="0"/>
      <w:color w:val="0000FF"/>
      <w:u w:val="none"/>
      <w:effect w:val="none"/>
    </w:rPr>
  </w:style>
  <w:style w:type="paragraph" w:customStyle="1" w:styleId="table100per">
    <w:name w:val="table100per"/>
    <w:basedOn w:val="Normal"/>
    <w:pPr>
      <w:spacing w:before="100" w:beforeAutospacing="1" w:after="100" w:afterAutospacing="1"/>
    </w:pPr>
  </w:style>
  <w:style w:type="paragraph" w:customStyle="1" w:styleId="tablegridbrdrcolorblackaw">
    <w:name w:val="tablegridbrdrcolorblack_aw"/>
    <w:basedOn w:val="Normal"/>
    <w:pPr>
      <w:pBdr>
        <w:top w:val="single" w:sz="4" w:space="1" w:color="B1B1B1"/>
        <w:left w:val="single" w:sz="4" w:space="1" w:color="B1B1B1"/>
        <w:bottom w:val="single" w:sz="4" w:space="1" w:color="B1B1B1"/>
        <w:right w:val="single" w:sz="4" w:space="1" w:color="B1B1B1"/>
      </w:pBdr>
      <w:spacing w:before="100" w:beforeAutospacing="1" w:after="100" w:afterAutospacing="1"/>
    </w:pPr>
  </w:style>
  <w:style w:type="paragraph" w:customStyle="1" w:styleId="tablenogridbrdrcolorblackaw">
    <w:name w:val="tablenogridbrdrcolorblack_aw"/>
    <w:basedOn w:val="Normal"/>
    <w:pPr>
      <w:spacing w:before="100" w:beforeAutospacing="1" w:after="100" w:afterAutospacing="1"/>
    </w:pPr>
  </w:style>
  <w:style w:type="paragraph" w:customStyle="1" w:styleId="tablebrdrcolorblackaw">
    <w:name w:val="tablebrdrcolorblack_aw"/>
    <w:basedOn w:val="Normal"/>
    <w:pPr>
      <w:pBdr>
        <w:top w:val="single" w:sz="4" w:space="1" w:color="000000"/>
        <w:left w:val="single" w:sz="4" w:space="1" w:color="000000"/>
        <w:bottom w:val="single" w:sz="4" w:space="1" w:color="000000"/>
        <w:right w:val="single" w:sz="4" w:space="1" w:color="000000"/>
      </w:pBdr>
      <w:spacing w:before="100" w:beforeAutospacing="1" w:after="100" w:afterAutospacing="1"/>
    </w:pPr>
  </w:style>
  <w:style w:type="paragraph" w:customStyle="1" w:styleId="tablebrdrblacktopsidesaw">
    <w:name w:val="tablebrdrblacktopsides_aw"/>
    <w:basedOn w:val="Normal"/>
    <w:pPr>
      <w:pBdr>
        <w:top w:val="single" w:sz="4" w:space="1" w:color="000000"/>
        <w:left w:val="single" w:sz="4" w:space="1" w:color="000000"/>
        <w:right w:val="single" w:sz="4" w:space="1" w:color="000000"/>
      </w:pBdr>
      <w:spacing w:before="100" w:beforeAutospacing="1" w:after="100" w:afterAutospacing="1"/>
    </w:pPr>
  </w:style>
  <w:style w:type="paragraph" w:customStyle="1" w:styleId="tablebrdrblacktopaw">
    <w:name w:val="tablebrdrblacktop_aw"/>
    <w:basedOn w:val="Normal"/>
    <w:pPr>
      <w:pBdr>
        <w:top w:val="single" w:sz="4" w:space="3" w:color="000000"/>
      </w:pBdr>
      <w:spacing w:before="100" w:beforeAutospacing="1" w:after="100" w:afterAutospacing="1"/>
    </w:pPr>
  </w:style>
  <w:style w:type="paragraph" w:customStyle="1" w:styleId="tablebrdrblackbottomaw">
    <w:name w:val="tablebrdrblackbottom_aw"/>
    <w:basedOn w:val="Normal"/>
    <w:pPr>
      <w:pBdr>
        <w:bottom w:val="single" w:sz="4" w:space="1" w:color="000000"/>
      </w:pBdr>
      <w:spacing w:before="100" w:beforeAutospacing="1" w:after="100" w:afterAutospacing="1"/>
    </w:pPr>
  </w:style>
  <w:style w:type="paragraph" w:customStyle="1" w:styleId="tablebrdrblackbottomsidesaw">
    <w:name w:val="tablebrdrblackbottomsides_aw"/>
    <w:basedOn w:val="Normal"/>
    <w:pPr>
      <w:pBdr>
        <w:left w:val="single" w:sz="4" w:space="1" w:color="000000"/>
        <w:bottom w:val="single" w:sz="4" w:space="1" w:color="000000"/>
        <w:right w:val="single" w:sz="4" w:space="1" w:color="000000"/>
      </w:pBdr>
      <w:spacing w:before="100" w:beforeAutospacing="1" w:after="100" w:afterAutospacing="1"/>
    </w:pPr>
  </w:style>
  <w:style w:type="paragraph" w:customStyle="1" w:styleId="tablebrdrblackbottomrightaw">
    <w:name w:val="tablebrdrblackbottomright_aw"/>
    <w:basedOn w:val="Normal"/>
    <w:pPr>
      <w:pBdr>
        <w:bottom w:val="single" w:sz="4" w:space="1" w:color="000000"/>
        <w:right w:val="single" w:sz="4" w:space="1" w:color="000000"/>
      </w:pBdr>
      <w:spacing w:before="100" w:beforeAutospacing="1" w:after="100" w:afterAutospacing="1"/>
    </w:pPr>
  </w:style>
  <w:style w:type="paragraph" w:customStyle="1" w:styleId="contenttimes90per">
    <w:name w:val="contenttimes90per"/>
    <w:basedOn w:val="Normal"/>
    <w:pPr>
      <w:spacing w:before="100" w:beforeAutospacing="1" w:after="100" w:afterAutospacing="1"/>
      <w:textAlignment w:val="top"/>
    </w:pPr>
    <w:rPr>
      <w:color w:val="000000"/>
      <w:sz w:val="22"/>
      <w:szCs w:val="22"/>
    </w:rPr>
  </w:style>
  <w:style w:type="paragraph" w:customStyle="1" w:styleId="aligncenter">
    <w:name w:val="aligncenter"/>
    <w:basedOn w:val="Normal"/>
    <w:pPr>
      <w:spacing w:before="100" w:beforeAutospacing="1" w:after="100" w:afterAutospacing="1"/>
      <w:jc w:val="center"/>
      <w:textAlignment w:val="top"/>
    </w:pPr>
  </w:style>
  <w:style w:type="paragraph" w:customStyle="1" w:styleId="contenttimesxsmall">
    <w:name w:val="contenttimesxsmall"/>
    <w:basedOn w:val="Normal"/>
    <w:pPr>
      <w:spacing w:before="100" w:beforeAutospacing="1" w:after="100" w:afterAutospacing="1" w:line="180" w:lineRule="atLeast"/>
      <w:textAlignment w:val="top"/>
    </w:pPr>
    <w:rPr>
      <w:color w:val="000000"/>
      <w:sz w:val="20"/>
      <w:szCs w:val="20"/>
    </w:rPr>
  </w:style>
  <w:style w:type="paragraph" w:customStyle="1" w:styleId="contenttimesmedium">
    <w:name w:val="contenttimesmedium"/>
    <w:basedOn w:val="Normal"/>
    <w:pPr>
      <w:spacing w:before="100" w:beforeAutospacing="1" w:after="100" w:afterAutospacing="1"/>
      <w:textAlignment w:val="center"/>
    </w:pPr>
    <w:rPr>
      <w:color w:val="000000"/>
      <w:sz w:val="27"/>
      <w:szCs w:val="27"/>
    </w:rPr>
  </w:style>
  <w:style w:type="paragraph" w:customStyle="1" w:styleId="contentverdanaxsmall">
    <w:name w:val="contentverdanaxsmall"/>
    <w:basedOn w:val="Normal"/>
    <w:pPr>
      <w:spacing w:before="100" w:beforeAutospacing="1" w:after="100" w:afterAutospacing="1" w:line="180" w:lineRule="atLeast"/>
      <w:textAlignment w:val="top"/>
    </w:pPr>
    <w:rPr>
      <w:color w:val="000000"/>
      <w:sz w:val="20"/>
      <w:szCs w:val="20"/>
    </w:rPr>
  </w:style>
  <w:style w:type="paragraph" w:customStyle="1" w:styleId="contentverdanaxxsmall">
    <w:name w:val="contentverdanaxxsmall"/>
    <w:basedOn w:val="Normal"/>
    <w:pPr>
      <w:spacing w:before="100" w:beforeAutospacing="1" w:after="100" w:afterAutospacing="1" w:line="180" w:lineRule="atLeast"/>
      <w:textAlignment w:val="top"/>
    </w:pPr>
    <w:rPr>
      <w:color w:val="000000"/>
      <w:sz w:val="15"/>
      <w:szCs w:val="15"/>
    </w:rPr>
  </w:style>
  <w:style w:type="paragraph" w:customStyle="1" w:styleId="contenttreb90per">
    <w:name w:val="contenttreb90per"/>
    <w:basedOn w:val="Normal"/>
    <w:pPr>
      <w:spacing w:before="100" w:beforeAutospacing="1" w:after="100" w:afterAutospacing="1" w:line="160" w:lineRule="atLeast"/>
    </w:pPr>
    <w:rPr>
      <w:color w:val="000000"/>
      <w:sz w:val="22"/>
      <w:szCs w:val="22"/>
    </w:rPr>
  </w:style>
  <w:style w:type="paragraph" w:customStyle="1" w:styleId="contenttreb70per">
    <w:name w:val="contenttreb70per"/>
    <w:basedOn w:val="Normal"/>
    <w:pPr>
      <w:spacing w:before="100" w:beforeAutospacing="1" w:after="100" w:afterAutospacing="1" w:line="200" w:lineRule="atLeast"/>
    </w:pPr>
    <w:rPr>
      <w:color w:val="000000"/>
      <w:sz w:val="22"/>
      <w:szCs w:val="22"/>
    </w:rPr>
  </w:style>
  <w:style w:type="paragraph" w:customStyle="1" w:styleId="contenttreb70peri">
    <w:name w:val="contenttreb70peri"/>
    <w:basedOn w:val="Normal"/>
    <w:pPr>
      <w:spacing w:before="100" w:beforeAutospacing="1" w:after="100" w:afterAutospacing="1" w:line="250" w:lineRule="atLeast"/>
    </w:pPr>
    <w:rPr>
      <w:i/>
      <w:iCs/>
      <w:color w:val="444444"/>
      <w:sz w:val="17"/>
      <w:szCs w:val="17"/>
    </w:rPr>
  </w:style>
  <w:style w:type="paragraph" w:customStyle="1" w:styleId="contentverdana75per">
    <w:name w:val="contentverdana75per"/>
    <w:basedOn w:val="Normal"/>
    <w:pPr>
      <w:spacing w:before="100" w:beforeAutospacing="1" w:after="100" w:afterAutospacing="1" w:line="180" w:lineRule="atLeast"/>
    </w:pPr>
    <w:rPr>
      <w:color w:val="000000"/>
      <w:sz w:val="18"/>
      <w:szCs w:val="18"/>
    </w:rPr>
  </w:style>
  <w:style w:type="paragraph" w:customStyle="1" w:styleId="unnamed1">
    <w:name w:val="unnamed1"/>
    <w:basedOn w:val="Normal"/>
    <w:pPr>
      <w:spacing w:before="100" w:beforeAutospacing="1" w:after="100" w:afterAutospacing="1"/>
    </w:pPr>
    <w:rPr>
      <w:sz w:val="11"/>
      <w:szCs w:val="11"/>
    </w:rPr>
  </w:style>
  <w:style w:type="paragraph" w:customStyle="1" w:styleId="unnamed2">
    <w:name w:val="unnamed2"/>
    <w:basedOn w:val="Normal"/>
    <w:pPr>
      <w:spacing w:before="100" w:beforeAutospacing="1" w:after="100" w:afterAutospacing="1"/>
    </w:pPr>
    <w:rPr>
      <w:sz w:val="17"/>
      <w:szCs w:val="17"/>
    </w:rPr>
  </w:style>
  <w:style w:type="paragraph" w:customStyle="1" w:styleId="contentverdana70per">
    <w:name w:val="contentverdana70per"/>
    <w:basedOn w:val="Normal"/>
    <w:pPr>
      <w:spacing w:before="100" w:beforeAutospacing="1" w:after="100" w:afterAutospacing="1"/>
      <w:textAlignment w:val="top"/>
    </w:pPr>
    <w:rPr>
      <w:color w:val="000000"/>
      <w:sz w:val="17"/>
      <w:szCs w:val="17"/>
    </w:rPr>
  </w:style>
  <w:style w:type="paragraph" w:customStyle="1" w:styleId="bg-greycolorlevel1">
    <w:name w:val="bg-greycolorlevel1"/>
    <w:basedOn w:val="Normal"/>
    <w:pPr>
      <w:shd w:val="clear" w:color="auto" w:fill="E2E2E2"/>
      <w:spacing w:before="100" w:beforeAutospacing="1" w:after="100" w:afterAutospacing="1"/>
    </w:pPr>
  </w:style>
  <w:style w:type="paragraph" w:customStyle="1" w:styleId="bg-greycolorlevel2">
    <w:name w:val="bg-greycolorlevel2"/>
    <w:basedOn w:val="Normal"/>
    <w:pPr>
      <w:shd w:val="clear" w:color="auto" w:fill="F1F1F1"/>
      <w:spacing w:before="100" w:beforeAutospacing="1" w:after="100" w:afterAutospacing="1"/>
    </w:pPr>
  </w:style>
  <w:style w:type="paragraph" w:customStyle="1" w:styleId="bg-greycolorlevel3">
    <w:name w:val="bg-greycolorlevel3"/>
    <w:basedOn w:val="Normal"/>
    <w:pPr>
      <w:shd w:val="clear" w:color="auto" w:fill="F8F8F8"/>
      <w:spacing w:before="100" w:beforeAutospacing="1" w:after="100" w:afterAutospacing="1"/>
    </w:pPr>
  </w:style>
  <w:style w:type="paragraph" w:customStyle="1" w:styleId="tableheaderlevel1">
    <w:name w:val="tableheaderlevel1"/>
    <w:basedOn w:val="Normal"/>
    <w:pPr>
      <w:shd w:val="clear" w:color="auto" w:fill="CDCCCC"/>
      <w:spacing w:before="100" w:beforeAutospacing="1" w:after="100" w:afterAutospacing="1"/>
    </w:pPr>
    <w:rPr>
      <w:color w:val="000000"/>
    </w:rPr>
  </w:style>
  <w:style w:type="paragraph" w:customStyle="1" w:styleId="contentverdana70perbold">
    <w:name w:val="contentverdana70perbold"/>
    <w:basedOn w:val="Normal"/>
    <w:pPr>
      <w:spacing w:before="100" w:beforeAutospacing="1" w:after="100" w:afterAutospacing="1"/>
      <w:textAlignment w:val="top"/>
    </w:pPr>
    <w:rPr>
      <w:b/>
      <w:bCs/>
      <w:color w:val="333333"/>
      <w:sz w:val="17"/>
      <w:szCs w:val="17"/>
    </w:rPr>
  </w:style>
  <w:style w:type="paragraph" w:customStyle="1" w:styleId="contentverdana100per">
    <w:name w:val="contentverdana100per"/>
    <w:basedOn w:val="Normal"/>
    <w:pPr>
      <w:spacing w:before="100" w:beforeAutospacing="1" w:after="100" w:afterAutospacing="1"/>
      <w:textAlignment w:val="top"/>
    </w:pPr>
    <w:rPr>
      <w:color w:val="000000"/>
    </w:rPr>
  </w:style>
  <w:style w:type="paragraph" w:customStyle="1" w:styleId="tableheaderlevel3">
    <w:name w:val="tableheaderlevel3"/>
    <w:basedOn w:val="Normal"/>
    <w:pPr>
      <w:shd w:val="clear" w:color="auto" w:fill="F1F1F1"/>
      <w:spacing w:before="100" w:beforeAutospacing="1" w:after="100" w:afterAutospacing="1"/>
    </w:pPr>
    <w:rPr>
      <w:b/>
      <w:bCs/>
      <w:color w:val="606060"/>
      <w:sz w:val="22"/>
      <w:szCs w:val="22"/>
    </w:rPr>
  </w:style>
  <w:style w:type="paragraph" w:customStyle="1" w:styleId="tableheaderlevel2">
    <w:name w:val="tableheaderlevel2"/>
    <w:basedOn w:val="Normal"/>
    <w:pPr>
      <w:shd w:val="clear" w:color="auto" w:fill="E2E2E2"/>
      <w:spacing w:before="100" w:beforeAutospacing="1" w:after="100" w:afterAutospacing="1"/>
    </w:pPr>
    <w:rPr>
      <w:color w:val="000000"/>
    </w:rPr>
  </w:style>
  <w:style w:type="paragraph" w:customStyle="1" w:styleId="contentverdanasuper">
    <w:name w:val="contentverdanasuper"/>
    <w:basedOn w:val="Normal"/>
    <w:pPr>
      <w:spacing w:before="100" w:beforeAutospacing="1" w:after="100" w:afterAutospacing="1"/>
    </w:pPr>
    <w:rPr>
      <w:color w:val="000000"/>
      <w:sz w:val="14"/>
      <w:szCs w:val="14"/>
      <w:vertAlign w:val="superscript"/>
    </w:rPr>
  </w:style>
  <w:style w:type="paragraph" w:customStyle="1" w:styleId="contentverdanah1super">
    <w:name w:val="contentverdanah1super"/>
    <w:basedOn w:val="Normal"/>
    <w:pPr>
      <w:spacing w:before="100" w:beforeAutospacing="1" w:after="100" w:afterAutospacing="1"/>
    </w:pPr>
    <w:rPr>
      <w:color w:val="000000"/>
      <w:sz w:val="12"/>
      <w:szCs w:val="12"/>
      <w:vertAlign w:val="superscript"/>
    </w:rPr>
  </w:style>
  <w:style w:type="paragraph" w:customStyle="1" w:styleId="tablebrdrcolorgreyaw">
    <w:name w:val="tablebrdrcolorgrey_aw"/>
    <w:basedOn w:val="Normal"/>
    <w:pPr>
      <w:pBdr>
        <w:top w:val="single" w:sz="4" w:space="2" w:color="B1B1B1"/>
        <w:left w:val="single" w:sz="4" w:space="2" w:color="B1B1B1"/>
        <w:bottom w:val="single" w:sz="4" w:space="2" w:color="B1B1B1"/>
        <w:right w:val="single" w:sz="4" w:space="2" w:color="B1B1B1"/>
      </w:pBdr>
      <w:spacing w:before="100" w:beforeAutospacing="1" w:after="100" w:afterAutospacing="1"/>
    </w:p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NormalWeb">
    <w:name w:val="Normal (Web)"/>
    <w:basedOn w:val="Normal"/>
    <w:uiPriority w:val="99"/>
    <w:pPr>
      <w:spacing w:before="100" w:beforeAutospacing="1" w:after="100" w:afterAutospacing="1"/>
    </w:pPr>
  </w:style>
  <w:style w:type="character" w:styleId="Strong">
    <w:name w:val="Strong"/>
    <w:basedOn w:val="DefaultParagraphFont"/>
    <w:qFormat/>
    <w:rPr>
      <w:b/>
      <w:bCs/>
    </w:rPr>
  </w:style>
  <w:style w:type="character" w:customStyle="1" w:styleId="contenttreb70per1">
    <w:name w:val="contenttreb70per1"/>
    <w:basedOn w:val="DefaultParagraphFont"/>
    <w:rPr>
      <w:rFonts w:ascii="Times New Roman" w:hAnsi="Times New Roman" w:cs="Times New Roman" w:hint="default"/>
      <w:strike w:val="0"/>
      <w:dstrike w:val="0"/>
      <w:color w:val="000000"/>
      <w:sz w:val="22"/>
      <w:szCs w:val="22"/>
      <w:u w:val="none"/>
      <w:effect w:val="none"/>
    </w:rPr>
  </w:style>
  <w:style w:type="character" w:styleId="Emphasis">
    <w:name w:val="Emphasis"/>
    <w:basedOn w:val="DefaultParagraphFont"/>
    <w:qFormat/>
    <w:rPr>
      <w:i/>
      <w:iCs/>
    </w:rPr>
  </w:style>
  <w:style w:type="paragraph" w:customStyle="1" w:styleId="outline">
    <w:name w:val="outline"/>
    <w:basedOn w:val="Normal"/>
    <w:pPr>
      <w:spacing w:before="100" w:beforeAutospacing="1" w:after="100" w:afterAutospacing="1"/>
    </w:pPr>
  </w:style>
  <w:style w:type="character" w:customStyle="1" w:styleId="tableheaderlevel21">
    <w:name w:val="tableheaderlevel21"/>
    <w:basedOn w:val="DefaultParagraphFont"/>
  </w:style>
  <w:style w:type="paragraph" w:customStyle="1" w:styleId="chapternumber">
    <w:name w:val="chapternumber"/>
    <w:basedOn w:val="Normal"/>
    <w:pPr>
      <w:spacing w:before="100" w:beforeAutospacing="1" w:after="100" w:afterAutospacing="1"/>
    </w:pPr>
  </w:style>
  <w:style w:type="paragraph" w:styleId="FootnoteText">
    <w:name w:val="footnote text"/>
    <w:aliases w:val="single space,footnote text,fn,FOOTNOTES,Footnote Text Char Char Char Char Char Char,WB-Fußnotentext,Footnote,Fußnote,ADB,Footnote Text qer,ALTS FOOTNOTE,ft,Footnote Text Char1 Char,WB-Fuﬂnotentext,Fuﬂnote,Footnote Text2,Nbpage Moens"/>
    <w:basedOn w:val="Normal"/>
    <w:link w:val="FootnoteTextChar"/>
    <w:uiPriority w:val="99"/>
    <w:qFormat/>
    <w:pPr>
      <w:spacing w:before="100" w:beforeAutospacing="1" w:after="100" w:afterAutospacing="1"/>
    </w:pPr>
  </w:style>
  <w:style w:type="character" w:customStyle="1" w:styleId="tableheaderlevel22">
    <w:name w:val="tableheaderlevel22"/>
    <w:basedOn w:val="DefaultParagraphFont"/>
    <w:rPr>
      <w:rFonts w:ascii="Times New Roman" w:hAnsi="Times New Roman" w:cs="Times New Roman" w:hint="default"/>
      <w:color w:val="000000"/>
      <w:shd w:val="clear" w:color="auto" w:fill="E2E2E2"/>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DB088C"/>
    <w:pPr>
      <w:tabs>
        <w:tab w:val="center" w:pos="4320"/>
        <w:tab w:val="right" w:pos="8640"/>
      </w:tabs>
    </w:pPr>
  </w:style>
  <w:style w:type="paragraph" w:styleId="TOC2">
    <w:name w:val="toc 2"/>
    <w:basedOn w:val="Normal"/>
    <w:next w:val="Normal"/>
    <w:autoRedefine/>
    <w:semiHidden/>
    <w:rsid w:val="0024514C"/>
    <w:pPr>
      <w:ind w:left="240"/>
    </w:pPr>
  </w:style>
  <w:style w:type="character" w:customStyle="1" w:styleId="Heading1Char">
    <w:name w:val="Heading 1 Char"/>
    <w:basedOn w:val="DefaultParagraphFont"/>
    <w:link w:val="Heading1"/>
    <w:rsid w:val="009900CD"/>
    <w:rPr>
      <w:rFonts w:eastAsia="MS Mincho"/>
      <w:b/>
      <w:bCs/>
      <w:color w:val="000000"/>
      <w:kern w:val="36"/>
      <w:sz w:val="31"/>
      <w:szCs w:val="31"/>
      <w:lang w:val="en-US" w:eastAsia="ja-JP" w:bidi="ar-SA"/>
    </w:rPr>
  </w:style>
  <w:style w:type="character" w:customStyle="1" w:styleId="Heading2Char">
    <w:name w:val="Heading 2 Char"/>
    <w:basedOn w:val="DefaultParagraphFont"/>
    <w:link w:val="Heading2"/>
    <w:rsid w:val="009900CD"/>
    <w:rPr>
      <w:rFonts w:eastAsia="MS Mincho"/>
      <w:b/>
      <w:bCs/>
      <w:color w:val="000000"/>
      <w:sz w:val="25"/>
      <w:szCs w:val="25"/>
      <w:lang w:val="en-US" w:eastAsia="ja-JP" w:bidi="ar-SA"/>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ALTS FOOTNOTE Char,ft Char,Fuﬂnote Char"/>
    <w:basedOn w:val="DefaultParagraphFont"/>
    <w:link w:val="FootnoteText"/>
    <w:uiPriority w:val="99"/>
    <w:locked/>
    <w:rsid w:val="00AA6313"/>
    <w:rPr>
      <w:sz w:val="24"/>
      <w:szCs w:val="24"/>
      <w:lang w:eastAsia="ja-JP"/>
    </w:rPr>
  </w:style>
  <w:style w:type="character" w:customStyle="1" w:styleId="ListParagraphChar">
    <w:name w:val="List Paragraph Char"/>
    <w:aliases w:val="List_Paragraph Char,Multilevel para_II Char,List Paragraph1 Char,Akapit z listą BS Char,Bullet1 Char,List Paragraph 1 Char,Citation List Char,Resume Title Char,ICMA Bullet List Char,List Paragraph (numbered (a)) Char"/>
    <w:basedOn w:val="DefaultParagraphFont"/>
    <w:link w:val="ListParagraph"/>
    <w:uiPriority w:val="34"/>
    <w:locked/>
    <w:rsid w:val="00AA6313"/>
    <w:rPr>
      <w:sz w:val="24"/>
      <w:szCs w:val="24"/>
    </w:rPr>
  </w:style>
  <w:style w:type="paragraph" w:styleId="ListParagraph">
    <w:name w:val="List Paragraph"/>
    <w:aliases w:val="List_Paragraph,Multilevel para_II,List Paragraph1,Akapit z listą BS,Bullet1,List Paragraph 1,Citation List,Resume Title,ICMA Bullet List,List Paragraph (numbered (a))"/>
    <w:basedOn w:val="Normal"/>
    <w:link w:val="ListParagraphChar"/>
    <w:uiPriority w:val="34"/>
    <w:qFormat/>
    <w:rsid w:val="00AA6313"/>
    <w:pPr>
      <w:ind w:left="720"/>
      <w:contextualSpacing/>
    </w:pPr>
    <w:rPr>
      <w:lang w:eastAsia="en-US"/>
    </w:rPr>
  </w:style>
  <w:style w:type="paragraph" w:customStyle="1" w:styleId="PDSHeading2">
    <w:name w:val="PDS Heading 2"/>
    <w:next w:val="Normal"/>
    <w:rsid w:val="00AA6313"/>
    <w:pPr>
      <w:keepNext/>
      <w:numPr>
        <w:ilvl w:val="1"/>
        <w:numId w:val="25"/>
      </w:numPr>
    </w:pPr>
    <w:rPr>
      <w:rFonts w:eastAsia="Times New Roman"/>
      <w:b/>
      <w:sz w:val="24"/>
    </w:rPr>
  </w:style>
  <w:style w:type="paragraph" w:customStyle="1" w:styleId="PDSHeading1">
    <w:name w:val="PDS Heading 1"/>
    <w:next w:val="PDSHeading2"/>
    <w:rsid w:val="00AA6313"/>
    <w:pPr>
      <w:keepNext/>
      <w:numPr>
        <w:numId w:val="25"/>
      </w:numPr>
      <w:outlineLvl w:val="0"/>
    </w:pPr>
    <w:rPr>
      <w:rFonts w:eastAsia="Times New Roman"/>
      <w:b/>
      <w:caps/>
      <w:sz w:val="24"/>
    </w:rPr>
  </w:style>
  <w:style w:type="character" w:styleId="FootnoteReference">
    <w:name w:val="footnote reference"/>
    <w:aliases w:val="ftref,fr,16 Point,Superscript 6 Point,Footnote Reference Number,Times 10 Point,Exposant 3 Point,Footnote symbol,Footnote reference number,EN Footnote Reference,note TESI,BVI fnr,Error-Fußnotenzeichen5,Error-Fußnotenzeichen6, BVI fnr"/>
    <w:basedOn w:val="DefaultParagraphFont"/>
    <w:uiPriority w:val="99"/>
    <w:unhideWhenUsed/>
    <w:rsid w:val="00AA6313"/>
    <w:rPr>
      <w:vertAlign w:val="superscript"/>
    </w:rPr>
  </w:style>
  <w:style w:type="paragraph" w:styleId="BalloonText">
    <w:name w:val="Balloon Text"/>
    <w:basedOn w:val="Normal"/>
    <w:link w:val="BalloonTextChar"/>
    <w:semiHidden/>
    <w:unhideWhenUsed/>
    <w:rsid w:val="00E37784"/>
    <w:rPr>
      <w:rFonts w:ascii="Lucida Grande" w:hAnsi="Lucida Grande" w:cs="Lucida Grande"/>
      <w:sz w:val="18"/>
      <w:szCs w:val="18"/>
    </w:rPr>
  </w:style>
  <w:style w:type="character" w:customStyle="1" w:styleId="BalloonTextChar">
    <w:name w:val="Balloon Text Char"/>
    <w:basedOn w:val="DefaultParagraphFont"/>
    <w:link w:val="BalloonText"/>
    <w:semiHidden/>
    <w:rsid w:val="00E37784"/>
    <w:rPr>
      <w:rFonts w:ascii="Lucida Grande" w:hAnsi="Lucida Grande" w:cs="Lucida Grande"/>
      <w:sz w:val="18"/>
      <w:szCs w:val="18"/>
      <w:lang w:eastAsia="ja-JP"/>
    </w:rPr>
  </w:style>
  <w:style w:type="character" w:styleId="CommentReference">
    <w:name w:val="annotation reference"/>
    <w:basedOn w:val="DefaultParagraphFont"/>
    <w:semiHidden/>
    <w:unhideWhenUsed/>
    <w:rsid w:val="00E37784"/>
    <w:rPr>
      <w:sz w:val="18"/>
      <w:szCs w:val="18"/>
    </w:rPr>
  </w:style>
  <w:style w:type="paragraph" w:styleId="CommentText">
    <w:name w:val="annotation text"/>
    <w:basedOn w:val="Normal"/>
    <w:link w:val="CommentTextChar"/>
    <w:unhideWhenUsed/>
    <w:rsid w:val="00E37784"/>
  </w:style>
  <w:style w:type="character" w:customStyle="1" w:styleId="CommentTextChar">
    <w:name w:val="Comment Text Char"/>
    <w:basedOn w:val="DefaultParagraphFont"/>
    <w:link w:val="CommentText"/>
    <w:rsid w:val="00E37784"/>
    <w:rPr>
      <w:sz w:val="24"/>
      <w:szCs w:val="24"/>
      <w:lang w:eastAsia="ja-JP"/>
    </w:rPr>
  </w:style>
  <w:style w:type="paragraph" w:styleId="CommentSubject">
    <w:name w:val="annotation subject"/>
    <w:basedOn w:val="CommentText"/>
    <w:next w:val="CommentText"/>
    <w:link w:val="CommentSubjectChar"/>
    <w:semiHidden/>
    <w:unhideWhenUsed/>
    <w:rsid w:val="00E37784"/>
    <w:rPr>
      <w:b/>
      <w:bCs/>
      <w:sz w:val="20"/>
      <w:szCs w:val="20"/>
    </w:rPr>
  </w:style>
  <w:style w:type="character" w:customStyle="1" w:styleId="CommentSubjectChar">
    <w:name w:val="Comment Subject Char"/>
    <w:basedOn w:val="CommentTextChar"/>
    <w:link w:val="CommentSubject"/>
    <w:semiHidden/>
    <w:rsid w:val="00E37784"/>
    <w:rPr>
      <w:b/>
      <w:bCs/>
      <w:sz w:val="24"/>
      <w:szCs w:val="24"/>
      <w:lang w:eastAsia="ja-JP"/>
    </w:rPr>
  </w:style>
  <w:style w:type="paragraph" w:customStyle="1" w:styleId="ICRTOC">
    <w:name w:val="ICR TOC"/>
    <w:next w:val="Normal"/>
    <w:rsid w:val="00D255F5"/>
    <w:pPr>
      <w:keepNext/>
    </w:pPr>
    <w:rPr>
      <w:rFonts w:eastAsia="Times New Roman"/>
      <w:b/>
      <w:bCs/>
      <w:color w:val="000000"/>
      <w:sz w:val="25"/>
      <w:szCs w:val="25"/>
    </w:rPr>
  </w:style>
  <w:style w:type="character" w:customStyle="1" w:styleId="FooterChar">
    <w:name w:val="Footer Char"/>
    <w:basedOn w:val="DefaultParagraphFont"/>
    <w:link w:val="Footer"/>
    <w:uiPriority w:val="99"/>
    <w:rsid w:val="00E777DC"/>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317">
      <w:bodyDiv w:val="1"/>
      <w:marLeft w:val="0"/>
      <w:marRight w:val="0"/>
      <w:marTop w:val="0"/>
      <w:marBottom w:val="0"/>
      <w:divBdr>
        <w:top w:val="none" w:sz="0" w:space="0" w:color="auto"/>
        <w:left w:val="none" w:sz="0" w:space="0" w:color="auto"/>
        <w:bottom w:val="none" w:sz="0" w:space="0" w:color="auto"/>
        <w:right w:val="none" w:sz="0" w:space="0" w:color="auto"/>
      </w:divBdr>
    </w:div>
    <w:div w:id="98567608">
      <w:bodyDiv w:val="1"/>
      <w:marLeft w:val="0"/>
      <w:marRight w:val="0"/>
      <w:marTop w:val="0"/>
      <w:marBottom w:val="0"/>
      <w:divBdr>
        <w:top w:val="none" w:sz="0" w:space="0" w:color="auto"/>
        <w:left w:val="none" w:sz="0" w:space="0" w:color="auto"/>
        <w:bottom w:val="none" w:sz="0" w:space="0" w:color="auto"/>
        <w:right w:val="none" w:sz="0" w:space="0" w:color="auto"/>
      </w:divBdr>
    </w:div>
    <w:div w:id="870802262">
      <w:bodyDiv w:val="1"/>
      <w:marLeft w:val="0"/>
      <w:marRight w:val="0"/>
      <w:marTop w:val="0"/>
      <w:marBottom w:val="0"/>
      <w:divBdr>
        <w:top w:val="none" w:sz="0" w:space="0" w:color="auto"/>
        <w:left w:val="none" w:sz="0" w:space="0" w:color="auto"/>
        <w:bottom w:val="none" w:sz="0" w:space="0" w:color="auto"/>
        <w:right w:val="none" w:sz="0" w:space="0" w:color="auto"/>
      </w:divBdr>
    </w:div>
    <w:div w:id="118767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888390">
      <w:bodyDiv w:val="1"/>
      <w:marLeft w:val="0"/>
      <w:marRight w:val="0"/>
      <w:marTop w:val="0"/>
      <w:marBottom w:val="0"/>
      <w:divBdr>
        <w:top w:val="none" w:sz="0" w:space="0" w:color="auto"/>
        <w:left w:val="none" w:sz="0" w:space="0" w:color="auto"/>
        <w:bottom w:val="none" w:sz="0" w:space="0" w:color="auto"/>
        <w:right w:val="none" w:sz="0" w:space="0" w:color="auto"/>
      </w:divBdr>
    </w:div>
    <w:div w:id="2126805010">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T_ICR_NCO\P15456193028ICR%20-%20Sample%20Main%20WORD%20file%20for%20NCO%20%20Jan%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1" ma:contentTypeDescription="Create a new document." ma:contentTypeScope="" ma:versionID="75b4cdd1f18822cafd7605444111725a">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49c729e895b4e939852acae82af35e65"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ECENTER-17-1171</_dlc_DocId>
    <_dlc_DocIdUrl xmlns="abd7fad0-8e9a-4f24-82a0-e4a690a7a66d">
      <Url>https://ispan.worldbank.org/sites/BOS/_layouts/15/DocIdRedir.aspx?ID=ECENTER-17-1171</Url>
      <Description>ECENTER-17-1171</Description>
    </_dlc_DocIdUrl>
    <DocumentDate xmlns="1e565efc-c76f-4e3a-ad62-733aa42cc28d">2017-04-20T04:00:00+00:00</DocumentDate>
    <unid xmlns="1e565efc-c76f-4e3a-ad62-733aa42cc28d">090224b084b0084c</unid>
    <Volume_x0020_Title xmlns="1e565efc-c76f-4e3a-ad62-733aa42cc28d">Tajikistan Real Estate Registration Project - Notes on Cancelled Operation</Volume_x0020_Title>
    <Disclosure_x0020_Type xmlns="1e565efc-c76f-4e3a-ad62-733aa42cc28d" xsi:nil="true"/>
    <Unit_x0020_Owning_x0020_or_x0020_Responsible xmlns="1e565efc-c76f-4e3a-ad62-733aa42cc28d">GSULN</Unit_x0020_Owning_x0020_or_x0020_Responsible>
    <RObjectID xmlns="1e565efc-c76f-4e3a-ad62-733aa42cc28d">090224b084b0084c</RObjectID>
    <Document_x0020_Type xmlns="1e565efc-c76f-4e3a-ad62-733aa42cc28d">Board Report</Document_x0020_Type>
    <Bank_x0020_Group_x0020_Institution xmlns="1e565efc-c76f-4e3a-ad62-733aa42cc28d">IDA</Bank_x0020_Group_x0020_Institution>
    <Project_x0020_ID xmlns="1e565efc-c76f-4e3a-ad62-733aa42cc28d">P154561</Project_x0020_ID>
    <Report_x0020_Number xmlns="1e565efc-c76f-4e3a-ad62-733aa42cc28d">NCO00004089</Report_x0020_Number>
    <Other_x0020_Meeting_x0020_Date xmlns="1e565efc-c76f-4e3a-ad62-733aa42cc28d" xsi:nil="true"/>
    <Version_x0020_Type xmlns="1e565efc-c76f-4e3a-ad62-733aa42cc28d">Final</Version_x0020_Type>
    <Board_x0020_Document_x0020_Number xmlns="1e565efc-c76f-4e3a-ad62-733aa42cc28d" xsi:nil="true"/>
    <Disclosure_x0020_Date xmlns="1e565efc-c76f-4e3a-ad62-733aa42cc28d">2017-04-30T04:00:00+00:00</Disclosure_x0020_Date>
    <Board_x0020_Meeting_x0020_Type xmlns="1e565efc-c76f-4e3a-ad62-733aa42cc28d">Board Meeting</Board_x0020_Meeting_x0020_Type>
    <UpdateEntityID xmlns="1e565efc-c76f-4e3a-ad62-733aa42cc28d">9c1e71cd-9123-e711-94af-005056953af8</UpdateEntityID>
    <ImageBankURL xmlns="1e565efc-c76f-4e3a-ad62-733aa42cc28d">https://hubs.worldbank.org/docs/imagebank/Pages/docProfile.aspx?nodeid=27393755</ImageBankURL>
    <RejectedDate xmlns="1e565efc-c76f-4e3a-ad62-733aa42cc28d" xsi:nil="true"/>
    <Sec_x0020_Organization xmlns="1e565efc-c76f-4e3a-ad62-733aa42cc28d" xsi:nil="true"/>
    <ReportDate xmlns="1e565efc-c76f-4e3a-ad62-733aa42cc28d" xsi:nil="true"/>
    <IsRepublished xmlns="1e565efc-c76f-4e3a-ad62-733aa42cc28d">Yes</IsRepublished>
    <Country_x0020_Region xmlns="1e565efc-c76f-4e3a-ad62-733aa42cc28d">Tajikistan</Country_x0020_Region>
    <IsImageBankURLUpdated xmlns="1e565efc-c76f-4e3a-ad62-733aa42cc28d">Yes</IsImageBankURLUpdated>
    <UpdateEntityName xmlns="1e565efc-c76f-4e3a-ad62-733aa42cc28d">wbg_documentprofile</UpdateEntityName>
    <Disclosure_x0020_Status xmlns="1e565efc-c76f-4e3a-ad62-733aa42cc28d">Disclosed</Disclosure_x0020_Status>
    <Language xmlns="1e565efc-c76f-4e3a-ad62-733aa42cc28d">English</Language>
    <Board_x0020_Meeting_x0020_Date xmlns="1e565efc-c76f-4e3a-ad62-733aa42cc28d" xsi:nil="true"/>
    <Archive xmlns="1e565efc-c76f-4e3a-ad62-733aa42cc28d">true</Archive>
    <ArchivedDate xmlns="1e565efc-c76f-4e3a-ad62-733aa42cc28d">2017-04-25T15:01:15+00:00</ArchivedDate>
    <PublicClassificationDecidedby xmlns="1e565efc-c76f-4e3a-ad62-733aa42cc28d">Sarah Leigh Hammill</PublicClassificationDecidedby>
    <Information_x0020_Classification xmlns="1e565efc-c76f-4e3a-ad62-733aa42cc28d">Public</Information_x0020_Classification>
    <AccessToInfoComments xmlns="1e565efc-c76f-4e3a-ad62-733aa42cc28d">9. Deliberative</AccessToInfoComments>
    <RejectedDocuments xmlns="1e565efc-c76f-4e3a-ad62-733aa42cc28d">false</RejectedDocuments>
    <ServiceContentURL xmlns="1e565efc-c76f-4e3a-ad62-733aa42cc28d">http://wbdocsservices.worldbank.org/services?I4_SERVICE=VC&amp;I4_DOCID=090224b084b0084c</ServiceContentURL>
    <Closing_x0020_Date xmlns="1e565efc-c76f-4e3a-ad62-733aa42cc28d" xsi:nil="true"/>
    <Volume_x0020_No xmlns="1e565efc-c76f-4e3a-ad62-733aa42cc28d">1</Volume_x0020_No>
  </documentManagement>
</p:properties>
</file>

<file path=customXml/itemProps1.xml><?xml version="1.0" encoding="utf-8"?>
<ds:datastoreItem xmlns:ds="http://schemas.openxmlformats.org/officeDocument/2006/customXml" ds:itemID="{A8F2E288-5BAB-4F7A-8573-CA99BA083525}"/>
</file>

<file path=customXml/itemProps2.xml><?xml version="1.0" encoding="utf-8"?>
<ds:datastoreItem xmlns:ds="http://schemas.openxmlformats.org/officeDocument/2006/customXml" ds:itemID="{7960610E-D22A-4ED7-89FC-088559778CF1}"/>
</file>

<file path=customXml/itemProps3.xml><?xml version="1.0" encoding="utf-8"?>
<ds:datastoreItem xmlns:ds="http://schemas.openxmlformats.org/officeDocument/2006/customXml" ds:itemID="{50B32BE2-563A-43C0-B8AC-D7CE7C92AEAF}"/>
</file>

<file path=customXml/itemProps4.xml><?xml version="1.0" encoding="utf-8"?>
<ds:datastoreItem xmlns:ds="http://schemas.openxmlformats.org/officeDocument/2006/customXml" ds:itemID="{85A61448-0ABC-48AF-A78A-EFA1612A6341}"/>
</file>

<file path=customXml/itemProps5.xml><?xml version="1.0" encoding="utf-8"?>
<ds:datastoreItem xmlns:ds="http://schemas.openxmlformats.org/officeDocument/2006/customXml" ds:itemID="{2E307563-2BC0-4C4E-9E24-D7E6088FFC1B}"/>
</file>

<file path=docProps/app.xml><?xml version="1.0" encoding="utf-8"?>
<Properties xmlns="http://schemas.openxmlformats.org/officeDocument/2006/extended-properties" xmlns:vt="http://schemas.openxmlformats.org/officeDocument/2006/docPropsVTypes">
  <Template>P15456193028ICR - Sample Main WORD file for NCO  Jan 2007.dot</Template>
  <TotalTime>0</TotalTime>
  <Pages>15</Pages>
  <Words>3617</Words>
  <Characters>21225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ICR IL</vt:lpstr>
    </vt:vector>
  </TitlesOfParts>
  <Company>The World Bank Group</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Tajikistan Real Estate Registration Project - Notes on Cancelled Operation</dc:title>
  <dc:creator>SYSTEM</dc:creator>
  <cp:lastModifiedBy>Sarah Leigh Hammill</cp:lastModifiedBy>
  <cp:revision>2</cp:revision>
  <cp:lastPrinted>2017-03-15T12:17:00Z</cp:lastPrinted>
  <dcterms:created xsi:type="dcterms:W3CDTF">2017-04-17T15:11:00Z</dcterms:created>
  <dcterms:modified xsi:type="dcterms:W3CDTF">2017-04-17T15:11:00Z</dcterms:modified>
  <cp:category>Main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
    <vt:lpwstr>BT_ICR_NCO</vt:lpwstr>
  </property>
  <property fmtid="{D5CDD505-2E9C-101B-9397-08002B2CF9AE}" pid="3" name="ContentTypeId">
    <vt:lpwstr>0x0101008B7ED80168BFC54D8B2E9A470A96603D</vt:lpwstr>
  </property>
  <property fmtid="{D5CDD505-2E9C-101B-9397-08002B2CF9AE}" pid="4" name="_dlc_DocIdItemGuid">
    <vt:lpwstr>a398a9ce-f0ae-4877-9d77-7a5f7ba4c240</vt:lpwstr>
  </property>
</Properties>
</file>